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2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7.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حدیث عرض الدین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53710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371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53714_1051229030">
            <w:r>
              <w:rPr>
                <w:webHidden/>
                <w:rStyle w:val="IndexLink"/>
                <w:rtl w:val="true"/>
              </w:rPr>
              <w:t>المقدّمة في الإیمان ومراتبه</w:t>
            </w:r>
            <w:r>
              <w:rPr>
                <w:rStyle w:val="IndexLink"/>
                <w:rtl w:val="true"/>
              </w:rPr>
              <w:tab/>
            </w:r>
            <w:r>
              <w:rPr>
                <w:rStyle w:val="IndexLink"/>
              </w:rPr>
              <w:t>8</w:t>
            </w:r>
          </w:hyperlink>
        </w:p>
        <w:p>
          <w:pPr>
            <w:pStyle w:val="Contents2"/>
            <w:tabs>
              <w:tab w:val="clear" w:pos="8743"/>
              <w:tab w:val="right" w:pos="9026" w:leader="dot"/>
            </w:tabs>
            <w:rPr/>
          </w:pPr>
          <w:hyperlink w:anchor="__RefHeading___Toc453716_1051229030">
            <w:r>
              <w:rPr>
                <w:webHidden/>
                <w:rStyle w:val="IndexLink"/>
                <w:rtl w:val="true"/>
              </w:rPr>
              <w:t>عرض الدّين على قادة الدّين</w:t>
            </w:r>
            <w:r>
              <w:rPr>
                <w:rStyle w:val="IndexLink"/>
                <w:rtl w:val="true"/>
              </w:rPr>
              <w:tab/>
            </w:r>
            <w:r>
              <w:rPr>
                <w:rStyle w:val="IndexLink"/>
              </w:rPr>
              <w:t>14</w:t>
            </w:r>
          </w:hyperlink>
        </w:p>
        <w:p>
          <w:pPr>
            <w:pStyle w:val="Contents2"/>
            <w:tabs>
              <w:tab w:val="clear" w:pos="8743"/>
              <w:tab w:val="right" w:pos="9026" w:leader="dot"/>
            </w:tabs>
            <w:rPr/>
          </w:pPr>
          <w:hyperlink w:anchor="__RefHeading___Toc453718_1051229030">
            <w:r>
              <w:rPr>
                <w:webHidden/>
                <w:rStyle w:val="IndexLink"/>
                <w:rtl w:val="true"/>
              </w:rPr>
              <w:t>عرض الدین في العصر الراهن</w:t>
            </w:r>
            <w:r>
              <w:rPr>
                <w:rStyle w:val="IndexLink"/>
                <w:rtl w:val="true"/>
              </w:rPr>
              <w:tab/>
            </w:r>
            <w:r>
              <w:rPr>
                <w:rStyle w:val="IndexLink"/>
              </w:rPr>
              <w:t>30</w:t>
            </w:r>
          </w:hyperlink>
        </w:p>
        <w:p>
          <w:pPr>
            <w:pStyle w:val="Contents2"/>
            <w:tabs>
              <w:tab w:val="clear" w:pos="8743"/>
              <w:tab w:val="right" w:pos="9026" w:leader="dot"/>
            </w:tabs>
            <w:rPr/>
          </w:pPr>
          <w:hyperlink w:anchor="__RefHeading___Toc453720_1051229030">
            <w:r>
              <w:rPr>
                <w:webHidden/>
                <w:rStyle w:val="IndexLink"/>
                <w:rtl w:val="true"/>
              </w:rPr>
              <w:t>تأريخ عَرْضِ الدّين</w:t>
            </w:r>
            <w:r>
              <w:rPr>
                <w:rStyle w:val="IndexLink"/>
                <w:rtl w:val="true"/>
              </w:rPr>
              <w:tab/>
            </w:r>
            <w:r>
              <w:rPr>
                <w:rStyle w:val="IndexLink"/>
              </w:rPr>
              <w:t>36</w:t>
            </w:r>
          </w:hyperlink>
        </w:p>
        <w:p>
          <w:pPr>
            <w:pStyle w:val="Contents2"/>
            <w:tabs>
              <w:tab w:val="clear" w:pos="8743"/>
              <w:tab w:val="right" w:pos="9026" w:leader="dot"/>
            </w:tabs>
            <w:rPr/>
          </w:pPr>
          <w:hyperlink w:anchor="__RefHeading___Toc453722_1051229030">
            <w:r>
              <w:rPr>
                <w:webHidden/>
                <w:rStyle w:val="IndexLink"/>
                <w:rtl w:val="true"/>
              </w:rPr>
              <w:t>السيّد عبد العظيم</w:t>
            </w:r>
            <w:r>
              <w:rPr>
                <w:rStyle w:val="IndexLink"/>
                <w:rtl w:val="true"/>
              </w:rPr>
              <w:t>(</w:t>
            </w:r>
            <w:r>
              <w:rPr>
                <w:rStyle w:val="IndexLink"/>
                <w:rtl w:val="true"/>
              </w:rPr>
              <w:t>علیه السلام</w:t>
            </w:r>
            <w:r>
              <w:rPr>
                <w:rStyle w:val="IndexLink"/>
                <w:rtl w:val="true"/>
              </w:rPr>
              <w:t xml:space="preserve">) </w:t>
            </w:r>
            <w:r>
              <w:rPr>
                <w:rStyle w:val="IndexLink"/>
                <w:rtl w:val="true"/>
              </w:rPr>
              <w:t>يَعرضُ دينَه</w:t>
            </w:r>
            <w:r>
              <w:rPr>
                <w:rStyle w:val="IndexLink"/>
                <w:rtl w:val="true"/>
              </w:rPr>
              <w:tab/>
            </w:r>
            <w:r>
              <w:rPr>
                <w:rStyle w:val="IndexLink"/>
              </w:rPr>
              <w:t>38</w:t>
            </w:r>
          </w:hyperlink>
        </w:p>
        <w:p>
          <w:pPr>
            <w:pStyle w:val="Contents2"/>
            <w:tabs>
              <w:tab w:val="clear" w:pos="8743"/>
              <w:tab w:val="right" w:pos="9026" w:leader="dot"/>
            </w:tabs>
            <w:rPr/>
          </w:pPr>
          <w:hyperlink w:anchor="__RefHeading___Toc453724_1051229030">
            <w:r>
              <w:rPr>
                <w:webHidden/>
                <w:rStyle w:val="IndexLink"/>
                <w:rtl w:val="true"/>
              </w:rPr>
              <w:t>أدب وأخلاق كريمة</w:t>
            </w:r>
            <w:r>
              <w:rPr>
                <w:rStyle w:val="IndexLink"/>
                <w:rtl w:val="true"/>
              </w:rPr>
              <w:tab/>
            </w:r>
            <w:r>
              <w:rPr>
                <w:rStyle w:val="IndexLink"/>
              </w:rPr>
              <w:t>42</w:t>
            </w:r>
          </w:hyperlink>
        </w:p>
        <w:p>
          <w:pPr>
            <w:pStyle w:val="Contents3"/>
            <w:tabs>
              <w:tab w:val="clear" w:pos="8459"/>
              <w:tab w:val="right" w:pos="9026" w:leader="dot"/>
            </w:tabs>
            <w:rPr/>
          </w:pPr>
          <w:hyperlink w:anchor="__RefHeading___Toc453726_105122903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453728_1051229030">
            <w:r>
              <w:rPr>
                <w:webHidden/>
                <w:rStyle w:val="IndexLink"/>
                <w:rtl w:val="true"/>
              </w:rPr>
              <w:t>نقطة اُخری</w:t>
            </w:r>
            <w:r>
              <w:rPr>
                <w:rStyle w:val="IndexLink"/>
                <w:rtl w:val="true"/>
              </w:rPr>
              <w:t>:</w:t>
              <w:tab/>
            </w:r>
            <w:r>
              <w:rPr>
                <w:rStyle w:val="IndexLink"/>
              </w:rPr>
              <w:t>43</w:t>
            </w:r>
          </w:hyperlink>
        </w:p>
        <w:p>
          <w:pPr>
            <w:pStyle w:val="Contents2"/>
            <w:tabs>
              <w:tab w:val="clear" w:pos="8743"/>
              <w:tab w:val="right" w:pos="9026" w:leader="dot"/>
            </w:tabs>
            <w:rPr/>
          </w:pPr>
          <w:hyperlink w:anchor="__RefHeading___Toc453730_1051229030">
            <w:r>
              <w:rPr>
                <w:webHidden/>
                <w:rStyle w:val="IndexLink"/>
                <w:rtl w:val="true"/>
              </w:rPr>
              <w:t>شرح حديث عرض الدّين</w:t>
            </w:r>
            <w:r>
              <w:rPr>
                <w:rStyle w:val="IndexLink"/>
                <w:rtl w:val="true"/>
              </w:rPr>
              <w:tab/>
            </w:r>
            <w:r>
              <w:rPr>
                <w:rStyle w:val="IndexLink"/>
              </w:rPr>
              <w:t>46</w:t>
            </w:r>
          </w:hyperlink>
        </w:p>
        <w:p>
          <w:pPr>
            <w:pStyle w:val="Contents3"/>
            <w:tabs>
              <w:tab w:val="clear" w:pos="8459"/>
              <w:tab w:val="right" w:pos="9026" w:leader="dot"/>
            </w:tabs>
            <w:rPr/>
          </w:pPr>
          <w:hyperlink w:anchor="__RefHeading___Toc453732_1051229030">
            <w:r>
              <w:rPr>
                <w:webHidden/>
                <w:rStyle w:val="IndexLink"/>
                <w:rtl w:val="true"/>
              </w:rPr>
              <w:t>البحث في جهتين</w:t>
            </w:r>
            <w:r>
              <w:rPr>
                <w:rStyle w:val="IndexLink"/>
                <w:rtl w:val="true"/>
              </w:rPr>
              <w:tab/>
            </w:r>
            <w:r>
              <w:rPr>
                <w:rStyle w:val="IndexLink"/>
              </w:rPr>
              <w:t>46</w:t>
            </w:r>
          </w:hyperlink>
        </w:p>
        <w:p>
          <w:pPr>
            <w:pStyle w:val="Contents3"/>
            <w:tabs>
              <w:tab w:val="clear" w:pos="8459"/>
              <w:tab w:val="right" w:pos="9026" w:leader="dot"/>
            </w:tabs>
            <w:rPr/>
          </w:pPr>
          <w:hyperlink w:anchor="__RefHeading___Toc453734_1051229030">
            <w:r>
              <w:rPr>
                <w:webHidden/>
                <w:rStyle w:val="IndexLink"/>
                <w:rtl w:val="true"/>
              </w:rPr>
              <w:t>سند الحديث</w:t>
            </w:r>
            <w:r>
              <w:rPr>
                <w:rStyle w:val="IndexLink"/>
                <w:rtl w:val="true"/>
              </w:rPr>
              <w:tab/>
            </w:r>
            <w:r>
              <w:rPr>
                <w:rStyle w:val="IndexLink"/>
              </w:rPr>
              <w:t>46</w:t>
            </w:r>
          </w:hyperlink>
        </w:p>
        <w:p>
          <w:pPr>
            <w:pStyle w:val="Contents3"/>
            <w:tabs>
              <w:tab w:val="clear" w:pos="8459"/>
              <w:tab w:val="right" w:pos="9026" w:leader="dot"/>
            </w:tabs>
            <w:rPr/>
          </w:pPr>
          <w:hyperlink w:anchor="__RefHeading___Toc453736_1051229030">
            <w:r>
              <w:rPr>
                <w:webHidden/>
                <w:rStyle w:val="IndexLink"/>
                <w:rtl w:val="true"/>
              </w:rPr>
              <w:t>نكتةٌ روائيّة</w:t>
            </w:r>
            <w:r>
              <w:rPr>
                <w:rStyle w:val="IndexLink"/>
                <w:rtl w:val="true"/>
              </w:rPr>
              <w:tab/>
            </w:r>
            <w:r>
              <w:rPr>
                <w:rStyle w:val="IndexLink"/>
              </w:rPr>
              <w:t>50</w:t>
            </w:r>
          </w:hyperlink>
        </w:p>
        <w:p>
          <w:pPr>
            <w:pStyle w:val="Contents3"/>
            <w:tabs>
              <w:tab w:val="clear" w:pos="8459"/>
              <w:tab w:val="right" w:pos="9026" w:leader="dot"/>
            </w:tabs>
            <w:rPr/>
          </w:pPr>
          <w:hyperlink w:anchor="__RefHeading___Toc453738_1051229030">
            <w:r>
              <w:rPr>
                <w:webHidden/>
                <w:rStyle w:val="IndexLink"/>
                <w:rtl w:val="true"/>
              </w:rPr>
              <w:t>متن الحديث وشرحه</w:t>
            </w:r>
            <w:r>
              <w:rPr>
                <w:rStyle w:val="IndexLink"/>
                <w:rtl w:val="true"/>
              </w:rPr>
              <w:tab/>
            </w:r>
            <w:r>
              <w:rPr>
                <w:rStyle w:val="IndexLink"/>
              </w:rPr>
              <w:t>52</w:t>
            </w:r>
          </w:hyperlink>
        </w:p>
        <w:p>
          <w:pPr>
            <w:pStyle w:val="Contents2"/>
            <w:tabs>
              <w:tab w:val="clear" w:pos="8743"/>
              <w:tab w:val="right" w:pos="9026" w:leader="dot"/>
            </w:tabs>
            <w:rPr/>
          </w:pPr>
          <w:hyperlink w:anchor="__RefHeading___Toc453740_1051229030">
            <w:r>
              <w:rPr>
                <w:webHidden/>
                <w:rStyle w:val="IndexLink"/>
                <w:rtl w:val="true"/>
              </w:rPr>
              <w:t>عرض الدّین والتوحید</w:t>
            </w:r>
            <w:r>
              <w:rPr>
                <w:rStyle w:val="IndexLink"/>
                <w:rtl w:val="true"/>
              </w:rPr>
              <w:tab/>
            </w:r>
            <w:r>
              <w:rPr>
                <w:rStyle w:val="IndexLink"/>
              </w:rPr>
              <w:t>54</w:t>
            </w:r>
          </w:hyperlink>
        </w:p>
        <w:p>
          <w:pPr>
            <w:pStyle w:val="Contents2"/>
            <w:tabs>
              <w:tab w:val="clear" w:pos="8743"/>
              <w:tab w:val="right" w:pos="9026" w:leader="dot"/>
            </w:tabs>
            <w:rPr/>
          </w:pPr>
          <w:hyperlink w:anchor="__RefHeading___Toc453742_1051229030">
            <w:r>
              <w:rPr>
                <w:webHidden/>
                <w:rStyle w:val="IndexLink"/>
                <w:rtl w:val="true"/>
              </w:rPr>
              <w:t>عرض الدّین والإمامة</w:t>
            </w:r>
            <w:r>
              <w:rPr>
                <w:rStyle w:val="IndexLink"/>
                <w:rtl w:val="true"/>
              </w:rPr>
              <w:tab/>
            </w:r>
            <w:r>
              <w:rPr>
                <w:rStyle w:val="IndexLink"/>
              </w:rPr>
              <w:t>78</w:t>
            </w:r>
          </w:hyperlink>
        </w:p>
        <w:p>
          <w:pPr>
            <w:pStyle w:val="Contents2"/>
            <w:tabs>
              <w:tab w:val="clear" w:pos="8743"/>
              <w:tab w:val="right" w:pos="9026" w:leader="dot"/>
            </w:tabs>
            <w:rPr/>
          </w:pPr>
          <w:hyperlink w:anchor="__RefHeading___Toc453744_1051229030">
            <w:r>
              <w:rPr>
                <w:webHidden/>
                <w:rStyle w:val="IndexLink"/>
                <w:rtl w:val="true"/>
              </w:rPr>
              <w:t>عرض الدّین والمعراج و</w:t>
            </w:r>
            <w:r>
              <w:rPr>
                <w:rStyle w:val="IndexLink"/>
                <w:rtl w:val="true"/>
              </w:rPr>
              <w:t>...</w:t>
              <w:tab/>
            </w:r>
            <w:r>
              <w:rPr>
                <w:rStyle w:val="IndexLink"/>
              </w:rPr>
              <w:t>92</w:t>
            </w:r>
          </w:hyperlink>
        </w:p>
        <w:p>
          <w:pPr>
            <w:pStyle w:val="Contents3"/>
            <w:tabs>
              <w:tab w:val="clear" w:pos="8459"/>
              <w:tab w:val="right" w:pos="9026" w:leader="dot"/>
            </w:tabs>
            <w:rPr/>
          </w:pPr>
          <w:hyperlink w:anchor="__RefHeading___Toc453746_1051229030">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453748_1051229030">
            <w:r>
              <w:rPr>
                <w:webHidden/>
                <w:rStyle w:val="IndexLink"/>
                <w:rtl w:val="true"/>
              </w:rPr>
              <w:t>الف</w:t>
            </w:r>
            <w:r>
              <w:rPr>
                <w:rStyle w:val="IndexLink"/>
                <w:rtl w:val="true"/>
              </w:rPr>
              <w:t xml:space="preserve">) </w:t>
            </w:r>
            <w:r>
              <w:rPr>
                <w:rStyle w:val="IndexLink"/>
                <w:rtl w:val="true"/>
              </w:rPr>
              <w:t>المعراج</w:t>
            </w:r>
            <w:r>
              <w:rPr>
                <w:rStyle w:val="IndexLink"/>
                <w:rtl w:val="true"/>
              </w:rPr>
              <w:tab/>
            </w:r>
            <w:r>
              <w:rPr>
                <w:rStyle w:val="IndexLink"/>
              </w:rPr>
              <w:t>93</w:t>
            </w:r>
          </w:hyperlink>
        </w:p>
        <w:p>
          <w:pPr>
            <w:pStyle w:val="Contents3"/>
            <w:tabs>
              <w:tab w:val="clear" w:pos="8459"/>
              <w:tab w:val="right" w:pos="9026" w:leader="dot"/>
            </w:tabs>
            <w:rPr/>
          </w:pPr>
          <w:hyperlink w:anchor="__RefHeading___Toc453750_1051229030">
            <w:r>
              <w:rPr>
                <w:webHidden/>
                <w:rStyle w:val="IndexLink"/>
                <w:rtl w:val="true"/>
              </w:rPr>
              <w:t>ب</w:t>
            </w:r>
            <w:r>
              <w:rPr>
                <w:rStyle w:val="IndexLink"/>
                <w:rtl w:val="true"/>
              </w:rPr>
              <w:t xml:space="preserve">) </w:t>
            </w:r>
            <w:r>
              <w:rPr>
                <w:rStyle w:val="IndexLink"/>
                <w:rtl w:val="true"/>
              </w:rPr>
              <w:t>سؤال القبر</w:t>
            </w:r>
            <w:r>
              <w:rPr>
                <w:rStyle w:val="IndexLink"/>
                <w:rtl w:val="true"/>
              </w:rPr>
              <w:tab/>
            </w:r>
            <w:r>
              <w:rPr>
                <w:rStyle w:val="IndexLink"/>
              </w:rPr>
              <w:t>102</w:t>
            </w:r>
          </w:hyperlink>
        </w:p>
        <w:p>
          <w:pPr>
            <w:pStyle w:val="Contents3"/>
            <w:tabs>
              <w:tab w:val="clear" w:pos="8459"/>
              <w:tab w:val="right" w:pos="9026" w:leader="dot"/>
            </w:tabs>
            <w:rPr/>
          </w:pPr>
          <w:hyperlink w:anchor="__RefHeading___Toc453752_1051229030">
            <w:r>
              <w:rPr>
                <w:webHidden/>
                <w:rStyle w:val="IndexLink"/>
                <w:rtl w:val="true"/>
              </w:rPr>
              <w:t>ج</w:t>
            </w:r>
            <w:r>
              <w:rPr>
                <w:rStyle w:val="IndexLink"/>
                <w:rtl w:val="true"/>
              </w:rPr>
              <w:t xml:space="preserve">) </w:t>
            </w:r>
            <w:r>
              <w:rPr>
                <w:rStyle w:val="IndexLink"/>
                <w:rtl w:val="true"/>
              </w:rPr>
              <w:t>الجنَّة والنار</w:t>
            </w:r>
            <w:r>
              <w:rPr>
                <w:rStyle w:val="IndexLink"/>
                <w:rtl w:val="true"/>
              </w:rPr>
              <w:tab/>
            </w:r>
            <w:r>
              <w:rPr>
                <w:rStyle w:val="IndexLink"/>
              </w:rPr>
              <w:t>103</w:t>
            </w:r>
          </w:hyperlink>
        </w:p>
        <w:p>
          <w:pPr>
            <w:pStyle w:val="Contents2"/>
            <w:tabs>
              <w:tab w:val="clear" w:pos="8743"/>
              <w:tab w:val="right" w:pos="9026" w:leader="dot"/>
            </w:tabs>
            <w:rPr/>
          </w:pPr>
          <w:hyperlink w:anchor="__RefHeading___Toc453754_1051229030">
            <w:r>
              <w:rPr>
                <w:webHidden/>
                <w:rStyle w:val="IndexLink"/>
                <w:rtl w:val="true"/>
              </w:rPr>
              <w:t>عرض الدّین والثبات في الدّین</w:t>
            </w:r>
            <w:r>
              <w:rPr>
                <w:rStyle w:val="IndexLink"/>
                <w:rtl w:val="true"/>
              </w:rPr>
              <w:tab/>
            </w:r>
            <w:r>
              <w:rPr>
                <w:rStyle w:val="IndexLink"/>
              </w:rPr>
              <w:t>109</w:t>
            </w:r>
          </w:hyperlink>
        </w:p>
        <w:p>
          <w:pPr>
            <w:pStyle w:val="Contents2"/>
            <w:tabs>
              <w:tab w:val="clear" w:pos="8743"/>
              <w:tab w:val="right" w:pos="9026" w:leader="dot"/>
            </w:tabs>
            <w:rPr/>
          </w:pPr>
          <w:hyperlink w:anchor="__RefHeading___Toc453756_1051229030">
            <w:r>
              <w:rPr>
                <w:webHidden/>
                <w:rStyle w:val="IndexLink"/>
                <w:rtl w:val="true"/>
              </w:rPr>
              <w:t>مصادر التحقیق</w:t>
            </w:r>
            <w:r>
              <w:rPr>
                <w:rStyle w:val="IndexLink"/>
                <w:rtl w:val="true"/>
              </w:rPr>
              <w:tab/>
            </w:r>
            <w:r>
              <w:rPr>
                <w:rStyle w:val="IndexLink"/>
              </w:rPr>
              <w:t>117</w:t>
            </w:r>
          </w:hyperlink>
        </w:p>
        <w:p>
          <w:pPr>
            <w:pStyle w:val="Contents2"/>
            <w:tabs>
              <w:tab w:val="clear" w:pos="8743"/>
              <w:tab w:val="right" w:pos="9026" w:leader="dot"/>
            </w:tabs>
            <w:rPr/>
          </w:pPr>
          <w:hyperlink w:anchor="__RefHeading___Toc453758_1051229030">
            <w:r>
              <w:rPr>
                <w:webHidden/>
                <w:rStyle w:val="IndexLink"/>
                <w:rtl w:val="true"/>
              </w:rPr>
              <w:t>الفهرس</w:t>
            </w:r>
            <w:r>
              <w:rPr>
                <w:rStyle w:val="IndexLink"/>
                <w:rtl w:val="true"/>
              </w:rPr>
              <w:tab/>
            </w:r>
            <w:r>
              <w:rPr>
                <w:rStyle w:val="IndexLink"/>
              </w:rPr>
              <w:t>129</w:t>
            </w:r>
          </w:hyperlink>
        </w:p>
        <w:p>
          <w:pPr>
            <w:pStyle w:val="Contents2"/>
            <w:tabs>
              <w:tab w:val="clear" w:pos="8743"/>
              <w:tab w:val="right" w:pos="9026" w:leader="dot"/>
            </w:tabs>
            <w:rPr/>
          </w:pPr>
          <w:hyperlink w:anchor="__RefHeading___Toc453760_1051229030">
            <w:r>
              <w:rPr>
                <w:webHidden/>
                <w:rStyle w:val="IndexLink"/>
                <w:rtl w:val="true"/>
              </w:rPr>
              <w:t>آثار سماحة آیة الله العظمی الصافی الگلپایگانی مد ظله الوارف</w:t>
            </w:r>
            <w:r>
              <w:rPr>
                <w:rStyle w:val="IndexLink"/>
                <w:rtl w:val="true"/>
              </w:rPr>
              <w:tab/>
            </w:r>
            <w:r>
              <w:rPr>
                <w:rStyle w:val="IndexLink"/>
              </w:rPr>
              <w:t>131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257_108015"/>
      <w:bookmarkStart w:id="1" w:name="pg7257_108015"/>
      <w:bookmarkEnd w:id="1"/>
    </w:p>
    <w:p>
      <w:pPr>
        <w:pStyle w:val="Heading2"/>
        <w:numPr>
          <w:ilvl w:val="1"/>
          <w:numId w:val="1"/>
        </w:numPr>
        <w:rPr/>
      </w:pPr>
      <w:bookmarkStart w:id="2" w:name="pg7257_108015"/>
      <w:bookmarkStart w:id="3" w:name="__RefHeading___Toc453710_105122903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صافی گلپایگانی، لطف‌الله،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Safi Gulpaygan, Lutfullah</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حدیث عرض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عرض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لطف‌الله صافی‌گلپایگانی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تنظیم و نشر آثار آیت‌الله صافی گلپایگانی دام ظله، </w:t>
      </w:r>
      <w:r>
        <w:rPr>
          <w:rFonts w:eastAsia="IRNazanin" w:cs="IRNazanin"/>
          <w:color w:val="111111"/>
          <w:sz w:val="28"/>
          <w:szCs w:val="28"/>
          <w:lang w:bidi="fa-IR"/>
        </w:rPr>
        <w:t>1438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7854</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حاضر در سالهای مختلف توسط ناشران متفاوت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دین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Hadiths, Special (Ard Din) -- Criticism and interpretation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BP145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297/218</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4605368</w:t>
      </w:r>
    </w:p>
    <w:p>
      <w:pPr>
        <w:pStyle w:val="BookText"/>
        <w:rPr/>
      </w:pPr>
      <w:r>
        <w:rPr>
          <w:rFonts w:ascii="IRNazanin" w:hAnsi="IRNazanin" w:eastAsia="IRNazanin"/>
          <w:color w:val="111111"/>
          <w:sz w:val="28"/>
          <w:sz w:val="28"/>
          <w:szCs w:val="28"/>
          <w:rtl w:val="true"/>
          <w:lang w:bidi="fa-IR"/>
        </w:rPr>
        <w:t>اطلاعات رکورد کتابشناسی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53712_105122903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حدیث عرض الدّین</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الفقیه الکبیر المرجع الدیني الأعلی سماحة آیة الله العظمی الشیخ لطف الله الصافي الگلپایگاني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الشریف</w:t>
      </w:r>
      <w:r>
        <w:rPr>
          <w:rFonts w:eastAsia="IRNazanin" w:cs="IRNazanin"/>
          <w:color w:val="111111"/>
          <w:sz w:val="28"/>
          <w:szCs w:val="28"/>
          <w:rtl w:val="true"/>
          <w:lang w:bidi="fa-IR"/>
        </w:rPr>
        <w:t xml:space="preserve">) </w:t>
      </w:r>
      <w:bookmarkStart w:id="7" w:name="pg7257_108019"/>
    </w:p>
    <w:p>
      <w:pPr>
        <w:pStyle w:val="Heading2"/>
        <w:numPr>
          <w:ilvl w:val="1"/>
          <w:numId w:val="1"/>
        </w:numPr>
        <w:rPr/>
      </w:pPr>
      <w:bookmarkStart w:id="8" w:name="__RefHeading___Toc453714_1051229030"/>
      <w:bookmarkStart w:id="9" w:name="_Toc3"/>
      <w:bookmarkEnd w:id="7"/>
      <w:bookmarkEnd w:id="8"/>
      <w:r>
        <w:rPr>
          <w:rtl w:val="true"/>
        </w:rPr>
        <w:t>المقدّمة في الإیمان ومراتبه</w:t>
      </w:r>
      <w:bookmarkEnd w:id="9"/>
    </w:p>
    <w:p>
      <w:pPr>
        <w:pStyle w:val="BookText"/>
        <w:rPr/>
      </w:pPr>
      <w:r>
        <w:rPr>
          <w:rFonts w:ascii="Amiri" w:hAnsi="Amiri" w:eastAsia="Amiri" w:cs="Amiri"/>
          <w:color w:val="111111"/>
          <w:sz w:val="28"/>
          <w:sz w:val="28"/>
          <w:szCs w:val="28"/>
          <w:rtl w:val="true"/>
          <w:lang w:bidi="ar-SA"/>
        </w:rPr>
        <w:t>إنّ الاعتقاد بالمبدأ والمعاد والنبوّة والإمامة، يُعدُّ من موجبات السعادة واطمئنان القلب ورفع الاضطراب الروحي، وإحياء الأمل والتفاؤل بالحياة، والسير نحو الفلاح والفوز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نبالغ إذا 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توجد طلبات أدعى للسعادة والراحة من هذه الطلبات الثلاث الّتي ذكرت في هذا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إيمَاناً تُبَاشِرُ بِهِ قَلْبي، وَيَقيناً صَادِقاً حَتَّى أَعْلَمَ أَنَّهُ لَنْ يُصيبَني إِلّا مَا كَتَبْتَ لِي، وَرَضِّني مِنَ الْعَيشِ بِمَا قَسَمْتَ ليِ</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 الّذي يجعله الله تعالى مستولياً على قلب الإنسان ومحيطاً 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الحاجة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 الصادق، وهو أن يعتقد الإنسان أن لن يصيبه إلّا ما كتب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الحاجة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 بالرزق المقسوم والعيش المقرّر من قبل الحقّ جلَّ وعلا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الإیمان واليقين والرضا، من الحالات والمقامات الّتي لها درجات ومراتب متفاوتة بين البشر، ففي الوقت الّذي يصحّ إطلاق الإیمان واليقين والرضا على کلّ مرتبة منها، لكنَّ أفرادها متفاوتة كتفاوت مراتب وأفراد النور، وقد تصل الفاصلة بين مرتبة واُخری إلی درجة بحيث لو کان بالإمكان تطبيق مقياس سرعة الضوء عليها، لأشرنا إليها بذلك المقياس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فكما نعلم أنّ نور الشمس نورٌ، ونور المصباح نور، ونور السراج نور، ونور الشمعة نور أيضاً، ولكنّها متفاوتة الشدَّة والدرجة، فكذلك الإیمان الّذي عُبِّرَ عنه في القرآن الكريم بالنور، كما في تفسير الآية الشريفة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رَبَّنَا أَتْمِمْ لَنَا نُورَنَا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وَالْمُؤْمِنَاتِ يَسْعَى نُورُهُمْ بَيْنَ أَيْدِيهِمْ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ولذا فإنّ إيمان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إيمان ونورٌ مكَّنهُ من القيام بأكبر وأثقل وظيفةٍ اُوکِلَت إلی أحدٍ من الخليقة من قِبَل الله تعالى، حيث قام بمهمّته على أفضل وجه ممكن متحدّياً الدنيا بأسرها ومغيِّراً الكفر والعادات الباطلة، والشرك إلى التوحيد والصلاح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إيمان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وإيمان وصل إلی مرتبة قال عنه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كُشِفَ الْغِطَاءُ مَا ازْدَدْتُ يَقيناً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أُعْطیتُ الْأَقَاليمَ السَّبعَةَ بِمَا تَحْتَ أَفْلَاكِهَا عَلَى أَنْ أَعْصِيَ اللهَ فِي نَمْلةٍ أَسْلُبُها جُلْبَ شَعيرةٍ مَا فَعَلْتُهُ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وهكذا سائر الأئمّة المعصومين والأنبياء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مظاهرَ لقوّة الإيمان ومراتبه الكاملة، الّتي تعدُّ دروساً نافعة ومثبتةً لإيمان الناس</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إيمان خواصِّ الأصحاب والشخصيات الإسلامية الّذي تجلّی في عملهم وإيثارهم وفدائهم في الغزوات مثل بدرٍ واُحدٍ والخندق والجمل وصفّين والنهروان ويوم عاشوراء قد ارتفع بهم إلی </w:t>
      </w:r>
    </w:p>
    <w:p>
      <w:pPr>
        <w:pStyle w:val="BookText"/>
        <w:rPr/>
      </w:pPr>
      <w:r>
        <w:rPr>
          <w:rFonts w:ascii="IRNazanin" w:hAnsi="IRNazanin" w:eastAsia="IRNazanin"/>
          <w:color w:val="111111"/>
          <w:sz w:val="28"/>
          <w:sz w:val="28"/>
          <w:szCs w:val="28"/>
          <w:rtl w:val="true"/>
          <w:lang w:bidi="fa-IR"/>
        </w:rPr>
        <w:t>أعلى مراتب تجلّيات الإیمان، وکان نوراً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إيمان حمزة بن عبد المطّلب وجعفر الطيّار وأبي الفضل العبّاس وسلمان والمقداد وعمّار وحبيب بن مظاهر وزهير ورشيد وميثم، والمئات بل الآلاف من المؤمنين الّذين خرجوا من بوتقة الامتحان خالصين من الغشّ وإن لم يكونوا في درجة واحدة من الإیمان، لكنَّ ما قام به کلّ واحدٍ منهم کان تجلّياً من تجلّيات عظمة إيمانهم وقوّة عقيدتهم وحاكياً عن اطمئنانهم وعدم اضطراب قلوبهم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وإيمان الأشخاص الآخرين إيمان أيضاً، لكن درجة التفاوت بين إيمانهم وإيمان اُولئك الخُلَّص، يصعب قياسها وتقديرها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فکلّ هؤلاء وبحسب درجات إيمانهم، يتمتّعون بالاستقرار وسكون الباطن وراحة البال والتسليم والرضا والتوکّل على الله والثقة بالنفس، ليتّصلوا إلى المرتبة العالية، فلا يفرحوا بما يصلهم، ولا ييأسوا على ما يفوتهم من الدنيا، مصداقاً لقوله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مَا فَاتَكُمْ وَلَا تَفْرَحُوا بِمَا آتَاكُمْ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ويصلوا إلى حيث لا يخافون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الْيَقِينِ أَلَّا تَخَافَ مَعَ الله شَيْئاً</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للتوکلّ والتسليم والرضا والتفويض إلی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وکلّها من مقامات السعداء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يحوزها بعض الناس بمقدار قوّة درجات إيمانهم وخلوص عقيدتهم عن الشرك والخرافات والانحرافات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ليس ثمَّة وسيلة لنيل الإنسان السعادة الواقعية، أعلى من الإيمان الصحيح واليقين الخالص، فإنّه يدفع کلّ اضطرابٍ وخوفٍ من زوال النعم، ويرفع کلّ اضطراب وتوجّس من إبهام المستقبل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آمَنُوا وَتَطْمَئِنُّ قُلُوبُهُمْ بِذِكْرِ اللهِ ألَا بِذِكْرِ اللهِ تَطْمَئِنُّ الْقُلُوبُ</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فطالب السعادة عليه أن يسعى جاهداً للإيمان بحقائق مفاهيم هذه الجمل النورانية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حَسْبُنَا اللهُ ونِعْمَ الْوَكِيلُ</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مَا شَاءَ اللهُ لَا قُوَّةَ إِلَّا بِاللهِ‌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وَأُفَوِّضُ أَمْري إِلَى اللهِ إِنَّ اللهَ‌ََ بَصيرٌ بِالْعِبَادِ</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ومَنْ يَتَوَكَّلْ‌ْْ عَلَى اللهِ فَهُوَ حَسْبُهُ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حَسْبِيَ اللهُ</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إِنَّا للِهِ وَإِنَّا إِلَيْهِ‌ِ رَاجِعُونَ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لينجو من ظلمات الحيرة والترديد</w:t>
      </w:r>
      <w:r>
        <w:rPr>
          <w:rFonts w:eastAsia="Amiri" w:cs="Amiri" w:ascii="Amiri" w:hAnsi="Amiri"/>
          <w:color w:val="111111"/>
          <w:sz w:val="28"/>
          <w:szCs w:val="28"/>
          <w:rtl w:val="true"/>
          <w:lang w:bidi="ar-SA"/>
        </w:rPr>
        <w:t xml:space="preserve">. </w:t>
      </w:r>
      <w:bookmarkStart w:id="10" w:name="pg7257_108025"/>
    </w:p>
    <w:p>
      <w:pPr>
        <w:pStyle w:val="Heading2"/>
        <w:numPr>
          <w:ilvl w:val="1"/>
          <w:numId w:val="1"/>
        </w:numPr>
        <w:rPr/>
      </w:pPr>
      <w:bookmarkStart w:id="11" w:name="__RefHeading___Toc453716_1051229030"/>
      <w:bookmarkStart w:id="12" w:name="_Toc4"/>
      <w:bookmarkEnd w:id="10"/>
      <w:bookmarkEnd w:id="11"/>
      <w:r>
        <w:rPr>
          <w:rtl w:val="true"/>
        </w:rPr>
        <w:t>عرض الدّين على قادة الدّين</w:t>
      </w:r>
      <w:bookmarkEnd w:id="12"/>
    </w:p>
    <w:p>
      <w:pPr>
        <w:pStyle w:val="BookText"/>
        <w:rPr/>
      </w:pPr>
      <w:r>
        <w:rPr>
          <w:rFonts w:ascii="IRNazanin" w:hAnsi="IRNazanin" w:eastAsia="IRNazanin"/>
          <w:color w:val="111111"/>
          <w:sz w:val="28"/>
          <w:sz w:val="28"/>
          <w:szCs w:val="28"/>
          <w:rtl w:val="true"/>
          <w:lang w:bidi="fa-IR"/>
        </w:rPr>
        <w:t>من جملة الطرق الرئيسية لتحصيل الإیمان الثابت وتقويته، هي التأمّل في الآيات الآفاقية والأنفسية، والتفكّر في خلق السماوات والأرض ضمن مضامين القرآن المجيد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مطالعة سيرة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ومراجعة الأحاديث والروايات الواردة عنهم وخطبهم وأقوالهم في مختلف المجالات العقائدية مفيدة في توسيع المعرفة ودليلٌ للوصول إلى منبع عين الإیمان واليقين الصافية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طيّات الكتب  كبحار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هائل من الروايات والأحاديث الواردة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العقائد، ما يُغني عن الرجوع إلی الآخرين وطَرْق أبوابهم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جملة الطرق الّتي يمكن بها معرفة العقائد ومطابقتها للوحي وهدی القرآن الكريم وتعليمات الرسول الأعظم وأهل بيته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والّتي تؤدّي إلى الاطمئنان وسكون القلب أكثر فأكثر، </w:t>
      </w:r>
    </w:p>
    <w:p>
      <w:pPr>
        <w:pStyle w:val="BookText"/>
        <w:rPr/>
      </w:pPr>
      <w:r>
        <w:rPr>
          <w:rFonts w:ascii="IRNazanin" w:hAnsi="IRNazanin" w:eastAsia="IRNazanin"/>
          <w:color w:val="111111"/>
          <w:sz w:val="28"/>
          <w:sz w:val="28"/>
          <w:szCs w:val="28"/>
          <w:rtl w:val="true"/>
          <w:lang w:bidi="fa-IR"/>
        </w:rPr>
        <w:t xml:space="preserve">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قادة الدين، وخاصّة في تفصيلات المسائل العقائدية الّتي ينحصر إثباتها بطريق الوحي وأخبار الرسول الأعظم وأهل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طريق لمعرفتها إلّا بالرجوع إلى المدارك الصحيحة السماعية من الكتاب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 في تفاصيل الثواب والجزاء، وهل أنّه روحاني أو جسماني أم أنّه بکليهما؟ أو في تفصيلات الميزان والصراط ووجود الملائكة والحقائق؟ واُمور كثيرة اُخری من هذا القبيل، يعتبر المرجع الوحيد المصون من الاشتباه هو رسول الله والأئمّة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يخفى، أنّ الشرع والعقل يتّفقان في أصل بعض العقائد، كما أنّ الحاكم في اُصول العقائد هو العقل، والقرآن الكريم ساق الإنسان وأرجعه إلی العقل وأمر الناس باتّباع العقل فيها، ولكن في التفصيلات والاعتقادات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مراجعة الشرع، ومن ثمَّ نجد أنّه لا طريق للعقل في معرفة تلك الاُمور، أو أنّ الإنسان غير مکلّف بمعرفة تلك الاُمور، بملاحظة أنّ بعض الاُمور والمطالب الاعتقادية ليست من المستقلّات العقلية والأوَّليّات البديهية والفطرية، ولذا لا تكون نتائج البحث العقلي فيها مصونةً من الاشتباه والخلط، وبلحاظ غموض فهمها ودركها من قبل أغلب الناس أو جميعهم، </w:t>
      </w:r>
    </w:p>
    <w:p>
      <w:pPr>
        <w:pStyle w:val="BookText"/>
        <w:rPr/>
      </w:pPr>
      <w:r>
        <w:rPr>
          <w:rFonts w:ascii="IRNazanin" w:hAnsi="IRNazanin" w:eastAsia="IRNazanin"/>
          <w:color w:val="111111"/>
          <w:sz w:val="28"/>
          <w:sz w:val="28"/>
          <w:szCs w:val="28"/>
          <w:rtl w:val="true"/>
          <w:lang w:bidi="fa-IR"/>
        </w:rPr>
        <w:t>سيكون التکليف بمعرفتها تکليفاً بما لا يطاق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نُهي الناس عن تحصيل الاعتقاد بها عن طريق العقل؛ لاحتمال الوقوع في الضلالة، وحينئذٍ يكتفى بالدليل السماعي الّذي ثبت جواز الاعتماد عليه عقلاً، فلا يكون الإنسان معذوراً فيما إذا وقع في الضلالة نتيجةَ سلوكه طريق العقل لمعرفة تلك الاُمور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وكما نعلم أنّ الكثير من المواضيع الّتي تبحث في الفلسفة والکلام وما يصطلح عليه بالعرفان، والّتي ترتبط بالإلهيّات هي من هذا القبيل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الوحيد المصون من الخطأ والاشتباه في مثل هذه المسائل هو الشرع، وأنّ اُولئك الّذين يسلكون طريقاً آخر لمعرفتها، والّذين يُأوّلون الكتاب والسنّة بما يوافق استنتاجاتهم العقلية، يكونون قد سلكوا طريقاً خطراً، يطوون به الظلمات بلا دليلٍ ومرشدٍ من الكتاب والسنّة، وأنّ هذا الطريق لن يوصلهم إلّا إلی الحَيرة والتشكيك والترديد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وأنّك لن تجدَ تعارضاً أبداً بين الاستنتاج العقلي في الموارد الّتي يجوز لنا اتّباع المسلك العقلي لمعرفتها، وبين الأدلّة القطعية من القرآن والسنّة القطعية الصدور، ولو فرض ووجد مثل هذا التعارض، فإنّ الفهم القطعي العقلي سيكون قرينةً قطعيةً عقليةً على عدم إرادة ظاهر الکلام، </w:t>
      </w:r>
    </w:p>
    <w:p>
      <w:pPr>
        <w:pStyle w:val="BookText"/>
        <w:rPr/>
      </w:pPr>
      <w:r>
        <w:rPr>
          <w:rFonts w:ascii="IRNazanin" w:hAnsi="IRNazanin" w:eastAsia="IRNazanin"/>
          <w:color w:val="111111"/>
          <w:sz w:val="28"/>
          <w:sz w:val="28"/>
          <w:szCs w:val="28"/>
          <w:rtl w:val="true"/>
          <w:lang w:bidi="fa-IR"/>
        </w:rPr>
        <w:t xml:space="preserve">وهذا الحكم العقلي سيكون قرينةً على المجازية، وسيكون الحاكم هو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تعذّرت الحقيقة فأقرب المجازات هو المتعیَّن</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في غير هذه المباحث، إذا تعارض الاستنتاج العقلي مع دلالة الكتاب والسنّة، ووقع الشخص في الاشتباه، فلا يكون معذوراً لأنّه منهيٌّ من البداية عن الورود في 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لما ذكرنا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ومن خلال الآيات القرآنية الكثيرة والأحاديث الشريفة، نفهم بالقطع واليقين أنّ الخالق هو غير المخلوق، ولا يوجد أيُّ قدر مشترك ذاتيّ أو حقيقي بينهما، لَيْسَ كَمِثْلِهِ شَيْ‌ءٌ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الحقيقة لا يمكن تطبيقها على بعض المسالك العرفانية أو الفلسفية المبتنية على أصالة الوجود، أو القول بأن کلّ شيء هو الله تعالى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تشبيه الخلق والخالق بالموج والبحر والحبر والحروف، أو الاصطلاحات والتشبيهات الاُخری، وصرف النظر عن واقعية کلّ عالم الكون الّذي تعرّض له القرآن الكريم وأخبر عن واقعيته کُلّا وأجزاءاً، فمن غير المعقول القول بأنّ کلّ هذه السماوات والمجرّات </w:t>
      </w:r>
    </w:p>
    <w:p>
      <w:pPr>
        <w:pStyle w:val="BookText"/>
        <w:rPr/>
      </w:pPr>
      <w:r>
        <w:rPr>
          <w:rFonts w:ascii="IRNazanin" w:hAnsi="IRNazanin" w:eastAsia="IRNazanin"/>
          <w:color w:val="111111"/>
          <w:sz w:val="28"/>
          <w:sz w:val="28"/>
          <w:szCs w:val="28"/>
          <w:rtl w:val="true"/>
          <w:lang w:bidi="fa-IR"/>
        </w:rPr>
        <w:t>والمنظومات والجبال والبحار والمخلوقات اللامتناهية الّتي يتركّب الإنسان نفسه وكذا الحيوانات الاُخری من المليارات منها، غيرُ متحقّقةٍ واقعاً، وأنّ کلّ ما هو موجود هو الوجود المطلق وظهوراته فقط، أو مطلق الوجود ومراتبه فقط، وأنّه لا شيءَ حقيقيّاً في العالم إلّا نفس الوجود ولو وجد اختلاف فهو في المراتب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وحتى لو قلنا بأنّ وجود الأشياء غيرُ وجود الحقِّ، وأنّ کلَّ شيء هو غير وجود الأشياء الاُخری، لكن قلنا بالاشتراك المعنوي واعتبرنا أنّ كُنه الحقّ وكُنه الأشياء الاُخری واحدٌ بهذا المعنى، وادَّعينا معرفتها، وأنّه يُطلق على الجميع بنحو التشكيك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المسلك مخالف للكتاب والسنّة والاعتقادات الشرعية وغير منسجم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نفهمه من ظاهر الكتاب الكريم هو شيئية الأشياء کلّها وواقعيّتها وتحقّقها الخارجي، ومغايرة الذات الإلهية المقدّسة لها وتنزّهها عن المشابهة معها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في مسألة ربط الحادث بالقديم، والّتي إذا لم يكن الکلام فيها منهيّاً عنه، فإنّه بلا شكّ غيرُ مأمورٍ به، فإذا وصل البحث إلی حيث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خلق غير ما هو موجود، وأنّ صدور العالم والكائنات عنه بالإيجاب، وأنّه لا إبداع في ما يسمّى بعالم العقول والمجرّدات، وأنّ العالم عبارة عن تشكيلات ميكانيكية، فكما أنّ </w:t>
      </w:r>
    </w:p>
    <w:p>
      <w:pPr>
        <w:pStyle w:val="BookText"/>
        <w:rPr/>
      </w:pPr>
      <w:r>
        <w:rPr>
          <w:rFonts w:ascii="IRNazanin" w:hAnsi="IRNazanin" w:eastAsia="IRNazanin"/>
          <w:color w:val="111111"/>
          <w:sz w:val="28"/>
          <w:sz w:val="28"/>
          <w:szCs w:val="28"/>
          <w:rtl w:val="true"/>
          <w:lang w:bidi="fa-IR"/>
        </w:rPr>
        <w:t xml:space="preserve">المخترع البشري أو الصانع الّذي هو اُستاذ في صنعته فقط ويمكنه أن يصنع ما هو ماهرٌ في صنعه فقط، فكذلك في خلق الكائنات، فلا يمكن أن يترك هذا النحو من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 عاجز عن خلق خلقٍ آخر، إذا وصل الکلام إلی مثل هذه النظريات أو ما يقاربها، ويُشابهها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لو لم يقَلْ بهذه الصراحة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مخالف لظواهر القرآن المقبولة والمسلَّمة، ومنافٍ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العالم قد اُوجد طبقاً لحكمةٍ ومصلحة وإنّ الله أحسن الخالقين وإنّه حكيم عليم، هو غير ما يقوله هؤلاء من أنّ برنامج الإيجاد والخلق لا يمكن أن يكون إلّا بهذه السلسلة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يدّعيها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النظام الأتمّ هو النظام القائم على أساس الصادر الأوّل للمعلول الأوّل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وأنّه بدون الصادر الأوّل للمعلول الأوّل والعقل الأوّل وغيره ممّا يقولون، يكون الله عاجزاً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خلق عالم المحسوسات بدون وسائط، وسلسلة عوامل يفترضها هؤلاء</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الآراء لا يمكن مطابقتها للقرآن الكريم أبداً، فإنّ مفهومها هو ادّعاء عجز الله عزّ وجلّ، وإثبات عوالم ومخلوقات ونظم مَا أَنْزَلَ اللّهُ بِهَا مِنْ سُلْطَانٍ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وبحسب ما جاء في الكتاب والسنّة، فإنّ الله هو الخالق، ومفهوم هذا القول لا يساوي مفهوم أنّ الله علّة وأنّه علَّة اُولى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والخوض في مثل هذه المباحث قد يجرُّ إلی القول بقدم العالم، وقد ذهب البعض إلی أنّ إجماع المسلمين قائم على أنّ هذا القول يوجب الكُفر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اعترض العالم المتبحّر الملّا محمّد إسماعيل الخاجوئي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رسالة له،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عَرْشُهُ عَلَى الْمَاءِ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أحد كبار أساتذة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اُطلق في كثير من الموارد في الكتاب والحديث على العلم والعقل القدسيّ الّذي يحمل العلم، وأنّ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اُطلق على النفس المجرَّدة القابلة للعلوم والمعارف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هذا الحمل هو حمل اللفظ على غير ظاهره، ولا شاهد من الكتاب والسنّة والعقل على مثل هذا الحمل، كما أنّه لا قائل به من المفسّرين والمحدِّثين، وأنّ هذه التأويلات هي من قبيل التعبير عن السماء بالحبل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يبسط الخاجوئي اعتراضه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يقول بوجود العقل المجرّد ذاتاً وفعلاً، فهو قائل بقدمه، وهذا يستلزم القول بقدم العالم، ومن قال بقدم ما سوى الله تعالى فهو كافرٌ بإجماع المسلمين حتى لو کان من الإمامية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وكما قال آية الله العلّامة في جواب من سأله عن حال رجل يعتقد بالتوحيد والعدل والنبوّة والإمامة، لكنّه قائل بقدم العالم، وعن حكمه في الدنيا والآخرة، قال العلّامة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اعتقد قِدَم العالم فَهُو كافرٌ بلا خلاف، لأنّ الفارق بينَ المسلم والكافر ذلك، وحكمه في الآخرة حكم باقي الكفّار بالإجماع</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وإن لم نكن في مقام ردّ وإبطال وإثبات بعض آخر منها وبعض الآراء والأفكار ولا في مقام بيان الحكم الفقهي لمعتقدي تلك الآراء، ولكن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طَرْق هذه المباحث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تصوّر القائلون بها أنّهم غير ملتزمين بتبنّي القول بالحدوث الدهري أو الزمان التقديري وتبعاته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فيها ليس لازماً، لا شرعاً ولا عقلاً، وأنّه خطير، ولا ضمان بالخروج بنتيجة صحيحة منها حتى من قِبل أساطين الحكمة والفلسفة، وإن انحرف في نقطةٍ ومورد واحد، وضلَّ ضلالة بسيطة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نبيِّن هذا المعنى بذكر عدّة جُمَل من خطبة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الرائعة المعروفة بخطبة الأشباح، والّتي يقول عنها السیّد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جلائل خطبه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ليتّضح هذا المطلب العرفانيّ الدقيق، بل </w:t>
      </w:r>
    </w:p>
    <w:p>
      <w:pPr>
        <w:pStyle w:val="BookText"/>
        <w:rPr/>
      </w:pPr>
      <w:r>
        <w:rPr>
          <w:rFonts w:ascii="IRNazanin" w:hAnsi="IRNazanin" w:eastAsia="IRNazanin"/>
          <w:color w:val="111111"/>
          <w:sz w:val="28"/>
          <w:sz w:val="28"/>
          <w:szCs w:val="28"/>
          <w:rtl w:val="true"/>
          <w:lang w:bidi="fa-IR"/>
        </w:rPr>
        <w:t>هو من أعلى المطالب العرفانية الصادرة عن لسان الله الناطق وأمير البيان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مسعدة بن صدقة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أنشأ هذه الخطبة</w:t>
      </w:r>
    </w:p>
    <w:p>
      <w:pPr>
        <w:pStyle w:val="BookText"/>
        <w:rPr/>
      </w:pPr>
      <w:r>
        <w:rPr>
          <w:rFonts w:ascii="Amiri" w:hAnsi="Amiri" w:eastAsia="Amiri" w:cs="Amiri"/>
          <w:color w:val="111111"/>
          <w:sz w:val="28"/>
          <w:sz w:val="28"/>
          <w:szCs w:val="28"/>
          <w:rtl w:val="true"/>
          <w:lang w:bidi="ar-SA"/>
        </w:rPr>
        <w:t>على منبر الكوفة بعد أن سأله رجل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ربَّنا مِثْلَمَا نَراهُ عَيَاناً لِنَزْدادَ لَهُ حُبّاً وبِهِ مَعْرِفَةً، فغضب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ودعا الناس للصلاة جامعة، ولمّا</w:t>
      </w:r>
    </w:p>
    <w:p>
      <w:pPr>
        <w:pStyle w:val="BookText"/>
        <w:rPr/>
      </w:pPr>
      <w:r>
        <w:rPr>
          <w:rFonts w:ascii="IRNazanin" w:hAnsi="IRNazanin" w:eastAsia="IRNazanin"/>
          <w:color w:val="111111"/>
          <w:sz w:val="28"/>
          <w:sz w:val="28"/>
          <w:szCs w:val="28"/>
          <w:rtl w:val="true"/>
          <w:lang w:bidi="fa-IR"/>
        </w:rPr>
        <w:t>اجتمع المسلمون وغصَّ المسجد بالمصلّين، صعد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المنبر ولم يزل على غضبه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يطرح هذا السؤال نفسه، لماذا غضب الإمام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مثل هذا السؤال؟</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يبدو أنّ كيفيّة طرح هذا السؤال هي الّتي أثارت غَضَب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 السائل کان يظنّ إمكانية توصيف الباري عزّ وجلّ بدرجة من الوضوح يتمكّن عامّة الناس من معرفة كُنه حقيقته وصفاته، كما لو کان يُشاهَد عياناً، أو أنّ عبداً من عباده وإن کان رئيس العارفين ومولى الموحّدين يمكنه حَدُّ صفاته أو معرفة حقيقة ذاته وتوضيحها وتبسيطها لدرجة التصوّر ولو کان تقريبيّاً، ومهما كان ظنّ السائل، فإنّ مجرّد التفكير في مثل ذلك يثير غضب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استعظم نفس السؤال، فكان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يرى أنّه ليس لأحدٍ الحقّ مهما عَلَت معرفته أن يسأل مثل هذا السؤال فضلاً عن أن يكون لأحدٍ الحقّ في وصف الباري </w:t>
      </w:r>
    </w:p>
    <w:p>
      <w:pPr>
        <w:pStyle w:val="BookText"/>
        <w:rPr/>
      </w:pPr>
      <w:r>
        <w:rPr>
          <w:rFonts w:ascii="IRNazanin" w:hAnsi="IRNazanin" w:eastAsia="IRNazanin"/>
          <w:color w:val="111111"/>
          <w:sz w:val="28"/>
          <w:sz w:val="28"/>
          <w:szCs w:val="28"/>
          <w:rtl w:val="true"/>
          <w:lang w:bidi="fa-IR"/>
        </w:rPr>
        <w:t>عزّ وجلّ إلی درجةٍ أكبر ممّا وصف هو نفسه به تبارك وتعالى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الّذي دعاه إلی أن يصعد المنبر ويخطب تلك الخطبة الّتي افتتحها بالحمد والثناء ثمّ الصلوات على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توجّه بخطابه إلی السائل قائلاً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أَيُّهَا السائِلُ، فَما دَلَّكَ القُرْآنُ عليه مِن صفتِه فَائْتَمَّ بِهِ وَاسْتَضِئْ بنورِ هدايتِهِ، وما کلّفكَ الشیطانُ عِلمَه ممّا ليسَ عليكَ في الكتابِ فَرْضُهُ ولا في سنَّة النبيّ صلّى الله عليه وآله وأئمّةِ الْهُدَى أثَرُهُ فکِلْ عِلمَه إلی الله سبحانه، فإنَّ ذلكَ منتَهى حقِّ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الرّاسخينَ في العلمِ هُمُ الّذينَ أغناهُم عن اقتِحامِ السُّدَدِ الْمَضْرُوبَةِ دونَ الْغُيوبِ، الإقرار بجملةِ ما جَهِلوا تفسيرَه مِن الغيبِ المحجوبِ، فمَدَح الله تعالى اعترافهم بالعَجْز عن تَناولِ ما لَمْ يُحيطوا به 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وسَمّى تَركَهم التَّعمُّقَ فيما لم يُکلّفهم البحثَ عن كُنهه رُسوخاً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فاقتصِر على ذلك، ولا تُقدِّرْ عظَمَةَ الله سبحانه على قدرِ عقلِكَ فتكونَ من الهالِكينَ</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وهذا الکلام الإعجازي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أفضل دليل ومرشدٍ وأعلى مرتبة من المعرفة الممكنة للملائكة والإنسان، وکلّ ما عدا ما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كتب خارج حدود هذه الخطبة، فهو غرور والتباس عقلي، أو هي مجرّد کلمات واصطلاحات وألفاظ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الشيخ الأجلّ، فخر الشيعة وعالم الإسلام الكبير، الشيخ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توقيفية الأسماء الحُسنى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تسمية الباري تعالى إلّا بما سمّى به نفسه في كتابه أو على لسان نبيِّه أو سمّاه حججه من خلفاء نبيِّه وكذلك أقول في الصفات، وبهذا تطابَقت الأخبار عن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مذهبُ جماعة الإماميّة و</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المحقّق القدّوسي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الفصول،</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مصنّف باللغة الفارسية، قال ما ترجمته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لطيفة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علمنا أنّ الباري سبحانه وتعالى ذاتٌ واحدةٌ منزّهةٌ، لا مجال للتعدّد والتكثّر في كبرياء عظمته من أيِّ جهة کانت، أطلق على نفسه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ملاحظة أيّ إضافة، وأطلق الأسماء الحسنى الاُخری باعتبار الإضافات أو بحسب تركّب الإضافة والسلب، كالحيّ والعزيز </w:t>
      </w:r>
    </w:p>
    <w:p>
      <w:pPr>
        <w:pStyle w:val="BookText"/>
        <w:rPr/>
      </w:pPr>
      <w:r>
        <w:rPr>
          <w:rFonts w:ascii="IRNazanin" w:hAnsi="IRNazanin" w:eastAsia="IRNazanin"/>
          <w:color w:val="111111"/>
          <w:sz w:val="28"/>
          <w:sz w:val="28"/>
          <w:szCs w:val="28"/>
          <w:rtl w:val="true"/>
          <w:lang w:bidi="fa-IR"/>
        </w:rPr>
        <w:t>والواسع والرحيم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لفظ لائقٍ بجلاله وكماله، يمكن إطلاقه عليه، إلّا أنّه من غير الأدب إطلاق الأسماء الّتي لم تصدر الإجازة من حضرته لإطلاقها عليه، إذ لعلَّه لا يليق بمقامه من جهة اُخرى؛ لأنّ ظاهر الحال يقتضي أنّه إذا لم يكن قد تلطّف برأفته وعنايته اللامتناهية وألهَمَ أنبياءه والمقرّبين من عباده، لما کان لأحدٍ اللياقة بإطلاق أيِّ لفظٍ على حقيقته، إذ لا يمكن بأيّ وجه مطابقة الاسم على المسمّى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وبحسب بعض الآيات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تَحْمِلُ كُلُّ أُنْثَى‌</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وَاعْلَمُواأَنَّ اللهِ بِكُلِّ شَيْ‌ءٍ عَليمٌ‌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الشيء المعلوم هو غير العالم، وبحسب بعض المسالك أنّه لا يوجد شيءٌ غيرُ علم الله بذاته ومراتب ظهور وجوده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البحث في حقيقة العلم وكيفيّته وماهيّته، فإنّنا إذا كنّا مجازين في البحث عن حقيقة علمنا نحن وماهيّته، والوصول إلی الآراء المختلفة فيه، لكنّنا ممنوعون عن البحث في حقيقة علم الله الّذي هو عين ذاته، إذْ لا يمكن لنا درك حقيقة علمه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يُحِيطُونَ بِهِ عِلْماً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إذن، فلسان الكتاب العزيز والسنّة الشريفة ومفهوم الاصطلاحات الإسلامية والأسماء الحسنى الّتي يُسمع بإطلاقها على ذات الباري تعالى، هي غير مفهوم الاصطلاحات الاُخری الّتي راج إطلاقها عليه، والّتي ظهرت بعد ظهور الفلسفة والعرفان الاصطلاحي واشتغال المسلمين بهذه المباحث ورواجها، والّتي حجبتهم عن السير العلمي الإسلامي الخاصّ، وعن التفكير في الآيات الإلهية الّتي اُمروا بالبحث 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فلابدّ من معرفة الله بالطريق الّذي عرَّفَ نفسه به وهو طريق الوحي ورسالات الأنبياء والكتاب والسنّة والسبل المنطقية القرآنية، ويستحيل معرفته بغير هذا الطريق، وينبغي عدم التقدّم على هذه الإرشادات كما ينبغي عدم التأخّر والابتعاد عنها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معرفة الله في القرآن المجيد وفي أحاديث العرض، عريضة وشاملة، بل هي غير متناهية، کلّما سار الإنسان في إطار الإرشادات القرآنية والأحاديث الشريفة وتقدّم فيها، فإنّه سيبقى المجال أمام سيره وعروجه مفتوحاً على مصراعيه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ولابدّ من طَرْق باب أهل بيت الوحي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والالتزام باتّباعهم، وأخذ الاصطلاحات المطابقة للواقع عنهم، وتوسعة المعرفة بالتفكّر والعبادة والدعاء والرياضات الشرعية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وهناك في الأدعية المأثورة عن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العبائر والجمل ما يفتح أبواباً إلی طريق المعرفة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ففي الوقت الّذي تتضمّن فيه تلك الأدعية مضامين عالية وعرفانية حقيقية، فهي أيضاً کانت ترشد اُولئك المسلمين من سكنة الصحاري والبوادي الّذين لم يتتلمذوا في مدرسةٍ مّا، ولم يقرأوا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وجعلت منهم مؤمنين إلی مرتبة لم يحلم بمثلها أمثال ابن سينا والفارابي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أنّنا اشتغلنا بقراءة تلك الأدعية وشرحها وتفسيرها بدلاً من تلك الكتب، لفهمنا بأنّنا مع ما نملك من هذه المعارف والآثار، لا ينبغي أن نذهب إلی غيرها وننسى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مُوسَى حَيّاً لَمَا وَسِعَهُ إِلَّا اتِّبَاعِي</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فکلامنا هنا هو أنّ علينا أن نعرض عقائدنا على القرآن الكريم وعلى الأحاديث الصحيحة وعلى حملة هذين المصدرين الأساسيّين، أمثال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زكريّا 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قال فيه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المَأمونُ على الدّين </w:t>
      </w:r>
    </w:p>
    <w:p>
      <w:pPr>
        <w:pStyle w:val="BookText"/>
        <w:rPr/>
      </w:pPr>
      <w:r>
        <w:rPr>
          <w:rFonts w:ascii="Amiri" w:hAnsi="Amiri" w:eastAsia="Amiri" w:cs="Amiri"/>
          <w:color w:val="111111"/>
          <w:sz w:val="28"/>
          <w:sz w:val="28"/>
          <w:szCs w:val="28"/>
          <w:rtl w:val="true"/>
          <w:lang w:bidi="ar-SA"/>
        </w:rPr>
        <w:t>والدُّنيا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الطوسي والمجلسي، ليشهد هؤلاء على أنّ الدين الّذي عُرض عليهم، دينٌ موافق لما أنزله الله تعالى على نبيّه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يقولوا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دينُ الله الّذي أنزلَه على نبيّه صلّى الله عليه وآله وبلَّغه عنهُ أوصياؤهُ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اُولئك الّذين أمضَوا أعمارهم في طيّ الطرق الاُخری، واشتغلوا بغير ما ورد عن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سيذعنون بأنّه لا يمكن نسبة محصول ونتائج بعض الاشتغالات والبحوث إلی الله والنبيّ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فمدرسة الأنبياء ومدرسة القرآن والوحي والإمام 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يعرفها زرارة وأبان بن تغلب ومحمد بن مسلم وعمّار بن ياسر والأصبغ بن نباتة وحذيفة وأبو ذر وأمثالهم، لا الآخرون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نعهد ولم نسمع يوماً أنّ شخصاً ذهب إلی مثل يعقوب بن إسحاق الكندي وعرض عليه دينه، فأمثال يعقوب بن إسحاق وسائر الفلاسفة والعُرفاء الاصطلاحيّین، هم أنفسهم إذا أرادوا عرض دينهم، کان عليهم عرضه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ورواة أحاديثهم</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7257_108041"/>
      <w:bookmarkStart w:id="14" w:name="pg7257_108041"/>
      <w:bookmarkEnd w:id="14"/>
    </w:p>
    <w:p>
      <w:pPr>
        <w:pStyle w:val="Heading2"/>
        <w:numPr>
          <w:ilvl w:val="1"/>
          <w:numId w:val="1"/>
        </w:numPr>
        <w:rPr/>
      </w:pPr>
      <w:bookmarkStart w:id="15" w:name="pg7257_108041"/>
      <w:bookmarkStart w:id="16" w:name="__RefHeading___Toc453718_1051229030"/>
      <w:bookmarkStart w:id="17" w:name="_Toc5"/>
      <w:bookmarkEnd w:id="15"/>
      <w:bookmarkEnd w:id="16"/>
      <w:r>
        <w:rPr>
          <w:rtl w:val="true"/>
        </w:rPr>
        <w:t>عرض الدین في العصر الراهن</w:t>
      </w:r>
      <w:bookmarkEnd w:id="1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عصرنا الحاضر، على الجميع وخاصّة جيل الشباب والمثقّفين والجامعیّين المؤمنين الأعزّاء، أن يهتمّوا بمسألة عرض الدّين على علماء الدّين الّذين عرفوا الدّين من القرآن الكريم وأحاديث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إذ أنّ يد التحريف والتأويل والتصرّف واتّباع الاستحسان والسليقة الشخصية، قد امتدّت إلی العقائد والتعاليم الإسلامية من قبل بعض الأشخاص، ولأسباب عديدة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التأثّر بالحضارة الغربية، وأنَّ بعض فاقدي الأهلية والصلاحية قد نصبوا أنفسهم خطباء للدّين، فتراهم يعقدون جلسات الحوار والمناقشة، ويخطبون ويكتبون المقالات الدينية الّتي تستهدف الإسلام والتزام الناس بالعقائد والأحكام الشرعية، ويوحون للناس بأنّ التقيّد بالأحكام الشرعية ومداليل الكتاب والسنّة، بعيدٌ عن الانفتاح الفكري والحضاري، ويحاولون تخطئة ما تلقّاه كبار العلماء والفقهاء على امتداد القرون المتمادية، معتقدين بأنّ الكثير من الأحكام الإلهية لا تناسب المزاج العصري </w:t>
      </w:r>
    </w:p>
    <w:p>
      <w:pPr>
        <w:pStyle w:val="BookText"/>
        <w:rPr/>
      </w:pPr>
      <w:r>
        <w:rPr>
          <w:rFonts w:ascii="Amiri" w:hAnsi="Amiri" w:eastAsia="Amiri" w:cs="Amiri"/>
          <w:color w:val="111111"/>
          <w:sz w:val="28"/>
          <w:sz w:val="28"/>
          <w:szCs w:val="28"/>
          <w:rtl w:val="true"/>
          <w:lang w:bidi="ar-SA"/>
        </w:rPr>
        <w:t xml:space="preserve">الّذي أسّسه الغرب أو الشرق، متوسّلين ببعض المصطلحات الرنّانة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المنفتح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انقباض وانبساط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لاتّهام بعض الأحكام وتعطيل خاتمية وأبديّة المنهج الشرعي ونظام الجزاء والقوانين الاجتماعية الإسلامية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تدخَّل هؤلاء حتى في العقائد وعرّفوا الكتاب والسنّة باصطلاحات عرفانية، وبذلك يكونوا قد سلكوا طريقاً إذا استمرّوا به لم يؤدّ إلّا إلی تضعيف الالتزام الديني عند الكثير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عمل الأنبياء المهمّ والعظيم هو هداية الناس إلی المنهج الّذي اُمروا بتبليغه من قبل الله، وحثّهم على العمل بهذا المنهج والالتزام الوجداني به، هذا العمل الجبّار الّذي عجز عن مثله کلُّ الفلاسفة وکلّ أدعياء الفكر والثقافة الحديثة، ولا زالوا عاجزين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الأشخاص الّذين يدّعون الثقافة والفكر، أينما وجدوا، فإنّهم حاولوا إضعاف الإیمان ومواجهته، ويفتخرون بأنّهم يستطيعون أن يخدشوا المعتقدات والمسلَّمات الإسلامية وأن يقلّلوا من تمسّك الناس والتزامهم بدينهم، ويفسّرون الدين بما تشتهيه أذواقهم المتأثّرة بالثقافات الأجنبية وأحوال وأوضاع الغرب، وينكرون أو يشكّكون في الأصالة الفكرية الإسلامية</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وللأسف الشديد، فإنّ بعض هذه الأحابيل قد أثّرت في بعض طبقات </w:t>
      </w:r>
    </w:p>
    <w:p>
      <w:pPr>
        <w:pStyle w:val="BookText"/>
        <w:rPr/>
      </w:pPr>
      <w:r>
        <w:rPr>
          <w:rFonts w:ascii="IRNazanin" w:hAnsi="IRNazanin" w:eastAsia="IRNazanin"/>
          <w:color w:val="111111"/>
          <w:sz w:val="28"/>
          <w:sz w:val="28"/>
          <w:szCs w:val="28"/>
          <w:rtl w:val="true"/>
          <w:lang w:bidi="fa-IR"/>
        </w:rPr>
        <w:t>المجتمع الإسلامي برجاله، ونسائه خاصّة، وأنّها منمَّقة ومطليّة بطلاء التجديد الديني والرجوع إلی الذات ممّا أدّى إلی إدخال الوسوسة في بعض المسائل الدينية المسلّمة، والالتزامات الإسلامية عند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مثل هذه المخالفات والمواجهات للشرع الحنيف يكون لها صدىً إعلامي، ومن هنا تجد أنّ أبطال مثل هذه الاتّجاهات هم من عشّاق الشهرة والصيت الذائع الّذين يحاولون الظهور على ساحة المجتمع بأيِّ ثمن حتّى لو کان إنکار المسلَّمات الدينية والمقدّسة عند المسلمين، فهؤلاء عاجزون تماماً عن شقّ طريق الوجاهة والرفعة، لخوائهم وضعفهم وعدم أهليّتهم، فيتشبّثون بمثل هذه الاُطروحات الهزيلة لكسب السمعة والشهرة، وهم يعرفون تماماً أنّهم کلّما ازدادوا في هتك الحرمات وإثارة الشبهات وإهانة المقدّسات وإنكار القيم الاجتماعية، ازدادت شهرتهم، وهذا ما يطمحون إلیه، ولا شكّ في أنّ هؤلاء سيكون لهم أتباع ومروّجون ممّن تتعارض مصالحهم الشخصية وأهواؤهم وأمزجتهم مع تلك المسلّمات العقائدية والدينية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فالكثير من المتأثّرين بالغرب ومن يتصوّرون أنّهم من المجدّدين، يعتبرون أنّ الكاتب والخطيب المتحرّر المثقّف هو الأكثر جرأةً على محاربة المقدّسات والمسلّمات الإسلامية والاستهزاء بها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تجد بأنّ كتاب المرتدّ سلمان رشدي، والّذي کان عارياً عن أيِّ </w:t>
      </w:r>
    </w:p>
    <w:p>
      <w:pPr>
        <w:pStyle w:val="BookText"/>
        <w:rPr/>
      </w:pPr>
      <w:r>
        <w:rPr>
          <w:rFonts w:ascii="IRNazanin" w:hAnsi="IRNazanin" w:eastAsia="IRNazanin"/>
          <w:color w:val="111111"/>
          <w:sz w:val="28"/>
          <w:sz w:val="28"/>
          <w:szCs w:val="28"/>
          <w:rtl w:val="true"/>
          <w:lang w:bidi="fa-IR"/>
        </w:rPr>
        <w:t>استدلال منطقيّ وتوجيه معقول، والخالي من أيِّ ردٍّ فكريّ وجيه، قد عدَّته بعض المحافل الّتي لا ترى للحرّيّة حدّاً، من الكتب الفكريّة المتحرّرة المنفتحة، کلّ ذلك لأنّ ما ورد في الكتاب هو أعلى ما يمكن من درجات الإهانة والجرأة على الشخصيات المقدّسة عند المسلمين بل عند کلّ العالم، فصار رشدي وكتابه مشهوراً عن طريق هتك القداسة وإهانة العصمة والطهارة، ولذا فقد قامت القوى الاستعمارية الّتي رقصت على أنغام هذه السنفونية، قامت بحماية هذا المرتدّ والدفاع عنه، مع أنّ الكتاب فاقدٌ للمحتوى الفكريّ المنطقيّ المستدلّ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فإنّ شبابنا إذا ما أرادوا الأمان من شرِّ إضلال مثل هؤلاء المجدّدين الصوريّين، وأن يتعلّموا الدين الإسلامي الصحيح والمنزّه وكما اُنزل على قلب النبيّ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وأخذه من مصادره الأصيلة النقيّة، عليهم أن يراجعوا بأنفسهم تلك المصادر، وأن يعتبروا الكتاب والسنّة الخاليين من التأويل والتوجيه، حجّة دامغة، أو أن يرجعوا إلی حَملَة الإسلام، أي اُولئك الّذين أخذوا الدين من مكتب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والّذين غاصوا بحار هذين المصدرين وسبروها، فإنّ هؤلاء معروفون عند الجميع، أمثال أبي ذرّ والمقداد وسلمان وسُليم ومحمد بن مسلم وابن أبي عُمير والفضل بن شاذان وابن بابويه والکليني والشيخ الطوسي وتلامذتهم وتلامذة تلامذتهم إلی يومنا هذا، من العلماء </w:t>
      </w:r>
    </w:p>
    <w:p>
      <w:pPr>
        <w:pStyle w:val="BookText"/>
        <w:rPr/>
      </w:pPr>
      <w:r>
        <w:rPr>
          <w:rFonts w:ascii="Amiri" w:hAnsi="Amiri" w:eastAsia="Amiri" w:cs="Amiri"/>
          <w:color w:val="111111"/>
          <w:sz w:val="28"/>
          <w:sz w:val="28"/>
          <w:szCs w:val="28"/>
          <w:rtl w:val="true"/>
          <w:lang w:bidi="ar-SA"/>
        </w:rPr>
        <w:t>والفقهاء والمراجع الكرام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فهذه الطبقة من العلماء هم الّذين تناقلوا الإسلام والدين الصحيح على مرِّ الأعصار والأدوار بعد أن تلقّوه من مصادره الأصلية يداً بيد وصدراً بصدر وروحاً بروح، ونقلوه إلی الخَلَف عن السلف، فلو لم يكن هؤلاء المخلصون لم يتمكّن الآخرون من الحفاظ على هذه الأمانة الغالية، ولعمَّت غوغاء البحوث الفلسفية وأفكار وآراء الصوفية لهذا وذاك، ولم يكن ليبق شيء ثابت وخالص ولا لتسلم المباني الاعتقادية الإسلامية من خطر الانحراف والتأويل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فکلّ المطَّلعين المنصفين يعرفون تماماً أنّ أمثال هؤلاء الأفذاذ من العلماء هم المنفردون من سائر أقرانهم من أرباب العلوم العقلية والمشهورين من المتبحّرين في العلوم الإسلامية، في حفظ الإسلام وصيانته، فكان لهم الدور الأساسي في تبليغ الدين للأجيال اللاحقة، والمناهج الاُخری كالفلسفة والعرفان الاصطلاحي لم يكن لها مثل هذا الاهتمام وَلم تسْعَ لتحقيق هذا الهدف</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شكّ في أنّه لو خُلّي الأمر بين المسلمين وبين أمثال علاء الدولة السمناني وبين بايزيد وأبي سعيد وصوفية الهند وإيران والخانقاهات الكئيبة، كان الشيء الوحيد الّذي يفتقده المسلمون اليوم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ما كان موجوداً حينها، يعجز عن إدارة الدين والدنيا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الفارض والسهروردي وابن العربي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 يكن لهم دورٌ في هذا المجال، وما قام به السیّد الميرداماد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خدمات في حفظ الدين وصيانة آثار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يمكن حسابه في خانة تجرّه في الفلسفة وما قال هو عنه في مشاركته لفلاسفة اليونان فيه، ومع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استعان بالفلسفة في بعض آرائه ونظراته في بعض المسائل الإسلامية، لكن خدماته وخدمات أمثاله للإسلام، کانت نتيجة تخصُّصه في مجالات العلوم الإسلامية والمعارف القرآنية وآثار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في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وتحصيل الاطمئنان بمطابقة دين الشخص مع الدين الّذي جاء عن النبيّ والأئمّة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دين الله، يكون المعيار والمناط الوحيد هو الوحي الإلهي وکلمات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وبمقتضى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الْعِلمُ دينٌ فَانظُروا عَمَّنْ تأخُذُونَ دينَكُمْ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أخذ دين الله وعلم الدين من أهله وفي کلّ المجالات</w:t>
      </w:r>
      <w:r>
        <w:rPr>
          <w:rFonts w:eastAsia="IRNazanin" w:cs="IRNazanin"/>
          <w:color w:val="111111"/>
          <w:sz w:val="28"/>
          <w:szCs w:val="28"/>
          <w:rtl w:val="true"/>
          <w:lang w:bidi="fa-IR"/>
        </w:rPr>
        <w:t xml:space="preserve">. </w:t>
      </w:r>
      <w:bookmarkStart w:id="18" w:name="pg7257_108047"/>
    </w:p>
    <w:p>
      <w:pPr>
        <w:pStyle w:val="Heading2"/>
        <w:numPr>
          <w:ilvl w:val="1"/>
          <w:numId w:val="1"/>
        </w:numPr>
        <w:rPr/>
      </w:pPr>
      <w:bookmarkStart w:id="19" w:name="__RefHeading___Toc453720_1051229030"/>
      <w:bookmarkStart w:id="20" w:name="_Toc6"/>
      <w:bookmarkEnd w:id="18"/>
      <w:bookmarkEnd w:id="19"/>
      <w:r>
        <w:rPr>
          <w:rtl w:val="true"/>
        </w:rPr>
        <w:t>تأريخ عَرْضِ الدّين</w:t>
      </w:r>
      <w:bookmarkEnd w:id="20"/>
    </w:p>
    <w:p>
      <w:pPr>
        <w:pStyle w:val="BookText"/>
        <w:rPr/>
      </w:pPr>
      <w:r>
        <w:rPr>
          <w:rFonts w:ascii="Amiri" w:hAnsi="Amiri" w:eastAsia="Amiri" w:cs="Amiri"/>
          <w:color w:val="111111"/>
          <w:sz w:val="28"/>
          <w:sz w:val="28"/>
          <w:szCs w:val="28"/>
          <w:rtl w:val="true"/>
          <w:lang w:bidi="ar-SA"/>
        </w:rPr>
        <w:t>إنّ قضیّة تحصيل الاطمئنان بمطابقة المعتقدات الدينية مع النصوص الشرعية والوحي النازل على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ورثه عنه الأئمّة الطاهرون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عرض الدين والعقائد، أو بصورة السؤال عن اُصول ومباني الدين، كانت موجودة منذ زمن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بناء الأشخاص المؤمنين من ذوي المعرفة على عرض معتقداتهم وما فهموه من الإسلام على نفس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أهل بيته، أو يعرضونه على كبائر العلماء الّذين کانت لهم إحاطة بالنصوص الشرعية، وهذا ما يندر القيام به في زماننا الحاضر على أهميّة هذه القضيّة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في البحار الشريف</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روايات عن كتاب أمالي الشيخ الطوسي ومعاني الأخبار للشيخ الأجلّ الصدوق، ورجال الشيخ الجليل الكشّي، قضيّة عرض دين إبراهيم المخارقي وحمران بن أعين وعمرو </w:t>
      </w:r>
    </w:p>
    <w:p>
      <w:pPr>
        <w:pStyle w:val="BookText"/>
        <w:rPr/>
      </w:pPr>
      <w:r>
        <w:rPr>
          <w:rFonts w:ascii="IRNazanin" w:hAnsi="IRNazanin" w:eastAsia="IRNazanin"/>
          <w:color w:val="111111"/>
          <w:sz w:val="28"/>
          <w:sz w:val="28"/>
          <w:szCs w:val="28"/>
          <w:rtl w:val="true"/>
          <w:lang w:bidi="fa-IR"/>
        </w:rPr>
        <w:t>بن حريث وخالد البجلي والحسن بن زياد العطّار ويوسف، على حضرة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الكافي الشريف روى رواية عرض دين إسماعيل بن جابر على حضرة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دين منصور بن حازم على حضرة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 يكتفِ أمثال هؤلاء العظام بما حصلوا عليه من العلم واليقين بالاجتهاد في الاُمور العقائدية، فكانوا يعرضون ما يتیقّنوه من الدين 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ليطمئنّوا من تطابقه مع ما نزل من الله على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ما عند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وخشية الزيادة والنقصان</w:t>
      </w:r>
      <w:r>
        <w:rPr>
          <w:rFonts w:eastAsia="IRNazanin" w:cs="IRNazanin"/>
          <w:color w:val="111111"/>
          <w:sz w:val="28"/>
          <w:szCs w:val="28"/>
          <w:rtl w:val="true"/>
          <w:lang w:bidi="fa-IR"/>
        </w:rPr>
        <w:t xml:space="preserve">. </w:t>
      </w:r>
      <w:bookmarkStart w:id="21" w:name="pg7257_108049"/>
    </w:p>
    <w:p>
      <w:pPr>
        <w:pStyle w:val="Heading2"/>
        <w:numPr>
          <w:ilvl w:val="1"/>
          <w:numId w:val="1"/>
        </w:numPr>
        <w:rPr/>
      </w:pPr>
      <w:bookmarkStart w:id="22" w:name="__RefHeading___Toc453722_1051229030"/>
      <w:bookmarkStart w:id="23" w:name="_Toc7"/>
      <w:bookmarkEnd w:id="21"/>
      <w:bookmarkEnd w:id="22"/>
      <w:r>
        <w:rPr>
          <w:rtl w:val="true"/>
        </w:rPr>
        <w:t>السيّد عبد العظيم</w:t>
      </w:r>
      <w:r>
        <w:rPr>
          <w:rtl w:val="true"/>
        </w:rPr>
        <w:t>(</w:t>
      </w:r>
      <w:r>
        <w:rPr>
          <w:rtl w:val="true"/>
        </w:rPr>
        <w:t>علیه السلام</w:t>
      </w:r>
      <w:r>
        <w:rPr>
          <w:rtl w:val="true"/>
        </w:rPr>
        <w:t xml:space="preserve">) </w:t>
      </w:r>
      <w:r>
        <w:rPr>
          <w:rtl w:val="true"/>
        </w:rPr>
        <w:t>يَعرضُ دينَه</w:t>
      </w:r>
      <w:bookmarkEnd w:id="23"/>
    </w:p>
    <w:p>
      <w:pPr>
        <w:pStyle w:val="BookText"/>
        <w:rPr/>
      </w:pPr>
      <w:r>
        <w:rPr>
          <w:rFonts w:ascii="IRNazanin" w:hAnsi="IRNazanin" w:eastAsia="IRNazanin"/>
          <w:color w:val="111111"/>
          <w:sz w:val="28"/>
          <w:sz w:val="28"/>
          <w:szCs w:val="28"/>
          <w:rtl w:val="true"/>
          <w:lang w:bidi="fa-IR"/>
        </w:rPr>
        <w:t>من الشخصيات المرموقة الكبيرة الّتي عرضت دينها على إمام زمانها هو السیّد أبو القاسم عبد العظيم بن عبد الله بن عليّ بن الحسن بن زيد بن السبط الأكبر الإمام أبي محمّد الحسن المجتبى، ابن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السیّد الجليل من أعاظم ذرّيّة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 المرتضى والبتول، ومن أجلّة معاریف علماء أهل البيت ومن كبار أصحاب الإمامين الجواد والهادي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محارم أسرار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ويظهر أنّه کان من أصحاب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كما يقول بعض علماء الرجال</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بمقتضى كونه من نفس الطبقة في سلسلة النسب إلی حضرة أمير المؤمنين وسيّدة نساء العالمين الزهراء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والسیّد عبد العظيم الحسني وإن لم يدرك عصر إمامة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سيأتي في الرواية، ولكن يقوى الاحتمال بدرك خدمته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إمامته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الرواية الدالّة على فضل زيارة السیّد عبد العظيم، ووفاته في عصر إمامة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الرواية الّتي نقلها الصدوق في ثواب الأعمال بسندٍ عن شخص تشرَّف بحضرة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زُرْتُ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إِنَّكَ لَوْ زُرْتَ قَبْرَ عبد العظیم عِنْدَكُمْ لَكُنْتَ كَمَنْ زَارَ الْحُسَيْنُ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جملة الروايات الدالّة على فضل وعلم هذا الشريف الجليل، الرواية المرويّة عن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لأحد من شيعة الريّ</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أَشْكَلَ عَلَيْكَ شَيْ‌ءٌ مِنْ أَمْرِ دِينِكَ بِنَاحِيَتِكَ فَسَلْ عَنْهُ عَبْدَ العظيمِ بْنَ عَبْدِ اللهِ الْحَسَنِيَّ وَأَقْرِئهُ مِنِّي السَّلَام</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ويُعلم من قضیّة عرض دين مثل هذه الشخصية الجليلة، أهمّيّة تصحيح العقائد، أعمّ ممّا يجب الاعتقاد به أو أكثر من ذلك وأبعد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يجب الاعتقاد به اُمور يجب الاعتقاد بها  بحسب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إرشادات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بمفهومها وتعريفها الوارد في الكتاب والسنّة ليصحّ إطلاق لفظ المسلم والمؤمن على المعتقد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وما هو أبعد من الواجب، وهو ما لا يضرّ عدم الالتفات والاعتقاد به، بإسلام وإيمان الإنسان، ولكنّ الاعتقاد بها بعنوان الاُمور الدينية أيضاً يجب أن يكون بدليل معتبر من الكتاب والسنّة، كما أنّ عدم الاعتقاد بها مع وجود الدليل عليها من الكتاب والسنّة والالتفات إلی ذلك الدليل، يُعدُّ من عدم الإیمان بالنبوّة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يجب على کلّ مسلم أن يُحرز مطابقة عقائده مع الكتاب والسنّة، وبهذا الترتيب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يعرف ما وجب شرعاً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سلباً أو إيجاباً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يحرز مطابقة معتقداته مع ما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يعرض معتقداته في المسائل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بالمعنى الّذي ذكرنا من عدم لزوم الاعتقاد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الكتاب والسنّة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يحمل الكتاب والسنّة على ما يعتقده بدون قرينة عقلية أو </w:t>
      </w:r>
    </w:p>
    <w:p>
      <w:pPr>
        <w:pStyle w:val="BookText"/>
        <w:rPr/>
      </w:pPr>
      <w:r>
        <w:rPr>
          <w:rFonts w:ascii="Amiri" w:hAnsi="Amiri" w:eastAsia="Amiri" w:cs="Amiri"/>
          <w:color w:val="111111"/>
          <w:sz w:val="28"/>
          <w:sz w:val="28"/>
          <w:szCs w:val="28"/>
          <w:rtl w:val="true"/>
          <w:lang w:bidi="ar-SA"/>
        </w:rPr>
        <w:t>شرعية واضحة للعُرف بلا إشكال ولا خلاف في قرينيَّتها، فمن أراد التحصُّن من التعرّض للضلالة والانحراف، عليه أن يطبّق هذا الترتيب ليطمئنّ من رضا الله تعالى عن معتقداته، ولا طريق سوى القرآن والسنّة لضمان السلامة من الوقوع في خطر الضلالة والبدعة والانحراف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کان مثل السیّد الجليل عبد العظیم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اُوتي من علم واطّلاع بالكتاب والسنّة، وتأليف كتاب خطب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كان يحمل من المعتقدات الجزمية القطعية، يرى ضرورة عرض عقائده على حضرة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ليحصل على تصديق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لتلك المعتقدات وذلك الدين؛ فالآخرون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أمثالي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عليهم بالأولويّة المبادرة إلی عرض دينهم لكسب الاطمئنان بالموافقة، بل عليهم تكرار العرض على أكثر من طرف من علماء القرآن والحديث ومعارف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والّذين استقوا علومهم من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فلابدّ إذن، وبکلّ تواضع وخضوع، أن نعرض معتقداتنا على الخبراء المعتمدين، والعلماء بالصحيح والسقيم والكامل والناقص منها</w:t>
      </w:r>
      <w:r>
        <w:rPr>
          <w:rFonts w:eastAsia="IRNazanin" w:cs="IRNazanin"/>
          <w:color w:val="111111"/>
          <w:sz w:val="28"/>
          <w:szCs w:val="28"/>
          <w:rtl w:val="true"/>
          <w:lang w:bidi="fa-IR"/>
        </w:rPr>
        <w:t xml:space="preserve">. </w:t>
      </w:r>
      <w:bookmarkStart w:id="24" w:name="pg7257_108053"/>
    </w:p>
    <w:p>
      <w:pPr>
        <w:pStyle w:val="Heading2"/>
        <w:numPr>
          <w:ilvl w:val="1"/>
          <w:numId w:val="1"/>
        </w:numPr>
        <w:rPr/>
      </w:pPr>
      <w:bookmarkStart w:id="25" w:name="__RefHeading___Toc453724_1051229030"/>
      <w:bookmarkStart w:id="26" w:name="_Toc8"/>
      <w:bookmarkEnd w:id="24"/>
      <w:bookmarkEnd w:id="25"/>
      <w:r>
        <w:rPr>
          <w:rtl w:val="true"/>
        </w:rPr>
        <w:t>أدب وأخلاق كريمة</w:t>
      </w:r>
      <w:bookmarkEnd w:id="26"/>
    </w:p>
    <w:p>
      <w:pPr>
        <w:pStyle w:val="Heading3"/>
        <w:numPr>
          <w:ilvl w:val="2"/>
          <w:numId w:val="1"/>
        </w:numPr>
        <w:rPr/>
      </w:pPr>
      <w:bookmarkStart w:id="27" w:name="__RefHeading___Toc453726_1051229030"/>
      <w:bookmarkStart w:id="28" w:name="_Toc9"/>
      <w:bookmarkEnd w:id="27"/>
      <w:r>
        <w:rPr>
          <w:rtl w:val="true"/>
        </w:rPr>
        <w:t>اشارة</w:t>
      </w:r>
      <w:bookmarkEnd w:id="28"/>
    </w:p>
    <w:p>
      <w:pPr>
        <w:pStyle w:val="BookText"/>
        <w:rPr/>
      </w:pPr>
      <w:r>
        <w:rPr>
          <w:rFonts w:ascii="IRNazanin" w:hAnsi="IRNazanin" w:eastAsia="IRNazanin"/>
          <w:color w:val="111111"/>
          <w:sz w:val="28"/>
          <w:sz w:val="28"/>
          <w:szCs w:val="28"/>
          <w:rtl w:val="true"/>
          <w:lang w:bidi="fa-IR"/>
        </w:rPr>
        <w:t>في قضیّة عَرض الدين للسيّد الشريف الجليل عبد العظیم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نكتةٌ أدبيّة أخلاقية مهمّة ينبغي تعلّمها، ألا وهي عدم الاغترار بالعلم والمقام العلمي، والتواضع في سبيل نيل المكارم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فالغرور آفة خطيرة تهدّد شجرة الإنسانية وتمنع من رُقيّ الإنسان ونيل الكمالات، ومن أخطر أنواع الغرور هو الاغترار بالعلم والعقل والفهم، فلابدّ من الحذر منه وتهذيب النفس وتخليتها من هذا المرض</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فإنّ الأعاظم وتلامذة مدرسة أهل بيت الوحي والنبوّة الّذين وصلوا إلى مقام الإنسانية، کلّما ازدادوا علماً ودركاً للحقائق، ازدادوا خضوعاً وتواضعاً قِبال أساتذتهم ومربّيهم، وابتعدوا عن العناد والتعنّت، وباصطلاح الفقهاء، لا يتسرّعون في الفتوى، فهؤلاء يعرفون تماماً أنّ رفع أيِّ جَهل يوجبُ الالتفات إلى جهلٍ بمجهولاتٍ ومجهولات، وأنّ کلّ جوابٍ يحصلون عليه سيكون مصدراً لأسئلة وأسئلة</w:t>
      </w:r>
      <w:r>
        <w:rPr>
          <w:rFonts w:eastAsia="IRNazanin" w:cs="IRNazanin"/>
          <w:color w:val="111111"/>
          <w:sz w:val="28"/>
          <w:szCs w:val="28"/>
          <w:rtl w:val="true"/>
          <w:lang w:bidi="fa-IR"/>
        </w:rPr>
        <w:t xml:space="preserve">. </w:t>
      </w:r>
      <w:bookmarkStart w:id="29" w:name="pg7257_108054"/>
    </w:p>
    <w:p>
      <w:pPr>
        <w:pStyle w:val="BookText"/>
        <w:rPr/>
      </w:pPr>
      <w:bookmarkEnd w:id="29"/>
      <w:r>
        <w:rPr>
          <w:rFonts w:ascii="IRNazanin" w:hAnsi="IRNazanin" w:eastAsia="IRNazanin"/>
          <w:color w:val="111111"/>
          <w:sz w:val="28"/>
          <w:sz w:val="28"/>
          <w:szCs w:val="28"/>
          <w:rtl w:val="true"/>
          <w:lang w:bidi="fa-IR"/>
        </w:rPr>
        <w:t>ولذا، فإنّك لو سألت من شخص قليل المعرفة عمّا يعرفه عن الإنسان أو الحيوان أو الشجرة أو الشمس والقمر وحقيقة الحياة واُمور اُخری، فإنّه وبلا تأمّل وتفكير سيدّعي أنّه يعرف کلّ شيء عنها، لكنّك لو سألت عالماً قضى عمره في الفنون المختلفة للمعرفة ومجالات العلم، عن هذه الاُمور الّتي هي مظاهر لقدرة الله تعالى، فإنّه سيجيب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للأسف إنّ أكثر هذه الأشياء لا زالت مجهولة لدينا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فنفس هذا الإدراك دليل على وصول هذا العالم إلی أوج معرفته وإلی سعة اُفق علمه وفكره، تلك المعرفة الّتي يفقدها الشخص المسؤول الأوّل، والسيّد عبد العظيم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كثرة دركه للحقائق والعلوم والمعرفة، نجده يتقدّم بکلّ تواضع ويجلس متأدّباً بين يدي إمام زمانه ويعرض عليه دينه بلا تكبّر ولا غرور</w:t>
      </w:r>
      <w:r>
        <w:rPr>
          <w:rFonts w:eastAsia="IRNazanin" w:cs="IRNazanin"/>
          <w:color w:val="111111"/>
          <w:sz w:val="28"/>
          <w:szCs w:val="28"/>
          <w:rtl w:val="true"/>
          <w:lang w:bidi="fa-IR"/>
        </w:rPr>
        <w:t>.</w:t>
      </w:r>
    </w:p>
    <w:p>
      <w:pPr>
        <w:pStyle w:val="Heading3"/>
        <w:numPr>
          <w:ilvl w:val="2"/>
          <w:numId w:val="1"/>
        </w:numPr>
        <w:rPr/>
      </w:pPr>
      <w:bookmarkStart w:id="30" w:name="__RefHeading___Toc453728_1051229030"/>
      <w:bookmarkStart w:id="31" w:name="_Toc10"/>
      <w:bookmarkEnd w:id="30"/>
      <w:r>
        <w:rPr>
          <w:rtl w:val="true"/>
        </w:rPr>
        <w:t>نقطة اُخری</w:t>
      </w:r>
      <w:r>
        <w:rPr>
          <w:rtl w:val="true"/>
        </w:rPr>
        <w:t>:</w:t>
      </w:r>
      <w:bookmarkEnd w:id="3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صفة ممتازة اُخری وأدبٌ يضاف إلی أدب هذا السیّد الجليل في هذه القضيّة، وهي صفة التسليم والقبول من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أيِّ اعتراض أو تشكيك، وهذا درسٌ لابدّ أن نتعلّمه جيّداً في مقابل مقام الولاية والإمامة وبين يَدي حجّة الله، فعلى المؤمن أن يُذعن للحقّ </w:t>
      </w:r>
    </w:p>
    <w:p>
      <w:pPr>
        <w:pStyle w:val="BookText"/>
        <w:rPr/>
      </w:pPr>
      <w:r>
        <w:rPr>
          <w:rFonts w:ascii="Amiri" w:hAnsi="Amiri" w:eastAsia="Amiri" w:cs="Amiri"/>
          <w:color w:val="111111"/>
          <w:sz w:val="28"/>
          <w:sz w:val="28"/>
          <w:szCs w:val="28"/>
          <w:rtl w:val="true"/>
          <w:lang w:bidi="ar-SA"/>
        </w:rPr>
        <w:t xml:space="preserve">ويقبله بلا تغطرس وعناد، وهذا شعبة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إنصافُ</w:t>
      </w:r>
    </w:p>
    <w:p>
      <w:pPr>
        <w:pStyle w:val="BookText"/>
        <w:rPr/>
      </w:pPr>
      <w:r>
        <w:rPr>
          <w:rFonts w:ascii="Amiri" w:hAnsi="Amiri" w:eastAsia="Amiri" w:cs="Amiri"/>
          <w:color w:val="111111"/>
          <w:sz w:val="28"/>
          <w:sz w:val="28"/>
          <w:szCs w:val="28"/>
          <w:rtl w:val="true"/>
          <w:lang w:bidi="ar-SA"/>
        </w:rPr>
        <w:t>النّاسِ مِنْ 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أحد أصعب الأعمال الجليلة والفضائل الممتازة الثلاث الّتي وردت في الحديث، والّتي لا يقوى کلّ واحدٍ على الاستمرار في ميدان السبق عندها</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السیّد عبد العظيم الحسني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ينتسب إلی الإمامين الهُمامين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أقرب في سلسلة النسب إليهما من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بواسطتين، إذ أنّ الإمام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ينتهي نسبه إلی الإمام سيّد الشهداء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بستّة وسائط، فهو في عمود النسب، السابع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والثامن من ولد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السیّد عبد العظيم فهو ينتهي إلی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بأربعة وسائط فقط؛ ففي عمود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يعتبر الخامس من ولد الإمام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والسادس من ولد أمير المؤمنين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هذا نجده متأدّباً بين يدي حجّة الله وصاحب الولاية، متواضعاً في أخذ المعارف والعلوم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فنفس هذا الأدب وعرض دينه على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باهر على كمال معرفته وجلالة قدره وإحكام </w:t>
      </w:r>
    </w:p>
    <w:p>
      <w:pPr>
        <w:pStyle w:val="BookText"/>
        <w:rPr/>
      </w:pPr>
      <w:r>
        <w:rPr>
          <w:rFonts w:ascii="IRNazanin" w:hAnsi="IRNazanin" w:eastAsia="IRNazanin"/>
          <w:color w:val="111111"/>
          <w:sz w:val="28"/>
          <w:sz w:val="28"/>
          <w:szCs w:val="28"/>
          <w:rtl w:val="true"/>
          <w:lang w:bidi="fa-IR"/>
        </w:rPr>
        <w:t>اعتقاده بولاية وإمامة عليّ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أنّه الأقرب في سلسلة النسب إلی رسول الله وأمير المؤمنين وفاطمة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ولكنّه ولعمق معرفته، کان يعي تماماً أن الوقوف في وجه مقام الولاية والإمامة والحجّة هو محوٌ وفناء، وأنّ الإيمان بالولاية يقتضي رعاية أعلى درجات التواضع والأدب والتسليم والإطاعة، فهو لا يعتبر نفسه رقماً في قبال وجود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حجّة الله على الناس</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عُرفَ مثل هذا التواضع والأدب عن السیّد الجليل عليِّ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من مشاهير وأعاظم علماء ومحدّثي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وصاحب تأليفات وآثار مهمّة، فلقد کان تامّ الانقياد والتسليم للإمام أبي جعفر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عليّ بن جعفر هو عمُّ أب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ينتسب إلی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وسائط، بينما ينتسب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بخمس وسائط إلی الإمام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عليّ بن جعفر شيخاً كبيراً ولم يكن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تجاوز مرحلة الصبا والشباب، ومع ذلك کان هذا السیّد الجليل يظهر كمال الأدب والاحترام ويقبِّل يَد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32" w:name="pg7257_108057"/>
    </w:p>
    <w:p>
      <w:pPr>
        <w:pStyle w:val="Heading2"/>
        <w:numPr>
          <w:ilvl w:val="1"/>
          <w:numId w:val="1"/>
        </w:numPr>
        <w:rPr/>
      </w:pPr>
      <w:bookmarkStart w:id="33" w:name="__RefHeading___Toc453730_1051229030"/>
      <w:bookmarkStart w:id="34" w:name="_Toc11"/>
      <w:bookmarkEnd w:id="32"/>
      <w:bookmarkEnd w:id="33"/>
      <w:r>
        <w:rPr>
          <w:rtl w:val="true"/>
        </w:rPr>
        <w:t>شرح حديث عرض الدّين</w:t>
      </w:r>
      <w:bookmarkEnd w:id="34"/>
    </w:p>
    <w:p>
      <w:pPr>
        <w:pStyle w:val="Heading3"/>
        <w:numPr>
          <w:ilvl w:val="2"/>
          <w:numId w:val="1"/>
        </w:numPr>
        <w:rPr/>
      </w:pPr>
      <w:bookmarkStart w:id="35" w:name="__RefHeading___Toc453732_1051229030"/>
      <w:bookmarkStart w:id="36" w:name="_Toc12"/>
      <w:bookmarkEnd w:id="35"/>
      <w:r>
        <w:rPr>
          <w:rtl w:val="true"/>
        </w:rPr>
        <w:t>البحث في جهتين</w:t>
      </w:r>
      <w:bookmarkEnd w:id="36"/>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سنداً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لفظاً ودلالةً</w:t>
      </w:r>
    </w:p>
    <w:p>
      <w:pPr>
        <w:pStyle w:val="Heading3"/>
        <w:numPr>
          <w:ilvl w:val="2"/>
          <w:numId w:val="1"/>
        </w:numPr>
        <w:rPr/>
      </w:pPr>
      <w:bookmarkStart w:id="37" w:name="__RefHeading___Toc453734_1051229030"/>
      <w:bookmarkStart w:id="38" w:name="_Toc13"/>
      <w:bookmarkEnd w:id="37"/>
      <w:r>
        <w:rPr>
          <w:rtl w:val="true"/>
        </w:rPr>
        <w:t>سند الحديث</w:t>
      </w:r>
      <w:bookmarkEnd w:id="38"/>
    </w:p>
    <w:p>
      <w:pPr>
        <w:pStyle w:val="BookText"/>
        <w:rPr/>
      </w:pPr>
      <w:r>
        <w:rPr>
          <w:rFonts w:ascii="Amiri" w:hAnsi="Amiri" w:eastAsia="Amiri" w:cs="Amiri"/>
          <w:color w:val="111111"/>
          <w:sz w:val="28"/>
          <w:sz w:val="28"/>
          <w:szCs w:val="28"/>
          <w:rtl w:val="true"/>
          <w:lang w:bidi="ar-SA"/>
        </w:rPr>
        <w:t>إنّ سند الحديث وبحسب ما جاء في كتاب كمال الدين للصدوق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موسى الدقّاق وعليُّ بن عبد الله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عَبد الله بن موسى الرويانيُّ عن عبد العظيم بن عبد الله الحسنيّ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وسند الحديث في كتاب التوحيد للصدوق أيضاً هو</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عليّ بن أحمد بن محمّد بن عمران الدقّاق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عبد الله الورّاق،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هارون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تراب عُبيد الله بن موسى الروياني عن عبد العظيم بن عبد الله الحسنيّ</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نراه هو أنّ هذا السند وإن لم يُعدَّ صحيحاً أو حسناً بحسب الاصطلاح الحديثي، ولكن إذا اعتبرنا أنّ الصحيح هو ما يمكن الاطمئنان به، کان هذا الحديث صحيحاً، فإنّ مثل الصدوق قد ذكره في عدّة كتب في مقام الاحتجاج به على صحّة المذهب، مضافاً إلی أنّه ترضّى على راويين من رواة السند وهم من مشايخه يعني عليّ بن أحمد وعليّ بن عبد الله أو عبيد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محمّد بن هارون وعبد الله أو عُبيد الله بن موسى وهما من مشايخ الصدوق بواسطة، كانا معروفين عنده أيضاً ومن رواة الأحاديث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ذلك احتمال كون محمّد بن هارون هو محمّد بن هارون بن عمران الّذي يُعلم جلالةُ قدره من كتاب الإرشاد والكافي وكمال الدين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عبد الله بن موسى الرويانيّ، فالظاهر أيضاً أنّ الصدوق قد اعتمد </w:t>
      </w:r>
    </w:p>
    <w:p>
      <w:pPr>
        <w:pStyle w:val="BookText"/>
        <w:rPr/>
      </w:pPr>
      <w:r>
        <w:rPr>
          <w:rFonts w:ascii="Amiri" w:hAnsi="Amiri" w:eastAsia="Amiri" w:cs="Amiri"/>
          <w:color w:val="111111"/>
          <w:sz w:val="28"/>
          <w:sz w:val="28"/>
          <w:szCs w:val="28"/>
          <w:rtl w:val="true"/>
          <w:lang w:bidi="ar-SA"/>
        </w:rPr>
        <w:t>على روايته في مثل كمال الدين والتوحيد، هذا وقد صرّح صاحب روح وريحان وجنّة النعيم بحسن حاله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وفوق هذا کلّه، فإنّ جمعاً من الأعاظم قد احتجّوا في مؤلّفاتهم بهذا الحديث واستندوا عليه، كما في الكتب التالية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صفات الشیعة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الورى</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روضة الواعظين</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كفاية المهتدي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العوالم</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في النصّ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الكتب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وبالأخذ بنظر الاعتبار إنّ هناك شواهد كثيرة في سائر الروايات على مضمون هذا الحديث، وعدم وجود شاهدٍ على ضعفه ووضعه وجعله، يكون هذا الحديث معتبراً سنداً ومتناً، ويمكن الاعتماد عليه</w:t>
      </w:r>
      <w:r>
        <w:rPr>
          <w:rFonts w:eastAsia="Amiri" w:cs="Amiri" w:ascii="Amiri" w:hAnsi="Amiri"/>
          <w:color w:val="111111"/>
          <w:sz w:val="28"/>
          <w:szCs w:val="28"/>
          <w:rtl w:val="true"/>
          <w:lang w:bidi="ar-SA"/>
        </w:rPr>
        <w:t xml:space="preserve">. </w:t>
      </w:r>
      <w:bookmarkStart w:id="39" w:name="pg7257_108061"/>
    </w:p>
    <w:p>
      <w:pPr>
        <w:pStyle w:val="Heading3"/>
        <w:numPr>
          <w:ilvl w:val="2"/>
          <w:numId w:val="1"/>
        </w:numPr>
        <w:rPr/>
      </w:pPr>
      <w:bookmarkStart w:id="40" w:name="__RefHeading___Toc453736_1051229030"/>
      <w:bookmarkStart w:id="41" w:name="_Toc14"/>
      <w:bookmarkEnd w:id="39"/>
      <w:bookmarkEnd w:id="40"/>
      <w:r>
        <w:rPr>
          <w:rtl w:val="true"/>
        </w:rPr>
        <w:t>نكتةٌ روائيّة</w:t>
      </w:r>
      <w:bookmarkEnd w:id="41"/>
    </w:p>
    <w:p>
      <w:pPr>
        <w:pStyle w:val="BookText"/>
        <w:rPr/>
      </w:pPr>
      <w:r>
        <w:rPr>
          <w:rFonts w:ascii="IRNazanin" w:hAnsi="IRNazanin" w:eastAsia="IRNazanin"/>
          <w:color w:val="111111"/>
          <w:sz w:val="28"/>
          <w:sz w:val="28"/>
          <w:szCs w:val="28"/>
          <w:rtl w:val="true"/>
          <w:lang w:bidi="fa-IR"/>
        </w:rPr>
        <w:t>وأودّ أن اُشير إلی نکتة هنا،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نظري القاصر في الروايات الّتي لم يذكر بعض الرجال أسانيدها في كتب الرجال المتداولة والّتي تختصّ بذكر رجال أسانيد مثل الكافي ومن لا يحضره الفقيه والتهذيب هو أنّ مثل هذه الروايات إذا ذكرت في كتب مثل مؤلّفي تلك الكتب المختصّة أو من طرازهم والمقاربين لزمانهم أو السابقين على عصرهم، ولم تكن متونها مشتملةً على مطالب ضعيفة ومستغربة، وخاصّة إذا کان في سائر الروايات ما يتضمّن مثل تلك المداليل، کان بالإمكان الاعتماد على مثل هذه الروايات، فإنّ ظاهر رواية هؤلاء الأعاظم لها، دليل على اعتمادهم عليها وقبولها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أجل، إذا کان هناك قرينة في البين على أنّ المؤلّف کان في مقام جمع مطلق الأخبار، دون الاعتماد عليها، لم يكن نقل الرواية مع جهالة الراوي موجباً للاعتماد عليها وقبولها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ولذا، فإنّ مثل كتاب التوحيد للصدوق أو کمال الدين أو غيبة الشيخ الطوسي أو غيبة النعماني لا يمكن ترك الروايات الواردة فيها إذا لم يرد </w:t>
      </w:r>
    </w:p>
    <w:p>
      <w:pPr>
        <w:pStyle w:val="BookText"/>
        <w:rPr/>
      </w:pPr>
      <w:r>
        <w:rPr>
          <w:rFonts w:ascii="Amiri" w:hAnsi="Amiri" w:eastAsia="Amiri" w:cs="Amiri"/>
          <w:color w:val="111111"/>
          <w:sz w:val="28"/>
          <w:sz w:val="28"/>
          <w:szCs w:val="28"/>
          <w:rtl w:val="true"/>
          <w:lang w:bidi="ar-SA"/>
        </w:rPr>
        <w:t>قدحٌ ظاهرٌ ثابتٌ لسندها أو متنها وعدم الاعتناء بقبولها من قبل مؤلّفي تلك الكتب لمجرَّد أنّ واحداً أو أكثر من رواتها مجهول، في حين أنّ السيرة العقلائية قائمة على الأخذ بالأخبار المرسلة التاريخية إذا لم تقم الشواهد الثابتة على ردِّ مضمونها فضلاً عن دلالة الشواهد على مضمونها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وبالالتفات إلی الروايات الكثيرة الاُخری، يكون مضمون هذه الروايات مقطوع الصدور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وخاصّة هذه الرواية فإنّها ليست بأقلّ من سائر أخبار الآحاد المعتبرة، ولذا فإنّ العلماء اعتمدوها، وإنّ الأفاضل شرحوها، حيث نقل أنّ من جملة من تناولها هو المرحوم القاضي سعيدالقمّي حيث كتب فيها شرحَيْن مفصّلين</w:t>
      </w:r>
      <w:r>
        <w:rPr>
          <w:rFonts w:eastAsia="IRNazanin" w:cs="IRNazanin"/>
          <w:color w:val="111111"/>
          <w:sz w:val="28"/>
          <w:szCs w:val="28"/>
          <w:rtl w:val="true"/>
          <w:lang w:bidi="fa-IR"/>
        </w:rPr>
        <w:t xml:space="preserve">. </w:t>
      </w:r>
      <w:bookmarkStart w:id="42" w:name="pg7257_108063"/>
    </w:p>
    <w:p>
      <w:pPr>
        <w:pStyle w:val="Heading3"/>
        <w:numPr>
          <w:ilvl w:val="2"/>
          <w:numId w:val="1"/>
        </w:numPr>
        <w:rPr/>
      </w:pPr>
      <w:bookmarkStart w:id="43" w:name="__RefHeading___Toc453738_1051229030"/>
      <w:bookmarkStart w:id="44" w:name="_Toc15"/>
      <w:bookmarkEnd w:id="42"/>
      <w:bookmarkEnd w:id="43"/>
      <w:r>
        <w:rPr>
          <w:rtl w:val="true"/>
        </w:rPr>
        <w:t>متن الحديث وشرحه</w:t>
      </w:r>
      <w:bookmarkEnd w:id="44"/>
    </w:p>
    <w:p>
      <w:pPr>
        <w:pStyle w:val="BookText"/>
        <w:rPr/>
      </w:pPr>
      <w:r>
        <w:rPr>
          <w:rFonts w:ascii="Amiri" w:hAnsi="Amiri" w:eastAsia="Amiri" w:cs="Amiri"/>
          <w:color w:val="111111"/>
          <w:sz w:val="28"/>
          <w:sz w:val="28"/>
          <w:szCs w:val="28"/>
          <w:rtl w:val="true"/>
          <w:lang w:bidi="ar-SA"/>
        </w:rPr>
        <w:t>روى الصدوق في كمال الدين الحديث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سَيِّدي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شرح الحقائق الدقيقة الّتي يتضمّنها هذا الحديث الشريف بشکل وافٍ وإن كان مستعصياً على أمثالي، بل قد يكون خارجاً عن قدرة الكثير من الأعاظم، وشرحه بالشکل المتعارف يحتاج إلی فرصة كافية ومجالٍ واسع، ولكن انطلاقاً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يُدركُ کلّه لا يُترك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سنحاول وبنحو الاختصار تفسير وبيان معنى ألفاظه جملةً فجملة، مستمدّين العون من الله تعالى ومستجدّين عناية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ذلك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سيِّدي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بَصُرَ بي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يا أبا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وليُّنا حقّاً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اُمور مهمّة لابدّ من الإشارة إليها</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تكريم وتعظيم السیّد عبد العظيم الحسني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ووصفه بسيِّدي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تلطّف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وعنايته بالسيّد عبد العظيم وترحيبه به ومخاطبته بكنيته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ممّا يدلّ على احترامه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عبد العظيم بالوليّ الحقيقي، وهذا تصديق مهمٌّ من قبل الإمام مع الأخذ بنظر الاعتبار ما في الروايات والأحاديث من مدحٍ لتولّي أولياء الله، وهو دليل على عظمة مقام السیّد عبد العظيم، ومن أهمّ ثمار هذا التولّي هو حشر الوليّ مع إمامه يوم القيامة بمقتضى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يُحشَرُ المرءُ معَ مَنْ أحبّ</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إِنِّي اُريد أَنْ أَعْرِضَ عَلَيْكَ دينِي فَإِنْ كَانَ مَرْضِيّاً ثَبَتُّ عَلَيْهِ حَتَّى أَلْقَى الله عَزَّ وجَلَّ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يَا أَبَا الْقَاسِمِ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وَاحدٌ لَيْسَ كَمِثْلِهِ شَيْ‌ءٌ</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S1</w:t>
      </w:r>
      <w:r>
        <w:rPr>
          <w:rFonts w:eastAsia="Times New Roman" w:cs="Times New Roman" w:ascii="Times New Roman" w:hAnsi="Times New Roman"/>
          <w:color w:val="111111"/>
          <w:sz w:val="28"/>
          <w:szCs w:val="28"/>
          <w:rtl w:val="true"/>
          <w:lang w:val="en-US" w:bidi="en-US"/>
        </w:rPr>
        <w:t xml:space="preserve">] ) </w:t>
      </w:r>
      <w:bookmarkStart w:id="45" w:name="pg7257_108065"/>
    </w:p>
    <w:p>
      <w:pPr>
        <w:pStyle w:val="Heading2"/>
        <w:numPr>
          <w:ilvl w:val="1"/>
          <w:numId w:val="1"/>
        </w:numPr>
        <w:rPr/>
      </w:pPr>
      <w:bookmarkStart w:id="46" w:name="__RefHeading___Toc453740_1051229030"/>
      <w:bookmarkStart w:id="47" w:name="_Toc16"/>
      <w:bookmarkEnd w:id="45"/>
      <w:bookmarkEnd w:id="46"/>
      <w:r>
        <w:rPr>
          <w:rtl w:val="true"/>
        </w:rPr>
        <w:t>عرض الدّین والتوحید</w:t>
      </w:r>
      <w:bookmarkEnd w:id="47"/>
    </w:p>
    <w:p>
      <w:pPr>
        <w:pStyle w:val="BookText"/>
        <w:rPr/>
      </w:pPr>
      <w:r>
        <w:rPr>
          <w:rFonts w:ascii="IRNazanin" w:hAnsi="IRNazanin" w:eastAsia="IRNazanin"/>
          <w:color w:val="111111"/>
          <w:sz w:val="28"/>
          <w:sz w:val="28"/>
          <w:szCs w:val="28"/>
          <w:rtl w:val="true"/>
          <w:lang w:bidi="fa-IR"/>
        </w:rPr>
        <w:t xml:space="preserve">إنّ لفظ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أشهر أسماء الله الحُسنى وإلیه تنسب الأسماء الاُخری كالرحيم والرحمن والغفّار والتوّاب والخالق، فيقال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أسماء الله، ولا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اسم من أسماء الرحيم أو الخالق أو الرزّاق أو الواحد أو الأحد، والسرُّ في ذلك هو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للذات المقدّسة للباري تعالى، وأمّا الباري والخالق، والعليم، والعلّام، والقدير، والأسماء الاُخری هي أسماء لصفات الذات أو صفات الأفعال 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الاسم الجليل يطلق على الذات الإلهية الجامعة لکلّ صفات الكمال، ومقدَّمٌ على سائر الأسماء، وحاوٍ لمعاني کلّ الأسماء الحسنى، وأمّا الأسماء الاُخری، فإنّ کلّ واحدٍ منها يدلّ على أحد تلك المعاني لا کلّها</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فمثلاً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يدلّ فقط على قدرة الحقّ تعالى ولا يدلّ </w:t>
      </w:r>
    </w:p>
    <w:p>
      <w:pPr>
        <w:pStyle w:val="BookText"/>
        <w:rPr/>
      </w:pPr>
      <w:r>
        <w:rPr>
          <w:rFonts w:ascii="IRNazanin" w:hAnsi="IRNazanin" w:eastAsia="IRNazanin"/>
          <w:color w:val="111111"/>
          <w:sz w:val="28"/>
          <w:sz w:val="28"/>
          <w:szCs w:val="28"/>
          <w:rtl w:val="true"/>
          <w:lang w:bidi="fa-IR"/>
        </w:rPr>
        <w:t>على علمه، وإن دلَّ على بعض الأسماء الاُخری كالحيِّ فعلاً، فإنّ ذلك من باب الالتزام، لا أنّ مفهوم ذلك الاسم هو المعنى المطابقيّ للقادر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الآخر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المشار إلیه ومرجع الضمير في مثل 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إِنَّهُ حَمِيدٌ مَجِيدٌ</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ascii="Amiri" w:hAnsi="Amiri" w:eastAsia="Amiri" w:cs="Amiri"/>
          <w:color w:val="111111"/>
          <w:sz w:val="28"/>
          <w:sz w:val="28"/>
          <w:szCs w:val="28"/>
          <w:rtl w:val="true"/>
          <w:lang w:bidi="ar-SA"/>
        </w:rPr>
        <w:t>إِنَّهُ عَلَى كُلِّ شَيْءٍ قَدِيرٌ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لفظ الجلالة، وأمّا في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لَا إِلَهِ إِلَّا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يكون الضمير الأوّل هو ضمير الشأن، أو أنّه إشارة إلی الذات ومسمّى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 أنّ الضمير الثاني قد يكون إشارة إلی الذات الإلهية المقدّسة، وقد يكون راجعاً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أيِّ حالٍ، فإنّ كتب شروح الأسماء الحسنى وكتب الأدعية الشريفة، تناولت هذا اللفظ الّذي هو أجلُّ الألفاظ وأشرف الکلمات، بإسهاب وتفصيل، كما أنّ الروايات الواردة في فضيلة هذا الاسم الشريف كثيرة، ومن جملتها 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من قال عشر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لبَّيكَ عَبْدي، سَل حاجَتَكَ تُعْطَه</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أحد الأسماء الحسنى، ولكن هناك عناية خاصّة بخصوص هذا الاسم واسم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سائر الأسماء، وبالاقرار به من خلال کلمة التوحيد الّتي لا يتحقّق إسلام الشخص إلّا بها، وبالاعتقاد بمعناها وأنّه لا يتحقّق الإیمان إلّا بإدراك معنى هذا الاسم الشريف والاعتقاد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وبحسب ما جاء في رواية الصدوق في التوحيد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الله تعالى له معنيان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شبيه له ولا نظير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يقبل الانقسام لا في عالم الوجود الخارجي ولا في العقل ولا في الوهم، بمعنى أنّه لا يتصوّر التركيب والتجزئة فيه</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هذه المقدّمة القصيرة نقول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السیّد عبد العظيم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واحد، أي ليس له عضوٌ ولا جزءٌ ولا عديل ولا نظير، ولا شريك له ولا شبيه ولا مماثل، </w:t>
      </w:r>
      <w:r>
        <w:rPr>
          <w:rFonts w:ascii="Amiri" w:hAnsi="Amiri" w:eastAsia="Amiri" w:cs="Amiri"/>
          <w:color w:val="111111"/>
          <w:sz w:val="28"/>
          <w:sz w:val="28"/>
          <w:szCs w:val="28"/>
          <w:rtl w:val="true"/>
          <w:lang w:bidi="ar-SA"/>
        </w:rPr>
        <w:t>لَيْسَ كَمِثْلِهِ شَيْءٌ</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فالکلّ مخلوق وهو خالق، والکلّ فقير وهو الغنيّ، والکلّ عاجز وهو القادر المقتدر، والکلّ مسبوق بالغير وهو </w:t>
      </w:r>
    </w:p>
    <w:p>
      <w:pPr>
        <w:pStyle w:val="BookText"/>
        <w:rPr/>
      </w:pPr>
      <w:r>
        <w:rPr>
          <w:rFonts w:ascii="IRNazanin" w:hAnsi="IRNazanin" w:eastAsia="IRNazanin"/>
          <w:color w:val="111111"/>
          <w:sz w:val="28"/>
          <w:sz w:val="28"/>
          <w:szCs w:val="28"/>
          <w:rtl w:val="true"/>
          <w:lang w:bidi="fa-IR"/>
        </w:rPr>
        <w:t>السابق على الکلّ، فلا شيء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ذلك الشيء خارجياً أو ذهنياً، وسواء کان شيئاً أو جزء الشيء، وسواء كان ذلك الجزء ممّا به الامتياز عن الأشياء الاُخری، أو کان ممّا به الاشتراك الحقيقي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فهو شيءٌ ولا شيءَ هو، وبهذا يُعرَف بأنّ کلّ ما نقوله أو نراه أو نتصوّره في أذهاننا، فهو غير الله، لأنّ معنى عدم المثلية هو أنّه غيرُ أيِّ شيء على الإطلاق وإلّا لزم أنْ يكون له مثل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خارجٌ عن الحدّين حدّ الإبطال وحدّ التشبيه</w:t>
      </w:r>
      <w:r>
        <w:rPr>
          <w:rFonts w:eastAsia="Amiri" w:cs="Amiri" w:ascii="Amiri" w:hAnsi="Amiri"/>
          <w:color w:val="111111"/>
          <w:sz w:val="28"/>
          <w:szCs w:val="28"/>
          <w:rtl w:val="true"/>
          <w:lang w:bidi="ar-SA"/>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ولشرح وتفسير هذه الجملة العميقة والدقيقة لابدّ من ذكر نکتة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ورد في الرواية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يستفاد منه أنّ توصيف الباري عزّ وجلّ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عن الحدّين حدّ الإبطال وحدّ التشبيه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توصيف ذاته جلّ شأنه بهذا الوصف، يعني أنّ ذاته خارجة عن هذين الحدّين</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الخارج عن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أنّ الله ليس محدوداً بهذين الحدّين وليس معرَّفاً بهذين التعريفين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حدّ الإبطال وهو القول بنفي الصفات الثبوتيّة له بالمرَّة، وهذا القول ناشٍ عن الإفراط في الحذر من القول بالتركيب وإثبات صفة له عزّ اسمه، ونتيجة هذا الرأي هي القول بأنّ الباري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فاقد لصفاتٍ مثل العلم والقدرة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 حدّ التشبيه، وهو القول بتشبيه الباري بالخلق، وأنّ العلم والقدرة وبعض الصفات الاُخری خارجة عن ذاته، وحاله حال سائر الموجودات، والحقُّ أنّه هنا لابدّ أيضاً من القول بالأمر بين الأمرين وأن نعتقد بأنّ صفاته هي عين ذاته، لا أن ننفي عنه الصفات، فإنّ ذلك مخالف للعقل والشرع، ولا أن نشبّهه بخلقه ونعتبر أنّ تلك الصفات اُمور زائدة عن ذاته فكما أنّ ذاته منزّهة عن الشبيه فكذلك حقيقة صفاته الّتي هي عين ذاته منزّهة عن معرفتها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نعلم بأنّ علمه ليس أمراً زائداً على ذاته مثل علم المخلوقات، كما نعلم بأنّه عالم بکلّ شيء في العالم وعليم به</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العلّامة المجلسي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تعالى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كتاب المحاسن للبرقي أنّه سُئل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يُقال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تُخرجهُ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الإبطال وحدّ التشبيه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الصدوق  أعلى الله مقامه  روايتين عن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أيجوز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شيء؟</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تُخرجهُ عن الحدّين حدّ التعطيل وحدّ التشبيه</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شرح وبيان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 الإبطال والتعطيل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أنّنا كما ننزّه الذات عن أن تكون موضوعاً لحمل عناوينَ مثل الجسم، والجوهر، وسائر العناوين الخاصّة الّتي تطلق على المخلوقات، فكذلك ننزّهه عن أن يكون موضوعاً لحمل العناوين العامّة كالشيئية والموجودية أيضاً، وحدّ التشبيه أن نحمل على الذات ما يمكننا أن نتصوّره، سواء أكان لهذا المتصوَّر فردٌ خارجيّ حيث يستلزم الشرك أم لم يكن، وكان وجوداً ذهنيّاً فحسب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وبعبارة اُخرى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كُنه وماهية الله المتعال منزّهة عن التصوّر والتوهّم، إذن فکلُّ ما يمكن تصوّره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فليس ذلك صحيحاً، فما ذلك التصوّر هو الله، ولا يمكن حمله عليه، ولا يصدق عليه، إذ فرض صدقه عليه يستلزم التشبيه بغيره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كُنه ماهيّة الله تعالى لمّا کان منزَّهاً عن التصوّر والتوهّم، لذا فإنّ کلَّ ما يمكن تصوّره إذا حمل على الذات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هو، فليس هو، ولا يمكن حملُه عليه، ولا يصدق عليه ذلك، إذ أنّ فرض صدق هذا الحمل يستلزم التشبيه بغيره، ونتيجة ذلك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لم يُحكم على الذات بحكمٍ ولم يُخبر عنها بخبر، فهذا هو التعطيل والإبطال، وترك الاعتراف والإقرار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حكم عليها بحكم وقيل </w:t>
      </w:r>
    </w:p>
    <w:p>
      <w:pPr>
        <w:pStyle w:val="BookText"/>
        <w:rPr/>
      </w:pPr>
      <w:r>
        <w:rPr>
          <w:rFonts w:ascii="IRNazanin" w:hAnsi="IRNazanin" w:eastAsia="IRNazanin"/>
          <w:color w:val="111111"/>
          <w:sz w:val="28"/>
          <w:sz w:val="28"/>
          <w:szCs w:val="28"/>
          <w:rtl w:val="true"/>
          <w:lang w:bidi="fa-IR"/>
        </w:rPr>
        <w:t xml:space="preserve">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شیء متوهم ومتصور في الذهن، فهذا هو التشبيه بالأشياء المتصوّرة، فالشخص بين أمرين ومحذورين، الالتزام بأيٍّ منهما باطل، فلابدّ من الخروج عن هذين المأزقين والاعتراف والإقرار بالذات، ولتوضيح هذا المطلب الدقيق نقول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الإخبار عن الصفات والأسماء الحُسنى مثل الخالق والقادر والرزّاق والعالم وإطلاقها على الله تعالى، أمرٌ صحيح يقيناً، وقد نطق الكتاب والسنّة بذلك، وكذلك سلب الصفات السلبية عنه عزّ اسمه صحيح ولا إشكال فيه، مع أنّ صحّة هذا الإطلاق تتوقّف أيضاً على جواز الإخبار عن الذات والاعتقاد بها، وهو بين المحذورين السابقَين</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کلّ حال، فإنّه لا يصحُّ الإخبار عن كنه وحقيقة الذات الإلهية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تعالت وجلّت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شيء معيَّن حتى لو کان في الذهن، لأنّ تصوّر ذاتِه وكُنهِه غيرُ مقدور لأحدٍ حتى الأنبياء اُولي العزم والملائكة المقرّبين، إذن، فلا يمكن أن تكون الذات بعنوان القضيّة الموجبة موضوعاً لإثبات محمولٍ وعنوان خاصٍّ أبداً، ولا يصدق عليه مثل تعريف الإنسان بالحيوان الناطق أو الجوهر أو العرض، والّتي تصدق على الإنسان، فذاته المقدّسة تأبى عن التعريف؛ لأنّ ذلك فرع إمكان تصوّر كنهه وحقيقته وهو محال، وکلّ ما قيل من أنّه ذات الله وكنهه فهو </w:t>
      </w:r>
    </w:p>
    <w:p>
      <w:pPr>
        <w:pStyle w:val="BookText"/>
        <w:rPr/>
      </w:pPr>
      <w:r>
        <w:rPr>
          <w:rFonts w:ascii="Amiri" w:hAnsi="Amiri" w:eastAsia="Amiri" w:cs="Amiri"/>
          <w:color w:val="111111"/>
          <w:sz w:val="28"/>
          <w:sz w:val="28"/>
          <w:szCs w:val="28"/>
          <w:rtl w:val="true"/>
          <w:lang w:bidi="ar-SA"/>
        </w:rPr>
        <w:t>يستلزم المحذورين ويتوقّف على محالين 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تصوّر ومعرفة كنه وذات الباري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تشبيهه بالغير وبما يُتصوّر في الذهن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الإخبار عن ذات وكنه الله عزّ وجلّ، أمرٌ دائر بين التعطيل والامتناع عن الإخبار والإقرار أو الإخبار والتشبيه، وکلاهما باطل، والخروج عن هذين المحذورين إنّما يكون فقط بما ذكره 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ما جاء في هذه الروايات، وما ذكره السیّد عبد العظيم في قضیّة عرض دينه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الله تعالى خارج عن هذين الحدّين وإن لم يُبيّن تفصيل كيفية ذلك الخروج، وكأنّه اكتفى بوضوح ذلك الأمر فيما بينه وبين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وحاصل هذه الروايات هو الإقرار والاعتراف والاعتقاد بالذات بأنّها موجودٌ وشيءٌ بدون القول بالتشبيه، والله هو العالم بذاته وصفاته ونعوذ بالله أن نقول فيه ما لم يقُله هو سبحانه وتعالى، وأنبياؤه وأولياؤه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كتاب التوحيد الشريف، روى أنّ عبد الرحمن بن أبي نجران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التوحید،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أتوهَّمُ شيئاً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أنّي أتوهَّم أنّ الله تعالى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غير معقول ولا محدود، فما وقع وهمك عليه من شي‌ء فهو خلافُه لا يشبهه شيءٌ ولا تدركه الأوهام، كيف تدركه الأوهام وهو خلاف ما يعقل وخلاف ما يتصوّر في </w:t>
      </w:r>
    </w:p>
    <w:p>
      <w:pPr>
        <w:pStyle w:val="BookText"/>
        <w:rPr/>
      </w:pPr>
      <w:r>
        <w:rPr>
          <w:rFonts w:ascii="Amiri" w:hAnsi="Amiri" w:eastAsia="Amiri" w:cs="Amiri"/>
          <w:color w:val="111111"/>
          <w:sz w:val="28"/>
          <w:sz w:val="28"/>
          <w:szCs w:val="28"/>
          <w:rtl w:val="true"/>
          <w:lang w:bidi="ar-SA"/>
        </w:rPr>
        <w:t>الأوهام، إنَّما يتوهّم شيءٌ غير معقول ولا محدود</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وللعلّامة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فيما يرتبط بهذا الحديث،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المفاهيم والمعاني على قسمين، مفاهيم لها عمومية وشمول، ولا يخرج عنها شيءٌ من الأشياء الذهنية والعينية، منها مثل مفهوم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يء والموجود والمخبَر عنه، ولذا فهي تطلق أيضاً على ما لا يقبل التعقّل والتصوّر وغير المحدود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ومفاهيم عند إطلاقها يمكن توهّم وتصوّر مصاديقها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وإطلاق المفاهيم من القسم الأوّل على الله المتعال، هي إثبات ونفي إنکار وإبطال وتعطيل، ونفي إطلاقها على الله تعالى هو إبطال وتعطيل وإنكار</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يجيز أن يقال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لا يتصوّر له مصداق في الذهن، ولأنّ المفهومَ عامّ يصدق على غير المتصوّر، والمنزّه عن التصوّر، بل ليس به مفهومٌ متصوّر ومصداقٌ ذهنيّ خاصّ، فيصدق إطلاقه على الباري تعالى، وکلّ ما يتصوّر في الذهن من المفاهيم فلا يعقل أن يكون هو الله، وأنّ الله ليس ذلك الشيء وهو </w:t>
      </w:r>
    </w:p>
    <w:p>
      <w:pPr>
        <w:pStyle w:val="BookText"/>
        <w:rPr/>
      </w:pPr>
      <w:r>
        <w:rPr>
          <w:rFonts w:ascii="Amiri" w:hAnsi="Amiri" w:eastAsia="Amiri" w:cs="Amiri"/>
          <w:color w:val="111111"/>
          <w:sz w:val="28"/>
          <w:sz w:val="28"/>
          <w:szCs w:val="28"/>
          <w:rtl w:val="true"/>
          <w:lang w:bidi="ar-SA"/>
        </w:rPr>
        <w:t xml:space="preserve">منزّه عنه، ولذا فإنّ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ذات الباري عزّ وجلّ، خارج عن حدّ التعطيل ومأذون ومجاز، وإثبات، ونفي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تعالى في حدِّ الإبطال والإنكار والتعطيل غير مأذون ومجاز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وبالجملة، يمكن القول أنّ المستفاد من هذه الأحاديث والروايات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كانت معرفة حقيقة الذات وكنه الحقّ تعالى محالة، وأنّ الشيء غير المحدود لا يقبل التعقّل والتصوّر، فلا يوجد لفظ واسم وعنوان يدلّ عليه، وفي مقام التعريف والإشارة إلی تلك الذات يقتصر فقط على استعمال العناوين العامّة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نهاية التعريف ومعرفة الذات الإلهية المقدّسة، والّذي ينبغي أن يعرفه الجميع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قال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بحقّ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حذراً من التشبيه، كما يخبر عن تلك الذات بأنّها ليست جسماً ولا صورةً ولا جوهراً ولا عرضاً، فإنّ ذلك إلحادٌ وتعطيلٌ وإنکار، بخلاف الأوّل الّذي يعدُّ إيماناً واعترافاً وإقراراً</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هو أيضاً جواب للشبهة القائلة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الله تعالى لا يمكن لأحدٍ أن يتصوّره ويتعقّله بما نتصوّر ونتعقّل به الممكنات من الحدِّ </w:t>
      </w:r>
    </w:p>
    <w:p>
      <w:pPr>
        <w:pStyle w:val="BookText"/>
        <w:rPr/>
      </w:pPr>
      <w:r>
        <w:rPr>
          <w:rFonts w:ascii="Amiri" w:hAnsi="Amiri" w:eastAsia="Amiri" w:cs="Amiri"/>
          <w:color w:val="111111"/>
          <w:sz w:val="28"/>
          <w:sz w:val="28"/>
          <w:szCs w:val="28"/>
          <w:rtl w:val="true"/>
          <w:lang w:bidi="ar-SA"/>
        </w:rPr>
        <w:t>والتعريف والتوصيف، فكيف يُشار إليه إذن؟</w:t>
      </w:r>
    </w:p>
    <w:p>
      <w:pPr>
        <w:pStyle w:val="BookText"/>
        <w:rPr/>
      </w:pPr>
      <w:r>
        <w:rPr>
          <w:rFonts w:ascii="IRNazanin" w:hAnsi="IRNazanin" w:eastAsia="IRNazanin"/>
          <w:color w:val="111111"/>
          <w:sz w:val="28"/>
          <w:sz w:val="28"/>
          <w:szCs w:val="28"/>
          <w:rtl w:val="true"/>
          <w:lang w:bidi="fa-IR"/>
        </w:rPr>
        <w:t>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أنّه يمكن الإشارة إلیه بهذه العناوين العامّة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يصحّ إطلاق غير هذه العناوين عليه، ولا وجود للفظٍ خاصّ يدلّ على كنه ذاته حتى لو کان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بالمعنى الّذي يقوله القائل بأصالة الوجود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رأينا نقشاً أو بناءاً أو أمراً حادثاً ولم نشاهد النقّاش أو البنّاء أو المحدِثْ، ولم نسمع بوصفه، لكنّنا مع ذلك نحكم بوجوده، وعدم تصوّر شکله لا يكون مانعاً عن الحكم بوجوده، فكذلك استحالة تعقّل ذات الباري تعالى، لا تمنع من إطلاق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والإشارة إلیه بهما، وغاية ونهاية معرفة الذات 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شيءٌ وموجودٌ وليس كمثله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معنى أنّه خارج عن الحدّين، فهو منزَّه عن التعطيل والإبطال ومنزّه عن التشبيه، فبإثبات أنّه شيءٌ وموجود وقادر وعالم وليس كمثله شيء، نكون قد أقررنا وآمنّا واعتقدنا به، وهذا لا يعني أنّ ذاته تعالى هي أمرٌ بين أمرين، بل المقصود هو أنّه فيما يرتبط بالإقرار والاعتراف به وقبوله لابدّ أن نعتقد أنّها أمرٌ بين أمرين، بمعنى أنّه حصل الإقرار بوجود الله تعالى وكذلك حصل تنزيه عن التشبيه، ففي مقابل الإنكار أو الإقرار ومع التشبيه کان إثبات الذات ونفي التشبيه بين هذين الأمرين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 عدم الثبوت أو الثبوت والتشبيه هو الثبوت وعدم التشبيه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سواءٌ کان التعبير بالأمر بين الأمرين دقيقاً أو لم يكن كذلك، فالمطلب معلوم، وليس الکلام في هويّة وكُنهِ الباري تعالى ليقول 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التعطيل والتشبيه ليسا نقيضين، إذ يمكن ارتفاعهما فلا تعطيل ولا تشبيه، فإذا لم يكن تعطيلاً ولا تشبيهاً فما هو إذن؟</w:t>
      </w:r>
    </w:p>
    <w:p>
      <w:pPr>
        <w:pStyle w:val="BookText"/>
        <w:rPr/>
      </w:pPr>
      <w:r>
        <w:rPr>
          <w:rFonts w:ascii="IRNazanin" w:hAnsi="IRNazanin" w:eastAsia="IRNazanin"/>
          <w:color w:val="111111"/>
          <w:sz w:val="28"/>
          <w:sz w:val="28"/>
          <w:szCs w:val="28"/>
          <w:rtl w:val="true"/>
          <w:lang w:bidi="fa-IR"/>
        </w:rPr>
        <w:t>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أوسع وهو حقّ، لا بمعنى أنّه ثابت، وأنّ له واقعية وحقيقة، وأنّه موجد الأشياء وخالقها طبق حكمة ومصلحة، ولا بالمعاني الاُخری الّتي ذكرت في كتب التفسير للحقّ، والّتي بيَّنها مثل الراغب الأصفهاني في مفردات القرآن،</w:t>
      </w:r>
      <w:r>
        <w:rPr>
          <w:rFonts w:eastAsia="IRNazanin" w:cs="IRNazanin"/>
          <w:color w:val="111111"/>
          <w:sz w:val="28"/>
          <w:szCs w:val="28"/>
          <w:rtl w:val="true"/>
          <w:lang w:bidi="fa-IR"/>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الحقّ هنا بمعنى أنّ في مقابله العَدَم، لا عدمه هو بل عدم کلّ الأشياء، والحقُّ غيرُ متناهٍ وأنّ کلّ ما هو موجود فهو هو، وأنّ غيره باطل وعدمٌ صرفٍ</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المعنى للخارج عن حدّ الإبطال والتشبيه، معنىً عجيب لا يخلو من المغالطة، ففي هذه الروايات طرحت مسألة الإثبات والإقرار بوجود الله ونفي الإبطال والإنكار والتعطيل، وليست المسألة مسألة ماهية الله ولا الحديث عن كنهه جلَّ وعلا ليقول هذا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الحقُّ، </w:t>
      </w:r>
    </w:p>
    <w:p>
      <w:pPr>
        <w:pStyle w:val="BookText"/>
        <w:rPr/>
      </w:pPr>
      <w:r>
        <w:rPr>
          <w:rFonts w:ascii="Amiri" w:hAnsi="Amiri" w:eastAsia="Amiri" w:cs="Amiri"/>
          <w:color w:val="111111"/>
          <w:sz w:val="28"/>
          <w:sz w:val="28"/>
          <w:szCs w:val="28"/>
          <w:rtl w:val="true"/>
          <w:lang w:bidi="ar-SA"/>
        </w:rPr>
        <w:t>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الوجود غير المتناهي وإنّ غيره باطل حقيقي وعدمٌ محض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يستفاد ذلك أبداً من الروايات، فالله تعالى هو الله وأنّ ذاته هي ذاته، فلا يمكن تفسير رواية عرض الدين والروايات المشابهة لها بهذه المعاني الّتي قالها بعض العامّة في القرن السابع وبعض الخاصّة في القرن العاشر، فينبغي أن لا تنسب هذه المعاني إلی مدرسة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ومعارفهم الأصيلة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فالله شيءٌ وموجودٌ أو له وجود، ومثل هذه العناوين العامّة يجوز إطلاقها على الله تعالى، وكذلك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ثابت وأنّه خلق العالم طبق الحكمة ولم يخلقه بالباطل، وأنّ غيره باطل يعني غير ثابت، وأمّا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حقٌّ ووجود وأنّ مقابله باطل وعدمٌ وأنّ وجود أيِّ شيء عداه هو نقيضه، فهذا ما لا يوافق القرآن والروايات والوجدان، والأسماء الحسنى والرحمن والرحيم والخالق والبديع والرزّاق والمحيي والمميت والمعزّ والمذلّ والمجيب والشافي والغفّار والتوّاب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مخالف لها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فوجود الشيء أو عدم وجوده يعني أنّه موجود أو غير موجود، لا الوجود أو العدم بالمعنى المستقلّ الّذي هو أنّه لا يوجد شيء غير الوجود وأنّ وجوده وجود الوجود وعدمُه عدمُ الوجود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فالله تعالى حقٌّ، يعني أنّه ثابت ودائم وأزليّ وأبديّ وأنّ غيره باطلٌ بمعنى أنّه زائل وفانٍ، وهذا هو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کلّ شيءٍ ما خلا الله 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نعيمٍ لا محالةَ زائلٌ</w:t>
      </w:r>
      <w:r>
        <w:rPr>
          <w:rFonts w:eastAsia="Amiri" w:cs="Amiri" w:ascii="Amiri" w:hAnsi="Amiri"/>
          <w:color w:val="111111"/>
          <w:sz w:val="28"/>
          <w:szCs w:val="28"/>
          <w:rtl w:val="true"/>
          <w:lang w:bidi="ar-SA"/>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وبهذا التوجيه يصدق هذا الشعر، وأمّا إذا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حقٌّ بمعنی أنّ کلّ شيء هو الله، أو أنّه لا شيء سواه وأنّ الأمر يدور بين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الحقّ والوجود أو الباطل والعدم، وأنّ السماوات والأرض وکلّ المخلوقات باطلٌ، إذا كانت موجودة أيضاً، كما کان الله تعالی الّذي هو الحقّ أو الحقّ الّذي هو الله موجوداً، كان ذلك من قبيل اجتماع النقيضين واجتماع الحقّ والباطل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الکلام ليس صحيحاً، لأنّ الحقّ والباطل ليسا من النقيضين واجتماعهما ممكن، والباطل بمعناه الصحيح الّذي يعني أنّ الموجودات مُحدثَةٌ ولها وجود، كما أنّ الحقّ والوجود الثابت الأزليّ الأبديّ محدِثُ الممكنات، موجودٌ، ومعنى أنّ الله تعالى واجب الوجود هو أنّ وجوده واجب وعدمه ممتنع، لا أنّ وجوده وجودٌ وفي مقابله عدمٌ، بمعنى نفي ممكن الوجود الموجود بالوجدان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والآيات القرآنية الشريفة، ابتداءاً من بسملة الفاتحة إلی سورة الناس صريحة بهذا المعنى، فالرحمن والرحیم والخالق والرزّاق والمالك والحقّ </w:t>
      </w:r>
    </w:p>
    <w:p>
      <w:pPr>
        <w:pStyle w:val="BookText"/>
        <w:rPr/>
      </w:pPr>
      <w:r>
        <w:rPr>
          <w:rFonts w:ascii="Amiri" w:hAnsi="Amiri" w:eastAsia="Amiri" w:cs="Amiri"/>
          <w:color w:val="111111"/>
          <w:sz w:val="28"/>
          <w:sz w:val="28"/>
          <w:szCs w:val="28"/>
          <w:rtl w:val="true"/>
          <w:lang w:bidi="ar-SA"/>
        </w:rPr>
        <w:t>والثابت والمصوّر والقادر والحافظ والغفّار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موجود وكذلك المرحوم والمخلوق والمرزوق والمملوك والمحفوظ والمغفور له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إلخ، لها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يخفى، أنّ المستفاد من کلمات البعض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معنى الخروج عن حدّ التعطيل أو حدّ التشبيه ليس هو الأمر بين أمري التعطيل والتشبيه أو الإنكار والتشبيه، إذن لابدّ أن يكون شيءٌ رابع أبعد من هذه الثلاثة، وهو الحقّ والوجود، بذلك المعنى للحقّ وهو غير المتناهي والمقابل للباطل والعدم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وکان هذا البعض يريد القول بأن الخروج عن الحدّين لا يكون بإطلاق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تعالى والّذي له معنىً عامّ، بل إنّ الخروج عن الحدّين هو إثبات الذات والإخبار عن الذات وما به الذات، وهو الحقّ والوجود، واستشهد لذلك بالحديث الأوّل من 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كتاب التوحيد، والّذي ينتهي سنده إلی هشام بن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حديث غنيّ بالمعاني، مشحون بالحقائق الراقية في معرفة الله</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يقول في ضمن هذا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ولابدّ من إثبات صانع الأشياء خارجٍ من الجهتين المذمومتين إحداهما النفي إذ کان النفي هو الإبطال والعدم، والجهة الثانية التشبيه إذ کان التشبيه من صفة المخلوق الظاهر التركيب </w:t>
      </w:r>
    </w:p>
    <w:p>
      <w:pPr>
        <w:pStyle w:val="BookText"/>
        <w:rPr/>
      </w:pPr>
      <w:r>
        <w:rPr>
          <w:rFonts w:ascii="Amiri" w:hAnsi="Amiri" w:eastAsia="Amiri" w:cs="Amiri"/>
          <w:color w:val="111111"/>
          <w:sz w:val="28"/>
          <w:sz w:val="28"/>
          <w:szCs w:val="28"/>
          <w:rtl w:val="true"/>
          <w:lang w:bidi="ar-SA"/>
        </w:rPr>
        <w:t>والتأليف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فيقول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جملة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ولابدّ من إثبات صانع الأشياء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خارج عن حدّ الإبطال وحدّ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الإقرار وإثبات أنّه شيءٌ أو موجودٌ، بل لابدّ من إثبات صانع الأشياء بعنوانه الخاصّ وبذاته الخاصّة وأنّه حقٌّ ووجودٌ وأنّه غير متناهٍ، والّذي يتضمّن نفي الإبطال والتشبيه، وأمّا القول بأنّه شيءٌ، فهو أعمّ من نفي أو إثبات التعطيل والتشبيه، حتى لو دلَّ على نفي الإبطال فإنّه لا يدلّ على نفي التشبيه ولذا يقول 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لابدّ من إثبات صانع الأشياء بنحو ينفي التعطيل والتشبيه معاً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يمكن القول بأنّ قول السیّد عبد 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الحدّين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عبارة اُخرى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المتناهي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ذلك السیّد الجليل، اعترف بالخارج عن الحدّين، إمّا بنحو الإجمال مع أنّه آمن بالحقّ والوجود مع عدم معرفته بأنّ الخارج عن الحدّين هو الحقّ وهو الوجود، وإمّا أنّه اعترف بذلك مع معرفته بأنّ الخارج عن الحدّين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ولكنّه اكتفى بذلك التعبير لدلالته عليه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ما يرتبط بأنّ القول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إخراج عن حدّ التعطيل والتشبيه، فبيانه هو أنّ التشبيه إمّا في الذات أو في الصفات، وما تشير إلیه الرواية هو إنکار الذات أو تشبيه الذات، والقول بأنّه شيءٌ أو موجودٌ، لا هو تعطيلٌ ولا هو تشبيه وامتناع عن القول بالتعطيل والتشبيه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وظاهر الروايات هو أنّ السائل کان خائفاً من الوقوع في التعطيل والتشبيه، فكان محتاراً في اختيار اللفظ الّذي يثبت به الذات الإلهية ويُخبر عنها، ولذا سأل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هذين اللفظين ليس فيهما خطر التعطيل والتشبيه بل فيهما الخروج عن هذين الحدّين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أنّ المستفاد من رواية هشام، لا يعدو هاتين الصفتين،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صانع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خارج عن الحدّين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والصفة الاُولى ثبوتية والصفة الثانية تنزيهية،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منزّهٌ عن الحدّين وأنّ التعبير عنه بالشيء لا يشتمل على مفهوم التعطيل والتشبيه، بل إنّ فيه دلالةً على إثبات الذات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أطلق عليه لفظاً ليس فيه مفهوم الإبطال ولا التشبيه، إذ في مقام الإخبار عنه عزَّ اسمه، قد يتلفّظ بلفظ يشتمل على مفهوم الإنكار أو التعطيل والتشبيه، مع أنّ اللافظ ينزّه ذلك الإله عن </w:t>
      </w:r>
    </w:p>
    <w:p>
      <w:pPr>
        <w:pStyle w:val="BookText"/>
        <w:rPr/>
      </w:pPr>
      <w:r>
        <w:rPr>
          <w:rFonts w:ascii="Amiri" w:hAnsi="Amiri" w:eastAsia="Amiri" w:cs="Amiri"/>
          <w:color w:val="111111"/>
          <w:sz w:val="28"/>
          <w:sz w:val="28"/>
          <w:szCs w:val="28"/>
          <w:rtl w:val="true"/>
          <w:lang w:bidi="ar-SA"/>
        </w:rPr>
        <w:t xml:space="preserve">التعطيل والتشبيه واقعاً، وأمّا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يدلّ على الذات والإقرار بها فقط، بدون الدلالة على تلك المفاهيم المحذورة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ونضيف في خاتمة هذا البحث الدقيق، أنّ البعض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المراد من الإبطال والتعطيل، ترك إثبات وجود الله تعالی، والّذي هو بديهيّ، بل إنّ المراد من ذلك، التعطيل في التعبير عن حقيقة ذات الاُلوهيّة بالألفاظ، وتعطُّل العقل عن معرفة ذاته عزَّ اسمه، إذ لا يوجد لفظٌ دالٌ على ذلك الوجود، فيكتفى في إثبات تلك الذات المقدّسة والاعتراف والإقرار بها، بإطلاق تلك العناوين العامّة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الأسماء الحسنى مثل القادر والعالم وبإعتبار دلالتها على الذات أو الشيء الموجود الّذي له قدرة وعلم، تدلُّ على الذات والصفة کلتيهما، وإثباتها أيضاً إثبات للذات وللشيء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يقول العلّامة المجلسي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التعطيل هو عدم إثبات الوجود والصفات الكمالية والفعلیة والإضافيّة له تعالی، وحدّ التشبيه الحكم بالاشتراك مع الممكنات في حقيقة الصفات وعوارض الممكنات</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حدّ التعطيل ما ذكره بالتفصيل فلا يخرج منه بالقول </w:t>
      </w:r>
    </w:p>
    <w:p>
      <w:pPr>
        <w:pStyle w:val="BookText"/>
        <w:rPr/>
      </w:pPr>
      <w:r>
        <w:rPr>
          <w:rFonts w:ascii="IRNazanin" w:hAnsi="IRNazanin" w:eastAsia="IRNazanin"/>
          <w:color w:val="111111"/>
          <w:sz w:val="28"/>
          <w:sz w:val="28"/>
          <w:szCs w:val="28"/>
          <w:rtl w:val="true"/>
          <w:lang w:bidi="fa-IR"/>
        </w:rPr>
        <w:t>بأنّه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التشبيه لا ينحصر بالاشتراك مع الممكنات في حقيقة الصفات، بل يكون بالاشتراك في حقيقة الذات مثل ما يقوله القائل بأصالة الوجود والله هو العالم ونستغفره ونتوب إلیه من الورود في المباحث الّتي لم يکلّفنا بالورود فيها؛ لعجز عقولنا عن إدراكها أو لصعوبة فهمها، ولكونها من مزالّ الأقدام ولا حول ولا قوّة إلّا بالله العليّ العظيم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وإنّه ليسَ بجسمٍ ولا صورة ولا عَرَضٍ ولا جوهرٍ</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هو بجسم ولا صورة، ولا هو بعرضٍ ولا جوهر، ولا فرق في سلب الجسمية والصورتية والعرضية والجوهرية، سواءٌ فسَّرناها طبقاً لاصطلاح أهل المعقول كما نقل عن المحقّق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فسّرناها بالمعنى العرفي والّذي يبدو أنّه أظهر، وهو أنّ الجسم بمعنى الجَسد أو الشيء الّذي له الأبعاد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الطول والعرض والعمق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الصورة بمعنى التشکُّل بشکل يتميّز به عن الأشكال الاُخری، والعَرَض في الاصطلاح العرفي هو الشيء القائم بالغير وفي المحلّ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وبعبارة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الّذي هو عرفاً في مقابل العرض، لا الجوهر الّذي هو في مقابل المعاني الاُخری والّذي ينقسم في الاصطلاح إلی خمسة أقسام، وأحدُ قسمي الممكن، وأمّا الجوهر بمعنى ذات الشيء وحقيقة الشيء فليس مراداً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کلّ حال، فالله تعالى، منزَّهٌ عن هذه المعاني، أعمّ من أن يكون المقصود هو المعاني الاصطلاحية أو کان المقصود،المعاني العرفية في مقابل المعاني الاُخری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 هُوَ مُجَسِّمُ الأجسام ومصوِّرُ الصُور وخالقُ الأعراضِ والجواهِر</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الأجسام والأعراض والجواهر والصور، لم توجد من قبل نفسها، كما أنّ وجودها ليس قديماً ودائمياً، ولا أنّها غير محتاجة لخالقٍ وموجد، فكما يُصرِّح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خُلِقُوا مِنْ غَيْرِ شَيْ‌ءٍ أَمْ هُمُ الْخَالِقُونَ‌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فجواب هذا التساؤل الشريف في الآية، هو النفي بداهةً وفطرةً، فمثل هذا الوجود غير متصوّر وممتنع، فکلّ هؤلاء عاجزون عن إيجاد </w:t>
      </w:r>
    </w:p>
    <w:p>
      <w:pPr>
        <w:pStyle w:val="BookText"/>
        <w:rPr/>
      </w:pPr>
      <w:r>
        <w:rPr>
          <w:rFonts w:ascii="Amiri" w:hAnsi="Amiri" w:eastAsia="Amiri" w:cs="Amiri"/>
          <w:color w:val="111111"/>
          <w:sz w:val="28"/>
          <w:sz w:val="28"/>
          <w:szCs w:val="28"/>
          <w:rtl w:val="true"/>
          <w:lang w:bidi="ar-SA"/>
        </w:rPr>
        <w:t>أنفسهم، كما أنّ كسب الوجود من أمثالهم محالٌ أيضاً، كما لو طلب محتاج من محتاج شيئاً، وطلب مقروضٌ من مقروضٍ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کان الله تعالى وهو مجسِّم الأجسام ومصوّر الصُور، جسماً أو صورةً، کان محتاجاً إلی مجسِّم ومصوِّر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لذا، 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بتَشعيرِهِ المشاعِرَ عُرِفَ أن لا مَشعَرَ لَهُ، وبمضادَّتِهِ بَيْنَ الاُمور عُرِفَ أن لا ضِدَّ له، وبمقارَنَتهِ بَيْنَ الأشياءِ عُرِفَ أن لا قَرينَ لَهُ</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 کلّ شيءٍ ومالِكُهُ وجاعِلُهُ ومُحَدِثُهُ</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الربّ، بمعنى المربّي وموصل الشيء من النقص إلی الكمال،</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المعنى للتربية متصوّر في الموجودات الّتي ليس لکلّ أو بعض كمالاتها فعلیّة ولكنّها حائزة على الاستعداد للكمال بالقوّة،لتكون تربيتها مؤثّرة، ولإيصالها من النقص إلی الكمال ومن القوّة إلی الفعليّة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هذا، تدلُّ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کلّ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کلّ الأشياء بحاجة إلى تربية، وليس لها الفعليّة المستغنية عن المربّي، حتى لو کانت من قبيل المجرّدات والعقول، الّتي يعتقد القائلون بوجودها أنّها فعلية محضة، فالقول بها وأنّ صدور المخلوقات غير المجرّدة لابدّ أن يترتّب على صدورها وخلقتها، مستلزمٌ لعيوب ومفاسد عديدة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والمعنى الآخر للربّ هو السیّد والصاحب والمالك</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يصنّف المخلوقات إلى صنفين، لابدّ أن يقول بأنّ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کلّ شيء يفيد أنّ المراد من الربّ هو المعنى الثاني، إذْ بعد فرض أنّ المخلوقات على قسمين تكون إضافة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کلّ شيء جاعلةً المعنى الأوّل بحاجة إلی تفسير وتأويل وتوجيه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يكون المعنى هو أنّ من أوصاف الله تعالى هو أنّه صاحبُ کلّ شيء ومالكه، وجاعله وموجده</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الصفات الّتي وردت في هذه الفقرات من کلام السیّد عبد العظيم في مقام عرض الدين، هي بعض الصفات السلبية وبعض الصفات الثبوتية الفعلية، الّتي مصدرها الصفة الثبوتية الذاتية، لأنّ کلّ الصفات الفعلية ترجع إلى صفة العلم والقدرة، وتدلُّ على صدور الفعل والظهور الخارجي للقدرة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والمطلب الدقيق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عدّة مسائل اُخرى ترتبط بعرض العقائد والّتي لم يبيّنها السیّد عبد العظیم الحسني، كالاعتقاد بالعلم وقدرة الله، ومسألة الکلام والإرادة، ويبدو أنّه أوکلها لوضوحها، مضافاً إلی استفادتها بالملازمة من تلك الجمل، لا أنّه غفل عنها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يكون المراد والمقصود هو بيان العقائد المختلف فيها بين الشيعة وسائر الفرق الإسلامية، وخاصّة الأشاعرة، وأنّ الغرض هو بيان العقيدة الحقّة في هذه المسائل الخلافية، وبعض الجمل الاُخری ناظرة إلی هذا المعنى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المهمّ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الوصف للباري عزّ وجلّ، إمّا هو للصفات الثبوتية الفعلية، أو للصفات السلبية للذات الإلهية المنزهّة عنها، ولا يستفاد إثبات الصفات الثبوتية الذاتية إلّا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عن الإبطال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وأمّا ما يرتبط بكنه وحقيقة هذه الصفات الّتي هي منزّهة عن الإدراك مثل تنزّه الذات عن إدراكها من قبل المخلوقات فلم تتعرّض له أيّة عبارة، وذلك لأنّ الکلام عنها منهيٌّ عنه وممنوع</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عدمُ جواز البحث في هذه الصفات الذاتية كالعلم والحياة والّذي يرتبط بحقيقة هذه الصفات، وأنّ البحث فيها قد يوجب الضلال والإضلال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وما أجمع وأتمَّ وأكمل کلام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المعنى حيث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 القَولَ فيما لا تعرف، والخطابَ فيما لا تُکلَّف، وأمْسِك عَن طريقٍ إذا خِفتَ ضلالَته، فإنَّ الكفَّ عِندَ حَيْرَة الضَّلالة خير مِن ركوبِ الأهوال</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أروع ما أنشأهُ الفاضل المعتزلي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لا موسى،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المسيح ولا محمد</w:t>
      </w:r>
    </w:p>
    <w:p>
      <w:pPr>
        <w:pStyle w:val="BookText"/>
        <w:rPr/>
      </w:pPr>
      <w:r>
        <w:rPr>
          <w:rFonts w:ascii="IRNazanin" w:hAnsi="IRNazanin" w:eastAsia="IRNazanin"/>
          <w:color w:val="111111"/>
          <w:sz w:val="28"/>
          <w:sz w:val="28"/>
          <w:szCs w:val="28"/>
          <w:rtl w:val="true"/>
          <w:lang w:bidi="fa-IR"/>
        </w:rPr>
        <w:t xml:space="preserve">علموا ولا جبريل، وهوَ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محلّ القدس يصعد</w:t>
      </w:r>
    </w:p>
    <w:p>
      <w:pPr>
        <w:pStyle w:val="BookText"/>
        <w:rPr/>
      </w:pPr>
      <w:r>
        <w:rPr>
          <w:rFonts w:ascii="IRNazanin" w:hAnsi="IRNazanin" w:eastAsia="IRNazanin"/>
          <w:color w:val="111111"/>
          <w:sz w:val="28"/>
          <w:sz w:val="28"/>
          <w:szCs w:val="28"/>
          <w:rtl w:val="true"/>
          <w:lang w:bidi="fa-IR"/>
        </w:rPr>
        <w:t xml:space="preserve">کلّا ولا النفس البسيطةُ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العقل المجرّد</w:t>
      </w:r>
    </w:p>
    <w:p>
      <w:pPr>
        <w:pStyle w:val="BookText"/>
        <w:rPr/>
      </w:pPr>
      <w:r>
        <w:rPr>
          <w:rFonts w:ascii="Amiri" w:hAnsi="Amiri" w:eastAsia="Amiri" w:cs="Amiri"/>
          <w:color w:val="111111"/>
          <w:sz w:val="28"/>
          <w:sz w:val="28"/>
          <w:szCs w:val="28"/>
          <w:rtl w:val="true"/>
          <w:lang w:bidi="ar-SA"/>
        </w:rPr>
        <w:t xml:space="preserve">من كنه ذاتك غير أنّك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واحديُّ الذاتِ سرمد</w:t>
      </w:r>
    </w:p>
    <w:p>
      <w:pPr>
        <w:pStyle w:val="BookText"/>
        <w:rPr/>
      </w:pPr>
      <w:r>
        <w:rPr>
          <w:rFonts w:ascii="Amiri" w:hAnsi="Amiri" w:eastAsia="Amiri" w:cs="Amiri"/>
          <w:color w:val="111111"/>
          <w:sz w:val="28"/>
          <w:sz w:val="28"/>
          <w:szCs w:val="28"/>
          <w:rtl w:val="true"/>
          <w:lang w:bidi="ar-SA"/>
        </w:rPr>
        <w:t>من أنت يا رسطو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أفلاط قبلك يا مبلَّد</w:t>
      </w:r>
    </w:p>
    <w:p>
      <w:pPr>
        <w:pStyle w:val="BookText"/>
        <w:rPr/>
      </w:pPr>
      <w:r>
        <w:rPr>
          <w:rFonts w:ascii="Amiri" w:hAnsi="Amiri" w:eastAsia="Amiri" w:cs="Amiri"/>
          <w:color w:val="111111"/>
          <w:sz w:val="28"/>
          <w:sz w:val="28"/>
          <w:szCs w:val="28"/>
          <w:rtl w:val="true"/>
          <w:lang w:bidi="ar-SA"/>
        </w:rPr>
        <w:t xml:space="preserve">ومن ابنُ سينا حين 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بنيت له وشيّد</w:t>
      </w:r>
    </w:p>
    <w:p>
      <w:pPr>
        <w:pStyle w:val="BookText"/>
        <w:rPr/>
      </w:pPr>
      <w:r>
        <w:rPr>
          <w:rFonts w:ascii="IRNazanin" w:hAnsi="IRNazanin" w:eastAsia="IRNazanin"/>
          <w:color w:val="111111"/>
          <w:sz w:val="28"/>
          <w:sz w:val="28"/>
          <w:szCs w:val="28"/>
          <w:rtl w:val="true"/>
          <w:lang w:bidi="fa-IR"/>
        </w:rPr>
        <w:t xml:space="preserve">هل أنتمُ إلّا الفراش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الشهاب وقد توقّد</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فدنا فأحرق نفسه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اهتدى رشداً لأبعد</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7257_108089"/>
      <w:bookmarkStart w:id="49" w:name="pg7257_108089"/>
      <w:bookmarkEnd w:id="49"/>
    </w:p>
    <w:p>
      <w:pPr>
        <w:pStyle w:val="Heading2"/>
        <w:numPr>
          <w:ilvl w:val="1"/>
          <w:numId w:val="1"/>
        </w:numPr>
        <w:rPr/>
      </w:pPr>
      <w:bookmarkStart w:id="50" w:name="pg7257_108089"/>
      <w:bookmarkStart w:id="51" w:name="__RefHeading___Toc453742_1051229030"/>
      <w:bookmarkStart w:id="52" w:name="_Toc17"/>
      <w:bookmarkEnd w:id="50"/>
      <w:bookmarkEnd w:id="51"/>
      <w:r>
        <w:rPr>
          <w:rtl w:val="true"/>
        </w:rPr>
        <w:t>عرض الدّین والإمامة</w:t>
      </w:r>
      <w:bookmarkEnd w:id="5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والخليفَةَ ووليَّ الأمر بَعدَهُ أمير المؤمنين عليّ بن أبي طالب، ثمَّ الحسنُ، ثمَّ الحُسينُ، ثمَّ عليُ بنُ الْحُسينُ، ثمَّ محمّد بنُ عليّ، ثمَّ جعفَرُ بنُ محمَّد، ثمَّ موسى بنُ جعفر، ثمَّ عليّ بنُ موسى، ثمَّ محمّد بنُ عليّ، ثمَّ أنت 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بعدي الحسن ابني، فكيف للناس بالخلف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يا مولاي؟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لا يُرى شخصه ولا يحلُّ ذكره باسمه حتى يخرج فيملأ الأرض قسطاً وعدلاً كما ملئت جوراً وظلماً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وهنا ينبغي التنبيه على اُمور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مترادفة، وإن كانت متجسّدة في مصداقٍ واحد، أي أنّه يصدق إطلاق الوليّ والإمام على الخليفة كما يصدق إطلاق الخليفة والوليّ على من يصدق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فهذه الألفاظ متلازمة في التصادق، ولكنّها ليست مترادفة في المفهوم، فمن کلّ واحدٍ منها يُستفاد بعدٌ من أبعاد </w:t>
      </w:r>
    </w:p>
    <w:p>
      <w:pPr>
        <w:pStyle w:val="BookText"/>
        <w:rPr/>
      </w:pPr>
      <w:r>
        <w:rPr>
          <w:rFonts w:ascii="IRNazanin" w:hAnsi="IRNazanin" w:eastAsia="IRNazanin"/>
          <w:color w:val="111111"/>
          <w:sz w:val="28"/>
          <w:sz w:val="28"/>
          <w:szCs w:val="28"/>
          <w:rtl w:val="true"/>
          <w:lang w:bidi="fa-IR"/>
        </w:rPr>
        <w:t>الشخصية الّتي هي مصداقٌ لهذه العناوين، وإن كان لازم الاتّصاف بمعنى کلّ واحدٍ منها، هو الاتّصاف بمعنى الآخَرين أيضاً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فالمفهوم الظاهريّ للفظِ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الزعيم والقائد، ومن يكون فعله وسيرته وکلامه، اُسوةً وحجّةً، ويجب على الجميع الاقتداء والتأسّي به وإطاعته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الواضح أنّ مثل هذا الشخص لابدّ أن يكون الأعلم من بين الجميع، وأن يكون معصوماً عن الخطأ والاشتباه، وإلّا لم تتحقّق الإمامة في وجوده، وذلك أنّه إذا لم يكن كذلك، لم يكن لأحدٍ الثقة عنوان مستقل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الدّین و 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سرصفحه ها بر اساس این عنوان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والاطمئنان بصحّة متابعته والاقتداء به فضلاً عن وجوب طاعته والتسليم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احتمال خطأ واشتباه المرشد والدليل، لا يكون طيّ طريق بمعيّته مقبولاً عند العقلاء، كما أنّه لا يجوز شرعاً تجويز طيّ مثل هذا الطريق فضلاً عن إيجابه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لَايَنَالُ عَهْدِي الظَّالِمِينَ</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من الحديث الوارد في تفسير هذه الآية الشريفة، ومن الدرجات الّتي طواها خليل الرحمن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وصل إلی مرتبة </w:t>
      </w:r>
    </w:p>
    <w:p>
      <w:pPr>
        <w:pStyle w:val="BookText"/>
        <w:rPr/>
      </w:pPr>
      <w:r>
        <w:rPr>
          <w:rFonts w:ascii="Amiri" w:hAnsi="Amiri" w:eastAsia="Amiri" w:cs="Amiri"/>
          <w:color w:val="111111"/>
          <w:sz w:val="28"/>
          <w:sz w:val="28"/>
          <w:szCs w:val="28"/>
          <w:rtl w:val="true"/>
          <w:lang w:bidi="ar-SA"/>
        </w:rPr>
        <w:t>الإمامة، أنّ مقام الإمامة مقام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المستفاد من الحديث المشهور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ولَمْ يَعرِف إمامَ زمانه ماتَ ميتَةً جاهليَّةً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إمامة المعصوم ولزوم عصمة صاحب هذا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الخلافة والّتي تعني بمفهومها العامّ النيابة عن الغير والقيام بدوره وعمله، فمفهومها الخاصّ هنا هو أنّها منصب إلهيّ، بنحو يستلزم نسبة ما يصدر من الخليفة، إلی الله، وأنّ الخليفة هو عاملٌ ومجرٍ لإرادة الله، إذ لا يمكن هداية العباد أو الحكم بينهم بلا وساطة البشر، فيتمُّ ذلك بواسطة الخليفة، ولا شكَّ حينئذٍ في وجوب اتّصاف الخليفة النائل لهذا المنصب الشريف بالأعلميّة والعصمة، والتقوى العالية الّتي اشترطناها في الإمامة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ولاية الأمر، بمعنى صاحب الاختيار في الاُمور من قبل الله تعالى، فهو منصبٌ من المناصب التشريعية، مشروط بشرائط تختلف باختلاف اقتضاء سعة وضيق متعلّقات الولاية وحدود مداخلات الوليّ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فولاية النبيّ أو الإمام والخليفة، ولأنّ حدودها واسعة، تشمل کلّ</w:t>
      </w:r>
    </w:p>
    <w:p>
      <w:pPr>
        <w:pStyle w:val="BookText"/>
        <w:rPr/>
      </w:pPr>
      <w:r>
        <w:rPr>
          <w:rFonts w:ascii="Amiri" w:hAnsi="Amiri" w:eastAsia="Amiri" w:cs="Amiri"/>
          <w:color w:val="111111"/>
          <w:sz w:val="28"/>
          <w:sz w:val="28"/>
          <w:szCs w:val="28"/>
          <w:rtl w:val="true"/>
          <w:lang w:bidi="ar-SA"/>
        </w:rPr>
        <w:t>الاُمور، ولوجوب الطاعة لهم بصريح الآية الكريمة أَطِيعُواْ اللهَ وَأَطِيعُواْ الرَّسُولَ وَأُولِي الْأَمْرِ مِنْكُمْ</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هذه الولاية مطلقة وغير مشروطة، وهي مثل مقام الإمامة والخلافة مشروطة بالعصمة، وبهذا المعنى عُدَّت في رديف الصلاة والصوم والزكاة والحجّ، في الحديث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الإسلام على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يُنادَ بشيءٍ كما نُوديَ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 إلی أهمّيتها الخاصّة فالملاحظ في الحديث أنّ الولاية عُدَّت في سلسلة أحكام الله، مع أنّ صاحب هذا المقام لا يكون إلّا الإمام والخليفة</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وموضوع وجوب إطاعة وليّ الأمر، هو نفس الأوامر الولايتية للإمام والخليفة، والأوامر الصادرة بعنوان إدارة النظام، ورتق وفتق الاُمور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وبهذا اللحاظ، تكون ولاية أمر ونهي الوليّ مستندةً إلیه هو، بينما هي مستندة إلی الله في حالة الخليفة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عباراتُنا شَتّى وحُسنُكَ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إلی ذاكَ الْجَمالِ يُشيرُ</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والدرس المستفاد من کلام السیّد عبد العظیم والمقرون بتأييد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الإمام والخليفة ووليّ الأمر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النبيّ أيضاً إمامٌ وخليفةٌ ووليُّ أمرٍ، ولذا فيجب أن تستمرّ هذه الإمامة والخلافة والولاية من بعده، بخلاف النبوّة الّتي أقرّ بها في الفقرة السابقة فإنّها ختمت برسول الله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لا يجب استمرارها، حيث إنّها تدور مدار وجود مصلحة وحاجة في المجتمع، ومن جعلها الخاتمة يظهر عدم وجود مصلحة وحاجة في الدين الجديد، بخلاف الإمامة والخلافة وولاية الأمر، فإنّه لا يخلو زمنٌ من الحاجة إليها ولا أرضٌ من ضرورتها، وكما رُوي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تَخلو الأرضُ مِن قائمٍ لله بحُجَّة إمّا ظاهراً مشهوراً أو خائفاً مغموراً</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 يمكن القول بأنّ بُعدَ الخلافة والإمامة في شخصية الرسول </w:t>
      </w:r>
    </w:p>
    <w:p>
      <w:pPr>
        <w:pStyle w:val="BookText"/>
        <w:rPr/>
      </w:pPr>
      <w:r>
        <w:rPr>
          <w:rFonts w:ascii="Amiri" w:hAnsi="Amiri" w:eastAsia="Amiri" w:cs="Amiri"/>
          <w:color w:val="111111"/>
          <w:sz w:val="28"/>
          <w:sz w:val="28"/>
          <w:szCs w:val="28"/>
          <w:rtl w:val="true"/>
          <w:lang w:bidi="ar-SA"/>
        </w:rPr>
        <w:t>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الجامعة لمقام النبوّة والخلافة وولاية الأمر، هو أشرف من بُعدِ النبوّة والولاية، وليس مفهوم ذلك أفضليّة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نعوذ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هؤلاء الأطهار وإن حازوا منصب الإمامة والخلافة والولاية، لكنّهم لم يتّصفوا بصفة النبوّة، أمّا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حاز المقامات الأربعة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أضف إلی ذلك، أنّ ولاية وإمامة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کان أفضل کلّ</w:t>
      </w:r>
    </w:p>
    <w:p>
      <w:pPr>
        <w:pStyle w:val="BookText"/>
        <w:rPr/>
      </w:pPr>
      <w:r>
        <w:rPr>
          <w:rFonts w:ascii="Amiri" w:hAnsi="Amiri" w:eastAsia="Amiri" w:cs="Amiri"/>
          <w:color w:val="111111"/>
          <w:sz w:val="28"/>
          <w:sz w:val="28"/>
          <w:szCs w:val="28"/>
          <w:rtl w:val="true"/>
          <w:lang w:bidi="ar-SA"/>
        </w:rPr>
        <w:t>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خاضعةً لولاية وإمامة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بالمؤمنين من أنفسهم بما فيهم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أَوْلَى بِالْمُؤْمِنِينَ مِنْ أَنْفُسِهِمْ‌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خلافة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فصل وولايته من بعده، وعلى ذلك أدلّة قطعية ومدارك يقينية ثابتة، من جملتها نصّ الغدير المتواتر، والّذي رواه العامّة والخاصّة من المحدّثين والمورّخين والمفسّرين وعلماء الرجال وغيرهم، في الكتب والجوامع والمجاميع والمسانيد وبأسانيد متعدّدة عن جماعة كثيرة من الصحابة والتابعين وتابعي التابعين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جملتها واقعة يوم الإنذار، والنصوص على إمامته وولايته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المشاهد والمواقف الاُخری كثيرة، ولو أنصف المناقش ولم يُعاند، لَما كان بالإمكان خفاء هذا الأمر عليه وعدم اتّضاحه، لكونه كالشمس في رائعة 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وکلّ الفضائل والمناقب الّتي ذكرت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آلاف المصنّفات والكتب المعتبرة، تُثبت هذا المعنى، وهو أنّ الشخص الوحيد الصالح لمقام خلافة الله وخلافة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إلّا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وکلّ العلوم الّتي كشفها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وعدم احتياجه إلی غيره، واحتياج الکلّ إلیه، وإخباراته عن المغيّبات وسائر معجزاته، کلّها تشهد على خلافته بلا فصل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فکلّ ما نقوله ونكتبه هو من قبيل توضيح الواضحات، وهو أقلّ من قطرة من بحر وذرّةٍ من 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خَلَقَه وجَعَلَهُ آيتَهُ الكُبرى، وحُجَّتَه العظمى، وأعطاهُ ومَنَحَهُ مِن العُلوم والكمالات ما حيَّر به عُقولَ ذَوي الألباب</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هذه الرواية هو إمامة الأئمّة الإثني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وبحسب مآت الروايات الصحيحة والمعتبرة من طرق الشيعة والسنّة، فإنّ إمامتهم ثابتة ومحرزة، من جملتها ما نقله الإمام أحمد بن حنبل لوحده، فقد نقل بأربعين طريقاً عن جابر بن سمرة وعبد الله بن </w:t>
      </w:r>
    </w:p>
    <w:p>
      <w:pPr>
        <w:pStyle w:val="BookText"/>
        <w:rPr/>
      </w:pPr>
      <w:r>
        <w:rPr>
          <w:rFonts w:ascii="IRNazanin" w:hAnsi="IRNazanin" w:eastAsia="IRNazanin"/>
          <w:color w:val="111111"/>
          <w:sz w:val="28"/>
          <w:sz w:val="28"/>
          <w:szCs w:val="28"/>
          <w:rtl w:val="true"/>
          <w:lang w:bidi="fa-IR"/>
        </w:rPr>
        <w:t>مسعود،</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الروايات ما يفيد حصر عدد الأئمّة والخلفاء في اثني عشر رجلاً، وهذا العدد لا ينطبق على رأي أيّ فرقة من الفرق الإسلاميّة إلّا الفرقة الإمامية الإثني عشرية، فعلى المنصف إمّا أن يطرح کلّ هذه الروايات المتواترات المسلّمات ويرتكب ما لا يرتكبه أيُّ مسلم مؤمن برسالة خاتم الأنبياء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وعلى أقلّ التقادير إذا لم يشأ التجاسر وردَّ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يعتذر بجهله بالمقصود من هذه الروايات فيطرحها، أو أن يقبل مذهب الشيعة الّذي ينفرد في انطباق هذه الروايات على رأيه ومنهجه في الإمامة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ذلك، فإنّ أكثر من مائتي حديث من هذه الأحاديث تضمّن شرح وتفسير تلك الطائفة الّتي تضمّنت ذكر عدد الخلفاء والأئمّة فقط، فوضّحتها بالصفات والعلامات، بل وحتى ذكر أسماء هؤلاء الإثني عشر من أوّلهم وهو عليّ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آخرهم وهو المهديّ ابن الإمام الحسن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ذلك أنّ روايات كثيرة اُخرى، وشواهد عديدة من معجزاتهم وخوارقهم للعادة، تثبت إمامة هؤلاء الأئمّة الاثني عشر بما لا يبقي مجالاً للشكّ والشبهة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جملة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هذه الرواية الّتي تحصر الأئمّة وتعيّنهم في هؤلاء الاثني عشر، والسیّد عبد العظیم الّذي توفّي قبل وفاة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وقبل ولادة صاحب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خبر ولادة الإمام الحجّة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وغيبته، عن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وردت الإشارة في هذه الرواية إلی ثلاث صفات من أوصاف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الإجمال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يُرى شخصُه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إشارة إلی استتاره عن الأنظار، وهذا لا يعني النفي الکلّي لرؤيته، إذ تشرّف بزيارته قبل الغيبة الكبرى جماعة من المؤمنين، وكذا نال شرف زيارة قطب عالم الإمكان وكهف الأمان جماعة في غيبته الكبرى، وإنّما المقصود من العبارة أنّ الالتقاء به غير ميسّر للجميع بصورة عاديّة، وأنّ أغلب الناس محرومون من لقائه، ويجهلون مقرّ إقامته وأحواله وأنّ اُولئك الّذين يحظون بشرف لقائه خاصّة في الغيبة الكبرى إنّما يوفّقون لذلك بنحوٍ غير طبيعي وبالاتّفاق، كما أنّ الظاهر من نفي الرؤية في الرواية هو نفي الرؤية مع المعرفة الشخصية الّتي لا تتيسّر إلّا للأوحديّ من الناس، وأمّا الرؤية مع عدم المعرفة الشخصية فهي جائزة ولا تنافي الهدف من غيبته والحكمة فيها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الصفة الثانية هي عدم حلّية ذكره باسمه الشريف، فبحسب هذه الرواية وروايات اُخرى، لا يجوز ذكره باسمه الّذي هو اسم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حكم تسميته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عصر الغيبة وأنّه هل أنّ ذلك لا يجوز مطلقاً أو يجوز مطلقاً؟ وإن کان مكروهاً مطلقاً، أو أنّه مكروه في المجامع فقط، أو أنّ الحرمة خاصّة بذكره في المجالس والمجامع، أو أنّ الحرمة من باب التقيّة وأنّ ذكره جائز مع عدم التقيّة؟ احتمالات، ولعلَّ احتمال أنّ النهي عن التسمية إلى زمان الظهور مختصّ بالمجالس والمجامع تعظيماً له، وأنّه جائز في الموارد الاُخری، هو الاحتمال الأرجح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وعلى أيّ حال، فالقول بالحرمة مطلقاً والجواز مطلقاً ضعيف، والاحتياط يقتضي ترك التسمية، إلّا في بعض الموارد، كما لو ورد اسمه الشريف في رواية يُراد نقلها، أو في مورد الضرورة الّتي يلزم فيها إعلان اسمه الشريف، وهذه المسألة من جملة المسائل الّتي اختُلف في الفتوى بها بين الشيخ الأجلّ بهاء الدين العاملي والسیّد الجليل ميرداماد  عليهما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كتب ميرداماد كتاب شرعيّة التسمية والّذي طبع أخيراً بتوصية من الداعي تأييداً لنظره ورأيه في المسألة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الإمام 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خليفة الإمام الحسن </w:t>
      </w:r>
    </w:p>
    <w:p>
      <w:pPr>
        <w:pStyle w:val="BookText"/>
        <w:rPr/>
      </w:pPr>
      <w:r>
        <w:rPr>
          <w:rFonts w:ascii="IRNazanin" w:hAnsi="IRNazanin" w:eastAsia="IRNazanin"/>
          <w:color w:val="111111"/>
          <w:sz w:val="28"/>
          <w:sz w:val="28"/>
          <w:szCs w:val="28"/>
          <w:rtl w:val="true"/>
          <w:lang w:bidi="fa-IR"/>
        </w:rPr>
        <w:t>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سيملأ الأرض قسطاً وعدلاً كما ملئت جوراً وظلماً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أكثر من مائة حديث معتبر بطرق الشيعة والسنّة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وصف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الله فرجه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بهذا الوصف، وهو من أوصافه البارزة والمهمّة إلی حدّ عُدَّت هذه الصفة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من أوصافه الفعلية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 جملة أهداف وغايات الظهور المهمّة، كظهوره وغلبة الإسلام على سائر الأديان وانتشار عقيدة التوحيد والحكم الإسلامي في کلّ العالم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من أهداف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وهذه الصفة وإن کانت في هذه العبارات من جملة أوصافه الفعلية وأنّ ذلك من منجّزاته المهمّة والكبيرة، ولكن تدلّ بالالتزام على اتّصافه ذاتاً بصفة العدالة وكمال النفس واستقامة الفكر والروح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وسلامه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البديهيّ، أنّ القيام بمثل هذه الأعمال وتحقيق هذه الأهداف والبرامج، يتوقّف على الاتّصاف الذاتي بهذه الكمالات، وعلى حيازة الأهلية العظيمة الّتي لم يحُزْها إلّا الأنبياء والأئمّة الطاهرون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المؤيّدون من عند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وَلِيَّهُم وَلِيُّ الله، وعدوَّهُم عدُوُّ الله وطاعَتَهُم طاعَةُ الله ومَعصِيَتَهُم مَعصيةُ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هذه الکلمات الّتي قالها السیّد عبد العظیم الحسني، نقف على عظمة مقام الإمامة والولاية، والّتي يظهر ممّا ذكرناه، أنّها تالي ولايةالله تعالى، فوليّهم وليُّ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ويستفاد من بعض الأحاديث المعتبرة، أنّ العبد لو عبد الله مدّة دعوة نوح في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يصوم يومه ويقوم ليله، وقُتل بين الركن والمقام مظلوماً، لم يشمّ رائحة الجنَّة ما لم يتولّ هؤلاء الأطهار</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أَتاكُم نَجا ومَن لَمْ يأتِكُم هلك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أطاعَكُم فقد أطاعَ الله ومَن عصاكُم فقدْ عصى الله</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بعض الروايات الّتي نقلت بطرق العامّة أيضاً، أنّ العبد يُسئَل يوم القيامة قبل أن يرفع قدماً عن قدم في جملة اُمور أربعة عن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بکلّ معانيها، وعن محبّتهم وأنّهم أولياء الأمر </w:t>
      </w:r>
    </w:p>
    <w:p>
      <w:pPr>
        <w:pStyle w:val="BookText"/>
        <w:rPr/>
      </w:pPr>
      <w:r>
        <w:rPr>
          <w:rFonts w:ascii="Amiri" w:hAnsi="Amiri" w:eastAsia="Amiri" w:cs="Amiri"/>
          <w:color w:val="111111"/>
          <w:sz w:val="28"/>
          <w:sz w:val="28"/>
          <w:szCs w:val="28"/>
          <w:rtl w:val="true"/>
          <w:lang w:bidi="ar-SA"/>
        </w:rPr>
        <w:t>والأئمّة والخلفاء، وهذا أمرٌ مسلّمٌ بين المسلمين منذ صدر الإسلام وعصر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الفرزدق في قصيدته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مَنجى ومُعتَصَم</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 w:name="pg7257_108103"/>
      <w:bookmarkStart w:id="54" w:name="pg7257_108103"/>
      <w:bookmarkEnd w:id="54"/>
    </w:p>
    <w:p>
      <w:pPr>
        <w:pStyle w:val="Heading2"/>
        <w:numPr>
          <w:ilvl w:val="1"/>
          <w:numId w:val="1"/>
        </w:numPr>
        <w:rPr/>
      </w:pPr>
      <w:bookmarkStart w:id="55" w:name="pg7257_108103"/>
      <w:bookmarkStart w:id="56" w:name="__RefHeading___Toc453744_1051229030"/>
      <w:bookmarkStart w:id="57" w:name="_Toc18"/>
      <w:bookmarkEnd w:id="55"/>
      <w:bookmarkEnd w:id="56"/>
      <w:r>
        <w:rPr>
          <w:rtl w:val="true"/>
        </w:rPr>
        <w:t>عرض الدّین والمعراج و</w:t>
      </w:r>
      <w:r>
        <w:rPr>
          <w:rtl w:val="true"/>
        </w:rPr>
        <w:t>...</w:t>
      </w:r>
      <w:bookmarkEnd w:id="57"/>
    </w:p>
    <w:p>
      <w:pPr>
        <w:pStyle w:val="Heading3"/>
        <w:numPr>
          <w:ilvl w:val="2"/>
          <w:numId w:val="1"/>
        </w:numPr>
        <w:rPr/>
      </w:pPr>
      <w:bookmarkStart w:id="58" w:name="__RefHeading___Toc453746_1051229030"/>
      <w:bookmarkStart w:id="59" w:name="_Toc19"/>
      <w:bookmarkEnd w:id="58"/>
      <w:r>
        <w:rPr>
          <w:rtl w:val="true"/>
        </w:rPr>
        <w:t>اشارة</w:t>
      </w:r>
      <w:bookmarkEnd w:id="59"/>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المِعراجَ حقٌّ والمُساءَلَةَ في القَبرِ حقٌّ وإنّ الجَّنَّة حقٌّ والنارَ حقٌّ، والصراطَ حقٌّ، والميزان حقٌّ، وإنَّ السّاعَةَ آتِيَةٌ لا ريبَ فيها، وإنّ الله يَبعَثُ مَن في القُبور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القسم يعرض السیّد عبد العظیم قسماً آخر من معتقداته، ويشهد بحقّانية المعراج وسؤال القبر والجنّة والنار والصراط والميزان والساعة والقيامة والبعث والإحياء، وسنحاول بيان هذه الاُمور بنحو الاختصار</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نذكر مقدّمةً بأنّ الاعتقاد بالمعاد وحشر الأموات والثواب والعقاب واجبٌ، وإن اكتفينا في مقام الحكم بإسلام الإنسان، بإقراره بالشهادتين والتوحيد والرسالة، والّذي يتضمّن الاعتقاد بحقّانية کلّ ما نزل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والإقرار الإجمالي به، لكنّ الاعتقاد تفصيلاً بخصوص المعاد وعالم العقبى وإحياء الموتى للحساب، واجبٌ كما أنّ الاعتقاد بالجنّة </w:t>
      </w:r>
      <w:bookmarkStart w:id="60" w:name="pg7257_108104"/>
    </w:p>
    <w:p>
      <w:pPr>
        <w:pStyle w:val="BookText"/>
        <w:rPr/>
      </w:pPr>
      <w:bookmarkEnd w:id="60"/>
      <w:r>
        <w:rPr>
          <w:rFonts w:ascii="Amiri" w:hAnsi="Amiri" w:eastAsia="Amiri" w:cs="Amiri"/>
          <w:color w:val="111111"/>
          <w:sz w:val="28"/>
          <w:sz w:val="28"/>
          <w:szCs w:val="28"/>
          <w:rtl w:val="true"/>
          <w:lang w:bidi="ar-SA"/>
        </w:rPr>
        <w:t>والنار والصراط والميزان بنحو التفصيل لازمٌ واجب، ولعلّ علّة وجوبه تفصيلاً وعدم كفاية الإجمال هنا، هو وضوح وظهور وضرورة اشتمال دعوة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الاُمور، كالاعتقاد بالملائكة والأنبياء السابقين والكتب السماوية النازلة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بيان هذه المقدّمة، نبيّن عدّة اُمور ترتبط بهذه المواضيع</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453748_1051229030"/>
      <w:bookmarkStart w:id="62" w:name="_Toc20"/>
      <w:bookmarkEnd w:id="61"/>
      <w:r>
        <w:rPr>
          <w:rtl w:val="true"/>
        </w:rPr>
        <w:t>الف</w:t>
      </w:r>
      <w:r>
        <w:rPr>
          <w:rtl w:val="true"/>
        </w:rPr>
        <w:t xml:space="preserve">) </w:t>
      </w:r>
      <w:r>
        <w:rPr>
          <w:rtl w:val="true"/>
        </w:rPr>
        <w:t>المعراج</w:t>
      </w:r>
      <w:bookmarkEnd w:id="62"/>
    </w:p>
    <w:p>
      <w:pPr>
        <w:pStyle w:val="BookText"/>
        <w:rPr/>
      </w:pPr>
      <w:r>
        <w:rPr>
          <w:rFonts w:ascii="Amiri" w:hAnsi="Amiri" w:eastAsia="Amiri" w:cs="Amiri"/>
          <w:color w:val="111111"/>
          <w:sz w:val="28"/>
          <w:sz w:val="28"/>
          <w:szCs w:val="28"/>
          <w:rtl w:val="true"/>
          <w:lang w:bidi="ar-SA"/>
        </w:rPr>
        <w:t>من جملة معتقدات المسلمين، أنّ الله سبحانه وتعالى، في ليلةٍ سمّيت بليلة المعراج، سار بحبيبه خاتم الأنبياء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مكّة</w:t>
      </w:r>
    </w:p>
    <w:p>
      <w:pPr>
        <w:pStyle w:val="BookText"/>
        <w:rPr/>
      </w:pPr>
      <w:r>
        <w:rPr>
          <w:rFonts w:ascii="IRNazanin" w:hAnsi="IRNazanin" w:eastAsia="IRNazanin"/>
          <w:color w:val="111111"/>
          <w:sz w:val="28"/>
          <w:sz w:val="28"/>
          <w:szCs w:val="28"/>
          <w:rtl w:val="true"/>
          <w:lang w:bidi="fa-IR"/>
        </w:rPr>
        <w:t xml:space="preserve">صفحه مستقل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الدّین و المعراج والمعاد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 صفحه ها نوشته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المكرّمة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المسجد الأقصى، ومن هناك عرج بجسمه العنصري إلی العوالم العليا حتى وصل إلی مرتبة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قَابَ قَوْسَيْنِ أَوْ أَدْنٰى‌</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وتفاصيل هذا الإسراء والمعراج الّذي تمَّت بالقدرة الإلهية وبالإعجاز وخرق النواميس الطبيعية، ذُكِرَ بعضها في القرآن الكريم وبعض الأحاديث، وإن كان الاعتقاد بکلّ تفاصيلها الّتي جاءت في الأحاديث وخصوصاً أخبار الآحاد، ليس بواجب</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الآيات الدالّة على هذا المعراج، قوله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لِنُرِيَهُمِنْ آيَاتِنَا إِنَّهُ هُوَ السَّمِيعُ الْبَصِيُر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ورد في سورة النجم عدّة آيات في هذا المعنى، وكذلك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مَنْ أَرْسَلْنا مِنْ قَبْلِكَ مِنْ رُسُلِنَا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فَسْئَلِ الَّذِينَ يَقْرَؤُنَ الْكِتَابَ مِنْ قَبْلِكَ‌</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هذا، فإنّ أصل المعراج حقٌّ، وهو أمرٌ ثابت ومسلّمٌ لا يتردّد فيه المسلمون ويعدّونه من معجزات الرسول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الكبيرة، وأنّ العروج كان بالجسد العنصري،</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مثل هذا الأمر إنّما يكون إعجازاً فيما لو تمَّ بالجسد، لأنّ السير الروحي متيسّر لکلّ بشر وإلی کلّ النقاط في هذا العالم، وإن کان سير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عن سير أرواح الآخرين بانكشاف الحقائق الّتي لا تنكشف لغيره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الإنصاف هو أنّ التلقّي الأوّل للمسلمين من هذا المعراج والّذي آمن به المؤمنون وصدَّقوا 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والّذي أنكره الكفّار حينما استهزؤوا به، هو المعراج الجسماني، وليس في الأدلّة ما يدلّ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اُسري بروحه لا بجسمه، دفعاً لاستغرابهم واستبعادهم، بل الظاهر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أكّد جسمانية المعراج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أيّ حالٍ، فإنّ الكثير من العلماء يرى أنّ إنکار جسمانية المعراج هو إنكار ضرورة من ضروريّات الدين،</w:t>
      </w:r>
      <w:r>
        <w:rPr>
          <w:rFonts w:eastAsia="IRNazanin" w:cs="IRNazanin"/>
          <w:color w:val="111111"/>
          <w:sz w:val="28"/>
          <w:szCs w:val="28"/>
          <w:rtl w:val="true"/>
          <w:lang w:bidi="fa-IR"/>
        </w:rPr>
        <w:t>(</w:t>
      </w:r>
      <w:r>
        <w:rPr>
          <w:rStyle w:val="FootnoteAnchor"/>
          <w:rtl w:val="true"/>
        </w:rPr>
        <w:footnoteReference w:id="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وموجبٌ للكفر،</w:t>
      </w:r>
      <w:r>
        <w:rPr>
          <w:rFonts w:eastAsia="Amiri" w:cs="Amiri" w:ascii="Amiri" w:hAnsi="Amiri"/>
          <w:color w:val="111111"/>
          <w:sz w:val="28"/>
          <w:szCs w:val="28"/>
          <w:rtl w:val="true"/>
          <w:lang w:bidi="ar-SA"/>
        </w:rPr>
        <w:t>(</w:t>
      </w:r>
      <w:r>
        <w:rPr>
          <w:rStyle w:val="FootnoteAnchor"/>
          <w:rtl w:val="true"/>
        </w:rPr>
        <w:footnoteReference w:id="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وتترتّب عليه أحكام الارتداد، والبعض الآخر منهم قيَّده بصورة استلزامه إنکار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لا ينبغي إهماله والسكوت حِيالَه هو أنّ شبهات بعض أهل المعقول في مورد المعراج الجسماني وأنّه يستلزم الخرق والالتئام في الأفلاك،</w:t>
      </w:r>
      <w:r>
        <w:rPr>
          <w:rFonts w:eastAsia="Amiri" w:cs="Amiri" w:ascii="Amiri" w:hAnsi="Amiri"/>
          <w:color w:val="111111"/>
          <w:sz w:val="28"/>
          <w:szCs w:val="28"/>
          <w:rtl w:val="true"/>
          <w:lang w:bidi="ar-SA"/>
        </w:rPr>
        <w:t>(</w:t>
      </w:r>
      <w:r>
        <w:rPr>
          <w:rStyle w:val="FootnoteAnchor"/>
          <w:rtl w:val="true"/>
        </w:rPr>
        <w:footnoteReference w:id="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مردودةٌ؛ لعموم قدرة الله وصدور المعجزات وخوارق </w:t>
      </w:r>
    </w:p>
    <w:p>
      <w:pPr>
        <w:pStyle w:val="BookText"/>
        <w:rPr/>
      </w:pPr>
      <w:r>
        <w:rPr>
          <w:rFonts w:ascii="IRNazanin" w:hAnsi="IRNazanin" w:eastAsia="IRNazanin"/>
          <w:color w:val="111111"/>
          <w:sz w:val="28"/>
          <w:sz w:val="28"/>
          <w:szCs w:val="28"/>
          <w:rtl w:val="true"/>
          <w:lang w:bidi="fa-IR"/>
        </w:rPr>
        <w:t>العادة الكثيرة، ولإخبار الرسول الصادق المصدَّق، مضافاً إلی منافاتها للاكتشافات العلمية المعاصرة الثابتة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فهؤلاء الحضرات، قد رسموا لما سوى الله خارطةً فرضيّة على أساس نظريّاتهم الشخصية، عيّنوا على أساسها هيکلية الكون والأفلاك، ظنّاً منهم أنّهم رسموا خارطة ربط الحادث بالقديم، وصدور الكثير عن الواحد، وكأنّهم كانوا مع الله في کلّ مكان وزمان وشاهدوا کلّ التحوّلات الّتي جَرت على هذا الكون والكيوان في کلّ أدوار العالم، وعلى هذا الأساس عنونوا عالم العقول والمجرّدات، واعتقدوا بسلسلاتٍ ظهر بطلانها بتقدّم العلوم والفنون الحديثة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وطريق الصواب والمصون من الخطر هو الاكتفاء بإخبار النبيّ الصادق المصدَّق في هذه الاُمور، والاعتقاد بالمعراج وإن عجزنا عن معرفة كيفيته وديناميكيته وإمكانه للبشر، وأن لا نقول من عندنا ما لم يصلنا من الشرع، وأن لا نکلِّف أنفسَنا في فهم ما لم يکلِّفنا الشرع فهمَه ومعرفتَه والخوضَ فيه</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حاول بعض الماضين من أهل المعقول التوفيق بين القول بالمعراج الجسماني والقول بالمعراج الروحاني، في رسالة موسومة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الورديّة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ما حُكي عنها،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 معراج جسماني ومعراج </w:t>
      </w:r>
    </w:p>
    <w:p>
      <w:pPr>
        <w:pStyle w:val="BookText"/>
        <w:rPr/>
      </w:pPr>
      <w:r>
        <w:rPr>
          <w:rFonts w:ascii="IRNazanin" w:hAnsi="IRNazanin" w:eastAsia="IRNazanin"/>
          <w:color w:val="111111"/>
          <w:sz w:val="28"/>
          <w:sz w:val="28"/>
          <w:szCs w:val="28"/>
          <w:rtl w:val="true"/>
          <w:lang w:bidi="fa-IR"/>
        </w:rPr>
        <w:t>روحاني ومعراج عقلاني، ومعراجه الجسماني کان مسير جسده الشريف إلی منتهى مراتب الأجسام، والّذي طواه على البُراق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والعبارة الّتي نقلت عن صاحب الرسالة الورديّة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وسری بسَيرهِ إلی الله مِن ظلماتِ عالَم الأجسام والأجرام على مركبه الّذي سُمّي بالبُراق في كمال السُّرعَة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خصوص الجنبة الروحانيّة للمعراج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وارتَقى بِروُحه القُدسيَّة إلی مَدارجِ الأرواح، وخَرَقَ الحُجُبَ، وبلغَ قِمَّةَ الضِراح إلی أن صارَ إماماً لصفوف الأرواح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المعراج العقلاني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تَرقّى بِعَقلِه النُوريّ ونورِهِ العقليّ، ودَخَلَ سُرادقاتِ الجَلالِ، ورَفَعَ أستارَ البَهاء والجَمال إلی أن وَصَلَ إلی حدّ لَمْ يكن بينَهُ وبَينَ رَبِّه أحدٌ حتّى نَفسُه الشريفُ وذاتُهُ الرفيعةُ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العبارات وإن کانت لا تخلو من لطافةٍ، خاصّةً تعبيره عن المعراج الجسمانيّ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الروحاني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ارتقى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العقلاني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وكذلك لطافة تقسيمه المعراج إلی ثلاث مراتب وتحديد الجسماني منه بالسير إلى منتهى عالم الأجسام، تخلّصاً من مخالفة ضرورية المعراج الجسماني، ولكن من الواضح أنّ المعراج الّذي کان مرتكزاً في أذهان المتشرّعة والمستفاد من ظواهر الآيات والروايات هو أنّ کلّ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المعراج کان </w:t>
      </w:r>
    </w:p>
    <w:p>
      <w:pPr>
        <w:pStyle w:val="BookText"/>
        <w:rPr/>
      </w:pPr>
      <w:r>
        <w:rPr>
          <w:rFonts w:ascii="Amiri" w:hAnsi="Amiri" w:eastAsia="Amiri" w:cs="Amiri"/>
          <w:color w:val="111111"/>
          <w:sz w:val="28"/>
          <w:sz w:val="28"/>
          <w:szCs w:val="28"/>
          <w:rtl w:val="true"/>
          <w:lang w:bidi="ar-SA"/>
        </w:rPr>
        <w:t>معراجاً جسمانياً، وأنّه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ذهب، فقد ذهب بجسده العنصري لا غير، وما أروع ما قاله الشهيد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مديحه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حيث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قَد رَقی السَبعَ الطِباقَ بَنَعلِهِ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وَعَوّضَهُ الله البُراقَ عن الْمُهْرِ</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 مَن خصَّ بالإسراء رُتبَتَهُ</w:t>
      </w:r>
    </w:p>
    <w:p>
      <w:pPr>
        <w:pStyle w:val="BookText"/>
        <w:rPr/>
      </w:pPr>
      <w:r>
        <w:rPr>
          <w:rFonts w:ascii="Amiri" w:hAnsi="Amiri" w:eastAsia="Amiri" w:cs="Amiri"/>
          <w:color w:val="111111"/>
          <w:sz w:val="28"/>
          <w:sz w:val="28"/>
          <w:szCs w:val="28"/>
          <w:rtl w:val="true"/>
          <w:lang w:bidi="ar-SA"/>
        </w:rPr>
        <w:t>بقربه حيث لا كيفٌ وتَمثيلُ</w:t>
      </w:r>
    </w:p>
    <w:p>
      <w:pPr>
        <w:pStyle w:val="BookText"/>
        <w:rPr/>
      </w:pPr>
      <w:r>
        <w:rPr>
          <w:rFonts w:ascii="Amiri" w:hAnsi="Amiri" w:eastAsia="Amiri" w:cs="Amiri"/>
          <w:color w:val="111111"/>
          <w:sz w:val="28"/>
          <w:sz w:val="28"/>
          <w:szCs w:val="28"/>
          <w:rtl w:val="true"/>
          <w:lang w:bidi="ar-SA"/>
        </w:rPr>
        <w:t>بالجسم أسرى به والروح خادمةٌ</w:t>
      </w:r>
    </w:p>
    <w:p>
      <w:pPr>
        <w:pStyle w:val="BookText"/>
        <w:rPr/>
      </w:pPr>
      <w:r>
        <w:rPr>
          <w:rFonts w:ascii="Amiri" w:hAnsi="Amiri" w:eastAsia="Amiri" w:cs="Amiri"/>
          <w:color w:val="111111"/>
          <w:sz w:val="28"/>
          <w:sz w:val="28"/>
          <w:szCs w:val="28"/>
          <w:rtl w:val="true"/>
          <w:lang w:bidi="ar-SA"/>
        </w:rPr>
        <w:t>لهُ من الله تعظيمٌ وتبجيلُ</w:t>
      </w:r>
    </w:p>
    <w:p>
      <w:pPr>
        <w:pStyle w:val="BookText"/>
        <w:rPr/>
      </w:pPr>
      <w:r>
        <w:rPr>
          <w:rFonts w:ascii="Amiri" w:hAnsi="Amiri" w:eastAsia="Amiri" w:cs="Amiri"/>
          <w:color w:val="111111"/>
          <w:sz w:val="28"/>
          <w:sz w:val="28"/>
          <w:szCs w:val="28"/>
          <w:rtl w:val="true"/>
          <w:lang w:bidi="ar-SA"/>
        </w:rPr>
        <w:t>له البُراقُ جوادٌ والسماء طُرُقٌ</w:t>
      </w:r>
    </w:p>
    <w:p>
      <w:pPr>
        <w:pStyle w:val="BookText"/>
        <w:rPr/>
      </w:pPr>
      <w:r>
        <w:rPr>
          <w:rFonts w:ascii="Amiri" w:hAnsi="Amiri" w:eastAsia="Amiri" w:cs="Amiri"/>
          <w:color w:val="111111"/>
          <w:sz w:val="28"/>
          <w:sz w:val="28"/>
          <w:szCs w:val="28"/>
          <w:rtl w:val="true"/>
          <w:lang w:bidi="ar-SA"/>
        </w:rPr>
        <w:t>مَسْلوكَةٌ ودَليلُ السَيْرِ جِبْريل</w:t>
      </w:r>
      <w:r>
        <w:rPr>
          <w:rFonts w:eastAsia="Amiri" w:cs="Amiri" w:ascii="Amiri" w:hAnsi="Amiri"/>
          <w:color w:val="111111"/>
          <w:sz w:val="28"/>
          <w:szCs w:val="28"/>
          <w:rtl w:val="true"/>
          <w:lang w:bidi="ar-SA"/>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ما ذكره من أنّه ترك جسمه في منتهى عالم الأجساد وعرج بروحه إلى منتهى عالم الأرواح النورية ومن ثمّ ذهب بعقله النوري ونوره العقلي إلی حيث لم يكن بينه وبين الله سبحانه أحدٌ حتى نفسه الشريفة </w:t>
      </w:r>
    </w:p>
    <w:p>
      <w:pPr>
        <w:pStyle w:val="BookText"/>
        <w:rPr/>
      </w:pPr>
      <w:r>
        <w:rPr>
          <w:rFonts w:ascii="IRNazanin" w:hAnsi="IRNazanin" w:eastAsia="IRNazanin"/>
          <w:color w:val="111111"/>
          <w:sz w:val="28"/>
          <w:sz w:val="28"/>
          <w:szCs w:val="28"/>
          <w:rtl w:val="true"/>
          <w:lang w:bidi="fa-IR"/>
        </w:rPr>
        <w:t>وذاته الرفيعة، فالحقيقة أنّنا لا ندري شيئاً من هذا الکلام، وحتى اُولئك الّذين عاصروا هذه الواقعة، والّذين جاؤوا من بعدهم لم يفهموا هذه المعاني منها، فهذه العبارات أشبه ما تكون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رجماً بالغيب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فلو أنّ الإنسان أذعن بعجزه عن معرفة حقائق هذا المطلب، کان أدلّ على علمه وفهمه ومعرفته من إظهار علمه بهذا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يمكننا أن نقيس کلّ الأشياء بميزان خياليّ مبتنٍ على أساس سلسلة مزاعم ونظريات حول ما سوى الله وعوالم خيالية رتّبناها بمخيّلتنا ذلك الميزان الّذي لا يصلح إلّا لقياس التخيّلات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بحسب دلالة القرآن الكريم والأحاديث الشريفة، کان معراج النبيّ جسمانياً، وأنّ کلّ الحقائق الّتي انكشفت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قد انكشفت لشخصه المتجسّم بهذا الجسم الشريف، ولا نفهم معنى لما ذكره الفاضل المذكور، فإن كان مراده أنّ روحَ أو عقلَ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عرجا إلی عالم الأرواح والعقول مع بقائها في الجسد العنصري، فهذا لا ينسجم مع ما قاله من سير الجسم إلی منتهى عالم الأجسام، وإن کان مراده أنّ هذه الروح الشريفة قد خلعت البدن العنصري واخترقت العوالم الاُخری فوصلت إلی عالم الأرواح ومن ثمَّ إلی عالم العقول، فإنّ هذا المعنى لا يفهم من الآيات والروايات إلّا بالتأويل والتوجيه، ثم إنّ أصل وجود عوالم ماوراء عالم الأجسام وبالمعنى الّذي يطلق على الملائكة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اُولي </w:t>
      </w:r>
    </w:p>
    <w:p>
      <w:pPr>
        <w:pStyle w:val="BookText"/>
        <w:rPr/>
      </w:pPr>
      <w:r>
        <w:rPr>
          <w:rFonts w:ascii="Amiri" w:hAnsi="Amiri" w:eastAsia="Amiri" w:cs="Amiri"/>
          <w:color w:val="111111"/>
          <w:sz w:val="28"/>
          <w:sz w:val="28"/>
          <w:szCs w:val="28"/>
          <w:rtl w:val="true"/>
          <w:lang w:bidi="ar-SA"/>
        </w:rPr>
        <w:t>أجنحة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محلّ کلام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الحضرات قد خطّطوا للكائنات، واصطنعوا عالم الأرواح وعالم العقول، وطبّقوا المعراج وحقائقه على أساس هذا المخطّط الذهنيّ الشخصي، وأوّلوها بما ينسجم معه، فلا نبالغ 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کلامهم مصداقٌ لقوله تعالى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هِيَ إِلَّا أَسْمَاءٌ سَمَّيْتُمُوهَا أَنْتُمْ وآبَاؤُكُمْ مَا أَنْزَلَ اللهُ بِهَا مِنْ سُلْطَانٍ‌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ليس لديهم دليلٌ شرعيّ على دعواهم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السیّد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المعراج من ضروريّات الدين في الجملة، ومنكره خارج عن ربقة الإسلام والمسلمين، وقد روي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شيعَتِنا مَن أنكَرَ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والمسألة في القَبر، وخلق الجنَّة والنار، والشفاعة</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عليه الإمامية هو أنّ المعراج کان ببدن وجسم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 xml:space="preserve">) </w:t>
      </w:r>
      <w:bookmarkStart w:id="63" w:name="pg7257_108113"/>
    </w:p>
    <w:p>
      <w:pPr>
        <w:pStyle w:val="BookText"/>
        <w:rPr/>
      </w:pPr>
      <w:bookmarkEnd w:id="63"/>
      <w:r>
        <w:rPr>
          <w:rFonts w:ascii="Amiri" w:hAnsi="Amiri" w:eastAsia="Amiri" w:cs="Amiri"/>
          <w:color w:val="111111"/>
          <w:sz w:val="28"/>
          <w:sz w:val="28"/>
          <w:szCs w:val="28"/>
          <w:rtl w:val="true"/>
          <w:lang w:bidi="ar-SA"/>
        </w:rPr>
        <w:t>ومن جملة الروايات المهمّة والّتي رويت في كتب أهل السنّة، هذه الرواية 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بأيّ لُغَةٍ خاطَبَكَ ربُّك ليلة المعراج؟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خاطَبني بلُغةِ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فأَلْهَمَني أن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خاطبتني أنت أم عليّ؟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أنا شيءٌ لَيسَ كالأشياء، لا اُقاس بالناس، ولا اُوصَف بالأشياء، خلقتك من نوري وخَلَقتُ عَليّاً مِن نورك، فاطَّلَعتُ على سرائرِ قَلبِك فَلَمْ أجد إلی قَلبِكَ أحبَّ إليكَ من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فخاطبتكَ بِلسانِهِ كَيْما يَطمئنَّ قلبُك</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453750_1051229030"/>
      <w:bookmarkStart w:id="65" w:name="_Toc21"/>
      <w:bookmarkEnd w:id="64"/>
      <w:r>
        <w:rPr>
          <w:rtl w:val="true"/>
        </w:rPr>
        <w:t>ب</w:t>
      </w:r>
      <w:r>
        <w:rPr>
          <w:rtl w:val="true"/>
        </w:rPr>
        <w:t xml:space="preserve">) </w:t>
      </w:r>
      <w:r>
        <w:rPr>
          <w:rtl w:val="true"/>
        </w:rPr>
        <w:t>سؤال القبر</w:t>
      </w:r>
      <w:bookmarkEnd w:id="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المسائل الاعتقادية الّتي ينبغي الإیمان بها، هي مسألة القبر والمساءلة بعد الموت، والّتي ثبتت بالأحاديث والروايات الكثيرة، أنّ إنكارها مخالف للإسلام وردٌّ للأحاديث المتواترة، ولذا فإنّ السیّد عبد العظیم قد عرض اعتقاده بهذه القضيّة على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66" w:name="pg7257_108114"/>
    </w:p>
    <w:p>
      <w:pPr>
        <w:pStyle w:val="BookText"/>
        <w:rPr/>
      </w:pPr>
      <w:bookmarkEnd w:id="66"/>
      <w:r>
        <w:rPr>
          <w:rFonts w:ascii="Amiri" w:hAnsi="Amiri" w:eastAsia="Amiri" w:cs="Amiri"/>
          <w:color w:val="111111"/>
          <w:sz w:val="28"/>
          <w:sz w:val="28"/>
          <w:szCs w:val="28"/>
          <w:rtl w:val="true"/>
          <w:lang w:bidi="ar-SA"/>
        </w:rPr>
        <w:t xml:space="preserve">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الاعتقادات أنّ مسألة القبر حقٌّ لا مهرب منه، ومن أجاب في القبر بالصواب والمطابقة للواقع، فقد فاز بروح وريحان، ومن لم يجب بالصواب فله نُزلٌ من حميم</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7" w:name="__RefHeading___Toc453752_1051229030"/>
      <w:bookmarkStart w:id="68" w:name="_Toc22"/>
      <w:bookmarkEnd w:id="67"/>
      <w:r>
        <w:rPr>
          <w:rtl w:val="true"/>
        </w:rPr>
        <w:t>ج</w:t>
      </w:r>
      <w:r>
        <w:rPr>
          <w:rtl w:val="true"/>
        </w:rPr>
        <w:t xml:space="preserve">) </w:t>
      </w:r>
      <w:r>
        <w:rPr>
          <w:rtl w:val="true"/>
        </w:rPr>
        <w:t>الجنَّة والنار</w:t>
      </w:r>
      <w:bookmarkEnd w:id="68"/>
    </w:p>
    <w:p>
      <w:pPr>
        <w:pStyle w:val="BookText"/>
        <w:rPr/>
      </w:pPr>
      <w:r>
        <w:rPr>
          <w:rFonts w:ascii="Amiri" w:hAnsi="Amiri" w:eastAsia="Amiri" w:cs="Amiri"/>
          <w:color w:val="111111"/>
          <w:sz w:val="28"/>
          <w:sz w:val="28"/>
          <w:szCs w:val="28"/>
          <w:rtl w:val="true"/>
          <w:lang w:bidi="ar-SA"/>
        </w:rPr>
        <w:t>إنّ الاعتقاد بحقّانية الجنّة والنار، لهوَ من العقائد المحكمة والمسلّمة عند المسلمين، وقد صرّحت الآيات القرآنية والأحاديث الشريفة</w:t>
      </w:r>
      <w:r>
        <w:rPr>
          <w:rFonts w:eastAsia="Amiri" w:cs="Amiri" w:ascii="Amiri" w:hAnsi="Amiri"/>
          <w:color w:val="111111"/>
          <w:sz w:val="28"/>
          <w:szCs w:val="28"/>
          <w:rtl w:val="true"/>
          <w:lang w:bidi="ar-SA"/>
        </w:rPr>
        <w:t>(</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بهذه الحقيقة، خذ مثالاً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 في وصف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الْجَنَّةِ الّتي وُعِدَ الْمُتَّقُونَ فِيهَا أَنْهارٌ مِنْ مَاءٍ غَيْرِ آسِنٍ</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أَعْتَدْنَا لِلظَّالِمينَ نَاراً أَحَاطَ بِهِمْ سُرَادِقُهَا وَإِنْ يَسْتَغيثُوا يُغَاثُوا بِمَاءٍ كَالْمُهْلِ يَشْوِي الْوُجُوهَ بِئْسَ الشَّرَابُ وسَاءَتْ مُرْتَفَقاً</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w:t>
      </w:r>
    </w:p>
    <w:p>
      <w:pPr>
        <w:pStyle w:val="BookText"/>
        <w:rPr/>
      </w:pPr>
      <w:r>
        <w:rPr>
          <w:rFonts w:ascii="Amiri" w:hAnsi="Amiri" w:eastAsia="Amiri" w:cs="Amiri"/>
          <w:color w:val="111111"/>
          <w:sz w:val="28"/>
          <w:sz w:val="28"/>
          <w:szCs w:val="28"/>
          <w:rtl w:val="true"/>
          <w:lang w:bidi="ar-SA"/>
        </w:rPr>
        <w:t>وكذلك الاعتقاد بالميزان، عقيدةٌ انبثقت من الآيات القرآنية المجيدة والأحاديث الشريفة، ولابدّ من الاعتقاد بها إجمالاً، وإن لم يعتقد بتفاصيلها الّتي لا ضرورة في الاعتقاد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والتفاسير والتعاريف الّتي ذكرت للميزان وما يوزن به متعدّدة، وکلّها قابلة للتحقّق، وقد تختلف الكيفيّات باختلاف الأشخاص وباختلاف مواقف القيامة والحساب</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الصراط</w:t>
      </w:r>
    </w:p>
    <w:p>
      <w:pPr>
        <w:pStyle w:val="BookText"/>
        <w:rPr/>
      </w:pPr>
      <w:r>
        <w:rPr>
          <w:rFonts w:ascii="IRNazanin" w:hAnsi="IRNazanin" w:eastAsia="IRNazanin"/>
          <w:color w:val="111111"/>
          <w:sz w:val="28"/>
          <w:sz w:val="28"/>
          <w:szCs w:val="28"/>
          <w:rtl w:val="true"/>
          <w:lang w:bidi="fa-IR"/>
        </w:rPr>
        <w:t>يقول السیّد شبّر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الصراط من ضروريّات الدين ولا يخالف فيه أحدٌ من المسلمين، وهو بحسب الروايات جسرٌ على جهنّم، أحدُّ من السيف وأدقُّ من الشعرة</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يقول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جميع الناس لابدّ أن يعبروا من هذا الجسر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معنى آخر للصراط ورد في الروايات وهو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المراد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ولاية أمير المؤمنين </w:t>
      </w:r>
    </w:p>
    <w:p>
      <w:pPr>
        <w:pStyle w:val="BookText"/>
        <w:rPr/>
      </w:pPr>
      <w:r>
        <w:rPr>
          <w:rFonts w:ascii="IRNazanin" w:hAnsi="IRNazanin" w:eastAsia="IRNazanin"/>
          <w:color w:val="111111"/>
          <w:sz w:val="28"/>
          <w:sz w:val="28"/>
          <w:szCs w:val="28"/>
          <w:rtl w:val="true"/>
          <w:lang w:bidi="fa-IR"/>
        </w:rPr>
        <w:t>وسائر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وبالتأمّل في الآيات القرآنية والروايات الشريفة، يستفاد أنّ لفظ الصراط قد استعمل في لسان القرآن والسنّة واُطلق على کلّ واحدٍ من المعنيين مستقلّا، كما أنّه فسِّر في المورد الواحد بالمعنيين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p>
    <w:p>
      <w:pPr>
        <w:pStyle w:val="BookText"/>
        <w:rPr/>
      </w:pPr>
      <w:r>
        <w:rPr>
          <w:rFonts w:ascii="IRNazanin" w:hAnsi="IRNazanin" w:eastAsia="IRNazanin"/>
          <w:color w:val="111111"/>
          <w:sz w:val="28"/>
          <w:sz w:val="28"/>
          <w:szCs w:val="28"/>
          <w:rtl w:val="true"/>
          <w:lang w:bidi="fa-IR"/>
        </w:rPr>
        <w:t>يُبيِّن السیّد عبد العظیم اعتقاده بالمعاد بهذه العبارة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السَّاعَةَ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مسألة القيامة وعودَ الأرواح إلی الأجسام ويوم البعث وإحياء الموتى من المعتقدات الأوّليّة والأصيلة في الإسلام، وقد دلّت على ذلك آيات قرآنية كثيرة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يخفى، أنّ يوم القيامة له أسماء متعدّدة، 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سُمّي به يوم القيامة في موارد عديدة من الآي الحكيمة،</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اتَّقُوا رَبَّكُمْ إِنَّ زَلْزَلَةَ السَّاعَةِ شَيْ‌ءٌ عَظِيمٌ‌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السَّاعَةَ آتِيَةٌ</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يَسْئَلُونَكَ عَنِ السَّاعَةِ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أسمائه القيامة، كما 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الْقِيَامَةِ</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أسمائه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الحاقَّة، القارِعَة، الآزِفَة، يومُ الدّين، يوم الحساب، يوم الحسرة، يوم التغابُن وغيرها من الأسماء المصرَّح بها في الآيات القرآنية الشريفة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الفرائض الواجبة بعد 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والزكاة والصوم والحجّ والجهاد والأمر بالمعروف، والنهي عن المنكر</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 عدّة اُمور يمكن استفادتها من 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أهميّة الولاية وتقدّمها على الصلاة وسائر الواجبات، إذ بدون الولاية لا يكون العملُ مقبولاً من قِبل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أهمّيّة الفرائض المذكورة من بين کلّ الفرائض الاُخری، مع عدم انحصار الفرائض في المذكورات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فضيلة هذه الفرائض كثيرة كما ورد في القرآن والأحاديث، </w:t>
      </w:r>
    </w:p>
    <w:p>
      <w:pPr>
        <w:pStyle w:val="BookText"/>
        <w:rPr/>
      </w:pPr>
      <w:r>
        <w:rPr>
          <w:rFonts w:ascii="Amiri" w:hAnsi="Amiri" w:eastAsia="Amiri" w:cs="Amiri"/>
          <w:color w:val="111111"/>
          <w:sz w:val="28"/>
          <w:sz w:val="28"/>
          <w:szCs w:val="28"/>
          <w:rtl w:val="true"/>
          <w:lang w:bidi="ar-SA"/>
        </w:rPr>
        <w:t>فقد أكّدت الآيات القرآنية على الصلاة والزكاة، وكذلك الصوم والحجّ والجهاد والأمر بالمعروف والنهي عن المنكر، كما هو ثابت ومسلّم عند الجميع، وأنّ على المسلم الاعتقاد والتديّن بوجوبها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بالفرائض هنا کلّ التقديرات والأنظمة والتعليمات الإلزامية الشرعية، بقرينة وصفها بالوجوب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يكون المقصود من الفرائض، التكاليف المأمور بها والإلزامية، وأنّ المقصود من وصفها بالواجبة، ثبوتها بحسب القرآن المجيد</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أشرنا لا تنحصر الفرائض في هذه الأبواب وإن کانت الفرائض المذكورة هي عمدة وأهمّ الفرائض</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7257_108120"/>
      <w:bookmarkStart w:id="70" w:name="pg7257_108120"/>
      <w:bookmarkEnd w:id="70"/>
    </w:p>
    <w:p>
      <w:pPr>
        <w:pStyle w:val="Heading2"/>
        <w:numPr>
          <w:ilvl w:val="1"/>
          <w:numId w:val="1"/>
        </w:numPr>
        <w:rPr/>
      </w:pPr>
      <w:bookmarkStart w:id="71" w:name="pg7257_108120"/>
      <w:bookmarkStart w:id="72" w:name="__RefHeading___Toc453754_1051229030"/>
      <w:bookmarkStart w:id="73" w:name="_Toc23"/>
      <w:bookmarkEnd w:id="71"/>
      <w:bookmarkEnd w:id="72"/>
      <w:r>
        <w:rPr>
          <w:rtl w:val="true"/>
        </w:rPr>
        <w:t>عرض الدّین والثبات في الدّین</w:t>
      </w:r>
      <w:bookmarkEnd w:id="7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عليُّ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القاسم هذا والله دينُ الله الّذي ارتضاه لعباده، فاثبت عليه ثَبَّتك الله بالقول الثابت في الحياة الدنيا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القسم الأخير من الحديث يتضمَّن تصديق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بصحّة دين السيّد عبد العظيم الحسني، وأمره بالثبات عليه، ودعاءه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ولنا على هذه الفقرة توضيحات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للسيّد عبد العظيم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القاسم هذا والله دين الله الّذي ارتضاه لعباده</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وكما نعلم، أنّ المعتقدات الدينية وكذلك الفرائض الواجبة، لا تنحصر بما ذكره السیّد عبد العظیم هنا، بل هناك مسائل اُخرى في الإلهيّات وفي النبوّة وغيرها، لم يُشر إليها صراحةً هنا، كمسألة الإیمان </w:t>
      </w:r>
    </w:p>
    <w:p>
      <w:pPr>
        <w:pStyle w:val="BookText"/>
        <w:rPr/>
      </w:pPr>
      <w:r>
        <w:rPr>
          <w:rFonts w:ascii="IRNazanin" w:hAnsi="IRNazanin" w:eastAsia="IRNazanin"/>
          <w:color w:val="111111"/>
          <w:sz w:val="28"/>
          <w:sz w:val="28"/>
          <w:szCs w:val="28"/>
          <w:rtl w:val="true"/>
          <w:lang w:bidi="fa-IR"/>
        </w:rPr>
        <w:t>بالعدل الإلهي والإيمان بالملائكة والأنبياء السابقين، ومع ذلك نجد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والله دين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ويبدو أنّ ذلك بملاحظة ما يلي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الإیمان بالله ورسالة خاتم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متضمّن لکلّ هذه المسائل الاعتقادية الإسلامية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 هذه الاُمور ليست جزءاً من العقائد الّتي تُعَدُّ معرفتها والاعتقاد بها بخصوصها شرطاً في الإسلام والنجاح والنجاة، بل حتى لو غفل عنها الإنسان، وکانت معتقداته الأصليّة صحيحةً وعمل بتكاليفه، کان من الناجحين الناجين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فمثلاً، لو أنّ شخصاً لم يعرف الملائكة معرفةً تفصيلية، أو أنّه لم يعرف بعض الأنبياء السابقين كذلك، مثل داود وسليمان وشعيب، بل ولم يعرف أسماءهم وعناوينهم، أو أنّه لم يعرف بعض الأحكام الواجبة الّتي لم يبتلِ بها، فإنّ کلّ ذلك لا يقدح في إيمانه وإسلامه، إلّا إذا کان معتقده مخالفاً لما جاء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التفاته لذلك، وهو ما يستلزم إنکار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يعدُّ كفراً وارتداداً</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وتفادياً لخطر مخالفة الاعتقاد الديني لما جاء به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بالكتاب والسنّة، ينبغي على المرء أن يكتفي بالمعرفة الإجمالية في غير </w:t>
      </w:r>
    </w:p>
    <w:p>
      <w:pPr>
        <w:pStyle w:val="BookText"/>
        <w:rPr/>
      </w:pPr>
      <w:r>
        <w:rPr>
          <w:rFonts w:ascii="IRNazanin" w:hAnsi="IRNazanin" w:eastAsia="IRNazanin"/>
          <w:color w:val="111111"/>
          <w:sz w:val="28"/>
          <w:sz w:val="28"/>
          <w:szCs w:val="28"/>
          <w:rtl w:val="true"/>
          <w:lang w:bidi="fa-IR"/>
        </w:rPr>
        <w:t>الاُمور الّتي يلزم الاعتقاد بها تفصيلاً، وإلّا کان عليه عرض عقيدته ودينه في کلّ الاُمور على الكتاب والسنّة لئلّا يقع في الضلال والبدعة عن قصدٍ أو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المسألة الاُخری الّتي تستفاد من کلام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 مسألة الثبات على العقيدة الصحيحة وعلى الإیمان السليم، فعلى المرء أن يسعى جاهداً للحفاظ والثبات على عقيدته، وأن يحذر دائماً وسوسة الشیطان والنفس الأمّارة، وخاصّة في زمن غيبة حضرة وليّ الأمر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أرواحنا فداه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الامتحانات شديدة على أهل الإیمان، إلی الدرجة الّتي عبَّر عنها الرسول الأكرم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جابر المعروف، حيث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الّذي يَغيبُ عَن شيعتِه وأوليائه غَيبةً لا يَثبتُ فيها على القول بإمامته إلّا مَنْ امتحَنَ الله قلبَه للإيمان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هذا الزمن الّذي كثرت فيه الأفكار والآراء المضلّة، وفي هذا الدور الّذي هو دور التمحيص والتخليص، على المرء أن يستغيث بالله طلباً للثبات على العقيدة الصحيحة، وأن يداوم على هذا الدُّعاء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رحمن يا رحيم يا مقلِّبَ القلوب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يستحضر دائماً عقائده، وأن يودعها عند ربِّ العالمين بقراءة هذا الدعاء المنقول عن فخر المحقّقين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يا أرحَمَ الراحمين، إنّي قَدْ أودَعتُكَ يَقيني هذا وثَبات ديني وأنتَ خيرُ مُستَودَعٍ، وقد أمرتَنا بحِفظِ الوَدائعِ فَرُدَّهُ عليَّ وقتَ حُضور مَوْتي</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البعض، قراءة هذا الدعاء بعد الإقرار بالعقائد الحقَّة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الله يا رحمان يا رحيم، أودَعتُكَ هذا الإقرار بكَ وبالنبيّ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خير مُستودعٍ فرُدَّ عليَّ في القبْر عند مسألة منكرٍ ونكير</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إجمالاً، إنّ جوهرة الاعتقاد بالله وبالرسول 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تضاهيها </w:t>
      </w:r>
    </w:p>
    <w:p>
      <w:pPr>
        <w:pStyle w:val="BookText"/>
        <w:rPr/>
      </w:pPr>
      <w:r>
        <w:rPr>
          <w:rFonts w:ascii="IRNazanin" w:hAnsi="IRNazanin" w:eastAsia="IRNazanin"/>
          <w:color w:val="111111"/>
          <w:sz w:val="28"/>
          <w:sz w:val="28"/>
          <w:szCs w:val="28"/>
          <w:rtl w:val="true"/>
          <w:lang w:bidi="fa-IR"/>
        </w:rPr>
        <w:t>ولا تساويها جوهرة في الكمال والغلاء، فلو أنّ الإنسان فَقَد الدنيا بما فيها وحافظ على عقيدته، فلا ضَير عليه، وأمّا إذا فقد عقيدته فقد خسر الدنيا والآخرة مهما کان عنده، ومن ثمَّ نجد المحتالين والقراصنة والسرّاق قد نصبوا شباكهم لاختلاس هذه الجوهرة النفيسة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عصمنا الله تعالى من فساد العقيدة ورزقنا الإیمان بتمامه وكماله والثّبات عليه بحقِّ محمّد وآله الطاهرين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القسم، نلاحظ أنّ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دعا للسيّد عبد العظیم بتثبيت الله إیّاه على القول الثابت في الحياة الدنيا والآخرة، وهذا الدعاء مقتبس ومأخوذ من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 فِي الْحَيَاةِ الدُّنْيَا وَفِي الآخِرَةِ وَيُضِلُّ اللهُ الظَّالِمينَ وَيَفْعَلُ اللهُ مَا يَشَاءُ</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والّتي يستفاد منها أنّ الله تعالى يُثبّت إيمان المؤمنين على القول الثابت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والّذي هو بحسب بعض الروايات، کلمة التوحيد، وفي کلام الإمام هنا هو کلّ هذه الأقوال الثابتة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الحياة الدنيا وفي الآخرة</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ويظهر من کلمات البعض، أنّ أحد مصاديق أو أهمّ مصاديق التثبيت </w:t>
      </w:r>
    </w:p>
    <w:p>
      <w:pPr>
        <w:pStyle w:val="BookText"/>
        <w:rPr/>
      </w:pPr>
      <w:r>
        <w:rPr>
          <w:rFonts w:ascii="Amiri" w:hAnsi="Amiri" w:eastAsia="Amiri" w:cs="Amiri"/>
          <w:color w:val="111111"/>
          <w:sz w:val="28"/>
          <w:sz w:val="28"/>
          <w:szCs w:val="28"/>
          <w:rtl w:val="true"/>
          <w:lang w:bidi="ar-SA"/>
        </w:rPr>
        <w:t>على القول الثابت، هو في حالة الاحتضار والنزع وظهور سكرات الموت، وهي حالٌ خطيرة جدّاً، نعوذ بالله من هولها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فينبغي على المؤمن أن يطلب من الله حُسنَ العاقبة والموت بإيمان 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الطبيعيّ أنّ المواظبة على الطاعات والعبادات وترك المحرّمات، ومجالسة الأخيار، والمواظبة على قراءة القرآن والتأمّل في الآيات وسائر الأعمال النافعة، مؤثّرة بأجمعها ساعة الاحتضار، وأنّ خواتيم الاُمور مرتبطة بنحوٍ مّا بسوابقها الحسنة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فعلى المؤمن السالك طریق الشرع أن يواظب في کلّ الجهات وأن يحذر سوء الخاتمة، وأن يداوم على قراءة الأدعية المفيدة لحسن العاقبة والنجاة من العدول عن العقائد الحقّة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أنّه يستحبّ لذوي الميّت أن يلقّنوه الشهادتين والعقائد الحقَّة في حال احتضاره، وخاصّةً کلمة التوحيد،</w:t>
      </w:r>
      <w:r>
        <w:rPr>
          <w:rFonts w:eastAsia="IRNazanin" w:cs="IRNazanin"/>
          <w:color w:val="111111"/>
          <w:sz w:val="28"/>
          <w:szCs w:val="28"/>
          <w:rtl w:val="true"/>
          <w:lang w:bidi="fa-IR"/>
        </w:rPr>
        <w:t>(</w:t>
      </w:r>
      <w:r>
        <w:rPr>
          <w:rStyle w:val="FootnoteAnchor"/>
          <w:rtl w:val="true"/>
        </w:rPr>
        <w:footnoteReference w:id="1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لَقِّنوا مَوتاكُم لا إلهَ إلّا الله</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ويقول السیّد في الدُّرَّة النجفیة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ولقِّنِ الشهادتينِ المحتضر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له الأئمّة الاثني عشر</w:t>
      </w:r>
    </w:p>
    <w:p>
      <w:pPr>
        <w:pStyle w:val="BookText"/>
        <w:rPr/>
      </w:pPr>
      <w:r>
        <w:rPr>
          <w:rFonts w:ascii="Amiri" w:hAnsi="Amiri" w:eastAsia="Amiri" w:cs="Amiri"/>
          <w:color w:val="111111"/>
          <w:sz w:val="28"/>
          <w:sz w:val="28"/>
          <w:szCs w:val="28"/>
          <w:rtl w:val="true"/>
          <w:lang w:bidi="ar-SA"/>
        </w:rPr>
        <w:t xml:space="preserve">حتى يُقرَّ بهم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وليتحصّن حصنه المنيعا</w:t>
      </w:r>
    </w:p>
    <w:p>
      <w:pPr>
        <w:pStyle w:val="BookText"/>
        <w:rPr/>
      </w:pPr>
      <w:r>
        <w:rPr>
          <w:rFonts w:ascii="Amiri" w:hAnsi="Amiri" w:eastAsia="Amiri" w:cs="Amiri"/>
          <w:color w:val="111111"/>
          <w:sz w:val="28"/>
          <w:sz w:val="28"/>
          <w:szCs w:val="28"/>
          <w:rtl w:val="true"/>
          <w:lang w:bidi="ar-SA"/>
        </w:rPr>
        <w:t xml:space="preserve">ولقِّنَنْه کلماتِ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تقضي بحسن المخرج</w:t>
      </w:r>
    </w:p>
    <w:p>
      <w:pPr>
        <w:pStyle w:val="BookText"/>
        <w:rPr/>
      </w:pPr>
      <w:r>
        <w:rPr>
          <w:rFonts w:ascii="Amiri" w:hAnsi="Amiri" w:eastAsia="Amiri" w:cs="Amiri"/>
          <w:color w:val="111111"/>
          <w:sz w:val="28"/>
          <w:sz w:val="28"/>
          <w:szCs w:val="28"/>
          <w:rtl w:val="true"/>
          <w:lang w:bidi="ar-SA"/>
        </w:rPr>
        <w:t xml:space="preserve">واتْلُ عليه سوَرَ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يس ذاتِ الشأنِ</w:t>
      </w:r>
    </w:p>
    <w:p>
      <w:pPr>
        <w:pStyle w:val="BookText"/>
        <w:rPr/>
      </w:pPr>
      <w:r>
        <w:rPr>
          <w:rFonts w:ascii="Amiri" w:hAnsi="Amiri" w:eastAsia="Amiri" w:cs="Amiri"/>
          <w:color w:val="111111"/>
          <w:sz w:val="28"/>
          <w:sz w:val="28"/>
          <w:szCs w:val="28"/>
          <w:rtl w:val="true"/>
          <w:lang w:bidi="ar-SA"/>
        </w:rPr>
        <w:t xml:space="preserve">وآيةَ الكرسيِّ ثمّ السخَرَة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الثلاثَ من خِتام البقرة</w:t>
      </w:r>
    </w:p>
    <w:p>
      <w:pPr>
        <w:pStyle w:val="BookText"/>
        <w:rPr/>
      </w:pPr>
      <w:r>
        <w:rPr>
          <w:rFonts w:ascii="Amiri" w:hAnsi="Amiri" w:eastAsia="Amiri" w:cs="Amiri"/>
          <w:color w:val="111111"/>
          <w:sz w:val="28"/>
          <w:sz w:val="28"/>
          <w:szCs w:val="28"/>
          <w:rtl w:val="true"/>
          <w:lang w:bidi="ar-SA"/>
        </w:rPr>
        <w:t xml:space="preserve">وسورةَ الأحزاب بعدها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ينسىَ الّتي يس تتلو من تلا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الثبات على العقيدة في الآخرة، فقد ورد في جملة تفاسيره أنّه الثبات حال سؤال منكرٍ ونكير، عند ما يسألونه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ما دينُك؟ من نبيُّك؟ من إمامُك؟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جلَّ جلاله ربّي، والإسلامُ ديني، ومحمّدٌ نبيّي، وعليٌّ والحسنُ والحسينُ وعليّ بنُ الحسينِ ومحمدُ بن عليٍّ وجعفرُ بن محمّد وموسى بنُ جعفر وعليُّ بنُ موسى ومحمدُ بنُ عليٍّ وعليُّ بنُ محمّد والحسنُ بنُ عليٍّ والحجَّةُ بنُ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أئمّتي</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ثبّتنا على دينك ما أحييتنا، ولقِّنَّا حجَّتنا عند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موتنا، ولا تکلنا إلى أنفسنا طرفةَ عينٍ أبداً في الدنيا والآخرة، وأحْيِنا حياةَ محمّد وأهلِ بيته، وأمِتْنا مماتَهم، وارزقنا شفاعتهم، واحشرنا في زمرتهم، وصلّ عليهم صلاةً لا يحصى عددُها، واغفر لنا ولوالدينا، ولمن کان له حقٌّ علينا، ولجميع المؤمنين والمؤمنات، يا خير الناظرين ويا أرحم الراحمين</w:t>
      </w:r>
      <w:r>
        <w:rPr>
          <w:rFonts w:eastAsia="IRNazanin" w:cs="IRNazanin"/>
          <w:color w:val="111111"/>
          <w:sz w:val="28"/>
          <w:szCs w:val="28"/>
          <w:rtl w:val="true"/>
          <w:lang w:bidi="fa-IR"/>
        </w:rPr>
        <w:t xml:space="preserve">. </w:t>
      </w:r>
      <w:bookmarkStart w:id="74" w:name="pg7257_108128"/>
    </w:p>
    <w:p>
      <w:pPr>
        <w:pStyle w:val="Heading2"/>
        <w:numPr>
          <w:ilvl w:val="1"/>
          <w:numId w:val="1"/>
        </w:numPr>
        <w:rPr/>
      </w:pPr>
      <w:bookmarkStart w:id="75" w:name="__RefHeading___Toc453756_1051229030"/>
      <w:bookmarkStart w:id="76" w:name="_Toc24"/>
      <w:bookmarkEnd w:id="74"/>
      <w:bookmarkEnd w:id="75"/>
      <w:r>
        <w:rPr>
          <w:rtl w:val="true"/>
        </w:rPr>
        <w:t>مصادر التحقیق</w:t>
      </w:r>
      <w:bookmarkEnd w:id="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إثبات الهداة بالنصوص والمعجزات،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أجوبة المسائل المهنّائیّة،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الاختصاص،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الاعتقادات،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إعلام الوری بأعلام الهدی، الطبرسي، 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ابن طاووس، السیّد عليّ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الأمالي، المفید،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البعثة،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الأمالي، الطوسي،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دارالثقافة،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إمتاع الأسماع بما للنبيّ من الأحوال والأموال والحفدة والمتاع،المقریزي،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العلمیّة،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الإنصاف في النصّ علی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البحراني، السیّد هاشم بن سلیمان الحسیني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مکتب نشر الثقافة الإسلامیة،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الأنوار البهیّة في تواریخ الحجج الإلهیّة، المحدّث القمّي،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أوائل المقالات في المذاهب والمختارات، المفید، محمّد بن محمّد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 المفید،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بحار الأنوار الجامعة لدرر أخبار الأئمّة الأطهار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المجلسي،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ابن کثیر، إسماعیل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إحیاء التراث العربي،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البراهین القاطعة في شرح تجرید العقائد الساطعة، الأسترآبادي، محمّد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w:t>
      </w:r>
    </w:p>
    <w:p>
      <w:pPr>
        <w:pStyle w:val="BookText"/>
        <w:rPr/>
      </w:pPr>
      <w:r>
        <w:rPr>
          <w:rFonts w:ascii="Amiri" w:hAnsi="Amiri" w:eastAsia="Amiri" w:cs="Amiri"/>
          <w:color w:val="111111"/>
          <w:sz w:val="28"/>
          <w:sz w:val="28"/>
          <w:szCs w:val="28"/>
          <w:rtl w:val="true"/>
          <w:lang w:bidi="ar-SA"/>
        </w:rPr>
        <w:t>الدرجات في فضائل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الصفّار،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مؤسّسة الأعلمي،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عليّ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تحف العقول عن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ابن شعبة الحرّاني،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العیّاشي، العیّاشي، محمّد 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المکتبة العلمیة الإسلامیة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القمّي، القمّي، عليّ بن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دار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ابن عبد البرّ، یوسف بن عبدالله القرطبي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المغرب، وزارة عموم الأوقاف والشؤون الإسلامیة،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التوحید،</w:t>
      </w:r>
    </w:p>
    <w:p>
      <w:pPr>
        <w:pStyle w:val="BookText"/>
        <w:rPr/>
      </w:pPr>
      <w:r>
        <w:rPr>
          <w:rFonts w:ascii="Amiri" w:hAnsi="Amiri" w:eastAsia="Amiri" w:cs="Amiri"/>
          <w:color w:val="111111"/>
          <w:sz w:val="28"/>
          <w:sz w:val="28"/>
          <w:szCs w:val="28"/>
          <w:rtl w:val="true"/>
          <w:lang w:bidi="ar-SA"/>
        </w:rPr>
        <w:t xml:space="preserve">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النشر الإسلامي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الثاقب في المناقب، ابن حمزة الطوسي،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أنصاریان،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و عقاب الأعمال،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الشریف الرضي،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الرواة، الأردبیلي،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مکتبة المرعشي النجفي،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في أحادیث البشیر النذیر، السیوطي، 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الجواهر السنیّة في الأحادیث القدسیة، الحرّ العاملي، محمّد بن الحسن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بغداد، المکتبة العلمیة،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الکلام في شرح شرائع الإسلام، النجفي،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 الیقین في معرفة اُصول الدین، شبّر، السیّد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أنوار الهدی،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خلاصة الأقوال في معرفة الرجال، العلّامة الحلّي، 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نشر الفقاهة،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الدرّة النجفیة، بحر العلوم، السیّد محمّد 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الزهراء،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ذخیرة المعاد في شرح الإرشاد، السبزواري، محمّد بن باقر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لإحیاء التراث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رجال الکشّي،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منشورات جامعة مشهد،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رجال النجاشي، النجاشي،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الروضة البهیة في شرح اللمعة الدمشقیة،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الداوري،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روضة الواعظین وبصیرة المتعظین، الفتّال النیسابوري،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منشورات الشریف الرضي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ریاض المسائل، الطباطبائي، السیّد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مؤسّسة النشر الإسلامي،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الدارمي، الدارمي، عبد الله بن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دمشق، مطبعة الإعتدال، </w:t>
      </w:r>
      <w:r>
        <w:rPr>
          <w:rFonts w:eastAsia="Amiri" w:cs="Amiri" w:ascii="Amiri" w:hAnsi="Amiri"/>
          <w:color w:val="111111"/>
          <w:sz w:val="28"/>
          <w:szCs w:val="28"/>
          <w:lang w:bidi="ar-SA"/>
        </w:rPr>
        <w:t>1349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الشافي في الإمامة، السیّد المرتضي، عليّ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منشورات إسماعیلیان،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البلاغة، ابن أبي الحدید، عزّ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إحیاء الکتب العربیة،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مسلم، مسلم النیسابوري، مسلم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دار 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صفات الشیعة،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طهران، منشورات عبادي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عدّة الداعي ونجاح الساعي، ابن فهد الحلّي،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مکتبة الوجداني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علل الشرائع،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النجف </w:t>
      </w:r>
    </w:p>
    <w:p>
      <w:pPr>
        <w:pStyle w:val="BookText"/>
        <w:rPr/>
      </w:pPr>
      <w:r>
        <w:rPr>
          <w:rFonts w:ascii="IRNazanin" w:hAnsi="IRNazanin" w:eastAsia="IRNazanin"/>
          <w:color w:val="111111"/>
          <w:sz w:val="28"/>
          <w:sz w:val="28"/>
          <w:szCs w:val="28"/>
          <w:rtl w:val="true"/>
          <w:lang w:bidi="fa-IR"/>
        </w:rPr>
        <w:t xml:space="preserve">الأشرف، المکتبة الحیدریة،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عوالم العلوم، البحراني الأصفهاني، عبد الله بن نور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قرن</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مؤسّسة الإمام المهدي</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عوالي اللئالي العزیزیة في الأحادیث الدینیة، ابن أبي جمهور الأحسائي،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مطبعة السیّد الشهداء،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عیون أخبار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الحکم والمواعظ، اللیثي الواسطي،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الحدیث،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الغارات، الثقفي الکوفي، إبراهیم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مطبعة بهمن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الغدیر في الکتاب والسنّة والأدب، الأمیني، عبد الحسین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الکتاب العربیة،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غرر الحکم ودرر الکلم، الآمدي، عبد الواحد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الغیبة، الطوسي،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w:t>
      </w:r>
    </w:p>
    <w:p>
      <w:pPr>
        <w:pStyle w:val="BookText"/>
        <w:rPr/>
      </w:pPr>
      <w:r>
        <w:rPr>
          <w:rFonts w:ascii="IRNazanin" w:hAnsi="IRNazanin" w:eastAsia="IRNazanin"/>
          <w:color w:val="111111"/>
          <w:sz w:val="28"/>
          <w:sz w:val="28"/>
          <w:szCs w:val="28"/>
          <w:rtl w:val="true"/>
          <w:lang w:bidi="fa-IR"/>
        </w:rPr>
        <w:t xml:space="preserve">المعارف الإسلامیة،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في اُصول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المعارف الإسلامي إمام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الخواجة نصیر الدین الطوسي، محمّد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الفضائل، ابن شاذان القمّي، شاذان بن جبرئیل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المطبعة الحیدریة،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الکافي، الکلیني،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ابن قولویه القمّي،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الغمّة في معرفة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الإربلي، عليّ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الأضواء،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الأثر في النصّ علی الأئمّة الإثني عشر، الخزّاز القمّي، عليّ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منشورات بیدار،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کفایة الاُصول، الخراساني، محمد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p>
    <w:p>
      <w:pPr>
        <w:pStyle w:val="BookText"/>
        <w:rPr/>
      </w:pPr>
      <w:r>
        <w:rPr>
          <w:rFonts w:ascii="IRNazanin" w:hAnsi="IRNazanin" w:eastAsia="IRNazanin"/>
          <w:color w:val="111111"/>
          <w:sz w:val="28"/>
          <w:sz w:val="28"/>
          <w:szCs w:val="28"/>
          <w:rtl w:val="true"/>
          <w:lang w:bidi="fa-IR"/>
        </w:rPr>
        <w:t>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المهتدي في معرفة المهديّ، المیرلوحي السبزواري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دار التفسیر،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في علم الروایة، الخطیب البغدادي، أحمد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الکتب العربي،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في تفسیر القرآن، الطبرسي، الفضل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المحاسن، البرقي، أحمد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في علم أصول الفقه، الفخر الرازي، محمّد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الرسالة،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مدینة معاجز الأئمّة الإثني عشر ودلائل الحجج علی البشر، البحراني، السیّد هاشم بن سلیمان الحسیني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مرآة العقول في شرح أخبار آل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المجلسي، محمّد باقر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دار الکتب الإسلامیة،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المزار الکبیر، المشهدي، محمّد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مستدرکات علم رجال الحدیث، النمازي الشاهرودي،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طهران، مطبعة شفق،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مستدرك الوسائل ، المحدّث النوري، میرزا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أحمد بن حنبل، أحمد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مشکاة الأنوار في غرر الأخبار، الطبرسي، عليّ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الحدیث،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في الأحادیث والآثار، ابن أبي شیبة الکوفي، عبد الله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معاني الأخبار، الصدوق،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1361</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رجال الحدیث وتفصیل طبقات الرواة، الخوئي، السيّد ابوالقاسم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مفاتیح الجنان، المحدّث القمّي،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المفردات في غریب القرآن، الراغب الأصفهاني، الحسین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مکیال المکارم في فوائد الدعاء للقائم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الموسوي الأصفهاني، میرزا محمّد تقي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مؤسّسة الأعلمي،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الملل والنحل، الشهرستاني، محمّد بن عبد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 المعرفة،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مؤسّسة النشر الإسلامي،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منازل الآخرة والمطالب الفاخرة، المحدّث القمّي،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أبي طالب، ابن شهر آشوب، محمّد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النجف الأشرف، المکتبة الحیدریة،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المناقب، الخوارزمي، الموفّق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568</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مؤسّسة النشر الإسلامي،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منهج الرشاد فی معرفة المعاد، الطالقاني، محمد 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آستان القدس الرضوي،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منیة المرید في أدب المفید والمستفید، الشهید الثاني، زین الدین بن عليّ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مکتب الإعلام الإسلامي،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الحسیني التفرشي، السیّد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البلاغة،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الشریف الرضي، تحقیق وشرح محمّد عبده، بیروت، دار المعرفة،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إلی تحصیل مسائل الشریعة، الحرّ العاملي،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77" w:name="pg7257_108140"/>
    </w:p>
    <w:p>
      <w:pPr>
        <w:pStyle w:val="Heading2"/>
        <w:numPr>
          <w:ilvl w:val="1"/>
          <w:numId w:val="1"/>
        </w:numPr>
        <w:rPr/>
      </w:pPr>
      <w:bookmarkStart w:id="78" w:name="__RefHeading___Toc453758_1051229030"/>
      <w:bookmarkStart w:id="79" w:name="_Toc25"/>
      <w:bookmarkEnd w:id="77"/>
      <w:bookmarkEnd w:id="78"/>
      <w:r>
        <w:rPr>
          <w:rtl w:val="true"/>
        </w:rPr>
        <w:t>الفهرس</w:t>
      </w:r>
      <w:bookmarkEnd w:id="79"/>
    </w:p>
    <w:p>
      <w:pPr>
        <w:pStyle w:val="BookText"/>
        <w:rPr/>
      </w:pPr>
      <w:r>
        <w:rPr>
          <w:rFonts w:ascii="IRNazanin" w:hAnsi="IRNazanin" w:eastAsia="IRNazanin"/>
          <w:color w:val="111111"/>
          <w:sz w:val="28"/>
          <w:sz w:val="28"/>
          <w:szCs w:val="28"/>
          <w:rtl w:val="true"/>
          <w:lang w:bidi="fa-IR"/>
        </w:rPr>
        <w:t xml:space="preserve">المقدّمة في الإیمان ومراتبه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عرض الدّين على قادة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عَرْض الدّين في العصر الراهن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تأريخ عَرْضِ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السيّد عبد العظيم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يَعرضُ دينَه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أدب وأخلاق كريمة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نقطة اُخری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شرح حديث عرض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البحث في جهتين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سند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نكتةٌ روائيّة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متن الحديث وشرحه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 xml:space="preserve">عرض الدّین والتوحید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 xml:space="preserve">عرض الدّين والنبوّة </w:t>
      </w:r>
      <w:r>
        <w:rPr>
          <w:rFonts w:eastAsia="Amiri" w:cs="Amiri" w:ascii="Amiri" w:hAnsi="Amiri"/>
          <w:color w:val="111111"/>
          <w:sz w:val="28"/>
          <w:szCs w:val="28"/>
          <w:lang w:bidi="ar-SA"/>
        </w:rPr>
        <w:t>75</w:t>
      </w:r>
    </w:p>
    <w:p>
      <w:pPr>
        <w:pStyle w:val="BookText"/>
        <w:rPr/>
      </w:pPr>
      <w:r>
        <w:rPr>
          <w:rFonts w:ascii="IRNazanin" w:hAnsi="IRNazanin" w:eastAsia="IRNazanin"/>
          <w:color w:val="111111"/>
          <w:sz w:val="28"/>
          <w:sz w:val="28"/>
          <w:szCs w:val="28"/>
          <w:rtl w:val="true"/>
          <w:lang w:bidi="fa-IR"/>
        </w:rPr>
        <w:t xml:space="preserve">عرض الدّین والإمامة </w:t>
      </w:r>
      <w:r>
        <w:rPr>
          <w:rFonts w:eastAsia="IRNazanin" w:cs="IRNazanin"/>
          <w:color w:val="111111"/>
          <w:sz w:val="28"/>
          <w:szCs w:val="28"/>
          <w:lang w:bidi="fa-IR"/>
        </w:rPr>
        <w:t>76</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الدّین والمعراج و</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المعراج</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القبر</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والنار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IRNazanin" w:hAnsi="IRNazanin" w:eastAsia="IRNazanin"/>
          <w:color w:val="111111"/>
          <w:sz w:val="28"/>
          <w:sz w:val="28"/>
          <w:szCs w:val="28"/>
          <w:rtl w:val="true"/>
          <w:lang w:bidi="fa-IR"/>
        </w:rPr>
        <w:t>عرض الدّین والثبات في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80" w:name="pg7257_108142"/>
    </w:p>
    <w:p>
      <w:pPr>
        <w:pStyle w:val="Heading2"/>
        <w:numPr>
          <w:ilvl w:val="1"/>
          <w:numId w:val="1"/>
        </w:numPr>
        <w:rPr/>
      </w:pPr>
      <w:bookmarkStart w:id="81" w:name="__RefHeading___Toc453760_1051229030"/>
      <w:bookmarkStart w:id="82" w:name="_Toc26"/>
      <w:bookmarkEnd w:id="80"/>
      <w:bookmarkEnd w:id="81"/>
      <w:r>
        <w:rPr>
          <w:rtl w:val="true"/>
        </w:rPr>
        <w:t>آثار سماحة آیة الله العظمی الصافی الگلپایگانی مد ظله الوارف</w:t>
      </w:r>
      <w:bookmarkEnd w:id="82"/>
    </w:p>
    <w:p>
      <w:pPr>
        <w:pStyle w:val="BookText"/>
        <w:rPr/>
      </w:pPr>
      <w:r>
        <w:rPr>
          <w:rFonts w:ascii="Amiri" w:hAnsi="Amiri" w:eastAsia="Amiri" w:cs="Amiri"/>
          <w:color w:val="111111"/>
          <w:sz w:val="28"/>
          <w:sz w:val="28"/>
          <w:szCs w:val="28"/>
          <w:rtl w:val="true"/>
          <w:lang w:bidi="ar-SA"/>
        </w:rPr>
        <w:t>الصورة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3"/>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3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6"/>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3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9"/>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42"/>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5"/>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48"/>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4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117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1"/>
                        <a:stretch/>
                      </pic:blipFill>
                      <pic:spPr>
                        <a:xfrm>
                          <a:off x="0" y="0"/>
                          <a:ext cx="4711680" cy="6985080"/>
                        </a:xfrm>
                        <a:prstGeom prst="rect">
                          <a:avLst/>
                        </a:prstGeom>
                        <a:ln w="0">
                          <a:noFill/>
                        </a:ln>
                      </pic:spPr>
                    </pic:pic>
                  </a:graphicData>
                </a:graphic>
              </wp:inline>
            </w:drawing>
          </mc:Choice>
          <mc:Fallback>
            <w:pict>
              <v:shape id="shape_0" stroked="f" o:allowincell="f" style="position:absolute;margin-left:0pt;margin-top:-550.05pt;width:370.95pt;height:549.95pt;mso-wrap-style:none;v-text-anchor:middle;mso-position-horizontal:left;mso-position-vertical:top" type="_x0000_t75">
                <v:imagedata r:id="rId15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في أدعية عدَّة، منها، دُعاء أبي حمزة الثمالي</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التحريم،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شاذان القمّي، الفضائل،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الآمدي، غرر الحكم، الفصل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اللیثي الواسطي، عیون الحکم والمواعظ،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أبي الحدید، شرح نهج البلاغة،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السیّد المرتضی، الشافي في الإمامة،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الطبرسي، مشکاة الأنوار،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السبزواري، ذخیرة المعاد،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النجفي، جواهر الکلام،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الخراساني، کفایة الاُصول،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أجوبة المسائل المهنّائيّة،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العیّاشي،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أوائل المقالات،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الخواجة نصیر الدین الطوسي، الفصول،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شیبة الکوفي، المصنّف،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الفخر الرازي، المحصول،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ابن أبي جمهور الأحسائي، 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المقریزي، إمتاع الأسماع،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الاختصاص، 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الطوسي، اختیار معرفة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الأردبیلي، جامع الرواة،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الحرّ العاملي،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الحسیني التفرشي، نقد الرجال،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الدارمي، سنن،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مسلم النیسابوري، صحیح،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ابن عبد البرّ، التمهید،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الخطیب البغدادي، الکفایة في علم الروایة،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السیوطي، الجامع الصغیر،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الشهید الثاني، منية المريد، 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معاني الأخبار، 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الکشّي، رجال،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الطوسي، الأمالي،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النمازي الشاهرودي، مستدرکات علم رجال الحدیث،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قولویه القمّي، كامل الزيارات، باب</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الصدوق، ثواب الأعمال،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النوري، مستدرك الوسائل، كتاب القضاء،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الرقم</w:t>
      </w:r>
      <w:r>
        <w:rPr>
          <w:rFonts w:eastAsia="IRNazanin" w:cs="IRNazanin"/>
          <w:b w:val="false"/>
          <w:bCs w:val="false"/>
          <w:i w:val="false"/>
          <w:iCs w:val="false"/>
          <w:color w:val="333333"/>
          <w:sz w:val="20"/>
          <w:szCs w:val="20"/>
        </w:rPr>
        <w:t>21470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 رجال،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العلّامة الحلّي، خلاصة الأقوال،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الخوئي، معجم رجال الحدیث،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المفید، الأمالي،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الطوسي، الأمالي،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الحرّ العاملي، وسائل الشيعة، كتاب الجهاد، باب وجوب اجتناب المحارم،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كمال الدين،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ما أخبر به الهادي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وقوع الغيبة، ص</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التوحید ونفي التشبیه، ح</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صفات الشیعة،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 کفایة الأثر، ص</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الطبرسي، إعلام الوری،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 کشف الغمّة،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النیسابوري، روضة الواعظین،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المیرلوحي السبزواري، کفایة المهتدي، ص</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الأصفهاني، عوالم العلوم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البحراني، الإنصاف،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إثبات الهداة،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 الطوسي، الثاقب في المناقب،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التوحید،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فهد الحلّي، عدّة الداعي،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الحرّ العاملي، وسائل الشيعة، باب أنّه يستحبّ أن يقال في الدعاء</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8807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باب معنى الواحد والتوحيد والموحّد،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أنّه في النسخة المطبوعة، ابتداءاً ربط البحث في جملة الإبطال والتشبيه بالصفات، وقد بيّنّا رأينا هناك بأنّه وبملاحظة هذه الروايات الواردة يتّضح لنا بأنّ البحث مرتبط بالذات، ولكن ولأنّ أصل ذلك المطلب صحيح في حدّ ذاته أيضاً، ويرتبط نوعاً مّا بکلّ البحث وجملة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خارجٌ عن الحدّين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تشمل بإطلاقها البحث في الصفات، لذا سنأتي بوجهة نظرنا تلك في هوامش هذا الكتاب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التوحيد،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غریب القرآن،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بحار الأنوار،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التوحيد، 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 مرآة العقول، كتاب التوحيد، باب إطلاق القول بأنّه شيء،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ذيل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أنّ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لَيْسَ كَمِثْلِهِ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تدلُّ بالالتزام على تنزّه الباري عن الجسمية وسائر صفات وذاتيات الممكنات، لكن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ليس بجسم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تدلّ على ذلك بالمطابقة</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غریب القرآن،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الراغب الأصفهاني، المفردات في غریب القرآن، 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کتاب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 شعبة الحرّاني، تحف العقول، ص</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الحرّ العاملي، وسائل الشيعة، كتاب القضاء،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وجوب التوقّف والاحتياط في القضاء</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الحدید، شرح نهج البلاغة، ذيل الخطبة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الخزّاز القمّي، کفایة الأثر، 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ابن حمزة الطوسي، الثاقب في المناقب، ص</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الأمیني، الغدير،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وقد ذكر بعبارات مختلفة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الکلیني، الكافي، كتاب الإیمان والكفر، باب دعائم الإسلام،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الثقفي الکوفي، الغارات،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الطوسي، الغیبة،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مسند،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الأمالي،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الصدوق، من لا یحضره الفقیه،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الطوسي، تهذيب الأحكام، باب الزيارة الجامعة،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المشهدی، المزار،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النیسابوري، روضة الواعظین،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المفید، الاختصاص،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شهر آشوب، مناقب آل أبي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ابن کثیر، البدایة والنهایه،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الفتّال النیسابوري، روضة الواعظین، ص</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المفید، الاختصاص،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ابن عساکر، تاریخ مدینة دمشق،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ابن کثیر، البدایة والنهایة،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حقّ الیقین،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الأسترآبادي، البراهین القاطعة،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الموسوي الأصفهاني، مکیال المکارم،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الطالقاني، منهج الرشاد،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 الملل والنحل،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الثاني، الروضة البهيّة، حياة الشهيد الثاني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شعر الشهيد،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القمّي، الأنوار البهيّة، فصل في بيان ولادة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فاطر</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صفات الشیعة،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الحرّ العاملي، الفصول المهمّة،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حقّ الیقین، ص</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 المناقب،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الإربلي، کشف الغمّة،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البحراني، مدینة معاجز الأئمّة الإثني عشر،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الحرّ العاملي، الجواهر السنّية،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الاعتقادات في دین الإمامیة،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صفات الشیعة،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شبّر، حقّ الیقین،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شبّر، حقّ الیقین، ص</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الاعتقادات في دین الإمامیة، ص</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تفسیر،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الطبرسي، مجمع البیان،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طه،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غافر،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كمال الدين، الباب الثالث والعشرون، 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الخزّاز القمّي، كفاية الأثر،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 کمال الدین، ص</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المجلسي، بحار الأنوار، ج</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القمّي، 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جملة الأدعية لحفظ الدين وكمال الإیمان، الدعاء المنقول في المفاتيح أيضاً عن الشيخ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الرحمة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يُقرأ بعد کلّ صلاة 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تهذیب الأحکام،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راجع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 وسائل الشیعة،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المحدّث القمّي، منازل الآخرة،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النمازي، الشاهرودي، مستدرکات علم رجال الحدیث،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المحدّث القمّي، منازل الآخرة،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الحلّي، تذکرة الفقهاء،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الطباطبائي، ریاض المسائل،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البرقي، المحاسن،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الصدوق، الأمالي، ص</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الصدوق، من لا يحضره الفقيه،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الحرّ العاملي، وسائل الشیعة،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الدرّة النجفیة، 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image" Target="media/image3.jpeg"/><Relationship Id="rId134" Type="http://schemas.openxmlformats.org/officeDocument/2006/relationships/image" Target="media/image3.jpeg"/><Relationship Id="rId135" Type="http://schemas.openxmlformats.org/officeDocument/2006/relationships/footer" Target="footer128.xml"/><Relationship Id="rId136" Type="http://schemas.openxmlformats.org/officeDocument/2006/relationships/image" Target="media/image4.jpeg"/><Relationship Id="rId137" Type="http://schemas.openxmlformats.org/officeDocument/2006/relationships/image" Target="media/image4.jpeg"/><Relationship Id="rId138" Type="http://schemas.openxmlformats.org/officeDocument/2006/relationships/footer" Target="footer129.xml"/><Relationship Id="rId139" Type="http://schemas.openxmlformats.org/officeDocument/2006/relationships/image" Target="media/image5.jpeg"/><Relationship Id="rId140" Type="http://schemas.openxmlformats.org/officeDocument/2006/relationships/image" Target="media/image5.jpeg"/><Relationship Id="rId141" Type="http://schemas.openxmlformats.org/officeDocument/2006/relationships/footer" Target="footer130.xml"/><Relationship Id="rId142" Type="http://schemas.openxmlformats.org/officeDocument/2006/relationships/image" Target="media/image6.jpeg"/><Relationship Id="rId143" Type="http://schemas.openxmlformats.org/officeDocument/2006/relationships/image" Target="media/image6.jpeg"/><Relationship Id="rId144" Type="http://schemas.openxmlformats.org/officeDocument/2006/relationships/footer" Target="footer131.xml"/><Relationship Id="rId145" Type="http://schemas.openxmlformats.org/officeDocument/2006/relationships/image" Target="media/image7.jpeg"/><Relationship Id="rId146" Type="http://schemas.openxmlformats.org/officeDocument/2006/relationships/image" Target="media/image7.jpeg"/><Relationship Id="rId147" Type="http://schemas.openxmlformats.org/officeDocument/2006/relationships/footer" Target="footer132.xml"/><Relationship Id="rId148" Type="http://schemas.openxmlformats.org/officeDocument/2006/relationships/image" Target="media/image8.jpeg"/><Relationship Id="rId149" Type="http://schemas.openxmlformats.org/officeDocument/2006/relationships/image" Target="media/image8.jpeg"/><Relationship Id="rId150" Type="http://schemas.openxmlformats.org/officeDocument/2006/relationships/footer" Target="footer133.xml"/><Relationship Id="rId151" Type="http://schemas.openxmlformats.org/officeDocument/2006/relationships/image" Target="media/image9.jpeg"/><Relationship Id="rId152" Type="http://schemas.openxmlformats.org/officeDocument/2006/relationships/image" Target="media/image9.jpeg"/><Relationship Id="rId153" Type="http://schemas.openxmlformats.org/officeDocument/2006/relationships/footer" Target="footer134.xml"/><Relationship Id="rId154" Type="http://schemas.openxmlformats.org/officeDocument/2006/relationships/image" Target="media/image2.jpeg"/><Relationship Id="rId155" Type="http://schemas.openxmlformats.org/officeDocument/2006/relationships/image" Target="media/image2.jpeg"/><Relationship Id="rId156" Type="http://schemas.openxmlformats.org/officeDocument/2006/relationships/footer" Target="footer135.xml"/><Relationship Id="rId157" Type="http://schemas.openxmlformats.org/officeDocument/2006/relationships/footnotes" Target="footnotes.xml"/><Relationship Id="rId158" Type="http://schemas.openxmlformats.org/officeDocument/2006/relationships/numbering" Target="numbering.xml"/><Relationship Id="rId159" Type="http://schemas.openxmlformats.org/officeDocument/2006/relationships/fontTable" Target="fontTable.xml"/><Relationship Id="rId160" Type="http://schemas.openxmlformats.org/officeDocument/2006/relationships/settings" Target="settings.xml"/><Relationship Id="rId1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138</Pages>
  <Words>17976</Words>
  <Characters>86395</Characters>
  <CharactersWithSpaces>103596</CharactersWithSpaces>
  <Paragraphs>1061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2026-08-27T08:41:40Z</dcterms:created>
  <dc:creator>ghaemiyeh.com</dc:creator>
  <dc:description/>
  <dc:language>en-US</dc:language>
  <cp:lastModifiedBy/>
  <dcterms:modified xsi:type="dcterms:W3CDTF">2026-08-27T12:11:44Z</dcterms:modified>
  <cp:revision>1</cp:revision>
  <dc:subject/>
  <dc:title>حدیث عرض الدین</dc:title>
</cp:coreProperties>
</file>

<file path=docProps/custom.xml><?xml version="1.0" encoding="utf-8"?>
<Properties xmlns="http://schemas.openxmlformats.org/officeDocument/2006/custom-properties" xmlns:vt="http://schemas.openxmlformats.org/officeDocument/2006/docPropsVTypes"/>
</file>