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الروضه البهیه فی شرح اللمعه الدمشقیه الطبعه الحدیثه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5253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175255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175257_2314609296">
            <w:r>
              <w:rPr>
                <w:webHidden/>
                <w:rStyle w:val="IndexLink"/>
                <w:rtl w:val="true"/>
              </w:rPr>
              <w:t>«</w:t>
            </w:r>
            <w:r>
              <w:rPr>
                <w:rStyle w:val="IndexLink"/>
                <w:rtl w:val="true"/>
              </w:rPr>
              <w:t>کتاب الإجارة</w:t>
            </w:r>
            <w:r>
              <w:rPr>
                <w:rStyle w:val="IndexLink"/>
                <w:rtl w:val="true"/>
              </w:rPr>
              <w:t>»</w:t>
              <w:tab/>
            </w:r>
            <w:r>
              <w:rPr>
                <w:rStyle w:val="IndexLink"/>
              </w:rPr>
              <w:t>10</w:t>
            </w:r>
          </w:hyperlink>
        </w:p>
        <w:p>
          <w:pPr>
            <w:pStyle w:val="Contents3"/>
            <w:tabs>
              <w:tab w:val="clear" w:pos="8459"/>
              <w:tab w:val="right" w:pos="9026" w:leader="dot"/>
            </w:tabs>
            <w:rPr/>
          </w:pPr>
          <w:hyperlink w:anchor="__RefHeading___Toc2175259_2314609296">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175261_2314609296">
            <w:r>
              <w:rPr>
                <w:webHidden/>
                <w:rStyle w:val="IndexLink"/>
                <w:rtl w:val="true"/>
              </w:rPr>
              <w:t>[</w:t>
            </w:r>
            <w:r>
              <w:rPr>
                <w:rStyle w:val="IndexLink"/>
                <w:rtl w:val="true"/>
              </w:rPr>
              <w:t>تعریفها و صیغتها</w:t>
            </w:r>
            <w:r>
              <w:rPr>
                <w:rStyle w:val="IndexLink"/>
                <w:rtl w:val="true"/>
              </w:rPr>
              <w:t>]</w:t>
              <w:tab/>
            </w:r>
            <w:r>
              <w:rPr>
                <w:rStyle w:val="IndexLink"/>
              </w:rPr>
              <w:t>10</w:t>
            </w:r>
          </w:hyperlink>
        </w:p>
        <w:p>
          <w:pPr>
            <w:pStyle w:val="Contents3"/>
            <w:tabs>
              <w:tab w:val="clear" w:pos="8459"/>
              <w:tab w:val="right" w:pos="9026" w:leader="dot"/>
            </w:tabs>
            <w:rPr/>
          </w:pPr>
          <w:hyperlink w:anchor="__RefHeading___Toc2175263_2314609296">
            <w:r>
              <w:rPr>
                <w:webHidden/>
                <w:rStyle w:val="IndexLink"/>
                <w:rtl w:val="true"/>
              </w:rPr>
              <w:t>[</w:t>
            </w:r>
            <w:r>
              <w:rPr>
                <w:rStyle w:val="IndexLink"/>
                <w:rtl w:val="true"/>
              </w:rPr>
              <w:t>احکامها</w:t>
            </w:r>
            <w:r>
              <w:rPr>
                <w:rStyle w:val="IndexLink"/>
                <w:rtl w:val="true"/>
              </w:rPr>
              <w:t>]</w:t>
              <w:tab/>
            </w:r>
            <w:r>
              <w:rPr>
                <w:rStyle w:val="IndexLink"/>
              </w:rPr>
              <w:t>11</w:t>
            </w:r>
          </w:hyperlink>
        </w:p>
        <w:p>
          <w:pPr>
            <w:pStyle w:val="Contents3"/>
            <w:tabs>
              <w:tab w:val="clear" w:pos="8459"/>
              <w:tab w:val="right" w:pos="9026" w:leader="dot"/>
            </w:tabs>
            <w:rPr/>
          </w:pPr>
          <w:hyperlink w:anchor="__RefHeading___Toc2175265_2314609296">
            <w:r>
              <w:rPr>
                <w:webHidden/>
                <w:rStyle w:val="IndexLink"/>
                <w:rtl w:val="true"/>
              </w:rPr>
              <w:t>[</w:t>
            </w:r>
            <w:r>
              <w:rPr>
                <w:rStyle w:val="IndexLink"/>
                <w:rtl w:val="true"/>
              </w:rPr>
              <w:t xml:space="preserve">شروط المتعاقدین </w:t>
            </w:r>
            <w:r>
              <w:rPr>
                <w:rStyle w:val="IndexLink"/>
                <w:rtl w:val="true"/>
              </w:rPr>
              <w:t>]</w:t>
              <w:tab/>
            </w:r>
            <w:r>
              <w:rPr>
                <w:rStyle w:val="IndexLink"/>
              </w:rPr>
              <w:t>14</w:t>
            </w:r>
          </w:hyperlink>
        </w:p>
        <w:p>
          <w:pPr>
            <w:pStyle w:val="Contents3"/>
            <w:tabs>
              <w:tab w:val="clear" w:pos="8459"/>
              <w:tab w:val="right" w:pos="9026" w:leader="dot"/>
            </w:tabs>
            <w:rPr/>
          </w:pPr>
          <w:hyperlink w:anchor="__RefHeading___Toc2175267_2314609296">
            <w:r>
              <w:rPr>
                <w:webHidden/>
                <w:rStyle w:val="IndexLink"/>
                <w:rtl w:val="true"/>
              </w:rPr>
              <w:t>[</w:t>
            </w:r>
            <w:r>
              <w:rPr>
                <w:rStyle w:val="IndexLink"/>
                <w:rtl w:val="true"/>
              </w:rPr>
              <w:t>شروط الاجرة</w:t>
            </w:r>
            <w:r>
              <w:rPr>
                <w:rStyle w:val="IndexLink"/>
                <w:rtl w:val="true"/>
              </w:rPr>
              <w:t>]</w:t>
              <w:tab/>
            </w:r>
            <w:r>
              <w:rPr>
                <w:rStyle w:val="IndexLink"/>
              </w:rPr>
              <w:t>14</w:t>
            </w:r>
          </w:hyperlink>
        </w:p>
        <w:p>
          <w:pPr>
            <w:pStyle w:val="Contents3"/>
            <w:tabs>
              <w:tab w:val="clear" w:pos="8459"/>
              <w:tab w:val="right" w:pos="9026" w:leader="dot"/>
            </w:tabs>
            <w:rPr/>
          </w:pPr>
          <w:hyperlink w:anchor="__RefHeading___Toc2175269_2314609296">
            <w:r>
              <w:rPr>
                <w:webHidden/>
                <w:rStyle w:val="IndexLink"/>
                <w:rtl w:val="true"/>
              </w:rPr>
              <w:t>[</w:t>
            </w:r>
            <w:r>
              <w:rPr>
                <w:rStyle w:val="IndexLink"/>
                <w:rtl w:val="true"/>
              </w:rPr>
              <w:t>شروط المنفعة</w:t>
            </w:r>
            <w:r>
              <w:rPr>
                <w:rStyle w:val="IndexLink"/>
                <w:rtl w:val="true"/>
              </w:rPr>
              <w:t>]</w:t>
              <w:tab/>
            </w:r>
            <w:r>
              <w:rPr>
                <w:rStyle w:val="IndexLink"/>
              </w:rPr>
              <w:t>18</w:t>
            </w:r>
          </w:hyperlink>
        </w:p>
        <w:p>
          <w:pPr>
            <w:pStyle w:val="Contents3"/>
            <w:tabs>
              <w:tab w:val="clear" w:pos="8459"/>
              <w:tab w:val="right" w:pos="9026" w:leader="dot"/>
            </w:tabs>
            <w:rPr/>
          </w:pPr>
          <w:hyperlink w:anchor="__RefHeading___Toc2175271_2314609296">
            <w:r>
              <w:rPr>
                <w:webHidden/>
                <w:rStyle w:val="IndexLink"/>
                <w:rtl w:val="true"/>
              </w:rPr>
              <w:t>«</w:t>
            </w:r>
            <w:r>
              <w:rPr>
                <w:rStyle w:val="IndexLink"/>
                <w:rtl w:val="true"/>
              </w:rPr>
              <w:t>مسائل</w:t>
            </w:r>
            <w:r>
              <w:rPr>
                <w:rStyle w:val="IndexLink"/>
                <w:rtl w:val="true"/>
              </w:rPr>
              <w:t>»</w:t>
              <w:tab/>
            </w:r>
            <w:r>
              <w:rPr>
                <w:rStyle w:val="IndexLink"/>
              </w:rPr>
              <w:t>27</w:t>
            </w:r>
          </w:hyperlink>
        </w:p>
        <w:p>
          <w:pPr>
            <w:pStyle w:val="Contents4"/>
            <w:tabs>
              <w:tab w:val="clear" w:pos="8176"/>
              <w:tab w:val="right" w:pos="9026" w:leader="dot"/>
            </w:tabs>
            <w:rPr/>
          </w:pPr>
          <w:hyperlink w:anchor="__RefHeading___Toc2175273_2314609296">
            <w:r>
              <w:rPr>
                <w:webHidden/>
                <w:rStyle w:val="IndexLink"/>
                <w:rtl w:val="true"/>
              </w:rPr>
              <w:t>«</w:t>
            </w:r>
            <w:r>
              <w:rPr>
                <w:rStyle w:val="IndexLink"/>
                <w:rtl w:val="true"/>
              </w:rPr>
              <w:t>الاُولی</w:t>
            </w:r>
            <w:r>
              <w:rPr>
                <w:rStyle w:val="IndexLink"/>
                <w:rtl w:val="true"/>
              </w:rPr>
              <w:t>» : «</w:t>
            </w:r>
            <w:r>
              <w:rPr>
                <w:rStyle w:val="IndexLink"/>
                <w:rtl w:val="true"/>
              </w:rPr>
              <w:t>من تقبّل عملاً فله تقبیله غیره بأقلّ</w:t>
            </w:r>
            <w:r>
              <w:rPr>
                <w:rStyle w:val="IndexLink"/>
                <w:rtl w:val="true"/>
              </w:rPr>
              <w:t>»</w:t>
              <w:tab/>
            </w:r>
            <w:r>
              <w:rPr>
                <w:rStyle w:val="IndexLink"/>
              </w:rPr>
              <w:t>27</w:t>
            </w:r>
          </w:hyperlink>
        </w:p>
        <w:p>
          <w:pPr>
            <w:pStyle w:val="Contents4"/>
            <w:tabs>
              <w:tab w:val="clear" w:pos="8176"/>
              <w:tab w:val="right" w:pos="9026" w:leader="dot"/>
            </w:tabs>
            <w:rPr/>
          </w:pPr>
          <w:hyperlink w:anchor="__RefHeading___Toc2175275_2314609296">
            <w:r>
              <w:rPr>
                <w:webHidden/>
                <w:rStyle w:val="IndexLink"/>
                <w:rtl w:val="true"/>
              </w:rPr>
              <w:t>«</w:t>
            </w:r>
            <w:r>
              <w:rPr>
                <w:rStyle w:val="IndexLink"/>
                <w:rtl w:val="true"/>
              </w:rPr>
              <w:t>الثانیة</w:t>
            </w:r>
            <w:r>
              <w:rPr>
                <w:rStyle w:val="IndexLink"/>
                <w:rtl w:val="true"/>
              </w:rPr>
              <w:t>» : «</w:t>
            </w:r>
            <w:r>
              <w:rPr>
                <w:rStyle w:val="IndexLink"/>
                <w:rtl w:val="true"/>
              </w:rPr>
              <w:t>لو استأجر عیناً فله إجارتها بأکثر ممّا استأجرها به</w:t>
            </w:r>
            <w:r>
              <w:rPr>
                <w:rStyle w:val="IndexLink"/>
                <w:rtl w:val="true"/>
              </w:rPr>
              <w:t>»</w:t>
              <w:tab/>
            </w:r>
            <w:r>
              <w:rPr>
                <w:rStyle w:val="IndexLink"/>
              </w:rPr>
              <w:t>27</w:t>
            </w:r>
          </w:hyperlink>
        </w:p>
        <w:p>
          <w:pPr>
            <w:pStyle w:val="Contents4"/>
            <w:tabs>
              <w:tab w:val="clear" w:pos="8176"/>
              <w:tab w:val="right" w:pos="9026" w:leader="dot"/>
            </w:tabs>
            <w:rPr/>
          </w:pPr>
          <w:hyperlink w:anchor="__RefHeading___Toc2175277_2314609296">
            <w:r>
              <w:rPr>
                <w:webHidden/>
                <w:rStyle w:val="IndexLink"/>
                <w:rtl w:val="true"/>
              </w:rPr>
              <w:t>«</w:t>
            </w:r>
            <w:r>
              <w:rPr>
                <w:rStyle w:val="IndexLink"/>
                <w:rtl w:val="true"/>
              </w:rPr>
              <w:t>الثالثة</w:t>
            </w:r>
            <w:r>
              <w:rPr>
                <w:rStyle w:val="IndexLink"/>
                <w:rtl w:val="true"/>
              </w:rPr>
              <w:t>» : «</w:t>
            </w:r>
            <w:r>
              <w:rPr>
                <w:rStyle w:val="IndexLink"/>
                <w:rtl w:val="true"/>
              </w:rPr>
              <w:t>إذا فرّط فی العین</w:t>
            </w:r>
            <w:r>
              <w:rPr>
                <w:rStyle w:val="IndexLink"/>
                <w:rtl w:val="true"/>
              </w:rPr>
              <w:t>»</w:t>
              <w:tab/>
            </w:r>
            <w:r>
              <w:rPr>
                <w:rStyle w:val="IndexLink"/>
              </w:rPr>
              <w:t>28</w:t>
            </w:r>
          </w:hyperlink>
        </w:p>
        <w:p>
          <w:pPr>
            <w:pStyle w:val="Contents4"/>
            <w:tabs>
              <w:tab w:val="clear" w:pos="8176"/>
              <w:tab w:val="right" w:pos="9026" w:leader="dot"/>
            </w:tabs>
            <w:rPr/>
          </w:pPr>
          <w:hyperlink w:anchor="__RefHeading___Toc2175279_2314609296">
            <w:r>
              <w:rPr>
                <w:webHidden/>
                <w:rStyle w:val="IndexLink"/>
                <w:rtl w:val="true"/>
              </w:rPr>
              <w:t>«</w:t>
            </w:r>
            <w:r>
              <w:rPr>
                <w:rStyle w:val="IndexLink"/>
                <w:rtl w:val="true"/>
              </w:rPr>
              <w:t>الرابعة</w:t>
            </w:r>
            <w:r>
              <w:rPr>
                <w:rStyle w:val="IndexLink"/>
                <w:rtl w:val="true"/>
              </w:rPr>
              <w:t>» : «</w:t>
            </w:r>
            <w:r>
              <w:rPr>
                <w:rStyle w:val="IndexLink"/>
                <w:rtl w:val="true"/>
              </w:rPr>
              <w:t>مؤونة العبد أو الدابّة علی المالک</w:t>
            </w:r>
            <w:r>
              <w:rPr>
                <w:rStyle w:val="IndexLink"/>
                <w:rtl w:val="true"/>
              </w:rPr>
              <w:t>»</w:t>
              <w:tab/>
            </w:r>
            <w:r>
              <w:rPr>
                <w:rStyle w:val="IndexLink"/>
              </w:rPr>
              <w:t>28</w:t>
            </w:r>
          </w:hyperlink>
        </w:p>
        <w:p>
          <w:pPr>
            <w:pStyle w:val="Contents4"/>
            <w:tabs>
              <w:tab w:val="clear" w:pos="8176"/>
              <w:tab w:val="right" w:pos="9026" w:leader="dot"/>
            </w:tabs>
            <w:rPr/>
          </w:pPr>
          <w:hyperlink w:anchor="__RefHeading___Toc2175281_2314609296">
            <w:r>
              <w:rPr>
                <w:webHidden/>
                <w:rStyle w:val="IndexLink"/>
                <w:rtl w:val="true"/>
              </w:rPr>
              <w:t>«</w:t>
            </w:r>
            <w:r>
              <w:rPr>
                <w:rStyle w:val="IndexLink"/>
                <w:rtl w:val="true"/>
              </w:rPr>
              <w:t>الخامسة</w:t>
            </w:r>
            <w:r>
              <w:rPr>
                <w:rStyle w:val="IndexLink"/>
                <w:rtl w:val="true"/>
              </w:rPr>
              <w:t>» : «</w:t>
            </w:r>
            <w:r>
              <w:rPr>
                <w:rStyle w:val="IndexLink"/>
                <w:rtl w:val="true"/>
              </w:rPr>
              <w:t>لا یجوز إسقاط المنفعة المعیّنة</w:t>
            </w:r>
            <w:r>
              <w:rPr>
                <w:rStyle w:val="IndexLink"/>
                <w:rtl w:val="true"/>
              </w:rPr>
              <w:t>»</w:t>
              <w:tab/>
            </w:r>
            <w:r>
              <w:rPr>
                <w:rStyle w:val="IndexLink"/>
              </w:rPr>
              <w:t>29</w:t>
            </w:r>
          </w:hyperlink>
        </w:p>
        <w:p>
          <w:pPr>
            <w:pStyle w:val="Contents4"/>
            <w:tabs>
              <w:tab w:val="clear" w:pos="8176"/>
              <w:tab w:val="right" w:pos="9026" w:leader="dot"/>
            </w:tabs>
            <w:rPr/>
          </w:pPr>
          <w:hyperlink w:anchor="__RefHeading___Toc2175283_2314609296">
            <w:r>
              <w:rPr>
                <w:webHidden/>
                <w:rStyle w:val="IndexLink"/>
                <w:rtl w:val="true"/>
              </w:rPr>
              <w:t>«</w:t>
            </w:r>
            <w:r>
              <w:rPr>
                <w:rStyle w:val="IndexLink"/>
                <w:rtl w:val="true"/>
              </w:rPr>
              <w:t>السادسة</w:t>
            </w:r>
            <w:r>
              <w:rPr>
                <w:rStyle w:val="IndexLink"/>
                <w:rtl w:val="true"/>
              </w:rPr>
              <w:t>» : «</w:t>
            </w:r>
            <w:r>
              <w:rPr>
                <w:rStyle w:val="IndexLink"/>
                <w:rtl w:val="true"/>
              </w:rPr>
              <w:t>کلّ ما یتوقّف علیه توفیة المنفعة فعلی المؤجر، کالقَتَب والزِمام والحِزام</w:t>
            </w:r>
            <w:r>
              <w:rPr>
                <w:rStyle w:val="IndexLink"/>
                <w:rtl w:val="true"/>
              </w:rPr>
              <w:t>»</w:t>
              <w:tab/>
            </w:r>
            <w:r>
              <w:rPr>
                <w:rStyle w:val="IndexLink"/>
              </w:rPr>
              <w:t>30</w:t>
            </w:r>
          </w:hyperlink>
        </w:p>
        <w:p>
          <w:pPr>
            <w:pStyle w:val="Contents4"/>
            <w:tabs>
              <w:tab w:val="clear" w:pos="8176"/>
              <w:tab w:val="right" w:pos="9026" w:leader="dot"/>
            </w:tabs>
            <w:rPr/>
          </w:pPr>
          <w:hyperlink w:anchor="__RefHeading___Toc2175285_2314609296">
            <w:r>
              <w:rPr>
                <w:webHidden/>
                <w:rStyle w:val="IndexLink"/>
                <w:rtl w:val="true"/>
              </w:rPr>
              <w:t>«</w:t>
            </w:r>
            <w:r>
              <w:rPr>
                <w:rStyle w:val="IndexLink"/>
                <w:rtl w:val="true"/>
              </w:rPr>
              <w:t>السابعة</w:t>
            </w:r>
            <w:r>
              <w:rPr>
                <w:rStyle w:val="IndexLink"/>
                <w:rtl w:val="true"/>
              </w:rPr>
              <w:t>» : «</w:t>
            </w:r>
            <w:r>
              <w:rPr>
                <w:rStyle w:val="IndexLink"/>
                <w:rtl w:val="true"/>
              </w:rPr>
              <w:t>لو اختلفا فی عقد الإجارة حلف المنکر</w:t>
            </w:r>
            <w:r>
              <w:rPr>
                <w:rStyle w:val="IndexLink"/>
                <w:rtl w:val="true"/>
              </w:rPr>
              <w:t>»</w:t>
              <w:tab/>
            </w:r>
            <w:r>
              <w:rPr>
                <w:rStyle w:val="IndexLink"/>
              </w:rPr>
              <w:t>31</w:t>
            </w:r>
          </w:hyperlink>
        </w:p>
        <w:p>
          <w:pPr>
            <w:pStyle w:val="Contents2"/>
            <w:tabs>
              <w:tab w:val="clear" w:pos="8743"/>
              <w:tab w:val="right" w:pos="9026" w:leader="dot"/>
            </w:tabs>
            <w:rPr/>
          </w:pPr>
          <w:hyperlink w:anchor="__RefHeading___Toc2175287_2314609296">
            <w:r>
              <w:rPr>
                <w:webHidden/>
                <w:rStyle w:val="IndexLink"/>
                <w:rtl w:val="true"/>
              </w:rPr>
              <w:t>کتاب الوکالة</w:t>
            </w:r>
            <w:r>
              <w:rPr>
                <w:rStyle w:val="IndexLink"/>
                <w:rtl w:val="true"/>
              </w:rPr>
              <w:tab/>
            </w:r>
            <w:r>
              <w:rPr>
                <w:rStyle w:val="IndexLink"/>
              </w:rPr>
              <w:t>34</w:t>
            </w:r>
          </w:hyperlink>
        </w:p>
        <w:p>
          <w:pPr>
            <w:pStyle w:val="Contents3"/>
            <w:tabs>
              <w:tab w:val="clear" w:pos="8459"/>
              <w:tab w:val="right" w:pos="9026" w:leader="dot"/>
            </w:tabs>
            <w:rPr/>
          </w:pPr>
          <w:hyperlink w:anchor="__RefHeading___Toc2175289_2314609296">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175291_2314609296">
            <w:r>
              <w:rPr>
                <w:webHidden/>
                <w:rStyle w:val="IndexLink"/>
                <w:rtl w:val="true"/>
              </w:rPr>
              <w:t>[</w:t>
            </w:r>
            <w:r>
              <w:rPr>
                <w:rStyle w:val="IndexLink"/>
                <w:rtl w:val="true"/>
              </w:rPr>
              <w:t>تعریفها و صیغتها</w:t>
            </w:r>
            <w:r>
              <w:rPr>
                <w:rStyle w:val="IndexLink"/>
                <w:rtl w:val="true"/>
              </w:rPr>
              <w:t>]</w:t>
              <w:tab/>
            </w:r>
            <w:r>
              <w:rPr>
                <w:rStyle w:val="IndexLink"/>
              </w:rPr>
              <w:t>35</w:t>
            </w:r>
          </w:hyperlink>
        </w:p>
        <w:p>
          <w:pPr>
            <w:pStyle w:val="Contents3"/>
            <w:tabs>
              <w:tab w:val="clear" w:pos="8459"/>
              <w:tab w:val="right" w:pos="9026" w:leader="dot"/>
            </w:tabs>
            <w:rPr/>
          </w:pPr>
          <w:hyperlink w:anchor="__RefHeading___Toc2175293_2314609296">
            <w:r>
              <w:rPr>
                <w:webHidden/>
                <w:rStyle w:val="IndexLink"/>
                <w:rtl w:val="true"/>
              </w:rPr>
              <w:t>[</w:t>
            </w:r>
            <w:r>
              <w:rPr>
                <w:rStyle w:val="IndexLink"/>
                <w:rtl w:val="true"/>
              </w:rPr>
              <w:t>جواز عقد الوکالة</w:t>
            </w:r>
            <w:r>
              <w:rPr>
                <w:rStyle w:val="IndexLink"/>
                <w:rtl w:val="true"/>
              </w:rPr>
              <w:t>]</w:t>
              <w:tab/>
            </w:r>
            <w:r>
              <w:rPr>
                <w:rStyle w:val="IndexLink"/>
              </w:rPr>
              <w:t>36</w:t>
            </w:r>
          </w:hyperlink>
        </w:p>
        <w:p>
          <w:pPr>
            <w:pStyle w:val="Contents3"/>
            <w:tabs>
              <w:tab w:val="clear" w:pos="8459"/>
              <w:tab w:val="right" w:pos="9026" w:leader="dot"/>
            </w:tabs>
            <w:rPr/>
          </w:pPr>
          <w:hyperlink w:anchor="__RefHeading___Toc2175295_2314609296">
            <w:r>
              <w:rPr>
                <w:webHidden/>
                <w:rStyle w:val="IndexLink"/>
                <w:rtl w:val="true"/>
              </w:rPr>
              <w:t>[</w:t>
            </w:r>
            <w:r>
              <w:rPr>
                <w:rStyle w:val="IndexLink"/>
                <w:rtl w:val="true"/>
              </w:rPr>
              <w:t>ما تصح فیه الوکالة</w:t>
            </w:r>
            <w:r>
              <w:rPr>
                <w:rStyle w:val="IndexLink"/>
                <w:rtl w:val="true"/>
              </w:rPr>
              <w:t>]</w:t>
              <w:tab/>
            </w:r>
            <w:r>
              <w:rPr>
                <w:rStyle w:val="IndexLink"/>
              </w:rPr>
              <w:t>38</w:t>
            </w:r>
          </w:hyperlink>
        </w:p>
        <w:p>
          <w:pPr>
            <w:pStyle w:val="Contents3"/>
            <w:tabs>
              <w:tab w:val="clear" w:pos="8459"/>
              <w:tab w:val="right" w:pos="9026" w:leader="dot"/>
            </w:tabs>
            <w:rPr/>
          </w:pPr>
          <w:hyperlink w:anchor="__RefHeading___Toc2175297_2314609296">
            <w:r>
              <w:rPr>
                <w:webHidden/>
                <w:rStyle w:val="IndexLink"/>
                <w:rtl w:val="true"/>
              </w:rPr>
              <w:t>[</w:t>
            </w:r>
            <w:r>
              <w:rPr>
                <w:rStyle w:val="IndexLink"/>
                <w:rtl w:val="true"/>
              </w:rPr>
              <w:t xml:space="preserve">شروط المتعاقدین </w:t>
            </w:r>
            <w:r>
              <w:rPr>
                <w:rStyle w:val="IndexLink"/>
                <w:rtl w:val="true"/>
              </w:rPr>
              <w:t>]</w:t>
              <w:tab/>
            </w:r>
            <w:r>
              <w:rPr>
                <w:rStyle w:val="IndexLink"/>
              </w:rPr>
              <w:t>39</w:t>
            </w:r>
          </w:hyperlink>
        </w:p>
        <w:p>
          <w:pPr>
            <w:pStyle w:val="Contents3"/>
            <w:tabs>
              <w:tab w:val="clear" w:pos="8459"/>
              <w:tab w:val="right" w:pos="9026" w:leader="dot"/>
            </w:tabs>
            <w:rPr/>
          </w:pPr>
          <w:hyperlink w:anchor="__RefHeading___Toc2175299_2314609296">
            <w:r>
              <w:rPr>
                <w:webHidden/>
                <w:rStyle w:val="IndexLink"/>
                <w:rtl w:val="true"/>
              </w:rPr>
              <w:t>[</w:t>
            </w:r>
            <w:r>
              <w:rPr>
                <w:rStyle w:val="IndexLink"/>
                <w:rtl w:val="true"/>
              </w:rPr>
              <w:t>احکام الوکالة</w:t>
            </w:r>
            <w:r>
              <w:rPr>
                <w:rStyle w:val="IndexLink"/>
                <w:rtl w:val="true"/>
              </w:rPr>
              <w:t>]</w:t>
              <w:tab/>
            </w:r>
            <w:r>
              <w:rPr>
                <w:rStyle w:val="IndexLink"/>
              </w:rPr>
              <w:t>39</w:t>
            </w:r>
          </w:hyperlink>
        </w:p>
        <w:p>
          <w:pPr>
            <w:pStyle w:val="Contents3"/>
            <w:tabs>
              <w:tab w:val="clear" w:pos="8459"/>
              <w:tab w:val="right" w:pos="9026" w:leader="dot"/>
            </w:tabs>
            <w:rPr/>
          </w:pPr>
          <w:hyperlink w:anchor="__RefHeading___Toc2175301_2314609296">
            <w:r>
              <w:rPr>
                <w:webHidden/>
                <w:rStyle w:val="IndexLink"/>
                <w:rtl w:val="true"/>
              </w:rPr>
              <w:t>[</w:t>
            </w:r>
            <w:r>
              <w:rPr>
                <w:rStyle w:val="IndexLink"/>
                <w:rtl w:val="true"/>
              </w:rPr>
              <w:t>ما تثبت به الوکالة</w:t>
            </w:r>
            <w:r>
              <w:rPr>
                <w:rStyle w:val="IndexLink"/>
                <w:rtl w:val="true"/>
              </w:rPr>
              <w:t>]</w:t>
              <w:tab/>
            </w:r>
            <w:r>
              <w:rPr>
                <w:rStyle w:val="IndexLink"/>
              </w:rPr>
              <w:t>42</w:t>
            </w:r>
          </w:hyperlink>
        </w:p>
        <w:p>
          <w:pPr>
            <w:pStyle w:val="Contents3"/>
            <w:tabs>
              <w:tab w:val="clear" w:pos="8459"/>
              <w:tab w:val="right" w:pos="9026" w:leader="dot"/>
            </w:tabs>
            <w:rPr/>
          </w:pPr>
          <w:hyperlink w:anchor="__RefHeading___Toc2175303_2314609296">
            <w:r>
              <w:rPr>
                <w:webHidden/>
                <w:rStyle w:val="IndexLink"/>
                <w:rtl w:val="true"/>
              </w:rPr>
              <w:t>[</w:t>
            </w:r>
            <w:r>
              <w:rPr>
                <w:rStyle w:val="IndexLink"/>
                <w:rtl w:val="true"/>
              </w:rPr>
              <w:t>التنازع فی الوکالة</w:t>
            </w:r>
            <w:r>
              <w:rPr>
                <w:rStyle w:val="IndexLink"/>
                <w:rtl w:val="true"/>
              </w:rPr>
              <w:t>]</w:t>
              <w:tab/>
            </w:r>
            <w:r>
              <w:rPr>
                <w:rStyle w:val="IndexLink"/>
              </w:rPr>
              <w:t>45</w:t>
            </w:r>
          </w:hyperlink>
        </w:p>
        <w:p>
          <w:pPr>
            <w:pStyle w:val="Contents2"/>
            <w:tabs>
              <w:tab w:val="clear" w:pos="8743"/>
              <w:tab w:val="right" w:pos="9026" w:leader="dot"/>
            </w:tabs>
            <w:rPr/>
          </w:pPr>
          <w:hyperlink w:anchor="__RefHeading___Toc2175305_2314609296">
            <w:r>
              <w:rPr>
                <w:webHidden/>
                <w:rStyle w:val="IndexLink"/>
                <w:rtl w:val="true"/>
              </w:rPr>
              <w:t>کتاب الشفعة</w:t>
            </w:r>
            <w:r>
              <w:rPr>
                <w:rStyle w:val="IndexLink"/>
                <w:rtl w:val="true"/>
              </w:rPr>
              <w:tab/>
            </w:r>
            <w:r>
              <w:rPr>
                <w:rStyle w:val="IndexLink"/>
              </w:rPr>
              <w:t>49</w:t>
            </w:r>
          </w:hyperlink>
        </w:p>
        <w:p>
          <w:pPr>
            <w:pStyle w:val="Contents3"/>
            <w:tabs>
              <w:tab w:val="clear" w:pos="8459"/>
              <w:tab w:val="right" w:pos="9026" w:leader="dot"/>
            </w:tabs>
            <w:rPr/>
          </w:pPr>
          <w:hyperlink w:anchor="__RefHeading___Toc2175307_2314609296">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175309_2314609296">
            <w:r>
              <w:rPr>
                <w:webHidden/>
                <w:rStyle w:val="IndexLink"/>
                <w:rtl w:val="true"/>
              </w:rPr>
              <w:t>[</w:t>
            </w:r>
            <w:r>
              <w:rPr>
                <w:rStyle w:val="IndexLink"/>
                <w:rtl w:val="true"/>
              </w:rPr>
              <w:t xml:space="preserve">تعریفها </w:t>
            </w:r>
            <w:r>
              <w:rPr>
                <w:rStyle w:val="IndexLink"/>
                <w:rtl w:val="true"/>
              </w:rPr>
              <w:t>]</w:t>
              <w:tab/>
            </w:r>
            <w:r>
              <w:rPr>
                <w:rStyle w:val="IndexLink"/>
              </w:rPr>
              <w:t>50</w:t>
            </w:r>
          </w:hyperlink>
        </w:p>
        <w:p>
          <w:pPr>
            <w:pStyle w:val="Contents3"/>
            <w:tabs>
              <w:tab w:val="clear" w:pos="8459"/>
              <w:tab w:val="right" w:pos="9026" w:leader="dot"/>
            </w:tabs>
            <w:rPr/>
          </w:pPr>
          <w:hyperlink w:anchor="__RefHeading___Toc2175311_2314609296">
            <w:r>
              <w:rPr>
                <w:webHidden/>
                <w:rStyle w:val="IndexLink"/>
                <w:rtl w:val="true"/>
              </w:rPr>
              <w:t>[</w:t>
            </w:r>
            <w:r>
              <w:rPr>
                <w:rStyle w:val="IndexLink"/>
                <w:rtl w:val="true"/>
              </w:rPr>
              <w:t>ما تثبت و ما لا تثبت فیه الشفعة</w:t>
            </w:r>
            <w:r>
              <w:rPr>
                <w:rStyle w:val="IndexLink"/>
                <w:rtl w:val="true"/>
              </w:rPr>
              <w:t>]</w:t>
              <w:tab/>
            </w:r>
            <w:r>
              <w:rPr>
                <w:rStyle w:val="IndexLink"/>
              </w:rPr>
              <w:t>51</w:t>
            </w:r>
          </w:hyperlink>
        </w:p>
        <w:p>
          <w:pPr>
            <w:pStyle w:val="Contents3"/>
            <w:tabs>
              <w:tab w:val="clear" w:pos="8459"/>
              <w:tab w:val="right" w:pos="9026" w:leader="dot"/>
            </w:tabs>
            <w:rPr/>
          </w:pPr>
          <w:hyperlink w:anchor="__RefHeading___Toc2175313_2314609296">
            <w:r>
              <w:rPr>
                <w:webHidden/>
                <w:rStyle w:val="IndexLink"/>
                <w:rtl w:val="true"/>
              </w:rPr>
              <w:t>[</w:t>
            </w:r>
            <w:r>
              <w:rPr>
                <w:rStyle w:val="IndexLink"/>
                <w:rtl w:val="true"/>
              </w:rPr>
              <w:t>فی الشفیع</w:t>
            </w:r>
            <w:r>
              <w:rPr>
                <w:rStyle w:val="IndexLink"/>
                <w:rtl w:val="true"/>
              </w:rPr>
              <w:t>]</w:t>
              <w:tab/>
            </w:r>
            <w:r>
              <w:rPr>
                <w:rStyle w:val="IndexLink"/>
              </w:rPr>
              <w:t>52</w:t>
            </w:r>
          </w:hyperlink>
        </w:p>
        <w:p>
          <w:pPr>
            <w:pStyle w:val="Contents3"/>
            <w:tabs>
              <w:tab w:val="clear" w:pos="8459"/>
              <w:tab w:val="right" w:pos="9026" w:leader="dot"/>
            </w:tabs>
            <w:rPr/>
          </w:pPr>
          <w:hyperlink w:anchor="__RefHeading___Toc2175315_2314609296">
            <w:r>
              <w:rPr>
                <w:webHidden/>
                <w:rStyle w:val="IndexLink"/>
                <w:rtl w:val="true"/>
              </w:rPr>
              <w:t>[</w:t>
            </w:r>
            <w:r>
              <w:rPr>
                <w:rStyle w:val="IndexLink"/>
                <w:rtl w:val="true"/>
              </w:rPr>
              <w:t>فی الاخذ باشفعة</w:t>
            </w:r>
            <w:r>
              <w:rPr>
                <w:rStyle w:val="IndexLink"/>
                <w:rtl w:val="true"/>
              </w:rPr>
              <w:t>]</w:t>
              <w:tab/>
            </w:r>
            <w:r>
              <w:rPr>
                <w:rStyle w:val="IndexLink"/>
              </w:rPr>
              <w:t>54</w:t>
            </w:r>
          </w:hyperlink>
        </w:p>
        <w:p>
          <w:pPr>
            <w:pStyle w:val="Contents3"/>
            <w:tabs>
              <w:tab w:val="clear" w:pos="8459"/>
              <w:tab w:val="right" w:pos="9026" w:leader="dot"/>
            </w:tabs>
            <w:rPr/>
          </w:pPr>
          <w:hyperlink w:anchor="__RefHeading___Toc2175317_2314609296">
            <w:r>
              <w:rPr>
                <w:webHidden/>
                <w:rStyle w:val="IndexLink"/>
                <w:rtl w:val="true"/>
              </w:rPr>
              <w:t>[</w:t>
            </w:r>
            <w:r>
              <w:rPr>
                <w:rStyle w:val="IndexLink"/>
                <w:rtl w:val="true"/>
              </w:rPr>
              <w:t xml:space="preserve">اختلاف الشفیع و المشتری </w:t>
            </w:r>
            <w:r>
              <w:rPr>
                <w:rStyle w:val="IndexLink"/>
                <w:rtl w:val="true"/>
              </w:rPr>
              <w:t>]</w:t>
              <w:tab/>
            </w:r>
            <w:r>
              <w:rPr>
                <w:rStyle w:val="IndexLink"/>
              </w:rPr>
              <w:t>61</w:t>
            </w:r>
          </w:hyperlink>
        </w:p>
        <w:p>
          <w:pPr>
            <w:pStyle w:val="Contents2"/>
            <w:tabs>
              <w:tab w:val="clear" w:pos="8743"/>
              <w:tab w:val="right" w:pos="9026" w:leader="dot"/>
            </w:tabs>
            <w:rPr/>
          </w:pPr>
          <w:hyperlink w:anchor="__RefHeading___Toc2175319_2314609296">
            <w:r>
              <w:rPr>
                <w:webHidden/>
                <w:rStyle w:val="IndexLink"/>
                <w:rtl w:val="true"/>
              </w:rPr>
              <w:t>کتاب السبق والرمایة</w:t>
            </w:r>
            <w:r>
              <w:rPr>
                <w:rStyle w:val="IndexLink"/>
                <w:rtl w:val="true"/>
              </w:rPr>
              <w:tab/>
            </w:r>
            <w:r>
              <w:rPr>
                <w:rStyle w:val="IndexLink"/>
              </w:rPr>
              <w:t>64</w:t>
            </w:r>
          </w:hyperlink>
        </w:p>
        <w:p>
          <w:pPr>
            <w:pStyle w:val="Contents3"/>
            <w:tabs>
              <w:tab w:val="clear" w:pos="8459"/>
              <w:tab w:val="right" w:pos="9026" w:leader="dot"/>
            </w:tabs>
            <w:rPr/>
          </w:pPr>
          <w:hyperlink w:anchor="__RefHeading___Toc2175321_2314609296">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2175323_2314609296">
            <w:r>
              <w:rPr>
                <w:webHidden/>
                <w:rStyle w:val="IndexLink"/>
                <w:rtl w:val="true"/>
              </w:rPr>
              <w:t>[</w:t>
            </w:r>
            <w:r>
              <w:rPr>
                <w:rStyle w:val="IndexLink"/>
                <w:rtl w:val="true"/>
              </w:rPr>
              <w:t xml:space="preserve">شروط انعقاد السبق </w:t>
            </w:r>
            <w:r>
              <w:rPr>
                <w:rStyle w:val="IndexLink"/>
                <w:rtl w:val="true"/>
              </w:rPr>
              <w:t>]</w:t>
              <w:tab/>
            </w:r>
            <w:r>
              <w:rPr>
                <w:rStyle w:val="IndexLink"/>
              </w:rPr>
              <w:t>65</w:t>
            </w:r>
          </w:hyperlink>
        </w:p>
        <w:p>
          <w:pPr>
            <w:pStyle w:val="Contents3"/>
            <w:tabs>
              <w:tab w:val="clear" w:pos="8459"/>
              <w:tab w:val="right" w:pos="9026" w:leader="dot"/>
            </w:tabs>
            <w:rPr/>
          </w:pPr>
          <w:hyperlink w:anchor="__RefHeading___Toc2175325_2314609296">
            <w:r>
              <w:rPr>
                <w:webHidden/>
                <w:rStyle w:val="IndexLink"/>
                <w:rtl w:val="true"/>
              </w:rPr>
              <w:t>[</w:t>
            </w:r>
            <w:r>
              <w:rPr>
                <w:rStyle w:val="IndexLink"/>
                <w:rtl w:val="true"/>
              </w:rPr>
              <w:t xml:space="preserve">شروط الرمی و احکامه </w:t>
            </w:r>
            <w:r>
              <w:rPr>
                <w:rStyle w:val="IndexLink"/>
                <w:rtl w:val="true"/>
              </w:rPr>
              <w:t>]</w:t>
              <w:tab/>
            </w:r>
            <w:r>
              <w:rPr>
                <w:rStyle w:val="IndexLink"/>
              </w:rPr>
              <w:t>70</w:t>
            </w:r>
          </w:hyperlink>
        </w:p>
        <w:p>
          <w:pPr>
            <w:pStyle w:val="Contents2"/>
            <w:tabs>
              <w:tab w:val="clear" w:pos="8743"/>
              <w:tab w:val="right" w:pos="9026" w:leader="dot"/>
            </w:tabs>
            <w:rPr/>
          </w:pPr>
          <w:hyperlink w:anchor="__RefHeading___Toc2175327_2314609296">
            <w:r>
              <w:rPr>
                <w:webHidden/>
                <w:rStyle w:val="IndexLink"/>
                <w:rtl w:val="true"/>
              </w:rPr>
              <w:t>کتاب الجعالة</w:t>
            </w:r>
            <w:r>
              <w:rPr>
                <w:rStyle w:val="IndexLink"/>
                <w:rtl w:val="true"/>
              </w:rPr>
              <w:tab/>
            </w:r>
            <w:r>
              <w:rPr>
                <w:rStyle w:val="IndexLink"/>
              </w:rPr>
              <w:t>75</w:t>
            </w:r>
          </w:hyperlink>
        </w:p>
        <w:p>
          <w:pPr>
            <w:pStyle w:val="Contents3"/>
            <w:tabs>
              <w:tab w:val="clear" w:pos="8459"/>
              <w:tab w:val="right" w:pos="9026" w:leader="dot"/>
            </w:tabs>
            <w:rPr/>
          </w:pPr>
          <w:hyperlink w:anchor="__RefHeading___Toc2175329_2314609296">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2175331_2314609296">
            <w:r>
              <w:rPr>
                <w:webHidden/>
                <w:rStyle w:val="IndexLink"/>
                <w:rtl w:val="true"/>
              </w:rPr>
              <w:t>[</w:t>
            </w:r>
            <w:r>
              <w:rPr>
                <w:rStyle w:val="IndexLink"/>
                <w:rtl w:val="true"/>
              </w:rPr>
              <w:t>صیغة الجعالة</w:t>
            </w:r>
            <w:r>
              <w:rPr>
                <w:rStyle w:val="IndexLink"/>
                <w:rtl w:val="true"/>
              </w:rPr>
              <w:t>]</w:t>
              <w:tab/>
            </w:r>
            <w:r>
              <w:rPr>
                <w:rStyle w:val="IndexLink"/>
              </w:rPr>
              <w:t>76</w:t>
            </w:r>
          </w:hyperlink>
        </w:p>
        <w:p>
          <w:pPr>
            <w:pStyle w:val="Contents3"/>
            <w:tabs>
              <w:tab w:val="clear" w:pos="8459"/>
              <w:tab w:val="right" w:pos="9026" w:leader="dot"/>
            </w:tabs>
            <w:rPr/>
          </w:pPr>
          <w:hyperlink w:anchor="__RefHeading___Toc2175333_2314609296">
            <w:r>
              <w:rPr>
                <w:webHidden/>
                <w:rStyle w:val="IndexLink"/>
                <w:rtl w:val="true"/>
              </w:rPr>
              <w:t>[</w:t>
            </w:r>
            <w:r>
              <w:rPr>
                <w:rStyle w:val="IndexLink"/>
                <w:rtl w:val="true"/>
              </w:rPr>
              <w:t>شروط الجاعل</w:t>
            </w:r>
            <w:r>
              <w:rPr>
                <w:rStyle w:val="IndexLink"/>
                <w:rtl w:val="true"/>
              </w:rPr>
              <w:t>]</w:t>
              <w:tab/>
            </w:r>
            <w:r>
              <w:rPr>
                <w:rStyle w:val="IndexLink"/>
              </w:rPr>
              <w:t>77</w:t>
            </w:r>
          </w:hyperlink>
        </w:p>
        <w:p>
          <w:pPr>
            <w:pStyle w:val="Contents3"/>
            <w:tabs>
              <w:tab w:val="clear" w:pos="8459"/>
              <w:tab w:val="right" w:pos="9026" w:leader="dot"/>
            </w:tabs>
            <w:rPr/>
          </w:pPr>
          <w:hyperlink w:anchor="__RefHeading___Toc2175335_2314609296">
            <w:r>
              <w:rPr>
                <w:webHidden/>
                <w:rStyle w:val="IndexLink"/>
                <w:rtl w:val="true"/>
              </w:rPr>
              <w:t>[</w:t>
            </w:r>
            <w:r>
              <w:rPr>
                <w:rStyle w:val="IndexLink"/>
                <w:rtl w:val="true"/>
              </w:rPr>
              <w:t>الجعالة الجائزة</w:t>
            </w:r>
            <w:r>
              <w:rPr>
                <w:rStyle w:val="IndexLink"/>
                <w:rtl w:val="true"/>
              </w:rPr>
              <w:t>]</w:t>
              <w:tab/>
            </w:r>
            <w:r>
              <w:rPr>
                <w:rStyle w:val="IndexLink"/>
              </w:rPr>
              <w:t>78</w:t>
            </w:r>
          </w:hyperlink>
        </w:p>
        <w:p>
          <w:pPr>
            <w:pStyle w:val="Contents3"/>
            <w:tabs>
              <w:tab w:val="clear" w:pos="8459"/>
              <w:tab w:val="right" w:pos="9026" w:leader="dot"/>
            </w:tabs>
            <w:rPr/>
          </w:pPr>
          <w:hyperlink w:anchor="__RefHeading___Toc2175337_2314609296">
            <w:r>
              <w:rPr>
                <w:webHidden/>
                <w:rStyle w:val="IndexLink"/>
                <w:rtl w:val="true"/>
              </w:rPr>
              <w:t>[</w:t>
            </w:r>
            <w:r>
              <w:rPr>
                <w:rStyle w:val="IndexLink"/>
                <w:rtl w:val="true"/>
              </w:rPr>
              <w:t xml:space="preserve">الکلام فی استحقاق الجعل </w:t>
            </w:r>
            <w:r>
              <w:rPr>
                <w:rStyle w:val="IndexLink"/>
                <w:rtl w:val="true"/>
              </w:rPr>
              <w:t>]</w:t>
              <w:tab/>
            </w:r>
            <w:r>
              <w:rPr>
                <w:rStyle w:val="IndexLink"/>
              </w:rPr>
              <w:t>80</w:t>
            </w:r>
          </w:hyperlink>
        </w:p>
        <w:p>
          <w:pPr>
            <w:pStyle w:val="Contents3"/>
            <w:tabs>
              <w:tab w:val="clear" w:pos="8459"/>
              <w:tab w:val="right" w:pos="9026" w:leader="dot"/>
            </w:tabs>
            <w:rPr/>
          </w:pPr>
          <w:hyperlink w:anchor="__RefHeading___Toc2175339_2314609296">
            <w:r>
              <w:rPr>
                <w:webHidden/>
                <w:rStyle w:val="IndexLink"/>
                <w:rtl w:val="true"/>
              </w:rPr>
              <w:t xml:space="preserve">مسائل </w:t>
            </w:r>
            <w:r>
              <w:rPr>
                <w:rStyle w:val="IndexLink"/>
                <w:rtl w:val="true"/>
              </w:rPr>
              <w:t>[</w:t>
            </w:r>
            <w:r>
              <w:rPr>
                <w:rStyle w:val="IndexLink"/>
                <w:rtl w:val="true"/>
              </w:rPr>
              <w:t xml:space="preserve">فی احکام الجعل </w:t>
            </w:r>
            <w:r>
              <w:rPr>
                <w:rStyle w:val="IndexLink"/>
                <w:rtl w:val="true"/>
              </w:rPr>
              <w:t>]</w:t>
              <w:tab/>
            </w:r>
            <w:r>
              <w:rPr>
                <w:rStyle w:val="IndexLink"/>
              </w:rPr>
              <w:t>81</w:t>
            </w:r>
          </w:hyperlink>
        </w:p>
        <w:p>
          <w:pPr>
            <w:pStyle w:val="Contents2"/>
            <w:tabs>
              <w:tab w:val="clear" w:pos="8743"/>
              <w:tab w:val="right" w:pos="9026" w:leader="dot"/>
            </w:tabs>
            <w:rPr/>
          </w:pPr>
          <w:hyperlink w:anchor="__RefHeading___Toc2175341_2314609296">
            <w:r>
              <w:rPr>
                <w:webHidden/>
                <w:rStyle w:val="IndexLink"/>
                <w:rtl w:val="true"/>
              </w:rPr>
              <w:t>کتاب الوصایا</w:t>
            </w:r>
            <w:r>
              <w:rPr>
                <w:rStyle w:val="IndexLink"/>
                <w:rtl w:val="true"/>
              </w:rPr>
              <w:tab/>
            </w:r>
            <w:r>
              <w:rPr>
                <w:rStyle w:val="IndexLink"/>
              </w:rPr>
              <w:t>86</w:t>
            </w:r>
          </w:hyperlink>
        </w:p>
        <w:p>
          <w:pPr>
            <w:pStyle w:val="Contents3"/>
            <w:tabs>
              <w:tab w:val="clear" w:pos="8459"/>
              <w:tab w:val="right" w:pos="9026" w:leader="dot"/>
            </w:tabs>
            <w:rPr/>
          </w:pPr>
          <w:hyperlink w:anchor="__RefHeading___Toc2175343_2314609296">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2175345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w:t>
            </w:r>
            <w:r>
              <w:rPr>
                <w:rStyle w:val="IndexLink"/>
                <w:rtl w:val="true"/>
              </w:rPr>
              <w:t>الوصیّة</w:t>
            </w:r>
            <w:r>
              <w:rPr>
                <w:rStyle w:val="IndexLink"/>
                <w:rtl w:val="true"/>
              </w:rPr>
              <w:t>»</w:t>
              <w:tab/>
            </w:r>
            <w:r>
              <w:rPr>
                <w:rStyle w:val="IndexLink"/>
              </w:rPr>
              <w:t>87</w:t>
            </w:r>
          </w:hyperlink>
        </w:p>
        <w:p>
          <w:pPr>
            <w:pStyle w:val="Contents4"/>
            <w:tabs>
              <w:tab w:val="clear" w:pos="8176"/>
              <w:tab w:val="right" w:pos="9026" w:leader="dot"/>
            </w:tabs>
            <w:rPr/>
          </w:pPr>
          <w:hyperlink w:anchor="__RefHeading___Toc2175347_2314609296">
            <w:r>
              <w:rPr>
                <w:webHidden/>
                <w:rStyle w:val="IndexLink"/>
                <w:rtl w:val="true"/>
              </w:rPr>
              <w:t>[</w:t>
            </w:r>
            <w:r>
              <w:rPr>
                <w:rStyle w:val="IndexLink"/>
                <w:rtl w:val="true"/>
              </w:rPr>
              <w:t>تعریفها</w:t>
            </w:r>
            <w:r>
              <w:rPr>
                <w:rStyle w:val="IndexLink"/>
                <w:rtl w:val="true"/>
              </w:rPr>
              <w:t>]</w:t>
              <w:tab/>
            </w:r>
            <w:r>
              <w:rPr>
                <w:rStyle w:val="IndexLink"/>
              </w:rPr>
              <w:t>87</w:t>
            </w:r>
          </w:hyperlink>
        </w:p>
        <w:p>
          <w:pPr>
            <w:pStyle w:val="Contents4"/>
            <w:tabs>
              <w:tab w:val="clear" w:pos="8176"/>
              <w:tab w:val="right" w:pos="9026" w:leader="dot"/>
            </w:tabs>
            <w:rPr/>
          </w:pPr>
          <w:hyperlink w:anchor="__RefHeading___Toc2175349_2314609296">
            <w:r>
              <w:rPr>
                <w:webHidden/>
                <w:rStyle w:val="IndexLink"/>
                <w:rtl w:val="true"/>
              </w:rPr>
              <w:t>[</w:t>
            </w:r>
            <w:r>
              <w:rPr>
                <w:rStyle w:val="IndexLink"/>
                <w:rtl w:val="true"/>
              </w:rPr>
              <w:t xml:space="preserve">الایجاب و القبول </w:t>
            </w:r>
            <w:r>
              <w:rPr>
                <w:rStyle w:val="IndexLink"/>
                <w:rtl w:val="true"/>
              </w:rPr>
              <w:t>]</w:t>
              <w:tab/>
            </w:r>
            <w:r>
              <w:rPr>
                <w:rStyle w:val="IndexLink"/>
              </w:rPr>
              <w:t>88</w:t>
            </w:r>
          </w:hyperlink>
        </w:p>
        <w:p>
          <w:pPr>
            <w:pStyle w:val="Contents4"/>
            <w:tabs>
              <w:tab w:val="clear" w:pos="8176"/>
              <w:tab w:val="right" w:pos="9026" w:leader="dot"/>
            </w:tabs>
            <w:rPr/>
          </w:pPr>
          <w:hyperlink w:anchor="__RefHeading___Toc2175351_2314609296">
            <w:r>
              <w:rPr>
                <w:webHidden/>
                <w:rStyle w:val="IndexLink"/>
                <w:rtl w:val="true"/>
              </w:rPr>
              <w:t>[</w:t>
            </w:r>
            <w:r>
              <w:rPr>
                <w:rStyle w:val="IndexLink"/>
                <w:rtl w:val="true"/>
              </w:rPr>
              <w:t xml:space="preserve">شروط الوصی </w:t>
            </w:r>
            <w:r>
              <w:rPr>
                <w:rStyle w:val="IndexLink"/>
                <w:rtl w:val="true"/>
              </w:rPr>
              <w:t>]</w:t>
              <w:tab/>
            </w:r>
            <w:r>
              <w:rPr>
                <w:rStyle w:val="IndexLink"/>
              </w:rPr>
              <w:t>95</w:t>
            </w:r>
          </w:hyperlink>
        </w:p>
        <w:p>
          <w:pPr>
            <w:pStyle w:val="Contents4"/>
            <w:tabs>
              <w:tab w:val="clear" w:pos="8176"/>
              <w:tab w:val="right" w:pos="9026" w:leader="dot"/>
            </w:tabs>
            <w:rPr/>
          </w:pPr>
          <w:hyperlink w:anchor="__RefHeading___Toc2175353_2314609296">
            <w:r>
              <w:rPr>
                <w:webHidden/>
                <w:rStyle w:val="IndexLink"/>
                <w:rtl w:val="true"/>
              </w:rPr>
              <w:t>[</w:t>
            </w:r>
            <w:r>
              <w:rPr>
                <w:rStyle w:val="IndexLink"/>
                <w:rtl w:val="true"/>
              </w:rPr>
              <w:t>من تصح له الوصیة</w:t>
            </w:r>
            <w:r>
              <w:rPr>
                <w:rStyle w:val="IndexLink"/>
                <w:rtl w:val="true"/>
              </w:rPr>
              <w:t>]</w:t>
              <w:tab/>
            </w:r>
            <w:r>
              <w:rPr>
                <w:rStyle w:val="IndexLink"/>
              </w:rPr>
              <w:t>97</w:t>
            </w:r>
          </w:hyperlink>
        </w:p>
        <w:p>
          <w:pPr>
            <w:pStyle w:val="Contents3"/>
            <w:tabs>
              <w:tab w:val="clear" w:pos="8459"/>
              <w:tab w:val="right" w:pos="9026" w:leader="dot"/>
            </w:tabs>
            <w:rPr/>
          </w:pPr>
          <w:hyperlink w:anchor="__RefHeading___Toc2175355_2314609296">
            <w:r>
              <w:rPr>
                <w:webHidden/>
                <w:rStyle w:val="IndexLink"/>
                <w:rtl w:val="true"/>
              </w:rPr>
              <w:t>«</w:t>
            </w:r>
            <w:r>
              <w:rPr>
                <w:rStyle w:val="IndexLink"/>
                <w:rtl w:val="true"/>
              </w:rPr>
              <w:t>الفصل الثانی</w:t>
            </w:r>
            <w:r>
              <w:rPr>
                <w:rStyle w:val="IndexLink"/>
                <w:rtl w:val="true"/>
              </w:rPr>
              <w:t>»</w:t>
              <w:tab/>
            </w:r>
            <w:r>
              <w:rPr>
                <w:rStyle w:val="IndexLink"/>
              </w:rPr>
              <w:t>103</w:t>
            </w:r>
          </w:hyperlink>
        </w:p>
        <w:p>
          <w:pPr>
            <w:pStyle w:val="Contents3"/>
            <w:tabs>
              <w:tab w:val="clear" w:pos="8459"/>
              <w:tab w:val="right" w:pos="9026" w:leader="dot"/>
            </w:tabs>
            <w:rPr/>
          </w:pPr>
          <w:hyperlink w:anchor="__RefHeading___Toc2175357_2314609296">
            <w:r>
              <w:rPr>
                <w:webHidden/>
                <w:rStyle w:val="IndexLink"/>
                <w:rtl w:val="true"/>
              </w:rPr>
              <w:t>«</w:t>
            </w:r>
            <w:r>
              <w:rPr>
                <w:rStyle w:val="IndexLink"/>
                <w:rtl w:val="true"/>
              </w:rPr>
              <w:t>الفصل الثالث</w:t>
            </w:r>
            <w:r>
              <w:rPr>
                <w:rStyle w:val="IndexLink"/>
                <w:rtl w:val="true"/>
              </w:rPr>
              <w:t>»</w:t>
              <w:tab/>
            </w:r>
            <w:r>
              <w:rPr>
                <w:rStyle w:val="IndexLink"/>
              </w:rPr>
              <w:t>116</w:t>
            </w:r>
          </w:hyperlink>
        </w:p>
        <w:p>
          <w:pPr>
            <w:pStyle w:val="Contents3"/>
            <w:tabs>
              <w:tab w:val="clear" w:pos="8459"/>
              <w:tab w:val="right" w:pos="9026" w:leader="dot"/>
            </w:tabs>
            <w:rPr/>
          </w:pPr>
          <w:hyperlink w:anchor="__RefHeading___Toc2175359_2314609296">
            <w:r>
              <w:rPr>
                <w:webHidden/>
                <w:rStyle w:val="IndexLink"/>
                <w:rtl w:val="true"/>
              </w:rPr>
              <w:t>«</w:t>
            </w:r>
            <w:r>
              <w:rPr>
                <w:rStyle w:val="IndexLink"/>
                <w:rtl w:val="true"/>
              </w:rPr>
              <w:t>الفصل الرابع</w:t>
            </w:r>
            <w:r>
              <w:rPr>
                <w:rStyle w:val="IndexLink"/>
                <w:rtl w:val="true"/>
              </w:rPr>
              <w:t>»</w:t>
              <w:tab/>
            </w:r>
            <w:r>
              <w:rPr>
                <w:rStyle w:val="IndexLink"/>
              </w:rPr>
              <w:t>125</w:t>
            </w:r>
          </w:hyperlink>
        </w:p>
        <w:p>
          <w:pPr>
            <w:pStyle w:val="Contents4"/>
            <w:tabs>
              <w:tab w:val="clear" w:pos="8176"/>
              <w:tab w:val="right" w:pos="9026" w:leader="dot"/>
            </w:tabs>
            <w:rPr/>
          </w:pPr>
          <w:hyperlink w:anchor="__RefHeading___Toc2175361_2314609296">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175363_2314609296">
            <w:r>
              <w:rPr>
                <w:webHidden/>
                <w:rStyle w:val="IndexLink"/>
                <w:rtl w:val="true"/>
              </w:rPr>
              <w:t>[</w:t>
            </w:r>
            <w:r>
              <w:rPr>
                <w:rStyle w:val="IndexLink"/>
                <w:rtl w:val="true"/>
              </w:rPr>
              <w:t xml:space="preserve">شروط الوصی </w:t>
            </w:r>
            <w:r>
              <w:rPr>
                <w:rStyle w:val="IndexLink"/>
                <w:rtl w:val="true"/>
              </w:rPr>
              <w:t>]</w:t>
              <w:tab/>
            </w:r>
            <w:r>
              <w:rPr>
                <w:rStyle w:val="IndexLink"/>
              </w:rPr>
              <w:t>125</w:t>
            </w:r>
          </w:hyperlink>
        </w:p>
        <w:p>
          <w:pPr>
            <w:pStyle w:val="Contents2"/>
            <w:tabs>
              <w:tab w:val="clear" w:pos="8743"/>
              <w:tab w:val="right" w:pos="9026" w:leader="dot"/>
            </w:tabs>
            <w:rPr/>
          </w:pPr>
          <w:hyperlink w:anchor="__RefHeading___Toc2175365_2314609296">
            <w:r>
              <w:rPr>
                <w:webHidden/>
                <w:rStyle w:val="IndexLink"/>
                <w:rtl w:val="true"/>
              </w:rPr>
              <w:t>کتاب النکاح</w:t>
            </w:r>
            <w:r>
              <w:rPr>
                <w:rStyle w:val="IndexLink"/>
                <w:rtl w:val="true"/>
              </w:rPr>
              <w:tab/>
            </w:r>
            <w:r>
              <w:rPr>
                <w:rStyle w:val="IndexLink"/>
              </w:rPr>
              <w:t>136</w:t>
            </w:r>
          </w:hyperlink>
        </w:p>
        <w:p>
          <w:pPr>
            <w:pStyle w:val="Contents3"/>
            <w:tabs>
              <w:tab w:val="clear" w:pos="8459"/>
              <w:tab w:val="right" w:pos="9026" w:leader="dot"/>
            </w:tabs>
            <w:rPr/>
          </w:pPr>
          <w:hyperlink w:anchor="__RefHeading___Toc2175367_2314609296">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2175369_2314609296">
            <w:r>
              <w:rPr>
                <w:webHidden/>
                <w:rStyle w:val="IndexLink"/>
                <w:rtl w:val="true"/>
              </w:rPr>
              <w:t>«</w:t>
            </w:r>
            <w:r>
              <w:rPr>
                <w:rStyle w:val="IndexLink"/>
                <w:rtl w:val="true"/>
              </w:rPr>
              <w:t>الأوّل</w:t>
            </w:r>
            <w:r>
              <w:rPr>
                <w:rStyle w:val="IndexLink"/>
                <w:rtl w:val="true"/>
              </w:rPr>
              <w:t>»«</w:t>
            </w:r>
            <w:r>
              <w:rPr>
                <w:rStyle w:val="IndexLink"/>
                <w:rtl w:val="true"/>
              </w:rPr>
              <w:t>فی المقدّمات</w:t>
            </w:r>
            <w:r>
              <w:rPr>
                <w:rStyle w:val="IndexLink"/>
                <w:rtl w:val="true"/>
              </w:rPr>
              <w:t>»</w:t>
              <w:tab/>
            </w:r>
            <w:r>
              <w:rPr>
                <w:rStyle w:val="IndexLink"/>
              </w:rPr>
              <w:t>137</w:t>
            </w:r>
          </w:hyperlink>
        </w:p>
        <w:p>
          <w:pPr>
            <w:pStyle w:val="Contents4"/>
            <w:tabs>
              <w:tab w:val="clear" w:pos="8176"/>
              <w:tab w:val="right" w:pos="9026" w:leader="dot"/>
            </w:tabs>
            <w:rPr/>
          </w:pPr>
          <w:hyperlink w:anchor="__RefHeading___Toc2175371_2314609296">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2175373_2314609296">
            <w:r>
              <w:rPr>
                <w:webHidden/>
                <w:rStyle w:val="IndexLink"/>
                <w:rtl w:val="true"/>
              </w:rPr>
              <w:t>[</w:t>
            </w:r>
            <w:r>
              <w:rPr>
                <w:rStyle w:val="IndexLink"/>
                <w:rtl w:val="true"/>
              </w:rPr>
              <w:t>فضله</w:t>
            </w:r>
            <w:r>
              <w:rPr>
                <w:rStyle w:val="IndexLink"/>
                <w:rtl w:val="true"/>
              </w:rPr>
              <w:t>]</w:t>
              <w:tab/>
            </w:r>
            <w:r>
              <w:rPr>
                <w:rStyle w:val="IndexLink"/>
              </w:rPr>
              <w:t>137</w:t>
            </w:r>
          </w:hyperlink>
        </w:p>
        <w:p>
          <w:pPr>
            <w:pStyle w:val="Contents4"/>
            <w:tabs>
              <w:tab w:val="clear" w:pos="8176"/>
              <w:tab w:val="right" w:pos="9026" w:leader="dot"/>
            </w:tabs>
            <w:rPr/>
          </w:pPr>
          <w:hyperlink w:anchor="__RefHeading___Toc2175375_2314609296">
            <w:r>
              <w:rPr>
                <w:webHidden/>
                <w:rStyle w:val="IndexLink"/>
                <w:rtl w:val="true"/>
              </w:rPr>
              <w:t>[</w:t>
            </w:r>
            <w:r>
              <w:rPr>
                <w:rStyle w:val="IndexLink"/>
                <w:rtl w:val="true"/>
              </w:rPr>
              <w:t>آدابه</w:t>
            </w:r>
            <w:r>
              <w:rPr>
                <w:rStyle w:val="IndexLink"/>
                <w:rtl w:val="true"/>
              </w:rPr>
              <w:t>]</w:t>
              <w:tab/>
            </w:r>
            <w:r>
              <w:rPr>
                <w:rStyle w:val="IndexLink"/>
              </w:rPr>
              <w:t>139</w:t>
            </w:r>
          </w:hyperlink>
        </w:p>
        <w:p>
          <w:pPr>
            <w:pStyle w:val="Contents4"/>
            <w:tabs>
              <w:tab w:val="clear" w:pos="8176"/>
              <w:tab w:val="right" w:pos="9026" w:leader="dot"/>
            </w:tabs>
            <w:rPr/>
          </w:pPr>
          <w:hyperlink w:anchor="__RefHeading___Toc2175377_2314609296">
            <w:r>
              <w:rPr>
                <w:webHidden/>
                <w:rStyle w:val="IndexLink"/>
                <w:rtl w:val="true"/>
              </w:rPr>
              <w:t>[</w:t>
            </w:r>
            <w:r>
              <w:rPr>
                <w:rStyle w:val="IndexLink"/>
                <w:rtl w:val="true"/>
              </w:rPr>
              <w:t>احکام النظر</w:t>
            </w:r>
            <w:r>
              <w:rPr>
                <w:rStyle w:val="IndexLink"/>
                <w:rtl w:val="true"/>
              </w:rPr>
              <w:t>]</w:t>
              <w:tab/>
            </w:r>
            <w:r>
              <w:rPr>
                <w:rStyle w:val="IndexLink"/>
              </w:rPr>
              <w:t>144</w:t>
            </w:r>
          </w:hyperlink>
        </w:p>
        <w:p>
          <w:pPr>
            <w:pStyle w:val="Contents4"/>
            <w:tabs>
              <w:tab w:val="clear" w:pos="8176"/>
              <w:tab w:val="right" w:pos="9026" w:leader="dot"/>
            </w:tabs>
            <w:rPr/>
          </w:pPr>
          <w:hyperlink w:anchor="__RefHeading___Toc2175379_2314609296">
            <w:r>
              <w:rPr>
                <w:webHidden/>
                <w:rStyle w:val="IndexLink"/>
                <w:rtl w:val="true"/>
              </w:rPr>
              <w:t>[</w:t>
            </w:r>
            <w:r>
              <w:rPr>
                <w:rStyle w:val="IndexLink"/>
                <w:rtl w:val="true"/>
              </w:rPr>
              <w:t>بعض احکام الاستمتاع</w:t>
            </w:r>
            <w:r>
              <w:rPr>
                <w:rStyle w:val="IndexLink"/>
                <w:rtl w:val="true"/>
              </w:rPr>
              <w:t>]</w:t>
              <w:tab/>
            </w:r>
            <w:r>
              <w:rPr>
                <w:rStyle w:val="IndexLink"/>
              </w:rPr>
              <w:t>147</w:t>
            </w:r>
          </w:hyperlink>
        </w:p>
        <w:p>
          <w:pPr>
            <w:pStyle w:val="Contents3"/>
            <w:tabs>
              <w:tab w:val="clear" w:pos="8459"/>
              <w:tab w:val="right" w:pos="9026" w:leader="dot"/>
            </w:tabs>
            <w:rPr/>
          </w:pPr>
          <w:hyperlink w:anchor="__RefHeading___Toc2175381_2314609296">
            <w:r>
              <w:rPr>
                <w:webHidden/>
                <w:rStyle w:val="IndexLink"/>
                <w:rtl w:val="true"/>
              </w:rPr>
              <w:t>«</w:t>
            </w:r>
            <w:r>
              <w:rPr>
                <w:rStyle w:val="IndexLink"/>
                <w:rtl w:val="true"/>
              </w:rPr>
              <w:t>الفصل الثانی</w:t>
            </w:r>
            <w:r>
              <w:rPr>
                <w:rStyle w:val="IndexLink"/>
                <w:rtl w:val="true"/>
              </w:rPr>
              <w:t>»</w:t>
              <w:tab/>
            </w:r>
            <w:r>
              <w:rPr>
                <w:rStyle w:val="IndexLink"/>
              </w:rPr>
              <w:t>151</w:t>
            </w:r>
          </w:hyperlink>
        </w:p>
        <w:p>
          <w:pPr>
            <w:pStyle w:val="Contents4"/>
            <w:tabs>
              <w:tab w:val="clear" w:pos="8176"/>
              <w:tab w:val="right" w:pos="9026" w:leader="dot"/>
            </w:tabs>
            <w:rPr/>
          </w:pPr>
          <w:hyperlink w:anchor="__RefHeading___Toc2175383_2314609296">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2175385_2314609296">
            <w:r>
              <w:rPr>
                <w:webHidden/>
                <w:rStyle w:val="IndexLink"/>
                <w:rtl w:val="true"/>
              </w:rPr>
              <w:t>[</w:t>
            </w:r>
            <w:r>
              <w:rPr>
                <w:rStyle w:val="IndexLink"/>
                <w:rtl w:val="true"/>
              </w:rPr>
              <w:t xml:space="preserve">الایجاب و القبول </w:t>
            </w:r>
            <w:r>
              <w:rPr>
                <w:rStyle w:val="IndexLink"/>
                <w:rtl w:val="true"/>
              </w:rPr>
              <w:t>]</w:t>
              <w:tab/>
            </w:r>
            <w:r>
              <w:rPr>
                <w:rStyle w:val="IndexLink"/>
              </w:rPr>
              <w:t>151</w:t>
            </w:r>
          </w:hyperlink>
        </w:p>
        <w:p>
          <w:pPr>
            <w:pStyle w:val="Contents4"/>
            <w:tabs>
              <w:tab w:val="clear" w:pos="8176"/>
              <w:tab w:val="right" w:pos="9026" w:leader="dot"/>
            </w:tabs>
            <w:rPr/>
          </w:pPr>
          <w:hyperlink w:anchor="__RefHeading___Toc2175387_2314609296">
            <w:r>
              <w:rPr>
                <w:webHidden/>
                <w:rStyle w:val="IndexLink"/>
                <w:rtl w:val="true"/>
              </w:rPr>
              <w:t>[</w:t>
            </w:r>
            <w:r>
              <w:rPr>
                <w:rStyle w:val="IndexLink"/>
                <w:rtl w:val="true"/>
              </w:rPr>
              <w:t>الاحکام العقد</w:t>
            </w:r>
            <w:r>
              <w:rPr>
                <w:rStyle w:val="IndexLink"/>
                <w:rtl w:val="true"/>
              </w:rPr>
              <w:t>]</w:t>
              <w:tab/>
            </w:r>
            <w:r>
              <w:rPr>
                <w:rStyle w:val="IndexLink"/>
              </w:rPr>
              <w:t>154</w:t>
            </w:r>
          </w:hyperlink>
        </w:p>
        <w:p>
          <w:pPr>
            <w:pStyle w:val="Contents4"/>
            <w:tabs>
              <w:tab w:val="clear" w:pos="8176"/>
              <w:tab w:val="right" w:pos="9026" w:leader="dot"/>
            </w:tabs>
            <w:rPr/>
          </w:pPr>
          <w:hyperlink w:anchor="__RefHeading___Toc2175389_2314609296">
            <w:r>
              <w:rPr>
                <w:webHidden/>
                <w:rStyle w:val="IndexLink"/>
                <w:rtl w:val="true"/>
              </w:rPr>
              <w:t>[</w:t>
            </w:r>
            <w:r>
              <w:rPr>
                <w:rStyle w:val="IndexLink"/>
                <w:rtl w:val="true"/>
              </w:rPr>
              <w:t>الولایة فی النکاح</w:t>
            </w:r>
            <w:r>
              <w:rPr>
                <w:rStyle w:val="IndexLink"/>
                <w:rtl w:val="true"/>
              </w:rPr>
              <w:t>]</w:t>
              <w:tab/>
            </w:r>
            <w:r>
              <w:rPr>
                <w:rStyle w:val="IndexLink"/>
              </w:rPr>
              <w:t>156</w:t>
            </w:r>
          </w:hyperlink>
        </w:p>
        <w:p>
          <w:pPr>
            <w:pStyle w:val="Contents4"/>
            <w:tabs>
              <w:tab w:val="clear" w:pos="8176"/>
              <w:tab w:val="right" w:pos="9026" w:leader="dot"/>
            </w:tabs>
            <w:rPr/>
          </w:pPr>
          <w:hyperlink w:anchor="__RefHeading___Toc2175391_2314609296">
            <w:r>
              <w:rPr>
                <w:webHidden/>
                <w:rStyle w:val="IndexLink"/>
                <w:rtl w:val="true"/>
              </w:rPr>
              <w:t>[ «</w:t>
            </w:r>
            <w:r>
              <w:rPr>
                <w:rStyle w:val="IndexLink"/>
                <w:rtl w:val="true"/>
              </w:rPr>
              <w:t>وهنا مسائل</w:t>
            </w:r>
            <w:r>
              <w:rPr>
                <w:rStyle w:val="IndexLink"/>
                <w:rtl w:val="true"/>
              </w:rPr>
              <w:t>» ]</w:t>
              <w:tab/>
            </w:r>
            <w:r>
              <w:rPr>
                <w:rStyle w:val="IndexLink"/>
              </w:rPr>
              <w:t>158</w:t>
            </w:r>
          </w:hyperlink>
        </w:p>
        <w:p>
          <w:pPr>
            <w:pStyle w:val="Contents5"/>
            <w:tabs>
              <w:tab w:val="clear" w:pos="7892"/>
              <w:tab w:val="right" w:pos="9026" w:leader="dot"/>
            </w:tabs>
            <w:rPr/>
          </w:pPr>
          <w:hyperlink w:anchor="__RefHeading___Toc2175393_2314609296">
            <w:r>
              <w:rPr>
                <w:webHidden/>
                <w:rStyle w:val="IndexLink"/>
                <w:rtl w:val="true"/>
              </w:rPr>
              <w:t>[</w:t>
            </w:r>
            <w:r>
              <w:rPr>
                <w:rStyle w:val="IndexLink"/>
                <w:rtl w:val="true"/>
              </w:rPr>
              <w:t>الاولی</w:t>
            </w:r>
            <w:r>
              <w:rPr>
                <w:rStyle w:val="IndexLink"/>
                <w:rtl w:val="true"/>
              </w:rPr>
              <w:t xml:space="preserve">: </w:t>
            </w:r>
            <w:r>
              <w:rPr>
                <w:rStyle w:val="IndexLink"/>
                <w:rtl w:val="true"/>
              </w:rPr>
              <w:t xml:space="preserve">صحة اشتراط الخیار فی الصداق </w:t>
            </w:r>
            <w:r>
              <w:rPr>
                <w:rStyle w:val="IndexLink"/>
                <w:rtl w:val="true"/>
              </w:rPr>
              <w:t>]</w:t>
              <w:tab/>
            </w:r>
            <w:r>
              <w:rPr>
                <w:rStyle w:val="IndexLink"/>
              </w:rPr>
              <w:t>158</w:t>
            </w:r>
          </w:hyperlink>
        </w:p>
        <w:p>
          <w:pPr>
            <w:pStyle w:val="Contents6"/>
            <w:tabs>
              <w:tab w:val="clear" w:pos="7609"/>
              <w:tab w:val="right" w:pos="9026" w:leader="dot"/>
            </w:tabs>
            <w:rPr/>
          </w:pPr>
          <w:hyperlink w:anchor="__RefHeading___Toc2175395_2314609296">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175397_2314609296">
            <w:r>
              <w:rPr>
                <w:webHidden/>
                <w:rStyle w:val="IndexLink"/>
                <w:rtl w:val="true"/>
              </w:rPr>
              <w:t>[ «</w:t>
            </w:r>
            <w:r>
              <w:rPr>
                <w:rStyle w:val="IndexLink"/>
                <w:rtl w:val="true"/>
              </w:rPr>
              <w:t>ویصحّ توکیل کلّ من الزوجین فی النکاح</w:t>
            </w:r>
            <w:r>
              <w:rPr>
                <w:rStyle w:val="IndexLink"/>
                <w:rtl w:val="true"/>
              </w:rPr>
              <w:t>» ]</w:t>
              <w:tab/>
            </w:r>
            <w:r>
              <w:rPr>
                <w:rStyle w:val="IndexLink"/>
              </w:rPr>
              <w:t>158</w:t>
            </w:r>
          </w:hyperlink>
        </w:p>
        <w:p>
          <w:pPr>
            <w:pStyle w:val="Contents5"/>
            <w:tabs>
              <w:tab w:val="clear" w:pos="7892"/>
              <w:tab w:val="right" w:pos="9026" w:leader="dot"/>
            </w:tabs>
            <w:rPr/>
          </w:pPr>
          <w:hyperlink w:anchor="__RefHeading___Toc2175399_2314609296">
            <w:r>
              <w:rPr>
                <w:webHidden/>
                <w:rStyle w:val="IndexLink"/>
                <w:rtl w:val="true"/>
              </w:rPr>
              <w:t>«</w:t>
            </w:r>
            <w:r>
              <w:rPr>
                <w:rStyle w:val="IndexLink"/>
                <w:rtl w:val="true"/>
              </w:rPr>
              <w:t xml:space="preserve">الثانیة </w:t>
            </w:r>
            <w:r>
              <w:rPr>
                <w:rStyle w:val="IndexLink"/>
                <w:rtl w:val="true"/>
              </w:rPr>
              <w:t>[</w:t>
            </w:r>
            <w:r>
              <w:rPr>
                <w:rStyle w:val="IndexLink"/>
                <w:rtl w:val="true"/>
              </w:rPr>
              <w:t xml:space="preserve">لو ادّعی زوجیّة امرأة فصدّقته </w:t>
            </w:r>
            <w:r>
              <w:rPr>
                <w:rStyle w:val="IndexLink"/>
                <w:rtl w:val="true"/>
              </w:rPr>
              <w:t>] » :</w:t>
              <w:tab/>
            </w:r>
            <w:r>
              <w:rPr>
                <w:rStyle w:val="IndexLink"/>
              </w:rPr>
              <w:t>160</w:t>
            </w:r>
          </w:hyperlink>
        </w:p>
        <w:p>
          <w:pPr>
            <w:pStyle w:val="Contents5"/>
            <w:tabs>
              <w:tab w:val="clear" w:pos="7892"/>
              <w:tab w:val="right" w:pos="9026" w:leader="dot"/>
            </w:tabs>
            <w:rPr/>
          </w:pPr>
          <w:hyperlink w:anchor="__RefHeading___Toc2175401_2314609296">
            <w:r>
              <w:rPr>
                <w:webHidden/>
                <w:rStyle w:val="IndexLink"/>
                <w:rtl w:val="true"/>
              </w:rPr>
              <w:t>«</w:t>
            </w:r>
            <w:r>
              <w:rPr>
                <w:rStyle w:val="IndexLink"/>
                <w:rtl w:val="true"/>
              </w:rPr>
              <w:t xml:space="preserve">الثالثة </w:t>
            </w:r>
            <w:r>
              <w:rPr>
                <w:rStyle w:val="IndexLink"/>
                <w:rtl w:val="true"/>
              </w:rPr>
              <w:t>[</w:t>
            </w:r>
            <w:r>
              <w:rPr>
                <w:rStyle w:val="IndexLink"/>
                <w:rtl w:val="true"/>
              </w:rPr>
              <w:t>لو ادّعی زوجیّة امرأة وادَّعت اُختها علیه الزوجیّة</w:t>
            </w:r>
            <w:r>
              <w:rPr>
                <w:rStyle w:val="IndexLink"/>
                <w:rtl w:val="true"/>
              </w:rPr>
              <w:t>] » :</w:t>
              <w:tab/>
            </w:r>
            <w:r>
              <w:rPr>
                <w:rStyle w:val="IndexLink"/>
              </w:rPr>
              <w:t>162</w:t>
            </w:r>
          </w:hyperlink>
        </w:p>
        <w:p>
          <w:pPr>
            <w:pStyle w:val="Contents5"/>
            <w:tabs>
              <w:tab w:val="clear" w:pos="7892"/>
              <w:tab w:val="right" w:pos="9026" w:leader="dot"/>
            </w:tabs>
            <w:rPr/>
          </w:pPr>
          <w:hyperlink w:anchor="__RefHeading___Toc2175403_2314609296">
            <w:r>
              <w:rPr>
                <w:webHidden/>
                <w:rStyle w:val="IndexLink"/>
                <w:rtl w:val="true"/>
              </w:rPr>
              <w:t>«</w:t>
            </w:r>
            <w:r>
              <w:rPr>
                <w:rStyle w:val="IndexLink"/>
                <w:rtl w:val="true"/>
              </w:rPr>
              <w:t xml:space="preserve">الرابعة </w:t>
            </w:r>
            <w:r>
              <w:rPr>
                <w:rStyle w:val="IndexLink"/>
                <w:rtl w:val="true"/>
              </w:rPr>
              <w:t>[</w:t>
            </w:r>
            <w:r>
              <w:rPr>
                <w:rStyle w:val="IndexLink"/>
                <w:rtl w:val="true"/>
              </w:rPr>
              <w:t xml:space="preserve">لو اشتری العبد زوجته لسیّده </w:t>
            </w:r>
            <w:r>
              <w:rPr>
                <w:rStyle w:val="IndexLink"/>
                <w:rtl w:val="true"/>
              </w:rPr>
              <w:t>] » :</w:t>
              <w:tab/>
            </w:r>
            <w:r>
              <w:rPr>
                <w:rStyle w:val="IndexLink"/>
              </w:rPr>
              <w:t>164</w:t>
            </w:r>
          </w:hyperlink>
        </w:p>
        <w:p>
          <w:pPr>
            <w:pStyle w:val="Contents5"/>
            <w:tabs>
              <w:tab w:val="clear" w:pos="7892"/>
              <w:tab w:val="right" w:pos="9026" w:leader="dot"/>
            </w:tabs>
            <w:rPr/>
          </w:pPr>
          <w:hyperlink w:anchor="__RefHeading___Toc2175405_2314609296">
            <w:r>
              <w:rPr>
                <w:webHidden/>
                <w:rStyle w:val="IndexLink"/>
                <w:rtl w:val="true"/>
              </w:rPr>
              <w:t>«</w:t>
            </w:r>
            <w:r>
              <w:rPr>
                <w:rStyle w:val="IndexLink"/>
                <w:rtl w:val="true"/>
              </w:rPr>
              <w:t xml:space="preserve">السادسة </w:t>
            </w:r>
            <w:r>
              <w:rPr>
                <w:rStyle w:val="IndexLink"/>
                <w:rtl w:val="true"/>
              </w:rPr>
              <w:t>[</w:t>
            </w:r>
            <w:r>
              <w:rPr>
                <w:rStyle w:val="IndexLink"/>
                <w:rtl w:val="true"/>
              </w:rPr>
              <w:t xml:space="preserve">نکاح الفضولی </w:t>
            </w:r>
            <w:r>
              <w:rPr>
                <w:rStyle w:val="IndexLink"/>
                <w:rtl w:val="true"/>
              </w:rPr>
              <w:t>] » :</w:t>
              <w:tab/>
            </w:r>
            <w:r>
              <w:rPr>
                <w:rStyle w:val="IndexLink"/>
              </w:rPr>
              <w:t>167</w:t>
            </w:r>
          </w:hyperlink>
        </w:p>
        <w:p>
          <w:pPr>
            <w:pStyle w:val="Contents5"/>
            <w:tabs>
              <w:tab w:val="clear" w:pos="7892"/>
              <w:tab w:val="right" w:pos="9026" w:leader="dot"/>
            </w:tabs>
            <w:rPr/>
          </w:pPr>
          <w:hyperlink w:anchor="__RefHeading___Toc2175407_2314609296">
            <w:r>
              <w:rPr>
                <w:webHidden/>
                <w:rStyle w:val="IndexLink"/>
                <w:rtl w:val="true"/>
              </w:rPr>
              <w:t>«</w:t>
            </w:r>
            <w:r>
              <w:rPr>
                <w:rStyle w:val="IndexLink"/>
                <w:rtl w:val="true"/>
              </w:rPr>
              <w:t xml:space="preserve">السابعة </w:t>
            </w:r>
            <w:r>
              <w:rPr>
                <w:rStyle w:val="IndexLink"/>
                <w:rtl w:val="true"/>
              </w:rPr>
              <w:t>[</w:t>
            </w:r>
            <w:r>
              <w:rPr>
                <w:rStyle w:val="IndexLink"/>
                <w:rtl w:val="true"/>
              </w:rPr>
              <w:t xml:space="preserve">لا یجوز نکاح الأمة إلّابإذن مالکها </w:t>
            </w:r>
            <w:r>
              <w:rPr>
                <w:rStyle w:val="IndexLink"/>
                <w:rtl w:val="true"/>
              </w:rPr>
              <w:t>] » :</w:t>
              <w:tab/>
            </w:r>
            <w:r>
              <w:rPr>
                <w:rStyle w:val="IndexLink"/>
              </w:rPr>
              <w:t>168</w:t>
            </w:r>
          </w:hyperlink>
        </w:p>
        <w:p>
          <w:pPr>
            <w:pStyle w:val="Contents5"/>
            <w:tabs>
              <w:tab w:val="clear" w:pos="7892"/>
              <w:tab w:val="right" w:pos="9026" w:leader="dot"/>
            </w:tabs>
            <w:rPr/>
          </w:pPr>
          <w:hyperlink w:anchor="__RefHeading___Toc2175409_2314609296">
            <w:r>
              <w:rPr>
                <w:webHidden/>
                <w:rStyle w:val="IndexLink"/>
                <w:rtl w:val="true"/>
              </w:rPr>
              <w:t>«</w:t>
            </w:r>
            <w:r>
              <w:rPr>
                <w:rStyle w:val="IndexLink"/>
                <w:rtl w:val="true"/>
              </w:rPr>
              <w:t>الثامنة</w:t>
            </w:r>
            <w:r>
              <w:rPr>
                <w:rStyle w:val="IndexLink"/>
                <w:rtl w:val="true"/>
              </w:rPr>
              <w:t>» :</w:t>
              <w:tab/>
            </w:r>
            <w:r>
              <w:rPr>
                <w:rStyle w:val="IndexLink"/>
              </w:rPr>
              <w:t>169</w:t>
            </w:r>
          </w:hyperlink>
        </w:p>
        <w:p>
          <w:pPr>
            <w:pStyle w:val="Contents5"/>
            <w:tabs>
              <w:tab w:val="clear" w:pos="7892"/>
              <w:tab w:val="right" w:pos="9026" w:leader="dot"/>
            </w:tabs>
            <w:rPr/>
          </w:pPr>
          <w:hyperlink w:anchor="__RefHeading___Toc2175411_2314609296">
            <w:r>
              <w:rPr>
                <w:webHidden/>
                <w:rStyle w:val="IndexLink"/>
                <w:rtl w:val="true"/>
              </w:rPr>
              <w:t>«</w:t>
            </w:r>
            <w:r>
              <w:rPr>
                <w:rStyle w:val="IndexLink"/>
                <w:rtl w:val="true"/>
              </w:rPr>
              <w:t xml:space="preserve">التاسعة </w:t>
            </w:r>
            <w:r>
              <w:rPr>
                <w:rStyle w:val="IndexLink"/>
                <w:rtl w:val="true"/>
              </w:rPr>
              <w:t>[</w:t>
            </w:r>
            <w:r>
              <w:rPr>
                <w:rStyle w:val="IndexLink"/>
                <w:rtl w:val="true"/>
              </w:rPr>
              <w:t xml:space="preserve">لو زوّجها الأبوان او اخوان برجلین </w:t>
            </w:r>
            <w:r>
              <w:rPr>
                <w:rStyle w:val="IndexLink"/>
                <w:rtl w:val="true"/>
              </w:rPr>
              <w:t>] » :</w:t>
              <w:tab/>
            </w:r>
            <w:r>
              <w:rPr>
                <w:rStyle w:val="IndexLink"/>
              </w:rPr>
              <w:t>172</w:t>
            </w:r>
          </w:hyperlink>
        </w:p>
        <w:p>
          <w:pPr>
            <w:pStyle w:val="Contents5"/>
            <w:tabs>
              <w:tab w:val="clear" w:pos="7892"/>
              <w:tab w:val="right" w:pos="9026" w:leader="dot"/>
            </w:tabs>
            <w:rPr/>
          </w:pPr>
          <w:hyperlink w:anchor="__RefHeading___Toc2175413_2314609296">
            <w:r>
              <w:rPr>
                <w:webHidden/>
                <w:rStyle w:val="IndexLink"/>
                <w:rtl w:val="true"/>
              </w:rPr>
              <w:t>«</w:t>
            </w:r>
            <w:r>
              <w:rPr>
                <w:rStyle w:val="IndexLink"/>
                <w:rtl w:val="true"/>
              </w:rPr>
              <w:t xml:space="preserve">العاشرة </w:t>
            </w:r>
            <w:r>
              <w:rPr>
                <w:rStyle w:val="IndexLink"/>
                <w:rtl w:val="true"/>
              </w:rPr>
              <w:t>[</w:t>
            </w:r>
            <w:r>
              <w:rPr>
                <w:rStyle w:val="IndexLink"/>
                <w:rtl w:val="true"/>
              </w:rPr>
              <w:t xml:space="preserve">عدم الولایة الام علی الولد </w:t>
            </w:r>
            <w:r>
              <w:rPr>
                <w:rStyle w:val="IndexLink"/>
                <w:rtl w:val="true"/>
              </w:rPr>
              <w:t>] » :</w:t>
              <w:tab/>
            </w:r>
            <w:r>
              <w:rPr>
                <w:rStyle w:val="IndexLink"/>
              </w:rPr>
              <w:t>174</w:t>
            </w:r>
          </w:hyperlink>
        </w:p>
        <w:p>
          <w:pPr>
            <w:pStyle w:val="Contents3"/>
            <w:tabs>
              <w:tab w:val="clear" w:pos="8459"/>
              <w:tab w:val="right" w:pos="9026" w:leader="dot"/>
            </w:tabs>
            <w:rPr/>
          </w:pPr>
          <w:hyperlink w:anchor="__RefHeading___Toc2175415_2314609296">
            <w:r>
              <w:rPr>
                <w:webHidden/>
                <w:rStyle w:val="IndexLink"/>
                <w:rtl w:val="true"/>
              </w:rPr>
              <w:t>«</w:t>
            </w:r>
            <w:r>
              <w:rPr>
                <w:rStyle w:val="IndexLink"/>
                <w:rtl w:val="true"/>
              </w:rPr>
              <w:t>الفصل الثالث</w:t>
            </w:r>
            <w:r>
              <w:rPr>
                <w:rStyle w:val="IndexLink"/>
                <w:rtl w:val="true"/>
              </w:rPr>
              <w:t>»</w:t>
              <w:tab/>
            </w:r>
            <w:r>
              <w:rPr>
                <w:rStyle w:val="IndexLink"/>
              </w:rPr>
              <w:t>175</w:t>
            </w:r>
          </w:hyperlink>
        </w:p>
        <w:p>
          <w:pPr>
            <w:pStyle w:val="Contents4"/>
            <w:tabs>
              <w:tab w:val="clear" w:pos="8176"/>
              <w:tab w:val="right" w:pos="9026" w:leader="dot"/>
            </w:tabs>
            <w:rPr/>
          </w:pPr>
          <w:hyperlink w:anchor="__RefHeading___Toc2175417_2314609296">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2175419_2314609296">
            <w:r>
              <w:rPr>
                <w:webHidden/>
                <w:rStyle w:val="IndexLink"/>
                <w:rtl w:val="true"/>
              </w:rPr>
              <w:t>[</w:t>
            </w:r>
            <w:r>
              <w:rPr>
                <w:rStyle w:val="IndexLink"/>
                <w:rtl w:val="true"/>
              </w:rPr>
              <w:t>اسباب التحریم</w:t>
            </w:r>
            <w:r>
              <w:rPr>
                <w:rStyle w:val="IndexLink"/>
                <w:rtl w:val="true"/>
              </w:rPr>
              <w:t>]</w:t>
              <w:tab/>
            </w:r>
            <w:r>
              <w:rPr>
                <w:rStyle w:val="IndexLink"/>
              </w:rPr>
              <w:t>175</w:t>
            </w:r>
          </w:hyperlink>
        </w:p>
        <w:p>
          <w:pPr>
            <w:pStyle w:val="Contents5"/>
            <w:tabs>
              <w:tab w:val="clear" w:pos="7892"/>
              <w:tab w:val="right" w:pos="9026" w:leader="dot"/>
            </w:tabs>
            <w:rPr/>
          </w:pPr>
          <w:hyperlink w:anchor="__RefHeading___Toc2175421_2314609296">
            <w:r>
              <w:rPr>
                <w:webHidden/>
                <w:rStyle w:val="IndexLink"/>
                <w:rtl w:val="true"/>
              </w:rPr>
              <w:t>[</w:t>
            </w:r>
            <w:r>
              <w:rPr>
                <w:rStyle w:val="IndexLink"/>
              </w:rPr>
              <w:t>1</w:t>
            </w:r>
            <w:r>
              <w:rPr>
                <w:rStyle w:val="IndexLink"/>
                <w:rtl w:val="true"/>
              </w:rPr>
              <w:t xml:space="preserve">- </w:t>
            </w:r>
            <w:r>
              <w:rPr>
                <w:rStyle w:val="IndexLink"/>
                <w:rtl w:val="true"/>
              </w:rPr>
              <w:t xml:space="preserve">النسب </w:t>
            </w:r>
            <w:r>
              <w:rPr>
                <w:rStyle w:val="IndexLink"/>
                <w:rtl w:val="true"/>
              </w:rPr>
              <w:t>]</w:t>
              <w:tab/>
            </w:r>
            <w:r>
              <w:rPr>
                <w:rStyle w:val="IndexLink"/>
              </w:rPr>
              <w:t>175</w:t>
            </w:r>
          </w:hyperlink>
        </w:p>
        <w:p>
          <w:pPr>
            <w:pStyle w:val="Contents5"/>
            <w:tabs>
              <w:tab w:val="clear" w:pos="7892"/>
              <w:tab w:val="right" w:pos="9026" w:leader="dot"/>
            </w:tabs>
            <w:rPr/>
          </w:pPr>
          <w:hyperlink w:anchor="__RefHeading___Toc2175423_2314609296">
            <w:r>
              <w:rPr>
                <w:webHidden/>
                <w:rStyle w:val="IndexLink"/>
                <w:rtl w:val="true"/>
              </w:rPr>
              <w:t>[</w:t>
            </w:r>
            <w:r>
              <w:rPr>
                <w:rStyle w:val="IndexLink"/>
              </w:rPr>
              <w:t>2</w:t>
            </w:r>
            <w:r>
              <w:rPr>
                <w:rStyle w:val="IndexLink"/>
                <w:rtl w:val="true"/>
              </w:rPr>
              <w:t xml:space="preserve">- </w:t>
            </w:r>
            <w:r>
              <w:rPr>
                <w:rStyle w:val="IndexLink"/>
                <w:rtl w:val="true"/>
              </w:rPr>
              <w:t xml:space="preserve">الرضاع </w:t>
            </w:r>
            <w:r>
              <w:rPr>
                <w:rStyle w:val="IndexLink"/>
                <w:rtl w:val="true"/>
              </w:rPr>
              <w:t>]</w:t>
              <w:tab/>
            </w:r>
            <w:r>
              <w:rPr>
                <w:rStyle w:val="IndexLink"/>
              </w:rPr>
              <w:t>176</w:t>
            </w:r>
          </w:hyperlink>
        </w:p>
        <w:p>
          <w:pPr>
            <w:pStyle w:val="Contents6"/>
            <w:tabs>
              <w:tab w:val="clear" w:pos="7609"/>
              <w:tab w:val="right" w:pos="9026" w:leader="dot"/>
            </w:tabs>
            <w:rPr/>
          </w:pPr>
          <w:hyperlink w:anchor="__RefHeading___Toc2175425_2314609296">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2175427_2314609296">
            <w:r>
              <w:rPr>
                <w:webHidden/>
                <w:rStyle w:val="IndexLink"/>
                <w:rtl w:val="true"/>
              </w:rPr>
              <w:t>[</w:t>
            </w:r>
            <w:r>
              <w:rPr>
                <w:rStyle w:val="IndexLink"/>
                <w:rtl w:val="true"/>
              </w:rPr>
              <w:t>شروط التحریم الرضاع</w:t>
            </w:r>
            <w:r>
              <w:rPr>
                <w:rStyle w:val="IndexLink"/>
                <w:rtl w:val="true"/>
              </w:rPr>
              <w:t>]</w:t>
              <w:tab/>
            </w:r>
            <w:r>
              <w:rPr>
                <w:rStyle w:val="IndexLink"/>
              </w:rPr>
              <w:t>176</w:t>
            </w:r>
          </w:hyperlink>
        </w:p>
        <w:p>
          <w:pPr>
            <w:pStyle w:val="Contents5"/>
            <w:tabs>
              <w:tab w:val="clear" w:pos="7892"/>
              <w:tab w:val="right" w:pos="9026" w:leader="dot"/>
            </w:tabs>
            <w:rPr/>
          </w:pPr>
          <w:hyperlink w:anchor="__RefHeading___Toc2175429_2314609296">
            <w:r>
              <w:rPr>
                <w:webHidden/>
                <w:rStyle w:val="IndexLink"/>
                <w:rtl w:val="true"/>
              </w:rPr>
              <w:t>[</w:t>
            </w:r>
            <w:r>
              <w:rPr>
                <w:rStyle w:val="IndexLink"/>
              </w:rPr>
              <w:t>3</w:t>
            </w:r>
            <w:r>
              <w:rPr>
                <w:rStyle w:val="IndexLink"/>
                <w:rtl w:val="true"/>
              </w:rPr>
              <w:t xml:space="preserve">- </w:t>
            </w:r>
            <w:r>
              <w:rPr>
                <w:rStyle w:val="IndexLink"/>
                <w:rtl w:val="true"/>
              </w:rPr>
              <w:t xml:space="preserve">المصاهره </w:t>
            </w:r>
            <w:r>
              <w:rPr>
                <w:rStyle w:val="IndexLink"/>
                <w:rtl w:val="true"/>
              </w:rPr>
              <w:t>]</w:t>
              <w:tab/>
            </w:r>
            <w:r>
              <w:rPr>
                <w:rStyle w:val="IndexLink"/>
              </w:rPr>
              <w:t>187</w:t>
            </w:r>
          </w:hyperlink>
        </w:p>
        <w:p>
          <w:pPr>
            <w:pStyle w:val="Contents5"/>
            <w:tabs>
              <w:tab w:val="clear" w:pos="7892"/>
              <w:tab w:val="right" w:pos="9026" w:leader="dot"/>
            </w:tabs>
            <w:rPr/>
          </w:pPr>
          <w:hyperlink w:anchor="__RefHeading___Toc2175431_2314609296">
            <w:r>
              <w:rPr>
                <w:webHidden/>
                <w:rStyle w:val="IndexLink"/>
                <w:rtl w:val="true"/>
              </w:rPr>
              <w:t>[</w:t>
            </w:r>
            <w:r>
              <w:rPr>
                <w:rStyle w:val="IndexLink"/>
                <w:rtl w:val="true"/>
              </w:rPr>
              <w:t>حکم ملموسه الابن او الاب و منظورتهما</w:t>
            </w:r>
            <w:r>
              <w:rPr>
                <w:rStyle w:val="IndexLink"/>
                <w:rtl w:val="true"/>
              </w:rPr>
              <w:t>]</w:t>
              <w:tab/>
            </w:r>
            <w:r>
              <w:rPr>
                <w:rStyle w:val="IndexLink"/>
              </w:rPr>
              <w:t>190</w:t>
            </w:r>
          </w:hyperlink>
        </w:p>
        <w:p>
          <w:pPr>
            <w:pStyle w:val="Contents4"/>
            <w:tabs>
              <w:tab w:val="clear" w:pos="8176"/>
              <w:tab w:val="right" w:pos="9026" w:leader="dot"/>
            </w:tabs>
            <w:rPr/>
          </w:pPr>
          <w:hyperlink w:anchor="__RefHeading___Toc2175433_2314609296">
            <w:r>
              <w:rPr>
                <w:webHidden/>
                <w:rStyle w:val="IndexLink"/>
                <w:rtl w:val="true"/>
              </w:rPr>
              <w:t>[ «</w:t>
            </w:r>
            <w:r>
              <w:rPr>
                <w:rStyle w:val="IndexLink"/>
                <w:rtl w:val="true"/>
              </w:rPr>
              <w:t>مسائل عشرون</w:t>
            </w:r>
            <w:r>
              <w:rPr>
                <w:rStyle w:val="IndexLink"/>
                <w:rtl w:val="true"/>
              </w:rPr>
              <w:t>» ]</w:t>
              <w:tab/>
            </w:r>
            <w:r>
              <w:rPr>
                <w:rStyle w:val="IndexLink"/>
              </w:rPr>
              <w:t>193</w:t>
            </w:r>
          </w:hyperlink>
        </w:p>
        <w:p>
          <w:pPr>
            <w:pStyle w:val="Contents5"/>
            <w:tabs>
              <w:tab w:val="clear" w:pos="7892"/>
              <w:tab w:val="right" w:pos="9026" w:leader="dot"/>
            </w:tabs>
            <w:rPr/>
          </w:pPr>
          <w:hyperlink w:anchor="__RefHeading___Toc2175435_2314609296">
            <w:r>
              <w:rPr>
                <w:webHidden/>
                <w:rStyle w:val="IndexLink"/>
                <w:rtl w:val="true"/>
              </w:rPr>
              <w:t>[</w:t>
            </w:r>
            <w:r>
              <w:rPr>
                <w:rStyle w:val="IndexLink"/>
                <w:rtl w:val="true"/>
              </w:rPr>
              <w:t>الاولی</w:t>
            </w:r>
            <w:r>
              <w:rPr>
                <w:rStyle w:val="IndexLink"/>
                <w:rtl w:val="true"/>
              </w:rPr>
              <w:t xml:space="preserve">: </w:t>
            </w:r>
            <w:r>
              <w:rPr>
                <w:rStyle w:val="IndexLink"/>
                <w:rtl w:val="true"/>
              </w:rPr>
              <w:t xml:space="preserve">بطلان تزویج الام و ابنتها او الاختین فی عقد واحد </w:t>
            </w:r>
            <w:r>
              <w:rPr>
                <w:rStyle w:val="IndexLink"/>
                <w:rtl w:val="true"/>
              </w:rPr>
              <w:t>]</w:t>
              <w:tab/>
            </w:r>
            <w:r>
              <w:rPr>
                <w:rStyle w:val="IndexLink"/>
              </w:rPr>
              <w:t>193</w:t>
            </w:r>
          </w:hyperlink>
        </w:p>
        <w:p>
          <w:pPr>
            <w:pStyle w:val="Contents6"/>
            <w:tabs>
              <w:tab w:val="clear" w:pos="7609"/>
              <w:tab w:val="right" w:pos="9026" w:leader="dot"/>
            </w:tabs>
            <w:rPr/>
          </w:pPr>
          <w:hyperlink w:anchor="__RefHeading___Toc2175437_2314609296">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2175439_2314609296">
            <w:r>
              <w:rPr>
                <w:webHidden/>
                <w:rStyle w:val="IndexLink"/>
                <w:rtl w:val="true"/>
              </w:rPr>
              <w:t>[</w:t>
            </w:r>
            <w:r>
              <w:rPr>
                <w:rStyle w:val="IndexLink"/>
                <w:rtl w:val="true"/>
              </w:rPr>
              <w:t xml:space="preserve">حکم وطء احد الاختین المملوکتین </w:t>
            </w:r>
            <w:r>
              <w:rPr>
                <w:rStyle w:val="IndexLink"/>
                <w:rtl w:val="true"/>
              </w:rPr>
              <w:t>]</w:t>
              <w:tab/>
            </w:r>
            <w:r>
              <w:rPr>
                <w:rStyle w:val="IndexLink"/>
              </w:rPr>
              <w:t>193</w:t>
            </w:r>
          </w:hyperlink>
        </w:p>
        <w:p>
          <w:pPr>
            <w:pStyle w:val="Contents5"/>
            <w:tabs>
              <w:tab w:val="clear" w:pos="7892"/>
              <w:tab w:val="right" w:pos="9026" w:leader="dot"/>
            </w:tabs>
            <w:rPr/>
          </w:pPr>
          <w:hyperlink w:anchor="__RefHeading___Toc2175441_2314609296">
            <w:r>
              <w:rPr>
                <w:webHidden/>
                <w:rStyle w:val="IndexLink"/>
                <w:rtl w:val="true"/>
              </w:rPr>
              <w:t>«</w:t>
            </w:r>
            <w:r>
              <w:rPr>
                <w:rStyle w:val="IndexLink"/>
                <w:rtl w:val="true"/>
              </w:rPr>
              <w:t xml:space="preserve">الثانیة </w:t>
            </w:r>
            <w:r>
              <w:rPr>
                <w:rStyle w:val="IndexLink"/>
                <w:rtl w:val="true"/>
              </w:rPr>
              <w:t>[</w:t>
            </w:r>
            <w:r>
              <w:rPr>
                <w:rStyle w:val="IndexLink"/>
                <w:rtl w:val="true"/>
              </w:rPr>
              <w:t>لا یجوز نکاح الامة علی الحرةالا باذنها</w:t>
            </w:r>
            <w:r>
              <w:rPr>
                <w:rStyle w:val="IndexLink"/>
                <w:rtl w:val="true"/>
              </w:rPr>
              <w:t>] » :</w:t>
              <w:tab/>
            </w:r>
            <w:r>
              <w:rPr>
                <w:rStyle w:val="IndexLink"/>
              </w:rPr>
              <w:t>196</w:t>
            </w:r>
          </w:hyperlink>
        </w:p>
        <w:p>
          <w:pPr>
            <w:pStyle w:val="Contents6"/>
            <w:tabs>
              <w:tab w:val="clear" w:pos="7609"/>
              <w:tab w:val="right" w:pos="9026" w:leader="dot"/>
            </w:tabs>
            <w:rPr/>
          </w:pPr>
          <w:hyperlink w:anchor="__RefHeading___Toc2175443_2314609296">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175445_2314609296">
            <w:r>
              <w:rPr>
                <w:webHidden/>
                <w:rStyle w:val="IndexLink"/>
                <w:rtl w:val="true"/>
              </w:rPr>
              <w:t>[</w:t>
            </w:r>
            <w:r>
              <w:rPr>
                <w:rStyle w:val="IndexLink"/>
                <w:rtl w:val="true"/>
              </w:rPr>
              <w:t>لا یجوز للحر نکاح الامة مع القدرة علی تجویز الحرة</w:t>
            </w:r>
            <w:r>
              <w:rPr>
                <w:rStyle w:val="IndexLink"/>
                <w:rtl w:val="true"/>
              </w:rPr>
              <w:t>]</w:t>
              <w:tab/>
            </w:r>
            <w:r>
              <w:rPr>
                <w:rStyle w:val="IndexLink"/>
              </w:rPr>
              <w:t>197</w:t>
            </w:r>
          </w:hyperlink>
        </w:p>
        <w:p>
          <w:pPr>
            <w:pStyle w:val="Contents5"/>
            <w:tabs>
              <w:tab w:val="clear" w:pos="7892"/>
              <w:tab w:val="right" w:pos="9026" w:leader="dot"/>
            </w:tabs>
            <w:rPr/>
          </w:pPr>
          <w:hyperlink w:anchor="__RefHeading___Toc2175447_2314609296">
            <w:r>
              <w:rPr>
                <w:webHidden/>
                <w:rStyle w:val="IndexLink"/>
                <w:rtl w:val="true"/>
              </w:rPr>
              <w:t>«</w:t>
            </w:r>
            <w:r>
              <w:rPr>
                <w:rStyle w:val="IndexLink"/>
                <w:rtl w:val="true"/>
              </w:rPr>
              <w:t xml:space="preserve">الثالثة </w:t>
            </w:r>
            <w:r>
              <w:rPr>
                <w:rStyle w:val="IndexLink"/>
                <w:rtl w:val="true"/>
              </w:rPr>
              <w:t>[</w:t>
            </w:r>
            <w:r>
              <w:rPr>
                <w:rStyle w:val="IndexLink"/>
                <w:rtl w:val="true"/>
              </w:rPr>
              <w:t>حکم الزواج المرأة فی عدتها</w:t>
            </w:r>
            <w:r>
              <w:rPr>
                <w:rStyle w:val="IndexLink"/>
                <w:rtl w:val="true"/>
              </w:rPr>
              <w:t>] » :</w:t>
              <w:tab/>
            </w:r>
            <w:r>
              <w:rPr>
                <w:rStyle w:val="IndexLink"/>
              </w:rPr>
              <w:t>199</w:t>
            </w:r>
          </w:hyperlink>
        </w:p>
        <w:p>
          <w:pPr>
            <w:pStyle w:val="Contents5"/>
            <w:tabs>
              <w:tab w:val="clear" w:pos="7892"/>
              <w:tab w:val="right" w:pos="9026" w:leader="dot"/>
            </w:tabs>
            <w:rPr/>
          </w:pPr>
          <w:hyperlink w:anchor="__RefHeading___Toc2175449_2314609296">
            <w:r>
              <w:rPr>
                <w:webHidden/>
                <w:rStyle w:val="IndexLink"/>
                <w:rtl w:val="true"/>
              </w:rPr>
              <w:t>«</w:t>
            </w:r>
            <w:r>
              <w:rPr>
                <w:rStyle w:val="IndexLink"/>
                <w:rtl w:val="true"/>
              </w:rPr>
              <w:t xml:space="preserve">الرابعة </w:t>
            </w:r>
            <w:r>
              <w:rPr>
                <w:rStyle w:val="IndexLink"/>
                <w:rtl w:val="true"/>
              </w:rPr>
              <w:t>[</w:t>
            </w:r>
            <w:r>
              <w:rPr>
                <w:rStyle w:val="IndexLink"/>
                <w:rtl w:val="true"/>
              </w:rPr>
              <w:t>نکاح الزانی او الزانیة</w:t>
            </w:r>
            <w:r>
              <w:rPr>
                <w:rStyle w:val="IndexLink"/>
                <w:rtl w:val="true"/>
              </w:rPr>
              <w:t>] » :</w:t>
              <w:tab/>
            </w:r>
            <w:r>
              <w:rPr>
                <w:rStyle w:val="IndexLink"/>
              </w:rPr>
              <w:t>200</w:t>
            </w:r>
          </w:hyperlink>
        </w:p>
        <w:p>
          <w:pPr>
            <w:pStyle w:val="Contents5"/>
            <w:tabs>
              <w:tab w:val="clear" w:pos="7892"/>
              <w:tab w:val="right" w:pos="9026" w:leader="dot"/>
            </w:tabs>
            <w:rPr/>
          </w:pPr>
          <w:hyperlink w:anchor="__RefHeading___Toc2175451_2314609296">
            <w:r>
              <w:rPr>
                <w:webHidden/>
                <w:rStyle w:val="IndexLink"/>
                <w:rtl w:val="true"/>
              </w:rPr>
              <w:t>«</w:t>
            </w:r>
            <w:r>
              <w:rPr>
                <w:rStyle w:val="IndexLink"/>
                <w:rtl w:val="true"/>
              </w:rPr>
              <w:t xml:space="preserve">الخامسة </w:t>
            </w:r>
            <w:r>
              <w:rPr>
                <w:rStyle w:val="IndexLink"/>
                <w:rtl w:val="true"/>
              </w:rPr>
              <w:t>[</w:t>
            </w:r>
            <w:r>
              <w:rPr>
                <w:rStyle w:val="IndexLink"/>
                <w:rtl w:val="true"/>
              </w:rPr>
              <w:t>من اوقب غلاما او رجلا حرمت علیه ام الموطوء و اخته</w:t>
            </w:r>
            <w:r>
              <w:rPr>
                <w:rStyle w:val="IndexLink"/>
                <w:rtl w:val="true"/>
              </w:rPr>
              <w:t>] » :</w:t>
              <w:tab/>
            </w:r>
            <w:r>
              <w:rPr>
                <w:rStyle w:val="IndexLink"/>
              </w:rPr>
              <w:t>202</w:t>
            </w:r>
          </w:hyperlink>
        </w:p>
        <w:p>
          <w:pPr>
            <w:pStyle w:val="Contents5"/>
            <w:tabs>
              <w:tab w:val="clear" w:pos="7892"/>
              <w:tab w:val="right" w:pos="9026" w:leader="dot"/>
            </w:tabs>
            <w:rPr/>
          </w:pPr>
          <w:hyperlink w:anchor="__RefHeading___Toc2175453_2314609296">
            <w:r>
              <w:rPr>
                <w:webHidden/>
                <w:rStyle w:val="IndexLink"/>
                <w:rtl w:val="true"/>
              </w:rPr>
              <w:t>«</w:t>
            </w:r>
            <w:r>
              <w:rPr>
                <w:rStyle w:val="IndexLink"/>
                <w:rtl w:val="true"/>
              </w:rPr>
              <w:t xml:space="preserve">السادسة </w:t>
            </w:r>
            <w:r>
              <w:rPr>
                <w:rStyle w:val="IndexLink"/>
                <w:rtl w:val="true"/>
              </w:rPr>
              <w:t>[</w:t>
            </w:r>
            <w:r>
              <w:rPr>
                <w:rStyle w:val="IndexLink"/>
                <w:rtl w:val="true"/>
              </w:rPr>
              <w:t>عقد المحرم</w:t>
            </w:r>
            <w:r>
              <w:rPr>
                <w:rStyle w:val="IndexLink"/>
                <w:rtl w:val="true"/>
              </w:rPr>
              <w:t>] » :</w:t>
              <w:tab/>
            </w:r>
            <w:r>
              <w:rPr>
                <w:rStyle w:val="IndexLink"/>
              </w:rPr>
              <w:t>203</w:t>
            </w:r>
          </w:hyperlink>
        </w:p>
        <w:p>
          <w:pPr>
            <w:pStyle w:val="Contents5"/>
            <w:tabs>
              <w:tab w:val="clear" w:pos="7892"/>
              <w:tab w:val="right" w:pos="9026" w:leader="dot"/>
            </w:tabs>
            <w:rPr/>
          </w:pPr>
          <w:hyperlink w:anchor="__RefHeading___Toc2175455_2314609296">
            <w:r>
              <w:rPr>
                <w:webHidden/>
                <w:rStyle w:val="IndexLink"/>
                <w:rtl w:val="true"/>
              </w:rPr>
              <w:t>«</w:t>
            </w:r>
            <w:r>
              <w:rPr>
                <w:rStyle w:val="IndexLink"/>
                <w:rtl w:val="true"/>
              </w:rPr>
              <w:t xml:space="preserve">الثامنة </w:t>
            </w:r>
            <w:r>
              <w:rPr>
                <w:rStyle w:val="IndexLink"/>
                <w:rtl w:val="true"/>
              </w:rPr>
              <w:t>[</w:t>
            </w:r>
            <w:r>
              <w:rPr>
                <w:rStyle w:val="IndexLink"/>
                <w:rtl w:val="true"/>
              </w:rPr>
              <w:t>لذا اطلق ذو النصاب رجعیا لم یجز له التزویج دائما حتی تخرج العدة</w:t>
            </w:r>
            <w:r>
              <w:rPr>
                <w:rStyle w:val="IndexLink"/>
                <w:rtl w:val="true"/>
              </w:rPr>
              <w:t>] » :</w:t>
              <w:tab/>
            </w:r>
            <w:r>
              <w:rPr>
                <w:rStyle w:val="IndexLink"/>
              </w:rPr>
              <w:t>207</w:t>
            </w:r>
          </w:hyperlink>
        </w:p>
        <w:p>
          <w:pPr>
            <w:pStyle w:val="Contents5"/>
            <w:tabs>
              <w:tab w:val="clear" w:pos="7892"/>
              <w:tab w:val="right" w:pos="9026" w:leader="dot"/>
            </w:tabs>
            <w:rPr/>
          </w:pPr>
          <w:hyperlink w:anchor="__RefHeading___Toc2175457_2314609296">
            <w:r>
              <w:rPr>
                <w:webHidden/>
                <w:rStyle w:val="IndexLink"/>
                <w:rtl w:val="true"/>
              </w:rPr>
              <w:t>«</w:t>
            </w:r>
            <w:r>
              <w:rPr>
                <w:rStyle w:val="IndexLink"/>
                <w:rtl w:val="true"/>
              </w:rPr>
              <w:t xml:space="preserve">التاسعة </w:t>
            </w:r>
            <w:r>
              <w:rPr>
                <w:rStyle w:val="IndexLink"/>
                <w:rtl w:val="true"/>
              </w:rPr>
              <w:t>[</w:t>
            </w:r>
            <w:r>
              <w:rPr>
                <w:rStyle w:val="IndexLink"/>
                <w:rtl w:val="true"/>
              </w:rPr>
              <w:t>حکم المطلقة ثلاثا او تسعا</w:t>
            </w:r>
            <w:r>
              <w:rPr>
                <w:rStyle w:val="IndexLink"/>
                <w:rtl w:val="true"/>
              </w:rPr>
              <w:t>] » :</w:t>
              <w:tab/>
            </w:r>
            <w:r>
              <w:rPr>
                <w:rStyle w:val="IndexLink"/>
              </w:rPr>
              <w:t>207</w:t>
            </w:r>
          </w:hyperlink>
        </w:p>
        <w:p>
          <w:pPr>
            <w:pStyle w:val="Contents5"/>
            <w:tabs>
              <w:tab w:val="clear" w:pos="7892"/>
              <w:tab w:val="right" w:pos="9026" w:leader="dot"/>
            </w:tabs>
            <w:rPr/>
          </w:pPr>
          <w:hyperlink w:anchor="__RefHeading___Toc2175459_2314609296">
            <w:r>
              <w:rPr>
                <w:webHidden/>
                <w:rStyle w:val="IndexLink"/>
                <w:rtl w:val="true"/>
              </w:rPr>
              <w:t>«</w:t>
            </w:r>
            <w:r>
              <w:rPr>
                <w:rStyle w:val="IndexLink"/>
                <w:rtl w:val="true"/>
              </w:rPr>
              <w:t xml:space="preserve">العاشرة </w:t>
            </w:r>
            <w:r>
              <w:rPr>
                <w:rStyle w:val="IndexLink"/>
                <w:rtl w:val="true"/>
              </w:rPr>
              <w:t>[</w:t>
            </w:r>
            <w:r>
              <w:rPr>
                <w:rStyle w:val="IndexLink"/>
                <w:rtl w:val="true"/>
              </w:rPr>
              <w:t>حرمة الملاعنة ابدا</w:t>
            </w:r>
            <w:r>
              <w:rPr>
                <w:rStyle w:val="IndexLink"/>
                <w:rtl w:val="true"/>
              </w:rPr>
              <w:t>] » :</w:t>
              <w:tab/>
            </w:r>
            <w:r>
              <w:rPr>
                <w:rStyle w:val="IndexLink"/>
              </w:rPr>
              <w:t>210</w:t>
            </w:r>
          </w:hyperlink>
        </w:p>
        <w:p>
          <w:pPr>
            <w:pStyle w:val="Contents5"/>
            <w:tabs>
              <w:tab w:val="clear" w:pos="7892"/>
              <w:tab w:val="right" w:pos="9026" w:leader="dot"/>
            </w:tabs>
            <w:rPr/>
          </w:pPr>
          <w:hyperlink w:anchor="__RefHeading___Toc2175461_2314609296">
            <w:r>
              <w:rPr>
                <w:webHidden/>
                <w:rStyle w:val="IndexLink"/>
                <w:rtl w:val="true"/>
              </w:rPr>
              <w:t>«</w:t>
            </w:r>
            <w:r>
              <w:rPr>
                <w:rStyle w:val="IndexLink"/>
                <w:rtl w:val="true"/>
              </w:rPr>
              <w:t xml:space="preserve">الحادیة عشرة </w:t>
            </w:r>
            <w:r>
              <w:rPr>
                <w:rStyle w:val="IndexLink"/>
                <w:rtl w:val="true"/>
              </w:rPr>
              <w:t>[</w:t>
            </w:r>
            <w:r>
              <w:rPr>
                <w:rStyle w:val="IndexLink"/>
                <w:rtl w:val="true"/>
              </w:rPr>
              <w:t xml:space="preserve">حرمة نکاح غیر الکتابیة و کذا الکتابیة دواما </w:t>
            </w:r>
            <w:r>
              <w:rPr>
                <w:rStyle w:val="IndexLink"/>
                <w:rtl w:val="true"/>
              </w:rPr>
              <w:t>] » :</w:t>
              <w:tab/>
            </w:r>
            <w:r>
              <w:rPr>
                <w:rStyle w:val="IndexLink"/>
              </w:rPr>
              <w:t>212</w:t>
            </w:r>
          </w:hyperlink>
        </w:p>
        <w:p>
          <w:pPr>
            <w:pStyle w:val="Contents6"/>
            <w:tabs>
              <w:tab w:val="clear" w:pos="7609"/>
              <w:tab w:val="right" w:pos="9026" w:leader="dot"/>
            </w:tabs>
            <w:rPr/>
          </w:pPr>
          <w:hyperlink w:anchor="__RefHeading___Toc2175463_2314609296">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2175465_2314609296">
            <w:r>
              <w:rPr>
                <w:webHidden/>
                <w:rStyle w:val="IndexLink"/>
                <w:rtl w:val="true"/>
              </w:rPr>
              <w:t>[</w:t>
            </w:r>
            <w:r>
              <w:rPr>
                <w:rStyle w:val="IndexLink"/>
                <w:rtl w:val="true"/>
              </w:rPr>
              <w:t xml:space="preserve">حکم ارتداد احد الزوجین </w:t>
            </w:r>
            <w:r>
              <w:rPr>
                <w:rStyle w:val="IndexLink"/>
                <w:rtl w:val="true"/>
              </w:rPr>
              <w:t>]</w:t>
              <w:tab/>
            </w:r>
            <w:r>
              <w:rPr>
                <w:rStyle w:val="IndexLink"/>
              </w:rPr>
              <w:t>213</w:t>
            </w:r>
          </w:hyperlink>
        </w:p>
        <w:p>
          <w:pPr>
            <w:pStyle w:val="Contents6"/>
            <w:tabs>
              <w:tab w:val="clear" w:pos="7609"/>
              <w:tab w:val="right" w:pos="9026" w:leader="dot"/>
            </w:tabs>
            <w:rPr/>
          </w:pPr>
          <w:hyperlink w:anchor="__RefHeading___Toc2175467_2314609296">
            <w:r>
              <w:rPr>
                <w:webHidden/>
                <w:rStyle w:val="IndexLink"/>
                <w:rtl w:val="true"/>
              </w:rPr>
              <w:t>[</w:t>
            </w:r>
            <w:r>
              <w:rPr>
                <w:rStyle w:val="IndexLink"/>
                <w:rtl w:val="true"/>
              </w:rPr>
              <w:t xml:space="preserve">لو اسلم احد الزوجین او الزوجة الکتابیین </w:t>
            </w:r>
            <w:r>
              <w:rPr>
                <w:rStyle w:val="IndexLink"/>
                <w:rtl w:val="true"/>
              </w:rPr>
              <w:t>]</w:t>
              <w:tab/>
            </w:r>
            <w:r>
              <w:rPr>
                <w:rStyle w:val="IndexLink"/>
              </w:rPr>
              <w:t>214</w:t>
            </w:r>
          </w:hyperlink>
        </w:p>
        <w:p>
          <w:pPr>
            <w:pStyle w:val="Contents5"/>
            <w:tabs>
              <w:tab w:val="clear" w:pos="7892"/>
              <w:tab w:val="right" w:pos="9026" w:leader="dot"/>
            </w:tabs>
            <w:rPr/>
          </w:pPr>
          <w:hyperlink w:anchor="__RefHeading___Toc2175469_2314609296">
            <w:r>
              <w:rPr>
                <w:webHidden/>
                <w:rStyle w:val="IndexLink"/>
                <w:rtl w:val="true"/>
              </w:rPr>
              <w:t>«</w:t>
            </w:r>
            <w:r>
              <w:rPr>
                <w:rStyle w:val="IndexLink"/>
                <w:rtl w:val="true"/>
              </w:rPr>
              <w:t xml:space="preserve">الثانیة عشرة </w:t>
            </w:r>
            <w:r>
              <w:rPr>
                <w:rStyle w:val="IndexLink"/>
                <w:rtl w:val="true"/>
              </w:rPr>
              <w:t>[</w:t>
            </w:r>
            <w:r>
              <w:rPr>
                <w:rStyle w:val="IndexLink"/>
                <w:rtl w:val="true"/>
              </w:rPr>
              <w:t>لو اسلم احد الزوجین الوثنیین او اسلما معا</w:t>
            </w:r>
            <w:r>
              <w:rPr>
                <w:rStyle w:val="IndexLink"/>
                <w:rtl w:val="true"/>
              </w:rPr>
              <w:t>] » :</w:t>
              <w:tab/>
            </w:r>
            <w:r>
              <w:rPr>
                <w:rStyle w:val="IndexLink"/>
              </w:rPr>
              <w:t>215</w:t>
            </w:r>
          </w:hyperlink>
        </w:p>
        <w:p>
          <w:pPr>
            <w:pStyle w:val="Contents5"/>
            <w:tabs>
              <w:tab w:val="clear" w:pos="7892"/>
              <w:tab w:val="right" w:pos="9026" w:leader="dot"/>
            </w:tabs>
            <w:rPr/>
          </w:pPr>
          <w:hyperlink w:anchor="__RefHeading___Toc2175471_2314609296">
            <w:r>
              <w:rPr>
                <w:webHidden/>
                <w:rStyle w:val="IndexLink"/>
                <w:rtl w:val="true"/>
              </w:rPr>
              <w:t>«</w:t>
            </w:r>
            <w:r>
              <w:rPr>
                <w:rStyle w:val="IndexLink"/>
                <w:rtl w:val="true"/>
              </w:rPr>
              <w:t xml:space="preserve">الثالثة عشرة </w:t>
            </w:r>
            <w:r>
              <w:rPr>
                <w:rStyle w:val="IndexLink"/>
                <w:rtl w:val="true"/>
              </w:rPr>
              <w:t>[</w:t>
            </w:r>
            <w:r>
              <w:rPr>
                <w:rStyle w:val="IndexLink"/>
                <w:rtl w:val="true"/>
              </w:rPr>
              <w:t>لا یحکم بفسخ نکاح العبد باباقه</w:t>
            </w:r>
            <w:r>
              <w:rPr>
                <w:rStyle w:val="IndexLink"/>
                <w:rtl w:val="true"/>
              </w:rPr>
              <w:t>] » :</w:t>
              <w:tab/>
            </w:r>
            <w:r>
              <w:rPr>
                <w:rStyle w:val="IndexLink"/>
              </w:rPr>
              <w:t>217</w:t>
            </w:r>
          </w:hyperlink>
        </w:p>
        <w:p>
          <w:pPr>
            <w:pStyle w:val="Contents5"/>
            <w:tabs>
              <w:tab w:val="clear" w:pos="7892"/>
              <w:tab w:val="right" w:pos="9026" w:leader="dot"/>
            </w:tabs>
            <w:rPr/>
          </w:pPr>
          <w:hyperlink w:anchor="__RefHeading___Toc2175473_2314609296">
            <w:r>
              <w:rPr>
                <w:webHidden/>
                <w:rStyle w:val="IndexLink"/>
                <w:rtl w:val="true"/>
              </w:rPr>
              <w:t>«</w:t>
            </w:r>
            <w:r>
              <w:rPr>
                <w:rStyle w:val="IndexLink"/>
                <w:rtl w:val="true"/>
              </w:rPr>
              <w:t xml:space="preserve">الرابعة عشرة </w:t>
            </w:r>
            <w:r>
              <w:rPr>
                <w:rStyle w:val="IndexLink"/>
                <w:rtl w:val="true"/>
              </w:rPr>
              <w:t>[</w:t>
            </w:r>
            <w:r>
              <w:rPr>
                <w:rStyle w:val="IndexLink"/>
                <w:rtl w:val="true"/>
              </w:rPr>
              <w:t>الکفاءة معتبرة فی النکاح</w:t>
            </w:r>
            <w:r>
              <w:rPr>
                <w:rStyle w:val="IndexLink"/>
                <w:rtl w:val="true"/>
              </w:rPr>
              <w:t>] » :</w:t>
              <w:tab/>
            </w:r>
            <w:r>
              <w:rPr>
                <w:rStyle w:val="IndexLink"/>
              </w:rPr>
              <w:t>218</w:t>
            </w:r>
          </w:hyperlink>
        </w:p>
        <w:p>
          <w:pPr>
            <w:pStyle w:val="Contents5"/>
            <w:tabs>
              <w:tab w:val="clear" w:pos="7892"/>
              <w:tab w:val="right" w:pos="9026" w:leader="dot"/>
            </w:tabs>
            <w:rPr/>
          </w:pPr>
          <w:hyperlink w:anchor="__RefHeading___Toc2175475_2314609296">
            <w:r>
              <w:rPr>
                <w:webHidden/>
                <w:rStyle w:val="IndexLink"/>
                <w:rtl w:val="true"/>
              </w:rPr>
              <w:t>«</w:t>
            </w:r>
            <w:r>
              <w:rPr>
                <w:rStyle w:val="IndexLink"/>
                <w:rtl w:val="true"/>
              </w:rPr>
              <w:t xml:space="preserve">الخامسة عشرة </w:t>
            </w:r>
            <w:r>
              <w:rPr>
                <w:rStyle w:val="IndexLink"/>
                <w:rtl w:val="true"/>
              </w:rPr>
              <w:t>[</w:t>
            </w:r>
            <w:r>
              <w:rPr>
                <w:rStyle w:val="IndexLink"/>
                <w:rtl w:val="true"/>
              </w:rPr>
              <w:t xml:space="preserve">عدم شرطیة التمکن من النفقة فی الصحة العقد </w:t>
            </w:r>
            <w:r>
              <w:rPr>
                <w:rStyle w:val="IndexLink"/>
                <w:rtl w:val="true"/>
              </w:rPr>
              <w:t>] » :</w:t>
              <w:tab/>
            </w:r>
            <w:r>
              <w:rPr>
                <w:rStyle w:val="IndexLink"/>
              </w:rPr>
              <w:t>220</w:t>
            </w:r>
          </w:hyperlink>
        </w:p>
        <w:p>
          <w:pPr>
            <w:pStyle w:val="Contents5"/>
            <w:tabs>
              <w:tab w:val="clear" w:pos="7892"/>
              <w:tab w:val="right" w:pos="9026" w:leader="dot"/>
            </w:tabs>
            <w:rPr/>
          </w:pPr>
          <w:hyperlink w:anchor="__RefHeading___Toc2175477_2314609296">
            <w:r>
              <w:rPr>
                <w:webHidden/>
                <w:rStyle w:val="IndexLink"/>
                <w:rtl w:val="true"/>
              </w:rPr>
              <w:t>«</w:t>
            </w:r>
            <w:r>
              <w:rPr>
                <w:rStyle w:val="IndexLink"/>
                <w:rtl w:val="true"/>
              </w:rPr>
              <w:t xml:space="preserve">السادسة عشرة </w:t>
            </w:r>
            <w:r>
              <w:rPr>
                <w:rStyle w:val="IndexLink"/>
                <w:rtl w:val="true"/>
              </w:rPr>
              <w:t>[</w:t>
            </w:r>
            <w:r>
              <w:rPr>
                <w:rStyle w:val="IndexLink"/>
                <w:rtl w:val="true"/>
              </w:rPr>
              <w:t xml:space="preserve">کراهیة تزویج الفاسق </w:t>
            </w:r>
            <w:r>
              <w:rPr>
                <w:rStyle w:val="IndexLink"/>
                <w:rtl w:val="true"/>
              </w:rPr>
              <w:t>] » :</w:t>
              <w:tab/>
            </w:r>
            <w:r>
              <w:rPr>
                <w:rStyle w:val="IndexLink"/>
              </w:rPr>
              <w:t>222</w:t>
            </w:r>
          </w:hyperlink>
        </w:p>
        <w:p>
          <w:pPr>
            <w:pStyle w:val="Contents5"/>
            <w:tabs>
              <w:tab w:val="clear" w:pos="7892"/>
              <w:tab w:val="right" w:pos="9026" w:leader="dot"/>
            </w:tabs>
            <w:rPr/>
          </w:pPr>
          <w:hyperlink w:anchor="__RefHeading___Toc2175479_2314609296">
            <w:r>
              <w:rPr>
                <w:webHidden/>
                <w:rStyle w:val="IndexLink"/>
                <w:rtl w:val="true"/>
              </w:rPr>
              <w:t>«</w:t>
            </w:r>
            <w:r>
              <w:rPr>
                <w:rStyle w:val="IndexLink"/>
                <w:rtl w:val="true"/>
              </w:rPr>
              <w:t xml:space="preserve">السابعة عشرة </w:t>
            </w:r>
            <w:r>
              <w:rPr>
                <w:rStyle w:val="IndexLink"/>
                <w:rtl w:val="true"/>
              </w:rPr>
              <w:t>[</w:t>
            </w:r>
            <w:r>
              <w:rPr>
                <w:rStyle w:val="IndexLink"/>
                <w:rtl w:val="true"/>
              </w:rPr>
              <w:t xml:space="preserve">حکم التعریض بالعقد </w:t>
            </w:r>
            <w:r>
              <w:rPr>
                <w:rStyle w:val="IndexLink"/>
                <w:rtl w:val="true"/>
              </w:rPr>
              <w:t>] » :</w:t>
              <w:tab/>
            </w:r>
            <w:r>
              <w:rPr>
                <w:rStyle w:val="IndexLink"/>
              </w:rPr>
              <w:t>222</w:t>
            </w:r>
          </w:hyperlink>
        </w:p>
        <w:p>
          <w:pPr>
            <w:pStyle w:val="Contents5"/>
            <w:tabs>
              <w:tab w:val="clear" w:pos="7892"/>
              <w:tab w:val="right" w:pos="9026" w:leader="dot"/>
            </w:tabs>
            <w:rPr/>
          </w:pPr>
          <w:hyperlink w:anchor="__RefHeading___Toc2175481_2314609296">
            <w:r>
              <w:rPr>
                <w:webHidden/>
                <w:rStyle w:val="IndexLink"/>
                <w:rtl w:val="true"/>
              </w:rPr>
              <w:t>«</w:t>
            </w:r>
            <w:r>
              <w:rPr>
                <w:rStyle w:val="IndexLink"/>
                <w:rtl w:val="true"/>
              </w:rPr>
              <w:t xml:space="preserve">الثامنة عشرة </w:t>
            </w:r>
            <w:r>
              <w:rPr>
                <w:rStyle w:val="IndexLink"/>
                <w:rtl w:val="true"/>
              </w:rPr>
              <w:t>[</w:t>
            </w:r>
            <w:r>
              <w:rPr>
                <w:rStyle w:val="IndexLink"/>
                <w:rtl w:val="true"/>
              </w:rPr>
              <w:t xml:space="preserve">الکلام فی حکم الخطبة بعد اجابة الغیر </w:t>
            </w:r>
            <w:r>
              <w:rPr>
                <w:rStyle w:val="IndexLink"/>
                <w:rtl w:val="true"/>
              </w:rPr>
              <w:t>] » :</w:t>
              <w:tab/>
            </w:r>
            <w:r>
              <w:rPr>
                <w:rStyle w:val="IndexLink"/>
              </w:rPr>
              <w:t>223</w:t>
            </w:r>
          </w:hyperlink>
        </w:p>
        <w:p>
          <w:pPr>
            <w:pStyle w:val="Contents5"/>
            <w:tabs>
              <w:tab w:val="clear" w:pos="7892"/>
              <w:tab w:val="right" w:pos="9026" w:leader="dot"/>
            </w:tabs>
            <w:rPr/>
          </w:pPr>
          <w:hyperlink w:anchor="__RefHeading___Toc2175483_2314609296">
            <w:r>
              <w:rPr>
                <w:webHidden/>
                <w:rStyle w:val="IndexLink"/>
                <w:rtl w:val="true"/>
              </w:rPr>
              <w:t>«</w:t>
            </w:r>
            <w:r>
              <w:rPr>
                <w:rStyle w:val="IndexLink"/>
                <w:rtl w:val="true"/>
              </w:rPr>
              <w:t xml:space="preserve">التاسعة عشرة </w:t>
            </w:r>
            <w:r>
              <w:rPr>
                <w:rStyle w:val="IndexLink"/>
                <w:rtl w:val="true"/>
              </w:rPr>
              <w:t>[</w:t>
            </w:r>
            <w:r>
              <w:rPr>
                <w:rStyle w:val="IndexLink"/>
                <w:rtl w:val="true"/>
              </w:rPr>
              <w:t>کراهیة العقد علی القابلة المربیة و بنتها</w:t>
            </w:r>
            <w:r>
              <w:rPr>
                <w:rStyle w:val="IndexLink"/>
                <w:rtl w:val="true"/>
              </w:rPr>
              <w:t>] » :</w:t>
              <w:tab/>
            </w:r>
            <w:r>
              <w:rPr>
                <w:rStyle w:val="IndexLink"/>
              </w:rPr>
              <w:t>224</w:t>
            </w:r>
          </w:hyperlink>
        </w:p>
        <w:p>
          <w:pPr>
            <w:pStyle w:val="Contents5"/>
            <w:tabs>
              <w:tab w:val="clear" w:pos="7892"/>
              <w:tab w:val="right" w:pos="9026" w:leader="dot"/>
            </w:tabs>
            <w:rPr/>
          </w:pPr>
          <w:hyperlink w:anchor="__RefHeading___Toc2175485_2314609296">
            <w:r>
              <w:rPr>
                <w:webHidden/>
                <w:rStyle w:val="IndexLink"/>
                <w:rtl w:val="true"/>
              </w:rPr>
              <w:t>«</w:t>
            </w:r>
            <w:r>
              <w:rPr>
                <w:rStyle w:val="IndexLink"/>
                <w:rtl w:val="true"/>
              </w:rPr>
              <w:t xml:space="preserve">العشرون </w:t>
            </w:r>
            <w:r>
              <w:rPr>
                <w:rStyle w:val="IndexLink"/>
                <w:rtl w:val="true"/>
              </w:rPr>
              <w:t>[</w:t>
            </w:r>
            <w:r>
              <w:rPr>
                <w:rStyle w:val="IndexLink"/>
                <w:rtl w:val="true"/>
              </w:rPr>
              <w:t>بطلان نکاح الشغار</w:t>
            </w:r>
            <w:r>
              <w:rPr>
                <w:rStyle w:val="IndexLink"/>
                <w:rtl w:val="true"/>
              </w:rPr>
              <w:t>] » :</w:t>
              <w:tab/>
            </w:r>
            <w:r>
              <w:rPr>
                <w:rStyle w:val="IndexLink"/>
              </w:rPr>
              <w:t>225</w:t>
            </w:r>
          </w:hyperlink>
        </w:p>
        <w:p>
          <w:pPr>
            <w:pStyle w:val="Contents3"/>
            <w:tabs>
              <w:tab w:val="clear" w:pos="8459"/>
              <w:tab w:val="right" w:pos="9026" w:leader="dot"/>
            </w:tabs>
            <w:rPr/>
          </w:pPr>
          <w:hyperlink w:anchor="__RefHeading___Toc2175487_2314609296">
            <w:r>
              <w:rPr>
                <w:webHidden/>
                <w:rStyle w:val="IndexLink"/>
                <w:rtl w:val="true"/>
              </w:rPr>
              <w:t>«</w:t>
            </w:r>
            <w:r>
              <w:rPr>
                <w:rStyle w:val="IndexLink"/>
                <w:rtl w:val="true"/>
              </w:rPr>
              <w:t>الفصل الرابع</w:t>
            </w:r>
            <w:r>
              <w:rPr>
                <w:rStyle w:val="IndexLink"/>
                <w:rtl w:val="true"/>
              </w:rPr>
              <w:t>»</w:t>
              <w:tab/>
            </w:r>
            <w:r>
              <w:rPr>
                <w:rStyle w:val="IndexLink"/>
              </w:rPr>
              <w:t>227</w:t>
            </w:r>
          </w:hyperlink>
        </w:p>
        <w:p>
          <w:pPr>
            <w:pStyle w:val="Contents4"/>
            <w:tabs>
              <w:tab w:val="clear" w:pos="8176"/>
              <w:tab w:val="right" w:pos="9026" w:leader="dot"/>
            </w:tabs>
            <w:rPr/>
          </w:pPr>
          <w:hyperlink w:anchor="__RefHeading___Toc2175489_2314609296">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2175491_2314609296">
            <w:r>
              <w:rPr>
                <w:webHidden/>
                <w:rStyle w:val="IndexLink"/>
                <w:rtl w:val="true"/>
              </w:rPr>
              <w:t>[</w:t>
            </w:r>
            <w:r>
              <w:rPr>
                <w:rStyle w:val="IndexLink"/>
                <w:rtl w:val="true"/>
              </w:rPr>
              <w:t>شرعیة نکاح المتعة</w:t>
            </w:r>
            <w:r>
              <w:rPr>
                <w:rStyle w:val="IndexLink"/>
                <w:rtl w:val="true"/>
              </w:rPr>
              <w:t>]</w:t>
              <w:tab/>
            </w:r>
            <w:r>
              <w:rPr>
                <w:rStyle w:val="IndexLink"/>
              </w:rPr>
              <w:t>227</w:t>
            </w:r>
          </w:hyperlink>
        </w:p>
        <w:p>
          <w:pPr>
            <w:pStyle w:val="Contents4"/>
            <w:tabs>
              <w:tab w:val="clear" w:pos="8176"/>
              <w:tab w:val="right" w:pos="9026" w:leader="dot"/>
            </w:tabs>
            <w:rPr/>
          </w:pPr>
          <w:hyperlink w:anchor="__RefHeading___Toc2175493_2314609296">
            <w:r>
              <w:rPr>
                <w:webHidden/>
                <w:rStyle w:val="IndexLink"/>
                <w:rtl w:val="true"/>
              </w:rPr>
              <w:t>[</w:t>
            </w:r>
            <w:r>
              <w:rPr>
                <w:rStyle w:val="IndexLink"/>
                <w:rtl w:val="true"/>
              </w:rPr>
              <w:t>احکامه</w:t>
            </w:r>
            <w:r>
              <w:rPr>
                <w:rStyle w:val="IndexLink"/>
                <w:rtl w:val="true"/>
              </w:rPr>
              <w:t>]</w:t>
              <w:tab/>
            </w:r>
            <w:r>
              <w:rPr>
                <w:rStyle w:val="IndexLink"/>
              </w:rPr>
              <w:t>230</w:t>
            </w:r>
          </w:hyperlink>
        </w:p>
        <w:p>
          <w:pPr>
            <w:pStyle w:val="Contents3"/>
            <w:tabs>
              <w:tab w:val="clear" w:pos="8459"/>
              <w:tab w:val="right" w:pos="9026" w:leader="dot"/>
            </w:tabs>
            <w:rPr/>
          </w:pPr>
          <w:hyperlink w:anchor="__RefHeading___Toc2175495_2314609296">
            <w:r>
              <w:rPr>
                <w:webHidden/>
                <w:rStyle w:val="IndexLink"/>
                <w:rtl w:val="true"/>
              </w:rPr>
              <w:t>«</w:t>
            </w:r>
            <w:r>
              <w:rPr>
                <w:rStyle w:val="IndexLink"/>
                <w:rtl w:val="true"/>
              </w:rPr>
              <w:t>الفصل الخامس</w:t>
            </w:r>
            <w:r>
              <w:rPr>
                <w:rStyle w:val="IndexLink"/>
                <w:rtl w:val="true"/>
              </w:rPr>
              <w:t>»</w:t>
              <w:tab/>
            </w:r>
            <w:r>
              <w:rPr>
                <w:rStyle w:val="IndexLink"/>
              </w:rPr>
              <w:t>240</w:t>
            </w:r>
          </w:hyperlink>
        </w:p>
        <w:p>
          <w:pPr>
            <w:pStyle w:val="Contents3"/>
            <w:tabs>
              <w:tab w:val="clear" w:pos="8459"/>
              <w:tab w:val="right" w:pos="9026" w:leader="dot"/>
            </w:tabs>
            <w:rPr/>
          </w:pPr>
          <w:hyperlink w:anchor="__RefHeading___Toc2175497_2314609296">
            <w:r>
              <w:rPr>
                <w:webHidden/>
                <w:rStyle w:val="IndexLink"/>
                <w:rtl w:val="true"/>
              </w:rPr>
              <w:t>«</w:t>
            </w:r>
            <w:r>
              <w:rPr>
                <w:rStyle w:val="IndexLink"/>
                <w:rtl w:val="true"/>
              </w:rPr>
              <w:t>الفصل السادس</w:t>
            </w:r>
            <w:r>
              <w:rPr>
                <w:rStyle w:val="IndexLink"/>
                <w:rtl w:val="true"/>
              </w:rPr>
              <w:t>»</w:t>
              <w:tab/>
            </w:r>
            <w:r>
              <w:rPr>
                <w:rStyle w:val="IndexLink"/>
              </w:rPr>
              <w:t>256</w:t>
            </w:r>
          </w:hyperlink>
        </w:p>
        <w:p>
          <w:pPr>
            <w:pStyle w:val="Contents4"/>
            <w:tabs>
              <w:tab w:val="clear" w:pos="8176"/>
              <w:tab w:val="right" w:pos="9026" w:leader="dot"/>
            </w:tabs>
            <w:rPr/>
          </w:pPr>
          <w:hyperlink w:anchor="__RefHeading___Toc2175499_2314609296">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2175501_2314609296">
            <w:r>
              <w:rPr>
                <w:webHidden/>
                <w:rStyle w:val="IndexLink"/>
                <w:rtl w:val="true"/>
              </w:rPr>
              <w:t>[</w:t>
            </w:r>
            <w:r>
              <w:rPr>
                <w:rStyle w:val="IndexLink"/>
                <w:rtl w:val="true"/>
              </w:rPr>
              <w:t>ما یصح امهاره</w:t>
            </w:r>
            <w:r>
              <w:rPr>
                <w:rStyle w:val="IndexLink"/>
                <w:rtl w:val="true"/>
              </w:rPr>
              <w:t>]</w:t>
              <w:tab/>
            </w:r>
            <w:r>
              <w:rPr>
                <w:rStyle w:val="IndexLink"/>
              </w:rPr>
              <w:t>256</w:t>
            </w:r>
          </w:hyperlink>
        </w:p>
        <w:p>
          <w:pPr>
            <w:pStyle w:val="Contents4"/>
            <w:tabs>
              <w:tab w:val="clear" w:pos="8176"/>
              <w:tab w:val="right" w:pos="9026" w:leader="dot"/>
            </w:tabs>
            <w:rPr/>
          </w:pPr>
          <w:hyperlink w:anchor="__RefHeading___Toc2175503_2314609296">
            <w:r>
              <w:rPr>
                <w:webHidden/>
                <w:rStyle w:val="IndexLink"/>
                <w:rtl w:val="true"/>
              </w:rPr>
              <w:t>[</w:t>
            </w:r>
            <w:r>
              <w:rPr>
                <w:rStyle w:val="IndexLink"/>
                <w:rtl w:val="true"/>
              </w:rPr>
              <w:t xml:space="preserve">احکام المهر </w:t>
            </w:r>
            <w:r>
              <w:rPr>
                <w:rStyle w:val="IndexLink"/>
                <w:rtl w:val="true"/>
              </w:rPr>
              <w:t>]</w:t>
              <w:tab/>
            </w:r>
            <w:r>
              <w:rPr>
                <w:rStyle w:val="IndexLink"/>
              </w:rPr>
              <w:t>257</w:t>
            </w:r>
          </w:hyperlink>
        </w:p>
        <w:p>
          <w:pPr>
            <w:pStyle w:val="Contents4"/>
            <w:tabs>
              <w:tab w:val="clear" w:pos="8176"/>
              <w:tab w:val="right" w:pos="9026" w:leader="dot"/>
            </w:tabs>
            <w:rPr/>
          </w:pPr>
          <w:hyperlink w:anchor="__RefHeading___Toc2175505_2314609296">
            <w:r>
              <w:rPr>
                <w:webHidden/>
                <w:rStyle w:val="IndexLink"/>
                <w:rtl w:val="true"/>
              </w:rPr>
              <w:t>[ «</w:t>
            </w:r>
            <w:r>
              <w:rPr>
                <w:rStyle w:val="IndexLink"/>
                <w:rtl w:val="true"/>
              </w:rPr>
              <w:t>وهنا مسائل عشر</w:t>
            </w:r>
            <w:r>
              <w:rPr>
                <w:rStyle w:val="IndexLink"/>
                <w:rtl w:val="true"/>
              </w:rPr>
              <w:t>» ]</w:t>
              <w:tab/>
            </w:r>
            <w:r>
              <w:rPr>
                <w:rStyle w:val="IndexLink"/>
              </w:rPr>
              <w:t>263</w:t>
            </w:r>
          </w:hyperlink>
        </w:p>
        <w:p>
          <w:pPr>
            <w:pStyle w:val="Contents5"/>
            <w:tabs>
              <w:tab w:val="clear" w:pos="7892"/>
              <w:tab w:val="right" w:pos="9026" w:leader="dot"/>
            </w:tabs>
            <w:rPr/>
          </w:pPr>
          <w:hyperlink w:anchor="__RefHeading___Toc2175507_2314609296">
            <w:r>
              <w:rPr>
                <w:webHidden/>
                <w:rStyle w:val="IndexLink"/>
                <w:rtl w:val="true"/>
              </w:rPr>
              <w:t xml:space="preserve">الاُولی </w:t>
            </w:r>
            <w:r>
              <w:rPr>
                <w:rStyle w:val="IndexLink"/>
                <w:rtl w:val="true"/>
              </w:rPr>
              <w:t>[</w:t>
            </w:r>
            <w:r>
              <w:rPr>
                <w:rStyle w:val="IndexLink"/>
                <w:rtl w:val="true"/>
              </w:rPr>
              <w:t xml:space="preserve">الصداق یملک بالعقد </w:t>
            </w:r>
            <w:r>
              <w:rPr>
                <w:rStyle w:val="IndexLink"/>
                <w:rtl w:val="true"/>
              </w:rPr>
              <w:t>]</w:t>
              <w:tab/>
            </w:r>
            <w:r>
              <w:rPr>
                <w:rStyle w:val="IndexLink"/>
              </w:rPr>
              <w:t>263</w:t>
            </w:r>
          </w:hyperlink>
        </w:p>
        <w:p>
          <w:pPr>
            <w:pStyle w:val="Contents5"/>
            <w:tabs>
              <w:tab w:val="clear" w:pos="7892"/>
              <w:tab w:val="right" w:pos="9026" w:leader="dot"/>
            </w:tabs>
            <w:rPr/>
          </w:pPr>
          <w:hyperlink w:anchor="__RefHeading___Toc2175509_2314609296">
            <w:r>
              <w:rPr>
                <w:webHidden/>
                <w:rStyle w:val="IndexLink"/>
                <w:rtl w:val="true"/>
              </w:rPr>
              <w:t>«</w:t>
            </w:r>
            <w:r>
              <w:rPr>
                <w:rStyle w:val="IndexLink"/>
                <w:rtl w:val="true"/>
              </w:rPr>
              <w:t xml:space="preserve">الثانیة </w:t>
            </w:r>
            <w:r>
              <w:rPr>
                <w:rStyle w:val="IndexLink"/>
                <w:rtl w:val="true"/>
              </w:rPr>
              <w:t>[</w:t>
            </w:r>
            <w:r>
              <w:rPr>
                <w:rStyle w:val="IndexLink"/>
                <w:rtl w:val="true"/>
              </w:rPr>
              <w:t xml:space="preserve">لو دخل قبل دفع المهر کان دینا علیه </w:t>
            </w:r>
            <w:r>
              <w:rPr>
                <w:rStyle w:val="IndexLink"/>
                <w:rtl w:val="true"/>
              </w:rPr>
              <w:t>] » :</w:t>
              <w:tab/>
            </w:r>
            <w:r>
              <w:rPr>
                <w:rStyle w:val="IndexLink"/>
              </w:rPr>
              <w:t>265</w:t>
            </w:r>
          </w:hyperlink>
        </w:p>
        <w:p>
          <w:pPr>
            <w:pStyle w:val="Contents5"/>
            <w:tabs>
              <w:tab w:val="clear" w:pos="7892"/>
              <w:tab w:val="right" w:pos="9026" w:leader="dot"/>
            </w:tabs>
            <w:rPr/>
          </w:pPr>
          <w:hyperlink w:anchor="__RefHeading___Toc2175511_2314609296">
            <w:r>
              <w:rPr>
                <w:webHidden/>
                <w:rStyle w:val="IndexLink"/>
                <w:rtl w:val="true"/>
              </w:rPr>
              <w:t>«</w:t>
            </w:r>
            <w:r>
              <w:rPr>
                <w:rStyle w:val="IndexLink"/>
                <w:rtl w:val="true"/>
              </w:rPr>
              <w:t xml:space="preserve">الثالثة </w:t>
            </w:r>
            <w:r>
              <w:rPr>
                <w:rStyle w:val="IndexLink"/>
                <w:rtl w:val="true"/>
              </w:rPr>
              <w:t>[</w:t>
            </w:r>
            <w:r>
              <w:rPr>
                <w:rStyle w:val="IndexLink"/>
                <w:rtl w:val="true"/>
              </w:rPr>
              <w:t>لو أبرأته من الصداق ثم طلقها قبل الدخول رجع علیها بنصفه</w:t>
            </w:r>
            <w:r>
              <w:rPr>
                <w:rStyle w:val="IndexLink"/>
                <w:rtl w:val="true"/>
              </w:rPr>
              <w:t>] » :</w:t>
              <w:tab/>
            </w:r>
            <w:r>
              <w:rPr>
                <w:rStyle w:val="IndexLink"/>
              </w:rPr>
              <w:t>266</w:t>
            </w:r>
          </w:hyperlink>
        </w:p>
        <w:p>
          <w:pPr>
            <w:pStyle w:val="Contents5"/>
            <w:tabs>
              <w:tab w:val="clear" w:pos="7892"/>
              <w:tab w:val="right" w:pos="9026" w:leader="dot"/>
            </w:tabs>
            <w:rPr/>
          </w:pPr>
          <w:hyperlink w:anchor="__RefHeading___Toc2175513_2314609296">
            <w:r>
              <w:rPr>
                <w:webHidden/>
                <w:rStyle w:val="IndexLink"/>
                <w:rtl w:val="true"/>
              </w:rPr>
              <w:t>«</w:t>
            </w:r>
            <w:r>
              <w:rPr>
                <w:rStyle w:val="IndexLink"/>
                <w:rtl w:val="true"/>
              </w:rPr>
              <w:t xml:space="preserve">الرابعة </w:t>
            </w:r>
            <w:r>
              <w:rPr>
                <w:rStyle w:val="IndexLink"/>
                <w:rtl w:val="true"/>
              </w:rPr>
              <w:t>[</w:t>
            </w:r>
            <w:r>
              <w:rPr>
                <w:rStyle w:val="IndexLink"/>
                <w:rtl w:val="true"/>
              </w:rPr>
              <w:t>جواز اشتراط ما یوافق الشرع فی عقد النکاح</w:t>
            </w:r>
            <w:r>
              <w:rPr>
                <w:rStyle w:val="IndexLink"/>
                <w:rtl w:val="true"/>
              </w:rPr>
              <w:t>] » :</w:t>
              <w:tab/>
            </w:r>
            <w:r>
              <w:rPr>
                <w:rStyle w:val="IndexLink"/>
              </w:rPr>
              <w:t>267</w:t>
            </w:r>
          </w:hyperlink>
        </w:p>
        <w:p>
          <w:pPr>
            <w:pStyle w:val="Contents5"/>
            <w:tabs>
              <w:tab w:val="clear" w:pos="7892"/>
              <w:tab w:val="right" w:pos="9026" w:leader="dot"/>
            </w:tabs>
            <w:rPr/>
          </w:pPr>
          <w:hyperlink w:anchor="__RefHeading___Toc2175515_2314609296">
            <w:r>
              <w:rPr>
                <w:webHidden/>
                <w:rStyle w:val="IndexLink"/>
                <w:rtl w:val="true"/>
              </w:rPr>
              <w:t>«</w:t>
            </w:r>
            <w:r>
              <w:rPr>
                <w:rStyle w:val="IndexLink"/>
                <w:rtl w:val="true"/>
              </w:rPr>
              <w:t xml:space="preserve">الخامسة </w:t>
            </w:r>
            <w:r>
              <w:rPr>
                <w:rStyle w:val="IndexLink"/>
                <w:rtl w:val="true"/>
              </w:rPr>
              <w:t>[</w:t>
            </w:r>
            <w:r>
              <w:rPr>
                <w:rStyle w:val="IndexLink"/>
                <w:rtl w:val="true"/>
              </w:rPr>
              <w:t xml:space="preserve">حکم ما لو اصدقها تعلیم صناعة ثم طلقها قبل الدخول </w:t>
            </w:r>
            <w:r>
              <w:rPr>
                <w:rStyle w:val="IndexLink"/>
                <w:rtl w:val="true"/>
              </w:rPr>
              <w:t>] » :</w:t>
              <w:tab/>
            </w:r>
            <w:r>
              <w:rPr>
                <w:rStyle w:val="IndexLink"/>
              </w:rPr>
              <w:t>270</w:t>
            </w:r>
          </w:hyperlink>
        </w:p>
        <w:p>
          <w:pPr>
            <w:pStyle w:val="Contents5"/>
            <w:tabs>
              <w:tab w:val="clear" w:pos="7892"/>
              <w:tab w:val="right" w:pos="9026" w:leader="dot"/>
            </w:tabs>
            <w:rPr/>
          </w:pPr>
          <w:hyperlink w:anchor="__RefHeading___Toc2175517_2314609296">
            <w:r>
              <w:rPr>
                <w:webHidden/>
                <w:rStyle w:val="IndexLink"/>
                <w:rtl w:val="true"/>
              </w:rPr>
              <w:t>«</w:t>
            </w:r>
            <w:r>
              <w:rPr>
                <w:rStyle w:val="IndexLink"/>
                <w:rtl w:val="true"/>
              </w:rPr>
              <w:t xml:space="preserve">السادسة </w:t>
            </w:r>
            <w:r>
              <w:rPr>
                <w:rStyle w:val="IndexLink"/>
                <w:rtl w:val="true"/>
              </w:rPr>
              <w:t>[</w:t>
            </w:r>
            <w:r>
              <w:rPr>
                <w:rStyle w:val="IndexLink"/>
                <w:rtl w:val="true"/>
              </w:rPr>
              <w:t>حکم ما لو اعتاضت عن المهر بدونه او ازید منه ثم طلقها</w:t>
            </w:r>
            <w:r>
              <w:rPr>
                <w:rStyle w:val="IndexLink"/>
                <w:rtl w:val="true"/>
              </w:rPr>
              <w:t>] » :</w:t>
              <w:tab/>
            </w:r>
            <w:r>
              <w:rPr>
                <w:rStyle w:val="IndexLink"/>
              </w:rPr>
              <w:t>270</w:t>
            </w:r>
          </w:hyperlink>
        </w:p>
        <w:p>
          <w:pPr>
            <w:pStyle w:val="Contents5"/>
            <w:tabs>
              <w:tab w:val="clear" w:pos="7892"/>
              <w:tab w:val="right" w:pos="9026" w:leader="dot"/>
            </w:tabs>
            <w:rPr/>
          </w:pPr>
          <w:hyperlink w:anchor="__RefHeading___Toc2175519_2314609296">
            <w:r>
              <w:rPr>
                <w:webHidden/>
                <w:rStyle w:val="IndexLink"/>
                <w:rtl w:val="true"/>
              </w:rPr>
              <w:t>«</w:t>
            </w:r>
            <w:r>
              <w:rPr>
                <w:rStyle w:val="IndexLink"/>
                <w:rtl w:val="true"/>
              </w:rPr>
              <w:t xml:space="preserve">السابعة </w:t>
            </w:r>
            <w:r>
              <w:rPr>
                <w:rStyle w:val="IndexLink"/>
                <w:rtl w:val="true"/>
              </w:rPr>
              <w:t>[</w:t>
            </w:r>
            <w:r>
              <w:rPr>
                <w:rStyle w:val="IndexLink"/>
                <w:rtl w:val="true"/>
              </w:rPr>
              <w:t>حکم لو وهبته نصف مهرها مشاعا او معینا</w:t>
            </w:r>
            <w:r>
              <w:rPr>
                <w:rStyle w:val="IndexLink"/>
                <w:rtl w:val="true"/>
              </w:rPr>
              <w:t>] » :</w:t>
              <w:tab/>
            </w:r>
            <w:r>
              <w:rPr>
                <w:rStyle w:val="IndexLink"/>
              </w:rPr>
              <w:t>270</w:t>
            </w:r>
          </w:hyperlink>
        </w:p>
        <w:p>
          <w:pPr>
            <w:pStyle w:val="Contents5"/>
            <w:tabs>
              <w:tab w:val="clear" w:pos="7892"/>
              <w:tab w:val="right" w:pos="9026" w:leader="dot"/>
            </w:tabs>
            <w:rPr/>
          </w:pPr>
          <w:hyperlink w:anchor="__RefHeading___Toc2175521_2314609296">
            <w:r>
              <w:rPr>
                <w:webHidden/>
                <w:rStyle w:val="IndexLink"/>
                <w:rtl w:val="true"/>
              </w:rPr>
              <w:t>[ «</w:t>
            </w:r>
            <w:r>
              <w:rPr>
                <w:rStyle w:val="IndexLink"/>
                <w:rtl w:val="true"/>
              </w:rPr>
              <w:t>الثامنة</w:t>
            </w:r>
            <w:r>
              <w:rPr>
                <w:rStyle w:val="IndexLink"/>
                <w:rtl w:val="true"/>
              </w:rPr>
              <w:t>» : «</w:t>
            </w:r>
            <w:r>
              <w:rPr>
                <w:rStyle w:val="IndexLink"/>
                <w:rtl w:val="true"/>
              </w:rPr>
              <w:t>للزوجة الامتناع قبل الدخول حتّی تقبض مهرها إن کان</w:t>
            </w:r>
            <w:r>
              <w:rPr>
                <w:rStyle w:val="IndexLink"/>
                <w:rtl w:val="true"/>
              </w:rPr>
              <w:t>» ]</w:t>
              <w:tab/>
            </w:r>
            <w:r>
              <w:rPr>
                <w:rStyle w:val="IndexLink"/>
              </w:rPr>
              <w:t>271</w:t>
            </w:r>
          </w:hyperlink>
        </w:p>
        <w:p>
          <w:pPr>
            <w:pStyle w:val="Contents5"/>
            <w:tabs>
              <w:tab w:val="clear" w:pos="7892"/>
              <w:tab w:val="right" w:pos="9026" w:leader="dot"/>
            </w:tabs>
            <w:rPr/>
          </w:pPr>
          <w:hyperlink w:anchor="__RefHeading___Toc2175523_2314609296">
            <w:r>
              <w:rPr>
                <w:webHidden/>
                <w:rStyle w:val="IndexLink"/>
                <w:rtl w:val="true"/>
              </w:rPr>
              <w:t>«</w:t>
            </w:r>
            <w:r>
              <w:rPr>
                <w:rStyle w:val="IndexLink"/>
                <w:rtl w:val="true"/>
              </w:rPr>
              <w:t xml:space="preserve">التاسعة </w:t>
            </w:r>
            <w:r>
              <w:rPr>
                <w:rStyle w:val="IndexLink"/>
                <w:rtl w:val="true"/>
              </w:rPr>
              <w:t>[</w:t>
            </w:r>
            <w:r>
              <w:rPr>
                <w:rStyle w:val="IndexLink"/>
                <w:rtl w:val="true"/>
              </w:rPr>
              <w:t xml:space="preserve">حکم المهر فی ما اذا زوج الاب ولده الصغیر </w:t>
            </w:r>
            <w:r>
              <w:rPr>
                <w:rStyle w:val="IndexLink"/>
                <w:rtl w:val="true"/>
              </w:rPr>
              <w:t>] » :</w:t>
              <w:tab/>
            </w:r>
            <w:r>
              <w:rPr>
                <w:rStyle w:val="IndexLink"/>
              </w:rPr>
              <w:t>274</w:t>
            </w:r>
          </w:hyperlink>
        </w:p>
        <w:p>
          <w:pPr>
            <w:pStyle w:val="Contents5"/>
            <w:tabs>
              <w:tab w:val="clear" w:pos="7892"/>
              <w:tab w:val="right" w:pos="9026" w:leader="dot"/>
            </w:tabs>
            <w:rPr/>
          </w:pPr>
          <w:hyperlink w:anchor="__RefHeading___Toc2175525_2314609296">
            <w:r>
              <w:rPr>
                <w:webHidden/>
                <w:rStyle w:val="IndexLink"/>
                <w:rtl w:val="true"/>
              </w:rPr>
              <w:t>«</w:t>
            </w:r>
            <w:r>
              <w:rPr>
                <w:rStyle w:val="IndexLink"/>
                <w:rtl w:val="true"/>
              </w:rPr>
              <w:t xml:space="preserve">العاشرة </w:t>
            </w:r>
            <w:r>
              <w:rPr>
                <w:rStyle w:val="IndexLink"/>
                <w:rtl w:val="true"/>
              </w:rPr>
              <w:t>[</w:t>
            </w:r>
            <w:r>
              <w:rPr>
                <w:rStyle w:val="IndexLink"/>
                <w:rtl w:val="true"/>
              </w:rPr>
              <w:t xml:space="preserve">حکم الاختلاف فی المهر </w:t>
            </w:r>
            <w:r>
              <w:rPr>
                <w:rStyle w:val="IndexLink"/>
                <w:rtl w:val="true"/>
              </w:rPr>
              <w:t>] » :</w:t>
              <w:tab/>
            </w:r>
            <w:r>
              <w:rPr>
                <w:rStyle w:val="IndexLink"/>
              </w:rPr>
              <w:t>275</w:t>
            </w:r>
          </w:hyperlink>
        </w:p>
        <w:p>
          <w:pPr>
            <w:pStyle w:val="Contents3"/>
            <w:tabs>
              <w:tab w:val="clear" w:pos="8459"/>
              <w:tab w:val="right" w:pos="9026" w:leader="dot"/>
            </w:tabs>
            <w:rPr/>
          </w:pPr>
          <w:hyperlink w:anchor="__RefHeading___Toc2175527_2314609296">
            <w:r>
              <w:rPr>
                <w:webHidden/>
                <w:rStyle w:val="IndexLink"/>
                <w:rtl w:val="true"/>
              </w:rPr>
              <w:t>«</w:t>
            </w:r>
            <w:r>
              <w:rPr>
                <w:rStyle w:val="IndexLink"/>
                <w:rtl w:val="true"/>
              </w:rPr>
              <w:t>الفصل السابع</w:t>
            </w:r>
            <w:r>
              <w:rPr>
                <w:rStyle w:val="IndexLink"/>
                <w:rtl w:val="true"/>
              </w:rPr>
              <w:t>»</w:t>
              <w:tab/>
            </w:r>
            <w:r>
              <w:rPr>
                <w:rStyle w:val="IndexLink"/>
              </w:rPr>
              <w:t>278</w:t>
            </w:r>
          </w:hyperlink>
        </w:p>
        <w:p>
          <w:pPr>
            <w:pStyle w:val="Contents4"/>
            <w:tabs>
              <w:tab w:val="clear" w:pos="8176"/>
              <w:tab w:val="right" w:pos="9026" w:leader="dot"/>
            </w:tabs>
            <w:rPr/>
          </w:pPr>
          <w:hyperlink w:anchor="__RefHeading___Toc2175529_2314609296">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2175531_2314609296">
            <w:r>
              <w:rPr>
                <w:webHidden/>
                <w:rStyle w:val="IndexLink"/>
                <w:rtl w:val="true"/>
              </w:rPr>
              <w:t>[</w:t>
            </w:r>
            <w:r>
              <w:rPr>
                <w:rStyle w:val="IndexLink"/>
                <w:rtl w:val="true"/>
              </w:rPr>
              <w:t xml:space="preserve">عیوب الرجل </w:t>
            </w:r>
            <w:r>
              <w:rPr>
                <w:rStyle w:val="IndexLink"/>
                <w:rtl w:val="true"/>
              </w:rPr>
              <w:t>]</w:t>
              <w:tab/>
            </w:r>
            <w:r>
              <w:rPr>
                <w:rStyle w:val="IndexLink"/>
              </w:rPr>
              <w:t>278</w:t>
            </w:r>
          </w:hyperlink>
        </w:p>
        <w:p>
          <w:pPr>
            <w:pStyle w:val="Contents4"/>
            <w:tabs>
              <w:tab w:val="clear" w:pos="8176"/>
              <w:tab w:val="right" w:pos="9026" w:leader="dot"/>
            </w:tabs>
            <w:rPr/>
          </w:pPr>
          <w:hyperlink w:anchor="__RefHeading___Toc2175533_2314609296">
            <w:r>
              <w:rPr>
                <w:webHidden/>
                <w:rStyle w:val="IndexLink"/>
                <w:rtl w:val="true"/>
              </w:rPr>
              <w:t>[</w:t>
            </w:r>
            <w:r>
              <w:rPr>
                <w:rStyle w:val="IndexLink"/>
                <w:rtl w:val="true"/>
              </w:rPr>
              <w:t>عیوب المراة</w:t>
            </w:r>
            <w:r>
              <w:rPr>
                <w:rStyle w:val="IndexLink"/>
                <w:rtl w:val="true"/>
              </w:rPr>
              <w:t>]</w:t>
              <w:tab/>
            </w:r>
            <w:r>
              <w:rPr>
                <w:rStyle w:val="IndexLink"/>
              </w:rPr>
              <w:t>283</w:t>
            </w:r>
          </w:hyperlink>
        </w:p>
        <w:p>
          <w:pPr>
            <w:pStyle w:val="Contents4"/>
            <w:tabs>
              <w:tab w:val="clear" w:pos="8176"/>
              <w:tab w:val="right" w:pos="9026" w:leader="dot"/>
            </w:tabs>
            <w:rPr/>
          </w:pPr>
          <w:hyperlink w:anchor="__RefHeading___Toc2175535_2314609296">
            <w:r>
              <w:rPr>
                <w:webHidden/>
                <w:rStyle w:val="IndexLink"/>
                <w:rtl w:val="true"/>
              </w:rPr>
              <w:t>[</w:t>
            </w:r>
            <w:r>
              <w:rPr>
                <w:rStyle w:val="IndexLink"/>
                <w:rtl w:val="true"/>
              </w:rPr>
              <w:t xml:space="preserve">احکام العیوب </w:t>
            </w:r>
            <w:r>
              <w:rPr>
                <w:rStyle w:val="IndexLink"/>
                <w:rtl w:val="true"/>
              </w:rPr>
              <w:t>]</w:t>
              <w:tab/>
            </w:r>
            <w:r>
              <w:rPr>
                <w:rStyle w:val="IndexLink"/>
              </w:rPr>
              <w:t>284</w:t>
            </w:r>
          </w:hyperlink>
        </w:p>
        <w:p>
          <w:pPr>
            <w:pStyle w:val="Contents3"/>
            <w:tabs>
              <w:tab w:val="clear" w:pos="8459"/>
              <w:tab w:val="right" w:pos="9026" w:leader="dot"/>
            </w:tabs>
            <w:rPr/>
          </w:pPr>
          <w:hyperlink w:anchor="__RefHeading___Toc2175537_2314609296">
            <w:r>
              <w:rPr>
                <w:webHidden/>
                <w:rStyle w:val="IndexLink"/>
                <w:rtl w:val="true"/>
              </w:rPr>
              <w:t>«</w:t>
            </w:r>
            <w:r>
              <w:rPr>
                <w:rStyle w:val="IndexLink"/>
                <w:rtl w:val="true"/>
              </w:rPr>
              <w:t>الفصل الثامن</w:t>
            </w:r>
            <w:r>
              <w:rPr>
                <w:rStyle w:val="IndexLink"/>
                <w:rtl w:val="true"/>
              </w:rPr>
              <w:t>»</w:t>
              <w:tab/>
            </w:r>
            <w:r>
              <w:rPr>
                <w:rStyle w:val="IndexLink"/>
              </w:rPr>
              <w:t>290</w:t>
            </w:r>
          </w:hyperlink>
        </w:p>
        <w:p>
          <w:pPr>
            <w:pStyle w:val="Contents4"/>
            <w:tabs>
              <w:tab w:val="clear" w:pos="8176"/>
              <w:tab w:val="right" w:pos="9026" w:leader="dot"/>
            </w:tabs>
            <w:rPr/>
          </w:pPr>
          <w:hyperlink w:anchor="__RefHeading___Toc2175539_2314609296">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2175541_2314609296">
            <w:r>
              <w:rPr>
                <w:webHidden/>
                <w:rStyle w:val="IndexLink"/>
                <w:rtl w:val="true"/>
              </w:rPr>
              <w:t>[</w:t>
            </w:r>
            <w:r>
              <w:rPr>
                <w:rStyle w:val="IndexLink"/>
                <w:rtl w:val="true"/>
              </w:rPr>
              <w:t>القسم</w:t>
            </w:r>
            <w:r>
              <w:rPr>
                <w:rStyle w:val="IndexLink"/>
                <w:rtl w:val="true"/>
              </w:rPr>
              <w:t>]</w:t>
              <w:tab/>
            </w:r>
            <w:r>
              <w:rPr>
                <w:rStyle w:val="IndexLink"/>
              </w:rPr>
              <w:t>290</w:t>
            </w:r>
          </w:hyperlink>
        </w:p>
        <w:p>
          <w:pPr>
            <w:pStyle w:val="Contents4"/>
            <w:tabs>
              <w:tab w:val="clear" w:pos="8176"/>
              <w:tab w:val="right" w:pos="9026" w:leader="dot"/>
            </w:tabs>
            <w:rPr/>
          </w:pPr>
          <w:hyperlink w:anchor="__RefHeading___Toc2175543_2314609296">
            <w:r>
              <w:rPr>
                <w:webHidden/>
                <w:rStyle w:val="IndexLink"/>
                <w:rtl w:val="true"/>
              </w:rPr>
              <w:t>[ «</w:t>
            </w:r>
            <w:r>
              <w:rPr>
                <w:rStyle w:val="IndexLink"/>
                <w:rtl w:val="true"/>
              </w:rPr>
              <w:t>والنشوز</w:t>
            </w:r>
            <w:r>
              <w:rPr>
                <w:rStyle w:val="IndexLink"/>
                <w:rtl w:val="true"/>
              </w:rPr>
              <w:t>» ]</w:t>
              <w:tab/>
            </w:r>
            <w:r>
              <w:rPr>
                <w:rStyle w:val="IndexLink"/>
              </w:rPr>
              <w:t>299</w:t>
            </w:r>
          </w:hyperlink>
        </w:p>
        <w:p>
          <w:pPr>
            <w:pStyle w:val="Contents4"/>
            <w:tabs>
              <w:tab w:val="clear" w:pos="8176"/>
              <w:tab w:val="right" w:pos="9026" w:leader="dot"/>
            </w:tabs>
            <w:rPr/>
          </w:pPr>
          <w:hyperlink w:anchor="__RefHeading___Toc2175545_2314609296">
            <w:r>
              <w:rPr>
                <w:webHidden/>
                <w:rStyle w:val="IndexLink"/>
                <w:rtl w:val="true"/>
              </w:rPr>
              <w:t>[ «</w:t>
            </w:r>
            <w:r>
              <w:rPr>
                <w:rStyle w:val="IndexLink"/>
                <w:rtl w:val="true"/>
              </w:rPr>
              <w:t>والشقاق</w:t>
            </w:r>
            <w:r>
              <w:rPr>
                <w:rStyle w:val="IndexLink"/>
                <w:rtl w:val="true"/>
              </w:rPr>
              <w:t>» ]</w:t>
              <w:tab/>
            </w:r>
            <w:r>
              <w:rPr>
                <w:rStyle w:val="IndexLink"/>
              </w:rPr>
              <w:t>301</w:t>
            </w:r>
          </w:hyperlink>
        </w:p>
        <w:p>
          <w:pPr>
            <w:pStyle w:val="Contents4"/>
            <w:tabs>
              <w:tab w:val="clear" w:pos="8176"/>
              <w:tab w:val="right" w:pos="9026" w:leader="dot"/>
            </w:tabs>
            <w:rPr/>
          </w:pPr>
          <w:hyperlink w:anchor="__RefHeading___Toc2175547_2314609296">
            <w:r>
              <w:rPr>
                <w:webHidden/>
                <w:rStyle w:val="IndexLink"/>
                <w:rtl w:val="true"/>
              </w:rPr>
              <w:t>[ «</w:t>
            </w:r>
            <w:r>
              <w:rPr>
                <w:rStyle w:val="IndexLink"/>
                <w:rtl w:val="true"/>
              </w:rPr>
              <w:t>ویلحق بذلک نظران</w:t>
            </w:r>
            <w:r>
              <w:rPr>
                <w:rStyle w:val="IndexLink"/>
                <w:rtl w:val="true"/>
              </w:rPr>
              <w:t>» :]</w:t>
              <w:tab/>
            </w:r>
            <w:r>
              <w:rPr>
                <w:rStyle w:val="IndexLink"/>
              </w:rPr>
              <w:t>303</w:t>
            </w:r>
          </w:hyperlink>
        </w:p>
        <w:p>
          <w:pPr>
            <w:pStyle w:val="Contents5"/>
            <w:tabs>
              <w:tab w:val="clear" w:pos="7892"/>
              <w:tab w:val="right" w:pos="9026" w:leader="dot"/>
            </w:tabs>
            <w:rPr/>
          </w:pPr>
          <w:hyperlink w:anchor="__RefHeading___Toc2175549_2314609296">
            <w:r>
              <w:rPr>
                <w:webHidden/>
                <w:rStyle w:val="IndexLink"/>
                <w:rtl w:val="true"/>
              </w:rPr>
              <w:t>[ «</w:t>
            </w:r>
            <w:r>
              <w:rPr>
                <w:rStyle w:val="IndexLink"/>
                <w:rtl w:val="true"/>
              </w:rPr>
              <w:t>الأوّل</w:t>
            </w:r>
            <w:r>
              <w:rPr>
                <w:rStyle w:val="IndexLink"/>
                <w:rtl w:val="true"/>
              </w:rPr>
              <w:t xml:space="preserve">: </w:t>
            </w:r>
            <w:r>
              <w:rPr>
                <w:rStyle w:val="IndexLink"/>
                <w:rtl w:val="true"/>
              </w:rPr>
              <w:t>الأولاد</w:t>
            </w:r>
            <w:r>
              <w:rPr>
                <w:rStyle w:val="IndexLink"/>
                <w:rtl w:val="true"/>
              </w:rPr>
              <w:t>» ]</w:t>
              <w:tab/>
            </w:r>
            <w:r>
              <w:rPr>
                <w:rStyle w:val="IndexLink"/>
              </w:rPr>
              <w:t>303</w:t>
            </w:r>
          </w:hyperlink>
        </w:p>
        <w:p>
          <w:pPr>
            <w:pStyle w:val="Contents6"/>
            <w:tabs>
              <w:tab w:val="clear" w:pos="7609"/>
              <w:tab w:val="right" w:pos="9026" w:leader="dot"/>
            </w:tabs>
            <w:rPr/>
          </w:pPr>
          <w:hyperlink w:anchor="__RefHeading___Toc2175551_2314609296">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2175553_2314609296">
            <w:r>
              <w:rPr>
                <w:webHidden/>
                <w:rStyle w:val="IndexLink"/>
                <w:rtl w:val="true"/>
              </w:rPr>
              <w:t>[</w:t>
            </w:r>
            <w:r>
              <w:rPr>
                <w:rStyle w:val="IndexLink"/>
                <w:rtl w:val="true"/>
              </w:rPr>
              <w:t>احکام لحوق الاولاد</w:t>
            </w:r>
            <w:r>
              <w:rPr>
                <w:rStyle w:val="IndexLink"/>
                <w:rtl w:val="true"/>
              </w:rPr>
              <w:t>]</w:t>
              <w:tab/>
            </w:r>
            <w:r>
              <w:rPr>
                <w:rStyle w:val="IndexLink"/>
              </w:rPr>
              <w:t>303</w:t>
            </w:r>
          </w:hyperlink>
        </w:p>
        <w:p>
          <w:pPr>
            <w:pStyle w:val="Contents6"/>
            <w:tabs>
              <w:tab w:val="clear" w:pos="7609"/>
              <w:tab w:val="right" w:pos="9026" w:leader="dot"/>
            </w:tabs>
            <w:rPr/>
          </w:pPr>
          <w:hyperlink w:anchor="__RefHeading___Toc2175555_2314609296">
            <w:r>
              <w:rPr>
                <w:webHidden/>
                <w:rStyle w:val="IndexLink"/>
                <w:rtl w:val="true"/>
              </w:rPr>
              <w:t>[</w:t>
            </w:r>
            <w:r>
              <w:rPr>
                <w:rStyle w:val="IndexLink"/>
                <w:rtl w:val="true"/>
              </w:rPr>
              <w:t>احکام الولادة و آداب المولود</w:t>
            </w:r>
            <w:r>
              <w:rPr>
                <w:rStyle w:val="IndexLink"/>
                <w:rtl w:val="true"/>
              </w:rPr>
              <w:t>]</w:t>
              <w:tab/>
            </w:r>
            <w:r>
              <w:rPr>
                <w:rStyle w:val="IndexLink"/>
              </w:rPr>
              <w:t>307</w:t>
            </w:r>
          </w:hyperlink>
        </w:p>
        <w:p>
          <w:pPr>
            <w:pStyle w:val="Contents6"/>
            <w:tabs>
              <w:tab w:val="clear" w:pos="7609"/>
              <w:tab w:val="right" w:pos="9026" w:leader="dot"/>
            </w:tabs>
            <w:rPr/>
          </w:pPr>
          <w:hyperlink w:anchor="__RefHeading___Toc2175557_2314609296">
            <w:r>
              <w:rPr>
                <w:webHidden/>
                <w:rStyle w:val="IndexLink"/>
                <w:rtl w:val="true"/>
              </w:rPr>
              <w:t>[ «</w:t>
            </w:r>
            <w:r>
              <w:rPr>
                <w:rStyle w:val="IndexLink"/>
                <w:rtl w:val="true"/>
              </w:rPr>
              <w:t>وأحکام الأولاد اُمور</w:t>
            </w:r>
            <w:r>
              <w:rPr>
                <w:rStyle w:val="IndexLink"/>
                <w:rtl w:val="true"/>
              </w:rPr>
              <w:t>» :]</w:t>
              <w:tab/>
            </w:r>
            <w:r>
              <w:rPr>
                <w:rStyle w:val="IndexLink"/>
              </w:rPr>
              <w:t>310</w:t>
            </w:r>
          </w:hyperlink>
        </w:p>
        <w:p>
          <w:pPr>
            <w:pStyle w:val="Contents6"/>
            <w:tabs>
              <w:tab w:val="clear" w:pos="7609"/>
              <w:tab w:val="right" w:pos="9026" w:leader="dot"/>
            </w:tabs>
            <w:rPr/>
          </w:pPr>
          <w:hyperlink w:anchor="__RefHeading___Toc2175559_2314609296">
            <w:r>
              <w:rPr>
                <w:webHidden/>
                <w:rStyle w:val="IndexLink"/>
                <w:rtl w:val="true"/>
              </w:rPr>
              <w:t>[</w:t>
            </w:r>
            <w:r>
              <w:rPr>
                <w:rStyle w:val="IndexLink"/>
                <w:rtl w:val="true"/>
              </w:rPr>
              <w:t>العقیقة و</w:t>
            </w:r>
            <w:r>
              <w:rPr>
                <w:rStyle w:val="IndexLink"/>
                <w:rtl w:val="true"/>
              </w:rPr>
              <w:t>. .]</w:t>
              <w:tab/>
            </w:r>
            <w:r>
              <w:rPr>
                <w:rStyle w:val="IndexLink"/>
              </w:rPr>
              <w:t>310</w:t>
            </w:r>
          </w:hyperlink>
        </w:p>
        <w:p>
          <w:pPr>
            <w:pStyle w:val="Contents6"/>
            <w:tabs>
              <w:tab w:val="clear" w:pos="7609"/>
              <w:tab w:val="right" w:pos="9026" w:leader="dot"/>
            </w:tabs>
            <w:rPr/>
          </w:pPr>
          <w:hyperlink w:anchor="__RefHeading___Toc2175561_2314609296">
            <w:r>
              <w:rPr>
                <w:webHidden/>
                <w:rStyle w:val="IndexLink"/>
                <w:rtl w:val="true"/>
              </w:rPr>
              <w:t>[</w:t>
            </w:r>
            <w:r>
              <w:rPr>
                <w:rStyle w:val="IndexLink"/>
                <w:rtl w:val="true"/>
              </w:rPr>
              <w:t>الرضاع</w:t>
            </w:r>
            <w:r>
              <w:rPr>
                <w:rStyle w:val="IndexLink"/>
                <w:rtl w:val="true"/>
              </w:rPr>
              <w:t>]</w:t>
              <w:tab/>
            </w:r>
            <w:r>
              <w:rPr>
                <w:rStyle w:val="IndexLink"/>
              </w:rPr>
              <w:t>316</w:t>
            </w:r>
          </w:hyperlink>
        </w:p>
        <w:p>
          <w:pPr>
            <w:pStyle w:val="Contents6"/>
            <w:tabs>
              <w:tab w:val="clear" w:pos="7609"/>
              <w:tab w:val="right" w:pos="9026" w:leader="dot"/>
            </w:tabs>
            <w:rPr/>
          </w:pPr>
          <w:hyperlink w:anchor="__RefHeading___Toc2175563_2314609296">
            <w:r>
              <w:rPr>
                <w:webHidden/>
                <w:rStyle w:val="IndexLink"/>
                <w:rtl w:val="true"/>
              </w:rPr>
              <w:t>[</w:t>
            </w:r>
            <w:r>
              <w:rPr>
                <w:rStyle w:val="IndexLink"/>
                <w:rtl w:val="true"/>
              </w:rPr>
              <w:t>الحضانة</w:t>
            </w:r>
            <w:r>
              <w:rPr>
                <w:rStyle w:val="IndexLink"/>
                <w:rtl w:val="true"/>
              </w:rPr>
              <w:t>]</w:t>
              <w:tab/>
            </w:r>
            <w:r>
              <w:rPr>
                <w:rStyle w:val="IndexLink"/>
              </w:rPr>
              <w:t>318</w:t>
            </w:r>
          </w:hyperlink>
        </w:p>
        <w:p>
          <w:pPr>
            <w:pStyle w:val="Contents5"/>
            <w:tabs>
              <w:tab w:val="clear" w:pos="7892"/>
              <w:tab w:val="right" w:pos="9026" w:leader="dot"/>
            </w:tabs>
            <w:rPr/>
          </w:pPr>
          <w:hyperlink w:anchor="__RefHeading___Toc2175565_2314609296">
            <w:r>
              <w:rPr>
                <w:webHidden/>
                <w:rStyle w:val="IndexLink"/>
                <w:rtl w:val="true"/>
              </w:rPr>
              <w:t>[</w:t>
            </w:r>
            <w:r>
              <w:rPr>
                <w:rStyle w:val="IndexLink"/>
                <w:rtl w:val="true"/>
              </w:rPr>
              <w:t>الثانی</w:t>
            </w:r>
            <w:r>
              <w:rPr>
                <w:rStyle w:val="IndexLink"/>
                <w:rtl w:val="true"/>
              </w:rPr>
              <w:t xml:space="preserve">: </w:t>
            </w:r>
            <w:r>
              <w:rPr>
                <w:rStyle w:val="IndexLink"/>
                <w:rtl w:val="true"/>
              </w:rPr>
              <w:t>فی النفقات</w:t>
            </w:r>
            <w:r>
              <w:rPr>
                <w:rStyle w:val="IndexLink"/>
                <w:rtl w:val="true"/>
              </w:rPr>
              <w:t>]</w:t>
              <w:tab/>
            </w:r>
            <w:r>
              <w:rPr>
                <w:rStyle w:val="IndexLink"/>
              </w:rPr>
              <w:t>323</w:t>
            </w:r>
          </w:hyperlink>
        </w:p>
        <w:p>
          <w:pPr>
            <w:pStyle w:val="Contents6"/>
            <w:tabs>
              <w:tab w:val="clear" w:pos="7609"/>
              <w:tab w:val="right" w:pos="9026" w:leader="dot"/>
            </w:tabs>
            <w:rPr/>
          </w:pPr>
          <w:hyperlink w:anchor="__RefHeading___Toc2175567_2314609296">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2175569_2314609296">
            <w:r>
              <w:rPr>
                <w:webHidden/>
                <w:rStyle w:val="IndexLink"/>
                <w:rtl w:val="true"/>
              </w:rPr>
              <w:t>[</w:t>
            </w:r>
            <w:r>
              <w:rPr>
                <w:rStyle w:val="IndexLink"/>
                <w:rtl w:val="true"/>
              </w:rPr>
              <w:t>اسبابها</w:t>
            </w:r>
            <w:r>
              <w:rPr>
                <w:rStyle w:val="IndexLink"/>
                <w:rtl w:val="true"/>
              </w:rPr>
              <w:t>]</w:t>
              <w:tab/>
            </w:r>
            <w:r>
              <w:rPr>
                <w:rStyle w:val="IndexLink"/>
              </w:rPr>
              <w:t>323</w:t>
            </w:r>
          </w:hyperlink>
        </w:p>
        <w:p>
          <w:pPr>
            <w:pStyle w:val="Contents6"/>
            <w:tabs>
              <w:tab w:val="clear" w:pos="7609"/>
              <w:tab w:val="right" w:pos="9026" w:leader="dot"/>
            </w:tabs>
            <w:rPr/>
          </w:pPr>
          <w:hyperlink w:anchor="__RefHeading___Toc2175571_2314609296">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2175573_2314609296">
            <w:r>
              <w:rPr>
                <w:webHidden/>
                <w:rStyle w:val="IndexLink"/>
                <w:rtl w:val="true"/>
              </w:rPr>
              <w:t>[</w:t>
            </w:r>
            <w:r>
              <w:rPr>
                <w:rStyle w:val="IndexLink"/>
              </w:rPr>
              <w:t>1</w:t>
            </w:r>
            <w:r>
              <w:rPr>
                <w:rStyle w:val="IndexLink"/>
                <w:rtl w:val="true"/>
              </w:rPr>
              <w:t xml:space="preserve">- </w:t>
            </w:r>
            <w:r>
              <w:rPr>
                <w:rStyle w:val="IndexLink"/>
                <w:rtl w:val="true"/>
              </w:rPr>
              <w:t>الزوجیة</w:t>
            </w:r>
            <w:r>
              <w:rPr>
                <w:rStyle w:val="IndexLink"/>
                <w:rtl w:val="true"/>
              </w:rPr>
              <w:t>]</w:t>
              <w:tab/>
            </w:r>
            <w:r>
              <w:rPr>
                <w:rStyle w:val="IndexLink"/>
              </w:rPr>
              <w:t>323</w:t>
            </w:r>
          </w:hyperlink>
        </w:p>
        <w:p>
          <w:pPr>
            <w:pStyle w:val="Contents6"/>
            <w:tabs>
              <w:tab w:val="clear" w:pos="7609"/>
              <w:tab w:val="right" w:pos="9026" w:leader="dot"/>
            </w:tabs>
            <w:rPr/>
          </w:pPr>
          <w:hyperlink w:anchor="__RefHeading___Toc2175575_2314609296">
            <w:r>
              <w:rPr>
                <w:webHidden/>
                <w:rStyle w:val="IndexLink"/>
                <w:rtl w:val="true"/>
              </w:rPr>
              <w:t>[ «</w:t>
            </w:r>
            <w:r>
              <w:rPr>
                <w:rStyle w:val="IndexLink"/>
                <w:rtl w:val="true"/>
              </w:rPr>
              <w:t>الثانی</w:t>
            </w:r>
            <w:r>
              <w:rPr>
                <w:rStyle w:val="IndexLink"/>
                <w:rtl w:val="true"/>
              </w:rPr>
              <w:t xml:space="preserve">: </w:t>
            </w:r>
            <w:r>
              <w:rPr>
                <w:rStyle w:val="IndexLink"/>
                <w:rtl w:val="true"/>
              </w:rPr>
              <w:t>القرابة</w:t>
            </w:r>
            <w:r>
              <w:rPr>
                <w:rStyle w:val="IndexLink"/>
                <w:rtl w:val="true"/>
              </w:rPr>
              <w:t>» ]</w:t>
              <w:tab/>
            </w:r>
            <w:r>
              <w:rPr>
                <w:rStyle w:val="IndexLink"/>
              </w:rPr>
              <w:t>327</w:t>
            </w:r>
          </w:hyperlink>
        </w:p>
        <w:p>
          <w:pPr>
            <w:pStyle w:val="Contents6"/>
            <w:tabs>
              <w:tab w:val="clear" w:pos="7609"/>
              <w:tab w:val="right" w:pos="9026" w:leader="dot"/>
            </w:tabs>
            <w:rPr/>
          </w:pPr>
          <w:hyperlink w:anchor="__RefHeading___Toc2175577_2314609296">
            <w:r>
              <w:rPr>
                <w:webHidden/>
                <w:rStyle w:val="IndexLink"/>
                <w:rtl w:val="true"/>
              </w:rPr>
              <w:t>[</w:t>
            </w:r>
            <w:r>
              <w:rPr>
                <w:rStyle w:val="IndexLink"/>
              </w:rPr>
              <w:t>3</w:t>
            </w:r>
            <w:r>
              <w:rPr>
                <w:rStyle w:val="IndexLink"/>
                <w:rtl w:val="true"/>
              </w:rPr>
              <w:t xml:space="preserve">- </w:t>
            </w:r>
            <w:r>
              <w:rPr>
                <w:rStyle w:val="IndexLink"/>
                <w:rtl w:val="true"/>
              </w:rPr>
              <w:t>الملک</w:t>
            </w:r>
            <w:r>
              <w:rPr>
                <w:rStyle w:val="IndexLink"/>
                <w:rtl w:val="true"/>
              </w:rPr>
              <w:t>]</w:t>
              <w:tab/>
            </w:r>
            <w:r>
              <w:rPr>
                <w:rStyle w:val="IndexLink"/>
              </w:rPr>
              <w:t>331</w:t>
            </w:r>
          </w:hyperlink>
        </w:p>
        <w:p>
          <w:pPr>
            <w:pStyle w:val="Contents2"/>
            <w:tabs>
              <w:tab w:val="clear" w:pos="8743"/>
              <w:tab w:val="right" w:pos="9026" w:leader="dot"/>
            </w:tabs>
            <w:rPr/>
          </w:pPr>
          <w:hyperlink w:anchor="__RefHeading___Toc2175579_2314609296">
            <w:r>
              <w:rPr>
                <w:webHidden/>
                <w:rStyle w:val="IndexLink"/>
                <w:rtl w:val="true"/>
              </w:rPr>
              <w:t>کتاب الطلاق</w:t>
            </w:r>
            <w:r>
              <w:rPr>
                <w:rStyle w:val="IndexLink"/>
                <w:rtl w:val="true"/>
              </w:rPr>
              <w:tab/>
            </w:r>
            <w:r>
              <w:rPr>
                <w:rStyle w:val="IndexLink"/>
              </w:rPr>
              <w:t>334</w:t>
            </w:r>
          </w:hyperlink>
        </w:p>
        <w:p>
          <w:pPr>
            <w:pStyle w:val="Contents3"/>
            <w:tabs>
              <w:tab w:val="clear" w:pos="8459"/>
              <w:tab w:val="right" w:pos="9026" w:leader="dot"/>
            </w:tabs>
            <w:rPr/>
          </w:pPr>
          <w:hyperlink w:anchor="__RefHeading___Toc2175581_2314609296">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2175583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w:t>
            </w:r>
            <w:r>
              <w:rPr>
                <w:rStyle w:val="IndexLink"/>
                <w:rtl w:val="true"/>
              </w:rPr>
              <w:t>فی أرکانه</w:t>
            </w:r>
            <w:r>
              <w:rPr>
                <w:rStyle w:val="IndexLink"/>
                <w:rtl w:val="true"/>
              </w:rPr>
              <w:t>»</w:t>
              <w:tab/>
            </w:r>
            <w:r>
              <w:rPr>
                <w:rStyle w:val="IndexLink"/>
              </w:rPr>
              <w:t>335</w:t>
            </w:r>
          </w:hyperlink>
        </w:p>
        <w:p>
          <w:pPr>
            <w:pStyle w:val="Contents4"/>
            <w:tabs>
              <w:tab w:val="clear" w:pos="8176"/>
              <w:tab w:val="right" w:pos="9026" w:leader="dot"/>
            </w:tabs>
            <w:rPr/>
          </w:pPr>
          <w:hyperlink w:anchor="__RefHeading___Toc2175585_2314609296">
            <w:r>
              <w:rPr>
                <w:webHidden/>
                <w:rStyle w:val="IndexLink"/>
                <w:rtl w:val="true"/>
              </w:rPr>
              <w:t>[</w:t>
            </w:r>
            <w:r>
              <w:rPr>
                <w:rStyle w:val="IndexLink"/>
                <w:rtl w:val="true"/>
              </w:rPr>
              <w:t>الصیغة</w:t>
            </w:r>
            <w:r>
              <w:rPr>
                <w:rStyle w:val="IndexLink"/>
                <w:rtl w:val="true"/>
              </w:rPr>
              <w:t>]</w:t>
              <w:tab/>
            </w:r>
            <w:r>
              <w:rPr>
                <w:rStyle w:val="IndexLink"/>
              </w:rPr>
              <w:t>335</w:t>
            </w:r>
          </w:hyperlink>
        </w:p>
        <w:p>
          <w:pPr>
            <w:pStyle w:val="Contents4"/>
            <w:tabs>
              <w:tab w:val="clear" w:pos="8176"/>
              <w:tab w:val="right" w:pos="9026" w:leader="dot"/>
            </w:tabs>
            <w:rPr/>
          </w:pPr>
          <w:hyperlink w:anchor="__RefHeading___Toc2175587_2314609296">
            <w:r>
              <w:rPr>
                <w:webHidden/>
                <w:rStyle w:val="IndexLink"/>
                <w:rtl w:val="true"/>
              </w:rPr>
              <w:t>[</w:t>
            </w:r>
            <w:r>
              <w:rPr>
                <w:rStyle w:val="IndexLink"/>
                <w:rtl w:val="true"/>
              </w:rPr>
              <w:t xml:space="preserve">المطلق و شروطه </w:t>
            </w:r>
            <w:r>
              <w:rPr>
                <w:rStyle w:val="IndexLink"/>
                <w:rtl w:val="true"/>
              </w:rPr>
              <w:t>]</w:t>
              <w:tab/>
            </w:r>
            <w:r>
              <w:rPr>
                <w:rStyle w:val="IndexLink"/>
              </w:rPr>
              <w:t>340</w:t>
            </w:r>
          </w:hyperlink>
        </w:p>
        <w:p>
          <w:pPr>
            <w:pStyle w:val="Contents4"/>
            <w:tabs>
              <w:tab w:val="clear" w:pos="8176"/>
              <w:tab w:val="right" w:pos="9026" w:leader="dot"/>
            </w:tabs>
            <w:rPr/>
          </w:pPr>
          <w:hyperlink w:anchor="__RefHeading___Toc2175589_2314609296">
            <w:r>
              <w:rPr>
                <w:webHidden/>
                <w:rStyle w:val="IndexLink"/>
                <w:rtl w:val="true"/>
              </w:rPr>
              <w:t>[</w:t>
            </w:r>
            <w:r>
              <w:rPr>
                <w:rStyle w:val="IndexLink"/>
                <w:rtl w:val="true"/>
              </w:rPr>
              <w:t>المطلقة و شروطها</w:t>
            </w:r>
            <w:r>
              <w:rPr>
                <w:rStyle w:val="IndexLink"/>
                <w:rtl w:val="true"/>
              </w:rPr>
              <w:t>]</w:t>
              <w:tab/>
            </w:r>
            <w:r>
              <w:rPr>
                <w:rStyle w:val="IndexLink"/>
              </w:rPr>
              <w:t>343</w:t>
            </w:r>
          </w:hyperlink>
        </w:p>
        <w:p>
          <w:pPr>
            <w:pStyle w:val="Contents3"/>
            <w:tabs>
              <w:tab w:val="clear" w:pos="8459"/>
              <w:tab w:val="right" w:pos="9026" w:leader="dot"/>
            </w:tabs>
            <w:rPr/>
          </w:pPr>
          <w:hyperlink w:anchor="__RefHeading___Toc2175591_2314609296">
            <w:r>
              <w:rPr>
                <w:webHidden/>
                <w:rStyle w:val="IndexLink"/>
                <w:rtl w:val="true"/>
              </w:rPr>
              <w:t>«</w:t>
            </w:r>
            <w:r>
              <w:rPr>
                <w:rStyle w:val="IndexLink"/>
                <w:rtl w:val="true"/>
              </w:rPr>
              <w:t>الفصل الثانی</w:t>
            </w:r>
            <w:r>
              <w:rPr>
                <w:rStyle w:val="IndexLink"/>
                <w:rtl w:val="true"/>
              </w:rPr>
              <w:t>»</w:t>
              <w:tab/>
            </w:r>
            <w:r>
              <w:rPr>
                <w:rStyle w:val="IndexLink"/>
              </w:rPr>
              <w:t>346</w:t>
            </w:r>
          </w:hyperlink>
        </w:p>
        <w:p>
          <w:pPr>
            <w:pStyle w:val="Contents4"/>
            <w:tabs>
              <w:tab w:val="clear" w:pos="8176"/>
              <w:tab w:val="right" w:pos="9026" w:leader="dot"/>
            </w:tabs>
            <w:rPr/>
          </w:pPr>
          <w:hyperlink w:anchor="__RefHeading___Toc2175593_2314609296">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2175595_2314609296">
            <w:r>
              <w:rPr>
                <w:webHidden/>
                <w:rStyle w:val="IndexLink"/>
                <w:rtl w:val="true"/>
              </w:rPr>
              <w:t>[</w:t>
            </w:r>
            <w:r>
              <w:rPr>
                <w:rStyle w:val="IndexLink"/>
                <w:rtl w:val="true"/>
              </w:rPr>
              <w:t>المحرم</w:t>
            </w:r>
            <w:r>
              <w:rPr>
                <w:rStyle w:val="IndexLink"/>
                <w:rtl w:val="true"/>
              </w:rPr>
              <w:t>]</w:t>
              <w:tab/>
            </w:r>
            <w:r>
              <w:rPr>
                <w:rStyle w:val="IndexLink"/>
              </w:rPr>
              <w:t>346</w:t>
            </w:r>
          </w:hyperlink>
        </w:p>
        <w:p>
          <w:pPr>
            <w:pStyle w:val="Contents4"/>
            <w:tabs>
              <w:tab w:val="clear" w:pos="8176"/>
              <w:tab w:val="right" w:pos="9026" w:leader="dot"/>
            </w:tabs>
            <w:rPr/>
          </w:pPr>
          <w:hyperlink w:anchor="__RefHeading___Toc2175597_2314609296">
            <w:r>
              <w:rPr>
                <w:webHidden/>
                <w:rStyle w:val="IndexLink"/>
                <w:rtl w:val="true"/>
              </w:rPr>
              <w:t>[</w:t>
            </w:r>
            <w:r>
              <w:rPr>
                <w:rStyle w:val="IndexLink"/>
                <w:rtl w:val="true"/>
              </w:rPr>
              <w:t>المکروه</w:t>
            </w:r>
            <w:r>
              <w:rPr>
                <w:rStyle w:val="IndexLink"/>
                <w:rtl w:val="true"/>
              </w:rPr>
              <w:t>]</w:t>
              <w:tab/>
            </w:r>
            <w:r>
              <w:rPr>
                <w:rStyle w:val="IndexLink"/>
              </w:rPr>
              <w:t>347</w:t>
            </w:r>
          </w:hyperlink>
        </w:p>
        <w:p>
          <w:pPr>
            <w:pStyle w:val="Contents4"/>
            <w:tabs>
              <w:tab w:val="clear" w:pos="8176"/>
              <w:tab w:val="right" w:pos="9026" w:leader="dot"/>
            </w:tabs>
            <w:rPr/>
          </w:pPr>
          <w:hyperlink w:anchor="__RefHeading___Toc2175599_2314609296">
            <w:r>
              <w:rPr>
                <w:webHidden/>
                <w:rStyle w:val="IndexLink"/>
                <w:rtl w:val="true"/>
              </w:rPr>
              <w:t>[</w:t>
            </w:r>
            <w:r>
              <w:rPr>
                <w:rStyle w:val="IndexLink"/>
                <w:rtl w:val="true"/>
              </w:rPr>
              <w:t xml:space="preserve">الواجب </w:t>
            </w:r>
            <w:r>
              <w:rPr>
                <w:rStyle w:val="IndexLink"/>
                <w:rtl w:val="true"/>
              </w:rPr>
              <w:t>]</w:t>
              <w:tab/>
            </w:r>
            <w:r>
              <w:rPr>
                <w:rStyle w:val="IndexLink"/>
              </w:rPr>
              <w:t>347</w:t>
            </w:r>
          </w:hyperlink>
        </w:p>
        <w:p>
          <w:pPr>
            <w:pStyle w:val="Contents4"/>
            <w:tabs>
              <w:tab w:val="clear" w:pos="8176"/>
              <w:tab w:val="right" w:pos="9026" w:leader="dot"/>
            </w:tabs>
            <w:rPr/>
          </w:pPr>
          <w:hyperlink w:anchor="__RefHeading___Toc2175601_2314609296">
            <w:r>
              <w:rPr>
                <w:webHidden/>
                <w:rStyle w:val="IndexLink"/>
                <w:rtl w:val="true"/>
              </w:rPr>
              <w:t>[</w:t>
            </w:r>
            <w:r>
              <w:rPr>
                <w:rStyle w:val="IndexLink"/>
                <w:rtl w:val="true"/>
              </w:rPr>
              <w:t xml:space="preserve">المستحب </w:t>
            </w:r>
            <w:r>
              <w:rPr>
                <w:rStyle w:val="IndexLink"/>
                <w:rtl w:val="true"/>
              </w:rPr>
              <w:t>]</w:t>
              <w:tab/>
            </w:r>
            <w:r>
              <w:rPr>
                <w:rStyle w:val="IndexLink"/>
              </w:rPr>
              <w:t>347</w:t>
            </w:r>
          </w:hyperlink>
        </w:p>
        <w:p>
          <w:pPr>
            <w:pStyle w:val="Contents4"/>
            <w:tabs>
              <w:tab w:val="clear" w:pos="8176"/>
              <w:tab w:val="right" w:pos="9026" w:leader="dot"/>
            </w:tabs>
            <w:rPr/>
          </w:pPr>
          <w:hyperlink w:anchor="__RefHeading___Toc2175603_2314609296">
            <w:r>
              <w:rPr>
                <w:webHidden/>
                <w:rStyle w:val="IndexLink"/>
                <w:rtl w:val="true"/>
              </w:rPr>
              <w:t>[</w:t>
            </w:r>
            <w:r>
              <w:rPr>
                <w:rStyle w:val="IndexLink"/>
                <w:rtl w:val="true"/>
              </w:rPr>
              <w:t xml:space="preserve">طلاق البائن </w:t>
            </w:r>
            <w:r>
              <w:rPr>
                <w:rStyle w:val="IndexLink"/>
                <w:rtl w:val="true"/>
              </w:rPr>
              <w:t>]</w:t>
              <w:tab/>
            </w:r>
            <w:r>
              <w:rPr>
                <w:rStyle w:val="IndexLink"/>
              </w:rPr>
              <w:t>348</w:t>
            </w:r>
          </w:hyperlink>
        </w:p>
        <w:p>
          <w:pPr>
            <w:pStyle w:val="Contents4"/>
            <w:tabs>
              <w:tab w:val="clear" w:pos="8176"/>
              <w:tab w:val="right" w:pos="9026" w:leader="dot"/>
            </w:tabs>
            <w:rPr/>
          </w:pPr>
          <w:hyperlink w:anchor="__RefHeading___Toc2175605_2314609296">
            <w:r>
              <w:rPr>
                <w:webHidden/>
                <w:rStyle w:val="IndexLink"/>
                <w:rtl w:val="true"/>
              </w:rPr>
              <w:t>[</w:t>
            </w:r>
            <w:r>
              <w:rPr>
                <w:rStyle w:val="IndexLink"/>
                <w:rtl w:val="true"/>
              </w:rPr>
              <w:t>طلاق الرجعی</w:t>
            </w:r>
            <w:r>
              <w:rPr>
                <w:rStyle w:val="IndexLink"/>
                <w:rtl w:val="true"/>
              </w:rPr>
              <w:t>]</w:t>
              <w:tab/>
            </w:r>
            <w:r>
              <w:rPr>
                <w:rStyle w:val="IndexLink"/>
              </w:rPr>
              <w:t>348</w:t>
            </w:r>
          </w:hyperlink>
        </w:p>
        <w:p>
          <w:pPr>
            <w:pStyle w:val="Contents4"/>
            <w:tabs>
              <w:tab w:val="clear" w:pos="8176"/>
              <w:tab w:val="right" w:pos="9026" w:leader="dot"/>
            </w:tabs>
            <w:rPr/>
          </w:pPr>
          <w:hyperlink w:anchor="__RefHeading___Toc2175607_2314609296">
            <w:r>
              <w:rPr>
                <w:webHidden/>
                <w:rStyle w:val="IndexLink"/>
                <w:rtl w:val="true"/>
              </w:rPr>
              <w:t>[</w:t>
            </w:r>
            <w:r>
              <w:rPr>
                <w:rStyle w:val="IndexLink"/>
                <w:rtl w:val="true"/>
              </w:rPr>
              <w:t>طلاق العدة</w:t>
            </w:r>
            <w:r>
              <w:rPr>
                <w:rStyle w:val="IndexLink"/>
                <w:rtl w:val="true"/>
              </w:rPr>
              <w:t>]</w:t>
              <w:tab/>
            </w:r>
            <w:r>
              <w:rPr>
                <w:rStyle w:val="IndexLink"/>
              </w:rPr>
              <w:t>348</w:t>
            </w:r>
          </w:hyperlink>
        </w:p>
        <w:p>
          <w:pPr>
            <w:pStyle w:val="Contents4"/>
            <w:tabs>
              <w:tab w:val="clear" w:pos="8176"/>
              <w:tab w:val="right" w:pos="9026" w:leader="dot"/>
            </w:tabs>
            <w:rPr/>
          </w:pPr>
          <w:hyperlink w:anchor="__RefHeading___Toc2175609_2314609296">
            <w:r>
              <w:rPr>
                <w:webHidden/>
                <w:rStyle w:val="IndexLink"/>
                <w:rtl w:val="true"/>
              </w:rPr>
              <w:t>[</w:t>
            </w:r>
            <w:r>
              <w:rPr>
                <w:rStyle w:val="IndexLink"/>
                <w:rtl w:val="true"/>
              </w:rPr>
              <w:t>حکم المطلقة تسعا</w:t>
            </w:r>
            <w:r>
              <w:rPr>
                <w:rStyle w:val="IndexLink"/>
                <w:rtl w:val="true"/>
              </w:rPr>
              <w:t>]</w:t>
              <w:tab/>
            </w:r>
            <w:r>
              <w:rPr>
                <w:rStyle w:val="IndexLink"/>
              </w:rPr>
              <w:t>348</w:t>
            </w:r>
          </w:hyperlink>
        </w:p>
        <w:p>
          <w:pPr>
            <w:pStyle w:val="Contents4"/>
            <w:tabs>
              <w:tab w:val="clear" w:pos="8176"/>
              <w:tab w:val="right" w:pos="9026" w:leader="dot"/>
            </w:tabs>
            <w:rPr/>
          </w:pPr>
          <w:hyperlink w:anchor="__RefHeading___Toc2175611_2314609296">
            <w:r>
              <w:rPr>
                <w:webHidden/>
                <w:rStyle w:val="IndexLink"/>
                <w:rtl w:val="true"/>
              </w:rPr>
              <w:t>[</w:t>
            </w:r>
            <w:r>
              <w:rPr>
                <w:rStyle w:val="IndexLink"/>
                <w:rtl w:val="true"/>
              </w:rPr>
              <w:t>حکم المطلقة ثلاثا</w:t>
            </w:r>
            <w:r>
              <w:rPr>
                <w:rStyle w:val="IndexLink"/>
                <w:rtl w:val="true"/>
              </w:rPr>
              <w:t>]</w:t>
              <w:tab/>
            </w:r>
            <w:r>
              <w:rPr>
                <w:rStyle w:val="IndexLink"/>
              </w:rPr>
              <w:t>349</w:t>
            </w:r>
          </w:hyperlink>
        </w:p>
        <w:p>
          <w:pPr>
            <w:pStyle w:val="Contents4"/>
            <w:tabs>
              <w:tab w:val="clear" w:pos="8176"/>
              <w:tab w:val="right" w:pos="9026" w:leader="dot"/>
            </w:tabs>
            <w:rPr/>
          </w:pPr>
          <w:hyperlink w:anchor="__RefHeading___Toc2175613_2314609296">
            <w:r>
              <w:rPr>
                <w:webHidden/>
                <w:rStyle w:val="IndexLink"/>
                <w:rtl w:val="true"/>
              </w:rPr>
              <w:t>[</w:t>
            </w:r>
            <w:r>
              <w:rPr>
                <w:rStyle w:val="IndexLink"/>
                <w:rtl w:val="true"/>
              </w:rPr>
              <w:t>الرجعة</w:t>
            </w:r>
            <w:r>
              <w:rPr>
                <w:rStyle w:val="IndexLink"/>
                <w:rtl w:val="true"/>
              </w:rPr>
              <w:t>]</w:t>
              <w:tab/>
            </w:r>
            <w:r>
              <w:rPr>
                <w:rStyle w:val="IndexLink"/>
              </w:rPr>
              <w:t>356</w:t>
            </w:r>
          </w:hyperlink>
        </w:p>
        <w:p>
          <w:pPr>
            <w:pStyle w:val="Contents3"/>
            <w:tabs>
              <w:tab w:val="clear" w:pos="8459"/>
              <w:tab w:val="right" w:pos="9026" w:leader="dot"/>
            </w:tabs>
            <w:rPr/>
          </w:pPr>
          <w:hyperlink w:anchor="__RefHeading___Toc2175615_2314609296">
            <w:r>
              <w:rPr>
                <w:webHidden/>
                <w:rStyle w:val="IndexLink"/>
                <w:rtl w:val="true"/>
              </w:rPr>
              <w:t>«</w:t>
            </w:r>
            <w:r>
              <w:rPr>
                <w:rStyle w:val="IndexLink"/>
                <w:rtl w:val="true"/>
              </w:rPr>
              <w:t>الفصل الثالث</w:t>
            </w:r>
            <w:r>
              <w:rPr>
                <w:rStyle w:val="IndexLink"/>
                <w:rtl w:val="true"/>
              </w:rPr>
              <w:t>»</w:t>
              <w:tab/>
            </w:r>
            <w:r>
              <w:rPr>
                <w:rStyle w:val="IndexLink"/>
              </w:rPr>
              <w:t>360</w:t>
            </w:r>
          </w:hyperlink>
        </w:p>
        <w:p>
          <w:pPr>
            <w:pStyle w:val="Contents4"/>
            <w:tabs>
              <w:tab w:val="clear" w:pos="8176"/>
              <w:tab w:val="right" w:pos="9026" w:leader="dot"/>
            </w:tabs>
            <w:rPr/>
          </w:pPr>
          <w:hyperlink w:anchor="__RefHeading___Toc2175617_2314609296">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2175619_2314609296">
            <w:r>
              <w:rPr>
                <w:webHidden/>
                <w:rStyle w:val="IndexLink"/>
                <w:rtl w:val="true"/>
              </w:rPr>
              <w:t>[ «</w:t>
            </w:r>
            <w:r>
              <w:rPr>
                <w:rStyle w:val="IndexLink"/>
                <w:rtl w:val="true"/>
              </w:rPr>
              <w:t>لا عدّة علی من لم یدخل بها الزوج</w:t>
            </w:r>
            <w:r>
              <w:rPr>
                <w:rStyle w:val="IndexLink"/>
                <w:rtl w:val="true"/>
              </w:rPr>
              <w:t>» ]</w:t>
              <w:tab/>
            </w:r>
            <w:r>
              <w:rPr>
                <w:rStyle w:val="IndexLink"/>
              </w:rPr>
              <w:t>360</w:t>
            </w:r>
          </w:hyperlink>
        </w:p>
        <w:p>
          <w:pPr>
            <w:pStyle w:val="Contents4"/>
            <w:tabs>
              <w:tab w:val="clear" w:pos="8176"/>
              <w:tab w:val="right" w:pos="9026" w:leader="dot"/>
            </w:tabs>
            <w:rPr/>
          </w:pPr>
          <w:hyperlink w:anchor="__RefHeading___Toc2175621_2314609296">
            <w:r>
              <w:rPr>
                <w:webHidden/>
                <w:rStyle w:val="IndexLink"/>
                <w:rtl w:val="true"/>
              </w:rPr>
              <w:t>[</w:t>
            </w:r>
            <w:r>
              <w:rPr>
                <w:rStyle w:val="IndexLink"/>
                <w:rtl w:val="true"/>
              </w:rPr>
              <w:t xml:space="preserve">عدة ذات الدم </w:t>
            </w:r>
            <w:r>
              <w:rPr>
                <w:rStyle w:val="IndexLink"/>
                <w:rtl w:val="true"/>
              </w:rPr>
              <w:t>]</w:t>
              <w:tab/>
            </w:r>
            <w:r>
              <w:rPr>
                <w:rStyle w:val="IndexLink"/>
              </w:rPr>
              <w:t>361</w:t>
            </w:r>
          </w:hyperlink>
        </w:p>
        <w:p>
          <w:pPr>
            <w:pStyle w:val="Contents4"/>
            <w:tabs>
              <w:tab w:val="clear" w:pos="8176"/>
              <w:tab w:val="right" w:pos="9026" w:leader="dot"/>
            </w:tabs>
            <w:rPr/>
          </w:pPr>
          <w:hyperlink w:anchor="__RefHeading___Toc2175623_2314609296">
            <w:r>
              <w:rPr>
                <w:webHidden/>
                <w:rStyle w:val="IndexLink"/>
                <w:rtl w:val="true"/>
              </w:rPr>
              <w:t>[</w:t>
            </w:r>
            <w:r>
              <w:rPr>
                <w:rStyle w:val="IndexLink"/>
                <w:rtl w:val="true"/>
              </w:rPr>
              <w:t xml:space="preserve">عدة الحامل </w:t>
            </w:r>
            <w:r>
              <w:rPr>
                <w:rStyle w:val="IndexLink"/>
                <w:rtl w:val="true"/>
              </w:rPr>
              <w:t>]</w:t>
              <w:tab/>
            </w:r>
            <w:r>
              <w:rPr>
                <w:rStyle w:val="IndexLink"/>
              </w:rPr>
              <w:t>362</w:t>
            </w:r>
          </w:hyperlink>
        </w:p>
        <w:p>
          <w:pPr>
            <w:pStyle w:val="Contents4"/>
            <w:tabs>
              <w:tab w:val="clear" w:pos="8176"/>
              <w:tab w:val="right" w:pos="9026" w:leader="dot"/>
            </w:tabs>
            <w:rPr/>
          </w:pPr>
          <w:hyperlink w:anchor="__RefHeading___Toc2175625_2314609296">
            <w:r>
              <w:rPr>
                <w:webHidden/>
                <w:rStyle w:val="IndexLink"/>
                <w:rtl w:val="true"/>
              </w:rPr>
              <w:t>[</w:t>
            </w:r>
            <w:r>
              <w:rPr>
                <w:rStyle w:val="IndexLink"/>
                <w:rtl w:val="true"/>
              </w:rPr>
              <w:t>الحداد</w:t>
            </w:r>
            <w:r>
              <w:rPr>
                <w:rStyle w:val="IndexLink"/>
                <w:rtl w:val="true"/>
              </w:rPr>
              <w:t>]</w:t>
              <w:tab/>
            </w:r>
            <w:r>
              <w:rPr>
                <w:rStyle w:val="IndexLink"/>
              </w:rPr>
              <w:t>363</w:t>
            </w:r>
          </w:hyperlink>
        </w:p>
        <w:p>
          <w:pPr>
            <w:pStyle w:val="Contents4"/>
            <w:tabs>
              <w:tab w:val="clear" w:pos="8176"/>
              <w:tab w:val="right" w:pos="9026" w:leader="dot"/>
            </w:tabs>
            <w:rPr/>
          </w:pPr>
          <w:hyperlink w:anchor="__RefHeading___Toc2175627_2314609296">
            <w:r>
              <w:rPr>
                <w:webHidden/>
                <w:rStyle w:val="IndexLink"/>
                <w:rtl w:val="true"/>
              </w:rPr>
              <w:t>[</w:t>
            </w:r>
            <w:r>
              <w:rPr>
                <w:rStyle w:val="IndexLink"/>
                <w:rtl w:val="true"/>
              </w:rPr>
              <w:t>حکم لمفقود زوجها</w:t>
            </w:r>
            <w:r>
              <w:rPr>
                <w:rStyle w:val="IndexLink"/>
                <w:rtl w:val="true"/>
              </w:rPr>
              <w:t>]</w:t>
              <w:tab/>
            </w:r>
            <w:r>
              <w:rPr>
                <w:rStyle w:val="IndexLink"/>
              </w:rPr>
              <w:t>364</w:t>
            </w:r>
          </w:hyperlink>
        </w:p>
        <w:p>
          <w:pPr>
            <w:pStyle w:val="Contents4"/>
            <w:tabs>
              <w:tab w:val="clear" w:pos="8176"/>
              <w:tab w:val="right" w:pos="9026" w:leader="dot"/>
            </w:tabs>
            <w:rPr/>
          </w:pPr>
          <w:hyperlink w:anchor="__RefHeading___Toc2175629_2314609296">
            <w:r>
              <w:rPr>
                <w:webHidden/>
                <w:rStyle w:val="IndexLink"/>
                <w:rtl w:val="true"/>
              </w:rPr>
              <w:t>[</w:t>
            </w:r>
            <w:r>
              <w:rPr>
                <w:rStyle w:val="IndexLink"/>
                <w:rtl w:val="true"/>
              </w:rPr>
              <w:t xml:space="preserve">عدة الذمیة و ام الولد </w:t>
            </w:r>
            <w:r>
              <w:rPr>
                <w:rStyle w:val="IndexLink"/>
                <w:rtl w:val="true"/>
              </w:rPr>
              <w:t>]</w:t>
              <w:tab/>
            </w:r>
            <w:r>
              <w:rPr>
                <w:rStyle w:val="IndexLink"/>
              </w:rPr>
              <w:t>367</w:t>
            </w:r>
          </w:hyperlink>
        </w:p>
        <w:p>
          <w:pPr>
            <w:pStyle w:val="Contents3"/>
            <w:tabs>
              <w:tab w:val="clear" w:pos="8459"/>
              <w:tab w:val="right" w:pos="9026" w:leader="dot"/>
            </w:tabs>
            <w:rPr/>
          </w:pPr>
          <w:hyperlink w:anchor="__RefHeading___Toc2175631_2314609296">
            <w:r>
              <w:rPr>
                <w:webHidden/>
                <w:rStyle w:val="IndexLink"/>
                <w:rtl w:val="true"/>
              </w:rPr>
              <w:t>«</w:t>
            </w:r>
            <w:r>
              <w:rPr>
                <w:rStyle w:val="IndexLink"/>
                <w:rtl w:val="true"/>
              </w:rPr>
              <w:t>الفصل الرابع</w:t>
            </w:r>
            <w:r>
              <w:rPr>
                <w:rStyle w:val="IndexLink"/>
                <w:rtl w:val="true"/>
              </w:rPr>
              <w:t>»</w:t>
              <w:tab/>
            </w:r>
            <w:r>
              <w:rPr>
                <w:rStyle w:val="IndexLink"/>
              </w:rPr>
              <w:t>369</w:t>
            </w:r>
          </w:hyperlink>
        </w:p>
        <w:p>
          <w:pPr>
            <w:pStyle w:val="Contents2"/>
            <w:tabs>
              <w:tab w:val="clear" w:pos="8743"/>
              <w:tab w:val="right" w:pos="9026" w:leader="dot"/>
            </w:tabs>
            <w:rPr/>
          </w:pPr>
          <w:hyperlink w:anchor="__RefHeading___Toc2175633_2314609296">
            <w:r>
              <w:rPr>
                <w:webHidden/>
                <w:rStyle w:val="IndexLink"/>
                <w:rtl w:val="true"/>
              </w:rPr>
              <w:t>کتاب الخلع والمبارة</w:t>
            </w:r>
            <w:r>
              <w:rPr>
                <w:rStyle w:val="IndexLink"/>
                <w:rtl w:val="true"/>
              </w:rPr>
              <w:tab/>
            </w:r>
            <w:r>
              <w:rPr>
                <w:rStyle w:val="IndexLink"/>
              </w:rPr>
              <w:t>375</w:t>
            </w:r>
          </w:hyperlink>
        </w:p>
        <w:p>
          <w:pPr>
            <w:pStyle w:val="Contents3"/>
            <w:tabs>
              <w:tab w:val="clear" w:pos="8459"/>
              <w:tab w:val="right" w:pos="9026" w:leader="dot"/>
            </w:tabs>
            <w:rPr/>
          </w:pPr>
          <w:hyperlink w:anchor="__RefHeading___Toc2175635_2314609296">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2175637_2314609296">
            <w:r>
              <w:rPr>
                <w:webHidden/>
                <w:rStyle w:val="IndexLink"/>
                <w:rtl w:val="true"/>
              </w:rPr>
              <w:t>[</w:t>
            </w:r>
            <w:r>
              <w:rPr>
                <w:rStyle w:val="IndexLink"/>
                <w:rtl w:val="true"/>
              </w:rPr>
              <w:t xml:space="preserve">صیغة الخلع </w:t>
            </w:r>
            <w:r>
              <w:rPr>
                <w:rStyle w:val="IndexLink"/>
                <w:rtl w:val="true"/>
              </w:rPr>
              <w:t>]</w:t>
              <w:tab/>
            </w:r>
            <w:r>
              <w:rPr>
                <w:rStyle w:val="IndexLink"/>
              </w:rPr>
              <w:t>376</w:t>
            </w:r>
          </w:hyperlink>
        </w:p>
        <w:p>
          <w:pPr>
            <w:pStyle w:val="Contents3"/>
            <w:tabs>
              <w:tab w:val="clear" w:pos="8459"/>
              <w:tab w:val="right" w:pos="9026" w:leader="dot"/>
            </w:tabs>
            <w:rPr/>
          </w:pPr>
          <w:hyperlink w:anchor="__RefHeading___Toc2175639_2314609296">
            <w:r>
              <w:rPr>
                <w:webHidden/>
                <w:rStyle w:val="IndexLink"/>
                <w:rtl w:val="true"/>
              </w:rPr>
              <w:t>[</w:t>
            </w:r>
            <w:r>
              <w:rPr>
                <w:rStyle w:val="IndexLink"/>
                <w:rtl w:val="true"/>
              </w:rPr>
              <w:t>الفدیة و احکامها</w:t>
            </w:r>
            <w:r>
              <w:rPr>
                <w:rStyle w:val="IndexLink"/>
                <w:rtl w:val="true"/>
              </w:rPr>
              <w:t>]</w:t>
              <w:tab/>
            </w:r>
            <w:r>
              <w:rPr>
                <w:rStyle w:val="IndexLink"/>
              </w:rPr>
              <w:t>378</w:t>
            </w:r>
          </w:hyperlink>
        </w:p>
        <w:p>
          <w:pPr>
            <w:pStyle w:val="Contents3"/>
            <w:tabs>
              <w:tab w:val="clear" w:pos="8459"/>
              <w:tab w:val="right" w:pos="9026" w:leader="dot"/>
            </w:tabs>
            <w:rPr/>
          </w:pPr>
          <w:hyperlink w:anchor="__RefHeading___Toc2175641_2314609296">
            <w:r>
              <w:rPr>
                <w:webHidden/>
                <w:rStyle w:val="IndexLink"/>
                <w:rtl w:val="true"/>
              </w:rPr>
              <w:t>[</w:t>
            </w:r>
            <w:r>
              <w:rPr>
                <w:rStyle w:val="IndexLink"/>
                <w:rtl w:val="true"/>
              </w:rPr>
              <w:t>احکام الخلع</w:t>
            </w:r>
            <w:r>
              <w:rPr>
                <w:rStyle w:val="IndexLink"/>
                <w:rtl w:val="true"/>
              </w:rPr>
              <w:t>]</w:t>
              <w:tab/>
            </w:r>
            <w:r>
              <w:rPr>
                <w:rStyle w:val="IndexLink"/>
              </w:rPr>
              <w:t>382</w:t>
            </w:r>
          </w:hyperlink>
        </w:p>
        <w:p>
          <w:pPr>
            <w:pStyle w:val="Contents3"/>
            <w:tabs>
              <w:tab w:val="clear" w:pos="8459"/>
              <w:tab w:val="right" w:pos="9026" w:leader="dot"/>
            </w:tabs>
            <w:rPr/>
          </w:pPr>
          <w:hyperlink w:anchor="__RefHeading___Toc2175643_2314609296">
            <w:r>
              <w:rPr>
                <w:webHidden/>
                <w:rStyle w:val="IndexLink"/>
                <w:rtl w:val="true"/>
              </w:rPr>
              <w:t>[</w:t>
            </w:r>
            <w:r>
              <w:rPr>
                <w:rStyle w:val="IndexLink"/>
                <w:rtl w:val="true"/>
              </w:rPr>
              <w:t>فی التنازع</w:t>
            </w:r>
            <w:r>
              <w:rPr>
                <w:rStyle w:val="IndexLink"/>
                <w:rtl w:val="true"/>
              </w:rPr>
              <w:t>]</w:t>
              <w:tab/>
            </w:r>
            <w:r>
              <w:rPr>
                <w:rStyle w:val="IndexLink"/>
              </w:rPr>
              <w:t>385</w:t>
            </w:r>
          </w:hyperlink>
        </w:p>
        <w:p>
          <w:pPr>
            <w:pStyle w:val="Contents3"/>
            <w:tabs>
              <w:tab w:val="clear" w:pos="8459"/>
              <w:tab w:val="right" w:pos="9026" w:leader="dot"/>
            </w:tabs>
            <w:rPr/>
          </w:pPr>
          <w:hyperlink w:anchor="__RefHeading___Toc2175645_2314609296">
            <w:r>
              <w:rPr>
                <w:webHidden/>
                <w:rStyle w:val="IndexLink"/>
                <w:rtl w:val="true"/>
              </w:rPr>
              <w:t>«</w:t>
            </w:r>
            <w:r>
              <w:rPr>
                <w:rStyle w:val="IndexLink"/>
                <w:rtl w:val="true"/>
              </w:rPr>
              <w:t>والمباراة</w:t>
            </w:r>
            <w:r>
              <w:rPr>
                <w:rStyle w:val="IndexLink"/>
                <w:rtl w:val="true"/>
              </w:rPr>
              <w:t>»</w:t>
              <w:tab/>
            </w:r>
            <w:r>
              <w:rPr>
                <w:rStyle w:val="IndexLink"/>
              </w:rPr>
              <w:t>388</w:t>
            </w:r>
          </w:hyperlink>
        </w:p>
        <w:p>
          <w:pPr>
            <w:pStyle w:val="Contents2"/>
            <w:tabs>
              <w:tab w:val="clear" w:pos="8743"/>
              <w:tab w:val="right" w:pos="9026" w:leader="dot"/>
            </w:tabs>
            <w:rPr/>
          </w:pPr>
          <w:hyperlink w:anchor="__RefHeading___Toc2175647_2314609296">
            <w:r>
              <w:rPr>
                <w:webHidden/>
                <w:rStyle w:val="IndexLink"/>
                <w:rtl w:val="true"/>
              </w:rPr>
              <w:t>کتاب الظهار</w:t>
            </w:r>
            <w:r>
              <w:rPr>
                <w:rStyle w:val="IndexLink"/>
                <w:rtl w:val="true"/>
              </w:rPr>
              <w:tab/>
            </w:r>
            <w:r>
              <w:rPr>
                <w:rStyle w:val="IndexLink"/>
              </w:rPr>
              <w:t>390</w:t>
            </w:r>
          </w:hyperlink>
        </w:p>
        <w:p>
          <w:pPr>
            <w:pStyle w:val="Contents3"/>
            <w:tabs>
              <w:tab w:val="clear" w:pos="8459"/>
              <w:tab w:val="right" w:pos="9026" w:leader="dot"/>
            </w:tabs>
            <w:rPr/>
          </w:pPr>
          <w:hyperlink w:anchor="__RefHeading___Toc2175649_2314609296">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2175651_2314609296">
            <w:r>
              <w:rPr>
                <w:webHidden/>
                <w:rStyle w:val="IndexLink"/>
                <w:rtl w:val="true"/>
              </w:rPr>
              <w:t>[</w:t>
            </w:r>
            <w:r>
              <w:rPr>
                <w:rStyle w:val="IndexLink"/>
                <w:rtl w:val="true"/>
              </w:rPr>
              <w:t>صیغته</w:t>
            </w:r>
            <w:r>
              <w:rPr>
                <w:rStyle w:val="IndexLink"/>
                <w:rtl w:val="true"/>
              </w:rPr>
              <w:t>]</w:t>
              <w:tab/>
            </w:r>
            <w:r>
              <w:rPr>
                <w:rStyle w:val="IndexLink"/>
              </w:rPr>
              <w:t>391</w:t>
            </w:r>
          </w:hyperlink>
        </w:p>
        <w:p>
          <w:pPr>
            <w:pStyle w:val="Contents3"/>
            <w:tabs>
              <w:tab w:val="clear" w:pos="8459"/>
              <w:tab w:val="right" w:pos="9026" w:leader="dot"/>
            </w:tabs>
            <w:rPr/>
          </w:pPr>
          <w:hyperlink w:anchor="__RefHeading___Toc2175653_2314609296">
            <w:r>
              <w:rPr>
                <w:webHidden/>
                <w:rStyle w:val="IndexLink"/>
                <w:rtl w:val="true"/>
              </w:rPr>
              <w:t>[</w:t>
            </w:r>
            <w:r>
              <w:rPr>
                <w:rStyle w:val="IndexLink"/>
                <w:rtl w:val="true"/>
              </w:rPr>
              <w:t>شروطه و احکامه</w:t>
            </w:r>
            <w:r>
              <w:rPr>
                <w:rStyle w:val="IndexLink"/>
                <w:rtl w:val="true"/>
              </w:rPr>
              <w:t>]</w:t>
              <w:tab/>
            </w:r>
            <w:r>
              <w:rPr>
                <w:rStyle w:val="IndexLink"/>
              </w:rPr>
              <w:t>395</w:t>
            </w:r>
          </w:hyperlink>
        </w:p>
        <w:p>
          <w:pPr>
            <w:pStyle w:val="Contents2"/>
            <w:tabs>
              <w:tab w:val="clear" w:pos="8743"/>
              <w:tab w:val="right" w:pos="9026" w:leader="dot"/>
            </w:tabs>
            <w:rPr/>
          </w:pPr>
          <w:hyperlink w:anchor="__RefHeading___Toc2175655_2314609296">
            <w:r>
              <w:rPr>
                <w:webHidden/>
                <w:rStyle w:val="IndexLink"/>
                <w:rtl w:val="true"/>
              </w:rPr>
              <w:t>کتاب الإیلاء</w:t>
            </w:r>
            <w:r>
              <w:rPr>
                <w:rStyle w:val="IndexLink"/>
                <w:rtl w:val="true"/>
              </w:rPr>
              <w:tab/>
            </w:r>
            <w:r>
              <w:rPr>
                <w:rStyle w:val="IndexLink"/>
              </w:rPr>
              <w:t>405</w:t>
            </w:r>
          </w:hyperlink>
        </w:p>
        <w:p>
          <w:pPr>
            <w:pStyle w:val="Contents3"/>
            <w:tabs>
              <w:tab w:val="clear" w:pos="8459"/>
              <w:tab w:val="right" w:pos="9026" w:leader="dot"/>
            </w:tabs>
            <w:rPr/>
          </w:pPr>
          <w:hyperlink w:anchor="__RefHeading___Toc2175657_2314609296">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2175659_2314609296">
            <w:r>
              <w:rPr>
                <w:webHidden/>
                <w:rStyle w:val="IndexLink"/>
                <w:rtl w:val="true"/>
              </w:rPr>
              <w:t>[</w:t>
            </w:r>
            <w:r>
              <w:rPr>
                <w:rStyle w:val="IndexLink"/>
                <w:rtl w:val="true"/>
              </w:rPr>
              <w:t>تعریفه و صیغتة</w:t>
            </w:r>
            <w:r>
              <w:rPr>
                <w:rStyle w:val="IndexLink"/>
                <w:rtl w:val="true"/>
              </w:rPr>
              <w:t>]</w:t>
              <w:tab/>
            </w:r>
            <w:r>
              <w:rPr>
                <w:rStyle w:val="IndexLink"/>
              </w:rPr>
              <w:t>406</w:t>
            </w:r>
          </w:hyperlink>
        </w:p>
        <w:p>
          <w:pPr>
            <w:pStyle w:val="Contents3"/>
            <w:tabs>
              <w:tab w:val="clear" w:pos="8459"/>
              <w:tab w:val="right" w:pos="9026" w:leader="dot"/>
            </w:tabs>
            <w:rPr/>
          </w:pPr>
          <w:hyperlink w:anchor="__RefHeading___Toc2175661_2314609296">
            <w:r>
              <w:rPr>
                <w:webHidden/>
                <w:rStyle w:val="IndexLink"/>
                <w:rtl w:val="true"/>
              </w:rPr>
              <w:t>[</w:t>
            </w:r>
            <w:r>
              <w:rPr>
                <w:rStyle w:val="IndexLink"/>
                <w:rtl w:val="true"/>
              </w:rPr>
              <w:t xml:space="preserve">شروط المولی </w:t>
            </w:r>
            <w:r>
              <w:rPr>
                <w:rStyle w:val="IndexLink"/>
                <w:rtl w:val="true"/>
              </w:rPr>
              <w:t>]</w:t>
              <w:tab/>
            </w:r>
            <w:r>
              <w:rPr>
                <w:rStyle w:val="IndexLink"/>
              </w:rPr>
              <w:t>411</w:t>
            </w:r>
          </w:hyperlink>
        </w:p>
        <w:p>
          <w:pPr>
            <w:pStyle w:val="Contents3"/>
            <w:tabs>
              <w:tab w:val="clear" w:pos="8459"/>
              <w:tab w:val="right" w:pos="9026" w:leader="dot"/>
            </w:tabs>
            <w:rPr/>
          </w:pPr>
          <w:hyperlink w:anchor="__RefHeading___Toc2175663_2314609296">
            <w:r>
              <w:rPr>
                <w:webHidden/>
                <w:rStyle w:val="IndexLink"/>
                <w:rtl w:val="true"/>
              </w:rPr>
              <w:t>[</w:t>
            </w:r>
            <w:r>
              <w:rPr>
                <w:rStyle w:val="IndexLink"/>
                <w:rtl w:val="true"/>
              </w:rPr>
              <w:t>احکام الایلاء</w:t>
            </w:r>
            <w:r>
              <w:rPr>
                <w:rStyle w:val="IndexLink"/>
                <w:rtl w:val="true"/>
              </w:rPr>
              <w:t>]</w:t>
              <w:tab/>
            </w:r>
            <w:r>
              <w:rPr>
                <w:rStyle w:val="IndexLink"/>
              </w:rPr>
              <w:t>412</w:t>
            </w:r>
          </w:hyperlink>
        </w:p>
        <w:p>
          <w:pPr>
            <w:pStyle w:val="Contents2"/>
            <w:tabs>
              <w:tab w:val="clear" w:pos="8743"/>
              <w:tab w:val="right" w:pos="9026" w:leader="dot"/>
            </w:tabs>
            <w:rPr/>
          </w:pPr>
          <w:hyperlink w:anchor="__RefHeading___Toc2175665_2314609296">
            <w:r>
              <w:rPr>
                <w:webHidden/>
                <w:rStyle w:val="IndexLink"/>
                <w:rtl w:val="true"/>
              </w:rPr>
              <w:t>کتاب اللعان</w:t>
            </w:r>
            <w:r>
              <w:rPr>
                <w:rStyle w:val="IndexLink"/>
                <w:rtl w:val="true"/>
              </w:rPr>
              <w:tab/>
            </w:r>
            <w:r>
              <w:rPr>
                <w:rStyle w:val="IndexLink"/>
              </w:rPr>
              <w:t>420</w:t>
            </w:r>
          </w:hyperlink>
        </w:p>
        <w:p>
          <w:pPr>
            <w:pStyle w:val="Contents3"/>
            <w:tabs>
              <w:tab w:val="clear" w:pos="8459"/>
              <w:tab w:val="right" w:pos="9026" w:leader="dot"/>
            </w:tabs>
            <w:rPr/>
          </w:pPr>
          <w:hyperlink w:anchor="__RefHeading___Toc2175667_2314609296">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2175669_2314609296">
            <w:r>
              <w:rPr>
                <w:webHidden/>
                <w:rStyle w:val="IndexLink"/>
                <w:rtl w:val="true"/>
              </w:rPr>
              <w:t>«</w:t>
            </w:r>
            <w:r>
              <w:rPr>
                <w:rStyle w:val="IndexLink"/>
                <w:rtl w:val="true"/>
              </w:rPr>
              <w:t>سببان</w:t>
            </w:r>
            <w:r>
              <w:rPr>
                <w:rStyle w:val="IndexLink"/>
                <w:rtl w:val="true"/>
              </w:rPr>
              <w:t>»</w:t>
              <w:tab/>
            </w:r>
            <w:r>
              <w:rPr>
                <w:rStyle w:val="IndexLink"/>
              </w:rPr>
              <w:t>421</w:t>
            </w:r>
          </w:hyperlink>
        </w:p>
        <w:p>
          <w:pPr>
            <w:pStyle w:val="Contents4"/>
            <w:tabs>
              <w:tab w:val="clear" w:pos="8176"/>
              <w:tab w:val="right" w:pos="9026" w:leader="dot"/>
            </w:tabs>
            <w:rPr/>
          </w:pPr>
          <w:hyperlink w:anchor="__RefHeading___Toc2175671_2314609296">
            <w:r>
              <w:rPr>
                <w:webHidden/>
                <w:rStyle w:val="IndexLink"/>
                <w:rtl w:val="true"/>
              </w:rPr>
              <w:t>[</w:t>
            </w:r>
            <w:r>
              <w:rPr>
                <w:rStyle w:val="IndexLink"/>
              </w:rPr>
              <w:t>1</w:t>
            </w:r>
            <w:r>
              <w:rPr>
                <w:rStyle w:val="IndexLink"/>
                <w:rtl w:val="true"/>
              </w:rPr>
              <w:t xml:space="preserve">- </w:t>
            </w:r>
            <w:r>
              <w:rPr>
                <w:rStyle w:val="IndexLink"/>
                <w:rtl w:val="true"/>
              </w:rPr>
              <w:t xml:space="preserve">القذف </w:t>
            </w:r>
            <w:r>
              <w:rPr>
                <w:rStyle w:val="IndexLink"/>
                <w:rtl w:val="true"/>
              </w:rPr>
              <w:t>]</w:t>
              <w:tab/>
            </w:r>
            <w:r>
              <w:rPr>
                <w:rStyle w:val="IndexLink"/>
              </w:rPr>
              <w:t>421</w:t>
            </w:r>
          </w:hyperlink>
        </w:p>
        <w:p>
          <w:pPr>
            <w:pStyle w:val="Contents4"/>
            <w:tabs>
              <w:tab w:val="clear" w:pos="8176"/>
              <w:tab w:val="right" w:pos="9026" w:leader="dot"/>
            </w:tabs>
            <w:rPr/>
          </w:pPr>
          <w:hyperlink w:anchor="__RefHeading___Toc2175673_2314609296">
            <w:r>
              <w:rPr>
                <w:webHidden/>
                <w:rStyle w:val="IndexLink"/>
                <w:rtl w:val="true"/>
              </w:rPr>
              <w:t>[</w:t>
            </w:r>
            <w:r>
              <w:rPr>
                <w:rStyle w:val="IndexLink"/>
              </w:rPr>
              <w:t>2</w:t>
            </w:r>
            <w:r>
              <w:rPr>
                <w:rStyle w:val="IndexLink"/>
                <w:rtl w:val="true"/>
              </w:rPr>
              <w:t>-</w:t>
            </w:r>
            <w:r>
              <w:rPr>
                <w:rStyle w:val="IndexLink"/>
                <w:rtl w:val="true"/>
              </w:rPr>
              <w:t xml:space="preserve">انکار الولد </w:t>
            </w:r>
            <w:r>
              <w:rPr>
                <w:rStyle w:val="IndexLink"/>
                <w:rtl w:val="true"/>
              </w:rPr>
              <w:t>]</w:t>
              <w:tab/>
            </w:r>
            <w:r>
              <w:rPr>
                <w:rStyle w:val="IndexLink"/>
              </w:rPr>
              <w:t>423</w:t>
            </w:r>
          </w:hyperlink>
        </w:p>
        <w:p>
          <w:pPr>
            <w:pStyle w:val="Contents3"/>
            <w:tabs>
              <w:tab w:val="clear" w:pos="8459"/>
              <w:tab w:val="right" w:pos="9026" w:leader="dot"/>
            </w:tabs>
            <w:rPr/>
          </w:pPr>
          <w:hyperlink w:anchor="__RefHeading___Toc2175675_2314609296">
            <w:r>
              <w:rPr>
                <w:webHidden/>
                <w:rStyle w:val="IndexLink"/>
                <w:rtl w:val="true"/>
              </w:rPr>
              <w:t>[</w:t>
            </w:r>
            <w:r>
              <w:rPr>
                <w:rStyle w:val="IndexLink"/>
                <w:rtl w:val="true"/>
              </w:rPr>
              <w:t xml:space="preserve">شروط الملاعن </w:t>
            </w:r>
            <w:r>
              <w:rPr>
                <w:rStyle w:val="IndexLink"/>
                <w:rtl w:val="true"/>
              </w:rPr>
              <w:t>]</w:t>
              <w:tab/>
            </w:r>
            <w:r>
              <w:rPr>
                <w:rStyle w:val="IndexLink"/>
              </w:rPr>
              <w:t>425</w:t>
            </w:r>
          </w:hyperlink>
        </w:p>
        <w:p>
          <w:pPr>
            <w:pStyle w:val="Contents3"/>
            <w:tabs>
              <w:tab w:val="clear" w:pos="8459"/>
              <w:tab w:val="right" w:pos="9026" w:leader="dot"/>
            </w:tabs>
            <w:rPr/>
          </w:pPr>
          <w:hyperlink w:anchor="__RefHeading___Toc2175677_2314609296">
            <w:r>
              <w:rPr>
                <w:webHidden/>
                <w:rStyle w:val="IndexLink"/>
                <w:rtl w:val="true"/>
              </w:rPr>
              <w:t>[</w:t>
            </w:r>
            <w:r>
              <w:rPr>
                <w:rStyle w:val="IndexLink"/>
                <w:rtl w:val="true"/>
              </w:rPr>
              <w:t>ما یعتبر فی الملاعنة</w:t>
            </w:r>
            <w:r>
              <w:rPr>
                <w:rStyle w:val="IndexLink"/>
                <w:rtl w:val="true"/>
              </w:rPr>
              <w:t>]</w:t>
              <w:tab/>
            </w:r>
            <w:r>
              <w:rPr>
                <w:rStyle w:val="IndexLink"/>
              </w:rPr>
              <w:t>427</w:t>
            </w:r>
          </w:hyperlink>
        </w:p>
        <w:p>
          <w:pPr>
            <w:pStyle w:val="Contents3"/>
            <w:tabs>
              <w:tab w:val="clear" w:pos="8459"/>
              <w:tab w:val="right" w:pos="9026" w:leader="dot"/>
            </w:tabs>
            <w:rPr/>
          </w:pPr>
          <w:hyperlink w:anchor="__RefHeading___Toc2175679_2314609296">
            <w:r>
              <w:rPr>
                <w:webHidden/>
                <w:rStyle w:val="IndexLink"/>
                <w:rtl w:val="true"/>
              </w:rPr>
              <w:t>«</w:t>
            </w:r>
            <w:r>
              <w:rPr>
                <w:rStyle w:val="IndexLink"/>
                <w:rtl w:val="true"/>
              </w:rPr>
              <w:t>القول فی کیفیّة اللعان وأحکامه</w:t>
            </w:r>
            <w:r>
              <w:rPr>
                <w:rStyle w:val="IndexLink"/>
                <w:rtl w:val="true"/>
              </w:rPr>
              <w:t>»</w:t>
              <w:tab/>
            </w:r>
            <w:r>
              <w:rPr>
                <w:rStyle w:val="IndexLink"/>
              </w:rPr>
              <w:t>432</w:t>
            </w:r>
          </w:hyperlink>
        </w:p>
        <w:p>
          <w:pPr>
            <w:pStyle w:val="Contents2"/>
            <w:tabs>
              <w:tab w:val="clear" w:pos="8743"/>
              <w:tab w:val="right" w:pos="9026" w:leader="dot"/>
            </w:tabs>
            <w:rPr/>
          </w:pPr>
          <w:hyperlink w:anchor="__RefHeading___Toc2175681_2314609296">
            <w:r>
              <w:rPr>
                <w:webHidden/>
                <w:rStyle w:val="IndexLink"/>
                <w:rtl w:val="true"/>
              </w:rPr>
              <w:t>کتاب العتق</w:t>
            </w:r>
            <w:r>
              <w:rPr>
                <w:rStyle w:val="IndexLink"/>
                <w:rtl w:val="true"/>
              </w:rPr>
              <w:tab/>
            </w:r>
            <w:r>
              <w:rPr>
                <w:rStyle w:val="IndexLink"/>
              </w:rPr>
              <w:t>443</w:t>
            </w:r>
          </w:hyperlink>
        </w:p>
        <w:p>
          <w:pPr>
            <w:pStyle w:val="Contents3"/>
            <w:tabs>
              <w:tab w:val="clear" w:pos="8459"/>
              <w:tab w:val="right" w:pos="9026" w:leader="dot"/>
            </w:tabs>
            <w:rPr/>
          </w:pPr>
          <w:hyperlink w:anchor="__RefHeading___Toc2175683_2314609296">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2175685_2314609296">
            <w:r>
              <w:rPr>
                <w:webHidden/>
                <w:rStyle w:val="IndexLink"/>
                <w:rtl w:val="true"/>
              </w:rPr>
              <w:t>[</w:t>
            </w:r>
            <w:r>
              <w:rPr>
                <w:rStyle w:val="IndexLink"/>
                <w:rtl w:val="true"/>
              </w:rPr>
              <w:t>صیغته</w:t>
            </w:r>
            <w:r>
              <w:rPr>
                <w:rStyle w:val="IndexLink"/>
                <w:rtl w:val="true"/>
              </w:rPr>
              <w:t>]</w:t>
              <w:tab/>
            </w:r>
            <w:r>
              <w:rPr>
                <w:rStyle w:val="IndexLink"/>
              </w:rPr>
              <w:t>445</w:t>
            </w:r>
          </w:hyperlink>
        </w:p>
        <w:p>
          <w:pPr>
            <w:pStyle w:val="Contents3"/>
            <w:tabs>
              <w:tab w:val="clear" w:pos="8459"/>
              <w:tab w:val="right" w:pos="9026" w:leader="dot"/>
            </w:tabs>
            <w:rPr/>
          </w:pPr>
          <w:hyperlink w:anchor="__RefHeading___Toc2175687_2314609296">
            <w:r>
              <w:rPr>
                <w:webHidden/>
                <w:rStyle w:val="IndexLink"/>
                <w:rtl w:val="true"/>
              </w:rPr>
              <w:t>[</w:t>
            </w:r>
            <w:r>
              <w:rPr>
                <w:rStyle w:val="IndexLink"/>
                <w:rtl w:val="true"/>
              </w:rPr>
              <w:t xml:space="preserve">شروط المولی </w:t>
            </w:r>
            <w:r>
              <w:rPr>
                <w:rStyle w:val="IndexLink"/>
                <w:rtl w:val="true"/>
              </w:rPr>
              <w:t>]</w:t>
              <w:tab/>
            </w:r>
            <w:r>
              <w:rPr>
                <w:rStyle w:val="IndexLink"/>
              </w:rPr>
              <w:t>448</w:t>
            </w:r>
          </w:hyperlink>
        </w:p>
        <w:p>
          <w:pPr>
            <w:pStyle w:val="Contents3"/>
            <w:tabs>
              <w:tab w:val="clear" w:pos="8459"/>
              <w:tab w:val="right" w:pos="9026" w:leader="dot"/>
            </w:tabs>
            <w:rPr/>
          </w:pPr>
          <w:hyperlink w:anchor="__RefHeading___Toc2175689_2314609296">
            <w:r>
              <w:rPr>
                <w:webHidden/>
                <w:rStyle w:val="IndexLink"/>
                <w:rtl w:val="true"/>
              </w:rPr>
              <w:t>[</w:t>
            </w:r>
            <w:r>
              <w:rPr>
                <w:rStyle w:val="IndexLink"/>
                <w:rtl w:val="true"/>
              </w:rPr>
              <w:t xml:space="preserve">احکام العتق </w:t>
            </w:r>
            <w:r>
              <w:rPr>
                <w:rStyle w:val="IndexLink"/>
                <w:rtl w:val="true"/>
              </w:rPr>
              <w:t>]</w:t>
              <w:tab/>
            </w:r>
            <w:r>
              <w:rPr>
                <w:rStyle w:val="IndexLink"/>
              </w:rPr>
              <w:t>451</w:t>
            </w:r>
          </w:hyperlink>
        </w:p>
        <w:p>
          <w:pPr>
            <w:pStyle w:val="Contents3"/>
            <w:tabs>
              <w:tab w:val="clear" w:pos="8459"/>
              <w:tab w:val="right" w:pos="9026" w:leader="dot"/>
            </w:tabs>
            <w:rPr/>
          </w:pPr>
          <w:hyperlink w:anchor="__RefHeading___Toc2175691_2314609296">
            <w:r>
              <w:rPr>
                <w:webHidden/>
                <w:rStyle w:val="IndexLink"/>
                <w:rtl w:val="true"/>
              </w:rPr>
              <w:t>[</w:t>
            </w:r>
            <w:r>
              <w:rPr>
                <w:rStyle w:val="IndexLink"/>
                <w:rtl w:val="true"/>
              </w:rPr>
              <w:t>السرایة</w:t>
            </w:r>
            <w:r>
              <w:rPr>
                <w:rStyle w:val="IndexLink"/>
                <w:rtl w:val="true"/>
              </w:rPr>
              <w:t>]</w:t>
              <w:tab/>
            </w:r>
            <w:r>
              <w:rPr>
                <w:rStyle w:val="IndexLink"/>
              </w:rPr>
              <w:t>455</w:t>
            </w:r>
          </w:hyperlink>
        </w:p>
        <w:p>
          <w:pPr>
            <w:pStyle w:val="Contents3"/>
            <w:tabs>
              <w:tab w:val="clear" w:pos="8459"/>
              <w:tab w:val="right" w:pos="9026" w:leader="dot"/>
            </w:tabs>
            <w:rPr/>
          </w:pPr>
          <w:hyperlink w:anchor="__RefHeading___Toc2175693_2314609296">
            <w:r>
              <w:rPr>
                <w:webHidden/>
                <w:rStyle w:val="IndexLink"/>
                <w:rtl w:val="true"/>
              </w:rPr>
              <w:t>[</w:t>
            </w:r>
            <w:r>
              <w:rPr>
                <w:rStyle w:val="IndexLink"/>
                <w:rtl w:val="true"/>
              </w:rPr>
              <w:t xml:space="preserve">ما یحصل به العتق </w:t>
            </w:r>
            <w:r>
              <w:rPr>
                <w:rStyle w:val="IndexLink"/>
                <w:rtl w:val="true"/>
              </w:rPr>
              <w:t>]</w:t>
              <w:tab/>
            </w:r>
            <w:r>
              <w:rPr>
                <w:rStyle w:val="IndexLink"/>
              </w:rPr>
              <w:t>460</w:t>
            </w:r>
          </w:hyperlink>
        </w:p>
        <w:p>
          <w:pPr>
            <w:pStyle w:val="Contents3"/>
            <w:tabs>
              <w:tab w:val="clear" w:pos="8459"/>
              <w:tab w:val="right" w:pos="9026" w:leader="dot"/>
            </w:tabs>
            <w:rPr/>
          </w:pPr>
          <w:hyperlink w:anchor="__RefHeading___Toc2175695_2314609296">
            <w:r>
              <w:rPr>
                <w:webHidden/>
                <w:rStyle w:val="IndexLink"/>
                <w:rtl w:val="true"/>
              </w:rPr>
              <w:t>[ «</w:t>
            </w:r>
            <w:r>
              <w:rPr>
                <w:rStyle w:val="IndexLink"/>
                <w:rtl w:val="true"/>
              </w:rPr>
              <w:t>ویلحق بذلک مسائل</w:t>
            </w:r>
            <w:r>
              <w:rPr>
                <w:rStyle w:val="IndexLink"/>
                <w:rtl w:val="true"/>
              </w:rPr>
              <w:t>» :]</w:t>
              <w:tab/>
            </w:r>
            <w:r>
              <w:rPr>
                <w:rStyle w:val="IndexLink"/>
              </w:rPr>
              <w:t>462</w:t>
            </w:r>
          </w:hyperlink>
        </w:p>
        <w:p>
          <w:pPr>
            <w:pStyle w:val="Contents2"/>
            <w:tabs>
              <w:tab w:val="clear" w:pos="8743"/>
              <w:tab w:val="right" w:pos="9026" w:leader="dot"/>
            </w:tabs>
            <w:rPr/>
          </w:pPr>
          <w:hyperlink w:anchor="__RefHeading___Toc2175697_2314609296">
            <w:r>
              <w:rPr>
                <w:webHidden/>
                <w:rStyle w:val="IndexLink"/>
                <w:rtl w:val="true"/>
              </w:rPr>
              <w:t>«</w:t>
            </w:r>
            <w:r>
              <w:rPr>
                <w:rStyle w:val="IndexLink"/>
                <w:rtl w:val="true"/>
              </w:rPr>
              <w:t>کتاب التدبیر والمکاتبة والاستیلاد</w:t>
            </w:r>
            <w:r>
              <w:rPr>
                <w:rStyle w:val="IndexLink"/>
                <w:rtl w:val="true"/>
              </w:rPr>
              <w:t>»</w:t>
              <w:tab/>
            </w:r>
            <w:r>
              <w:rPr>
                <w:rStyle w:val="IndexLink"/>
              </w:rPr>
              <w:t>474</w:t>
            </w:r>
          </w:hyperlink>
        </w:p>
        <w:p>
          <w:pPr>
            <w:pStyle w:val="Contents3"/>
            <w:tabs>
              <w:tab w:val="clear" w:pos="8459"/>
              <w:tab w:val="right" w:pos="9026" w:leader="dot"/>
            </w:tabs>
            <w:rPr/>
          </w:pPr>
          <w:hyperlink w:anchor="__RefHeading___Toc2175699_2314609296">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2175701_2314609296">
            <w:r>
              <w:rPr>
                <w:webHidden/>
                <w:rStyle w:val="IndexLink"/>
                <w:rtl w:val="true"/>
              </w:rPr>
              <w:t>«</w:t>
            </w:r>
            <w:r>
              <w:rPr>
                <w:rStyle w:val="IndexLink"/>
                <w:rtl w:val="true"/>
              </w:rPr>
              <w:t>الأوّل</w:t>
            </w:r>
            <w:r>
              <w:rPr>
                <w:rStyle w:val="IndexLink"/>
                <w:rtl w:val="true"/>
              </w:rPr>
              <w:t xml:space="preserve">: </w:t>
            </w:r>
            <w:r>
              <w:rPr>
                <w:rStyle w:val="IndexLink"/>
                <w:rtl w:val="true"/>
              </w:rPr>
              <w:t>التدبیر</w:t>
            </w:r>
            <w:r>
              <w:rPr>
                <w:rStyle w:val="IndexLink"/>
                <w:rtl w:val="true"/>
              </w:rPr>
              <w:t>»</w:t>
              <w:tab/>
            </w:r>
            <w:r>
              <w:rPr>
                <w:rStyle w:val="IndexLink"/>
              </w:rPr>
              <w:t>474</w:t>
            </w:r>
          </w:hyperlink>
        </w:p>
        <w:p>
          <w:pPr>
            <w:pStyle w:val="Contents4"/>
            <w:tabs>
              <w:tab w:val="clear" w:pos="8176"/>
              <w:tab w:val="right" w:pos="9026" w:leader="dot"/>
            </w:tabs>
            <w:rPr/>
          </w:pPr>
          <w:hyperlink w:anchor="__RefHeading___Toc2175703_2314609296">
            <w:r>
              <w:rPr>
                <w:webHidden/>
                <w:rStyle w:val="IndexLink"/>
                <w:rtl w:val="true"/>
              </w:rPr>
              <w:t>[</w:t>
            </w:r>
            <w:r>
              <w:rPr>
                <w:rStyle w:val="IndexLink"/>
                <w:rtl w:val="true"/>
              </w:rPr>
              <w:t>تعریفه</w:t>
            </w:r>
            <w:r>
              <w:rPr>
                <w:rStyle w:val="IndexLink"/>
                <w:rtl w:val="true"/>
              </w:rPr>
              <w:t>]</w:t>
              <w:tab/>
            </w:r>
            <w:r>
              <w:rPr>
                <w:rStyle w:val="IndexLink"/>
              </w:rPr>
              <w:t>474</w:t>
            </w:r>
          </w:hyperlink>
        </w:p>
        <w:p>
          <w:pPr>
            <w:pStyle w:val="Contents4"/>
            <w:tabs>
              <w:tab w:val="clear" w:pos="8176"/>
              <w:tab w:val="right" w:pos="9026" w:leader="dot"/>
            </w:tabs>
            <w:rPr/>
          </w:pPr>
          <w:hyperlink w:anchor="__RefHeading___Toc2175705_2314609296">
            <w:r>
              <w:rPr>
                <w:webHidden/>
                <w:rStyle w:val="IndexLink"/>
                <w:rtl w:val="true"/>
              </w:rPr>
              <w:t>[</w:t>
            </w:r>
            <w:r>
              <w:rPr>
                <w:rStyle w:val="IndexLink"/>
                <w:rtl w:val="true"/>
              </w:rPr>
              <w:t>الصیغة</w:t>
            </w:r>
            <w:r>
              <w:rPr>
                <w:rStyle w:val="IndexLink"/>
                <w:rtl w:val="true"/>
              </w:rPr>
              <w:t>]</w:t>
              <w:tab/>
            </w:r>
            <w:r>
              <w:rPr>
                <w:rStyle w:val="IndexLink"/>
              </w:rPr>
              <w:t>476</w:t>
            </w:r>
          </w:hyperlink>
        </w:p>
        <w:p>
          <w:pPr>
            <w:pStyle w:val="Contents4"/>
            <w:tabs>
              <w:tab w:val="clear" w:pos="8176"/>
              <w:tab w:val="right" w:pos="9026" w:leader="dot"/>
            </w:tabs>
            <w:rPr/>
          </w:pPr>
          <w:hyperlink w:anchor="__RefHeading___Toc2175707_2314609296">
            <w:r>
              <w:rPr>
                <w:webHidden/>
                <w:rStyle w:val="IndexLink"/>
                <w:rtl w:val="true"/>
              </w:rPr>
              <w:t>[</w:t>
            </w:r>
            <w:r>
              <w:rPr>
                <w:rStyle w:val="IndexLink"/>
                <w:rtl w:val="true"/>
              </w:rPr>
              <w:t xml:space="preserve">شروط المدبر </w:t>
            </w:r>
            <w:r>
              <w:rPr>
                <w:rStyle w:val="IndexLink"/>
                <w:rtl w:val="true"/>
              </w:rPr>
              <w:t>]</w:t>
              <w:tab/>
            </w:r>
            <w:r>
              <w:rPr>
                <w:rStyle w:val="IndexLink"/>
              </w:rPr>
              <w:t>477</w:t>
            </w:r>
          </w:hyperlink>
        </w:p>
        <w:p>
          <w:pPr>
            <w:pStyle w:val="Contents3"/>
            <w:tabs>
              <w:tab w:val="clear" w:pos="8459"/>
              <w:tab w:val="right" w:pos="9026" w:leader="dot"/>
            </w:tabs>
            <w:rPr/>
          </w:pPr>
          <w:hyperlink w:anchor="__RefHeading___Toc2175709_2314609296">
            <w:r>
              <w:rPr>
                <w:webHidden/>
                <w:rStyle w:val="IndexLink"/>
                <w:rtl w:val="true"/>
              </w:rPr>
              <w:t>«</w:t>
            </w:r>
            <w:r>
              <w:rPr>
                <w:rStyle w:val="IndexLink"/>
                <w:rtl w:val="true"/>
              </w:rPr>
              <w:t>النظر الثانی فی الکتابة</w:t>
            </w:r>
            <w:r>
              <w:rPr>
                <w:rStyle w:val="IndexLink"/>
                <w:rtl w:val="true"/>
              </w:rPr>
              <w:t>»</w:t>
              <w:tab/>
            </w:r>
            <w:r>
              <w:rPr>
                <w:rStyle w:val="IndexLink"/>
              </w:rPr>
              <w:t>486</w:t>
            </w:r>
          </w:hyperlink>
        </w:p>
        <w:p>
          <w:pPr>
            <w:pStyle w:val="Contents4"/>
            <w:tabs>
              <w:tab w:val="clear" w:pos="8176"/>
              <w:tab w:val="right" w:pos="9026" w:leader="dot"/>
            </w:tabs>
            <w:rPr/>
          </w:pPr>
          <w:hyperlink w:anchor="__RefHeading___Toc2175711_2314609296">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2175713_2314609296">
            <w:r>
              <w:rPr>
                <w:webHidden/>
                <w:rStyle w:val="IndexLink"/>
                <w:rtl w:val="true"/>
              </w:rPr>
              <w:t>[</w:t>
            </w:r>
            <w:r>
              <w:rPr>
                <w:rStyle w:val="IndexLink"/>
                <w:rtl w:val="true"/>
              </w:rPr>
              <w:t>استحبابها</w:t>
            </w:r>
            <w:r>
              <w:rPr>
                <w:rStyle w:val="IndexLink"/>
                <w:rtl w:val="true"/>
              </w:rPr>
              <w:t>]</w:t>
              <w:tab/>
            </w:r>
            <w:r>
              <w:rPr>
                <w:rStyle w:val="IndexLink"/>
              </w:rPr>
              <w:t>486</w:t>
            </w:r>
          </w:hyperlink>
        </w:p>
        <w:p>
          <w:pPr>
            <w:pStyle w:val="Contents4"/>
            <w:tabs>
              <w:tab w:val="clear" w:pos="8176"/>
              <w:tab w:val="right" w:pos="9026" w:leader="dot"/>
            </w:tabs>
            <w:rPr/>
          </w:pPr>
          <w:hyperlink w:anchor="__RefHeading___Toc2175715_2314609296">
            <w:r>
              <w:rPr>
                <w:webHidden/>
                <w:rStyle w:val="IndexLink"/>
                <w:rtl w:val="true"/>
              </w:rPr>
              <w:t>[</w:t>
            </w:r>
            <w:r>
              <w:rPr>
                <w:rStyle w:val="IndexLink"/>
                <w:rtl w:val="true"/>
              </w:rPr>
              <w:t xml:space="preserve">شروط المتعاقدین </w:t>
            </w:r>
            <w:r>
              <w:rPr>
                <w:rStyle w:val="IndexLink"/>
                <w:rtl w:val="true"/>
              </w:rPr>
              <w:t>]</w:t>
              <w:tab/>
            </w:r>
            <w:r>
              <w:rPr>
                <w:rStyle w:val="IndexLink"/>
              </w:rPr>
              <w:t>488</w:t>
            </w:r>
          </w:hyperlink>
        </w:p>
        <w:p>
          <w:pPr>
            <w:pStyle w:val="Contents4"/>
            <w:tabs>
              <w:tab w:val="clear" w:pos="8176"/>
              <w:tab w:val="right" w:pos="9026" w:leader="dot"/>
            </w:tabs>
            <w:rPr/>
          </w:pPr>
          <w:hyperlink w:anchor="__RefHeading___Toc2175717_2314609296">
            <w:r>
              <w:rPr>
                <w:webHidden/>
                <w:rStyle w:val="IndexLink"/>
                <w:rtl w:val="true"/>
              </w:rPr>
              <w:t>[</w:t>
            </w:r>
            <w:r>
              <w:rPr>
                <w:rStyle w:val="IndexLink"/>
                <w:rtl w:val="true"/>
              </w:rPr>
              <w:t xml:space="preserve">الایجاب و القبول </w:t>
            </w:r>
            <w:r>
              <w:rPr>
                <w:rStyle w:val="IndexLink"/>
                <w:rtl w:val="true"/>
              </w:rPr>
              <w:t>]</w:t>
              <w:tab/>
            </w:r>
            <w:r>
              <w:rPr>
                <w:rStyle w:val="IndexLink"/>
              </w:rPr>
              <w:t>488</w:t>
            </w:r>
          </w:hyperlink>
        </w:p>
        <w:p>
          <w:pPr>
            <w:pStyle w:val="Contents4"/>
            <w:tabs>
              <w:tab w:val="clear" w:pos="8176"/>
              <w:tab w:val="right" w:pos="9026" w:leader="dot"/>
            </w:tabs>
            <w:rPr/>
          </w:pPr>
          <w:hyperlink w:anchor="__RefHeading___Toc2175719_2314609296">
            <w:r>
              <w:rPr>
                <w:webHidden/>
                <w:rStyle w:val="IndexLink"/>
                <w:rtl w:val="true"/>
              </w:rPr>
              <w:t>[</w:t>
            </w:r>
            <w:r>
              <w:rPr>
                <w:rStyle w:val="IndexLink"/>
                <w:rtl w:val="true"/>
              </w:rPr>
              <w:t>احکام المکاتبه</w:t>
            </w:r>
            <w:r>
              <w:rPr>
                <w:rStyle w:val="IndexLink"/>
                <w:rtl w:val="true"/>
              </w:rPr>
              <w:t>]</w:t>
              <w:tab/>
            </w:r>
            <w:r>
              <w:rPr>
                <w:rStyle w:val="IndexLink"/>
              </w:rPr>
              <w:t>490</w:t>
            </w:r>
          </w:hyperlink>
        </w:p>
        <w:p>
          <w:pPr>
            <w:pStyle w:val="Contents3"/>
            <w:tabs>
              <w:tab w:val="clear" w:pos="8459"/>
              <w:tab w:val="right" w:pos="9026" w:leader="dot"/>
            </w:tabs>
            <w:rPr/>
          </w:pPr>
          <w:hyperlink w:anchor="__RefHeading___Toc2175721_2314609296">
            <w:r>
              <w:rPr>
                <w:webHidden/>
                <w:rStyle w:val="IndexLink"/>
                <w:rtl w:val="true"/>
              </w:rPr>
              <w:t>«</w:t>
            </w:r>
            <w:r>
              <w:rPr>
                <w:rStyle w:val="IndexLink"/>
                <w:rtl w:val="true"/>
              </w:rPr>
              <w:t>النظر الثالث فی الاستیلاد</w:t>
            </w:r>
            <w:r>
              <w:rPr>
                <w:rStyle w:val="IndexLink"/>
                <w:rtl w:val="true"/>
              </w:rPr>
              <w:t xml:space="preserve">» </w:t>
            </w:r>
            <w:r>
              <w:rPr>
                <w:rStyle w:val="IndexLink"/>
                <w:rtl w:val="true"/>
              </w:rPr>
              <w:t>للإماء بملک الیمین</w:t>
            </w:r>
            <w:r>
              <w:rPr>
                <w:rStyle w:val="IndexLink"/>
                <w:rtl w:val="true"/>
              </w:rPr>
              <w:tab/>
            </w:r>
            <w:r>
              <w:rPr>
                <w:rStyle w:val="IndexLink"/>
              </w:rPr>
              <w:t>500</w:t>
            </w:r>
          </w:hyperlink>
        </w:p>
        <w:p>
          <w:pPr>
            <w:pStyle w:val="Contents2"/>
            <w:tabs>
              <w:tab w:val="clear" w:pos="8743"/>
              <w:tab w:val="right" w:pos="9026" w:leader="dot"/>
            </w:tabs>
            <w:rPr/>
          </w:pPr>
          <w:hyperlink w:anchor="__RefHeading___Toc2175723_2314609296">
            <w:r>
              <w:rPr>
                <w:webHidden/>
                <w:rStyle w:val="IndexLink"/>
                <w:rtl w:val="true"/>
              </w:rPr>
              <w:t>کتاب الإقرار</w:t>
            </w:r>
            <w:r>
              <w:rPr>
                <w:rStyle w:val="IndexLink"/>
                <w:rtl w:val="true"/>
              </w:rPr>
              <w:tab/>
            </w:r>
            <w:r>
              <w:rPr>
                <w:rStyle w:val="IndexLink"/>
              </w:rPr>
              <w:t>502</w:t>
            </w:r>
          </w:hyperlink>
        </w:p>
        <w:p>
          <w:pPr>
            <w:pStyle w:val="Contents3"/>
            <w:tabs>
              <w:tab w:val="clear" w:pos="8459"/>
              <w:tab w:val="right" w:pos="9026" w:leader="dot"/>
            </w:tabs>
            <w:rPr/>
          </w:pPr>
          <w:hyperlink w:anchor="__RefHeading___Toc2175725_2314609296">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2175727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w:t>
            </w:r>
            <w:r>
              <w:rPr>
                <w:rStyle w:val="IndexLink"/>
                <w:rtl w:val="true"/>
              </w:rPr>
              <w:t>الصیغة، وتوابعها</w:t>
            </w:r>
            <w:r>
              <w:rPr>
                <w:rStyle w:val="IndexLink"/>
                <w:rtl w:val="true"/>
              </w:rPr>
              <w:t>»</w:t>
              <w:tab/>
            </w:r>
            <w:r>
              <w:rPr>
                <w:rStyle w:val="IndexLink"/>
              </w:rPr>
              <w:t>503</w:t>
            </w:r>
          </w:hyperlink>
        </w:p>
        <w:p>
          <w:pPr>
            <w:pStyle w:val="Contents4"/>
            <w:tabs>
              <w:tab w:val="clear" w:pos="8176"/>
              <w:tab w:val="right" w:pos="9026" w:leader="dot"/>
            </w:tabs>
            <w:rPr/>
          </w:pPr>
          <w:hyperlink w:anchor="__RefHeading___Toc2175729_2314609296">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2175731_2314609296">
            <w:r>
              <w:rPr>
                <w:webHidden/>
                <w:rStyle w:val="IndexLink"/>
                <w:rtl w:val="true"/>
              </w:rPr>
              <w:t>[</w:t>
            </w:r>
            <w:r>
              <w:rPr>
                <w:rStyle w:val="IndexLink"/>
                <w:rtl w:val="true"/>
              </w:rPr>
              <w:t>شروط المقر</w:t>
            </w:r>
            <w:r>
              <w:rPr>
                <w:rStyle w:val="IndexLink"/>
                <w:rtl w:val="true"/>
              </w:rPr>
              <w:t>]</w:t>
              <w:tab/>
            </w:r>
            <w:r>
              <w:rPr>
                <w:rStyle w:val="IndexLink"/>
              </w:rPr>
              <w:t>507</w:t>
            </w:r>
          </w:hyperlink>
        </w:p>
        <w:p>
          <w:pPr>
            <w:pStyle w:val="Contents4"/>
            <w:tabs>
              <w:tab w:val="clear" w:pos="8176"/>
              <w:tab w:val="right" w:pos="9026" w:leader="dot"/>
            </w:tabs>
            <w:rPr/>
          </w:pPr>
          <w:hyperlink w:anchor="__RefHeading___Toc2175733_2314609296">
            <w:r>
              <w:rPr>
                <w:webHidden/>
                <w:rStyle w:val="IndexLink"/>
                <w:rtl w:val="true"/>
              </w:rPr>
              <w:t>[</w:t>
            </w:r>
            <w:r>
              <w:rPr>
                <w:rStyle w:val="IndexLink"/>
                <w:rtl w:val="true"/>
              </w:rPr>
              <w:t xml:space="preserve">حکم الاقرار بالفظ المبهم </w:t>
            </w:r>
            <w:r>
              <w:rPr>
                <w:rStyle w:val="IndexLink"/>
                <w:rtl w:val="true"/>
              </w:rPr>
              <w:t>]</w:t>
              <w:tab/>
            </w:r>
            <w:r>
              <w:rPr>
                <w:rStyle w:val="IndexLink"/>
              </w:rPr>
              <w:t>510</w:t>
            </w:r>
          </w:hyperlink>
        </w:p>
        <w:p>
          <w:pPr>
            <w:pStyle w:val="Contents4"/>
            <w:tabs>
              <w:tab w:val="clear" w:pos="8176"/>
              <w:tab w:val="right" w:pos="9026" w:leader="dot"/>
            </w:tabs>
            <w:rPr/>
          </w:pPr>
          <w:hyperlink w:anchor="__RefHeading___Toc2175735_2314609296">
            <w:r>
              <w:rPr>
                <w:webHidden/>
                <w:rStyle w:val="IndexLink"/>
                <w:rtl w:val="true"/>
              </w:rPr>
              <w:t>[</w:t>
            </w:r>
            <w:r>
              <w:rPr>
                <w:rStyle w:val="IndexLink"/>
                <w:rtl w:val="true"/>
              </w:rPr>
              <w:t xml:space="preserve">حکم الاقرار المستفاد من الجواب </w:t>
            </w:r>
            <w:r>
              <w:rPr>
                <w:rStyle w:val="IndexLink"/>
                <w:rtl w:val="true"/>
              </w:rPr>
              <w:t>]</w:t>
              <w:tab/>
            </w:r>
            <w:r>
              <w:rPr>
                <w:rStyle w:val="IndexLink"/>
              </w:rPr>
              <w:t>517</w:t>
            </w:r>
          </w:hyperlink>
        </w:p>
        <w:p>
          <w:pPr>
            <w:pStyle w:val="Contents3"/>
            <w:tabs>
              <w:tab w:val="clear" w:pos="8459"/>
              <w:tab w:val="right" w:pos="9026" w:leader="dot"/>
            </w:tabs>
            <w:rPr/>
          </w:pPr>
          <w:hyperlink w:anchor="__RefHeading___Toc2175737_2314609296">
            <w:r>
              <w:rPr>
                <w:webHidden/>
                <w:rStyle w:val="IndexLink"/>
                <w:rtl w:val="true"/>
              </w:rPr>
              <w:t>«</w:t>
            </w:r>
            <w:r>
              <w:rPr>
                <w:rStyle w:val="IndexLink"/>
                <w:rtl w:val="true"/>
              </w:rPr>
              <w:t>الفصل الثانی</w:t>
            </w:r>
            <w:r>
              <w:rPr>
                <w:rStyle w:val="IndexLink"/>
                <w:rtl w:val="true"/>
              </w:rPr>
              <w:t>»</w:t>
              <w:tab/>
            </w:r>
            <w:r>
              <w:rPr>
                <w:rStyle w:val="IndexLink"/>
              </w:rPr>
              <w:t>520</w:t>
            </w:r>
          </w:hyperlink>
        </w:p>
        <w:p>
          <w:pPr>
            <w:pStyle w:val="Contents3"/>
            <w:tabs>
              <w:tab w:val="clear" w:pos="8459"/>
              <w:tab w:val="right" w:pos="9026" w:leader="dot"/>
            </w:tabs>
            <w:rPr/>
          </w:pPr>
          <w:hyperlink w:anchor="__RefHeading___Toc2175739_2314609296">
            <w:r>
              <w:rPr>
                <w:webHidden/>
                <w:rStyle w:val="IndexLink"/>
                <w:rtl w:val="true"/>
              </w:rPr>
              <w:t>«</w:t>
            </w:r>
            <w:r>
              <w:rPr>
                <w:rStyle w:val="IndexLink"/>
                <w:rtl w:val="true"/>
              </w:rPr>
              <w:t>الفصل الثالث</w:t>
            </w:r>
            <w:r>
              <w:rPr>
                <w:rStyle w:val="IndexLink"/>
                <w:rtl w:val="true"/>
              </w:rPr>
              <w:t>»</w:t>
              <w:tab/>
            </w:r>
            <w:r>
              <w:rPr>
                <w:rStyle w:val="IndexLink"/>
              </w:rPr>
              <w:t>530</w:t>
            </w:r>
          </w:hyperlink>
        </w:p>
        <w:p>
          <w:pPr>
            <w:pStyle w:val="Contents4"/>
            <w:tabs>
              <w:tab w:val="clear" w:pos="8176"/>
              <w:tab w:val="right" w:pos="9026" w:leader="dot"/>
            </w:tabs>
            <w:rPr/>
          </w:pPr>
          <w:hyperlink w:anchor="__RefHeading___Toc2175741_2314609296">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2175743_2314609296">
            <w:r>
              <w:rPr>
                <w:webHidden/>
                <w:rStyle w:val="IndexLink"/>
                <w:rtl w:val="true"/>
              </w:rPr>
              <w:t>[</w:t>
            </w:r>
            <w:r>
              <w:rPr>
                <w:rStyle w:val="IndexLink"/>
                <w:rtl w:val="true"/>
              </w:rPr>
              <w:t xml:space="preserve">شروطه و احکامه </w:t>
            </w:r>
            <w:r>
              <w:rPr>
                <w:rStyle w:val="IndexLink"/>
                <w:rtl w:val="true"/>
              </w:rPr>
              <w:t>]</w:t>
              <w:tab/>
            </w:r>
            <w:r>
              <w:rPr>
                <w:rStyle w:val="IndexLink"/>
              </w:rPr>
              <w:t>530</w:t>
            </w:r>
          </w:hyperlink>
        </w:p>
        <w:p>
          <w:pPr>
            <w:pStyle w:val="Contents2"/>
            <w:tabs>
              <w:tab w:val="clear" w:pos="8743"/>
              <w:tab w:val="right" w:pos="9026" w:leader="dot"/>
            </w:tabs>
            <w:rPr/>
          </w:pPr>
          <w:hyperlink w:anchor="__RefHeading___Toc2175745_2314609296">
            <w:r>
              <w:rPr>
                <w:webHidden/>
                <w:rStyle w:val="IndexLink"/>
                <w:rtl w:val="true"/>
              </w:rPr>
              <w:t>کتاب الغصب</w:t>
            </w:r>
            <w:r>
              <w:rPr>
                <w:rStyle w:val="IndexLink"/>
                <w:rtl w:val="true"/>
              </w:rPr>
              <w:tab/>
            </w:r>
            <w:r>
              <w:rPr>
                <w:rStyle w:val="IndexLink"/>
              </w:rPr>
              <w:t>538</w:t>
            </w:r>
          </w:hyperlink>
        </w:p>
        <w:p>
          <w:pPr>
            <w:pStyle w:val="Contents3"/>
            <w:tabs>
              <w:tab w:val="clear" w:pos="8459"/>
              <w:tab w:val="right" w:pos="9026" w:leader="dot"/>
            </w:tabs>
            <w:rPr/>
          </w:pPr>
          <w:hyperlink w:anchor="__RefHeading___Toc2175747_2314609296">
            <w:r>
              <w:rPr>
                <w:webHidden/>
                <w:rStyle w:val="IndexLink"/>
                <w:rtl w:val="true"/>
              </w:rPr>
              <w:t>اشارة</w:t>
            </w:r>
            <w:r>
              <w:rPr>
                <w:rStyle w:val="IndexLink"/>
                <w:rtl w:val="true"/>
              </w:rPr>
              <w:tab/>
            </w:r>
            <w:r>
              <w:rPr>
                <w:rStyle w:val="IndexLink"/>
              </w:rPr>
              <w:t>538</w:t>
            </w:r>
          </w:hyperlink>
        </w:p>
        <w:p>
          <w:pPr>
            <w:pStyle w:val="Contents3"/>
            <w:tabs>
              <w:tab w:val="clear" w:pos="8459"/>
              <w:tab w:val="right" w:pos="9026" w:leader="dot"/>
            </w:tabs>
            <w:rPr/>
          </w:pPr>
          <w:hyperlink w:anchor="__RefHeading___Toc2175749_2314609296">
            <w:r>
              <w:rPr>
                <w:webHidden/>
                <w:rStyle w:val="IndexLink"/>
                <w:rtl w:val="true"/>
              </w:rPr>
              <w:t>[</w:t>
            </w:r>
            <w:r>
              <w:rPr>
                <w:rStyle w:val="IndexLink"/>
                <w:rtl w:val="true"/>
              </w:rPr>
              <w:t xml:space="preserve">تعریفه </w:t>
            </w:r>
            <w:r>
              <w:rPr>
                <w:rStyle w:val="IndexLink"/>
                <w:rtl w:val="true"/>
              </w:rPr>
              <w:t>]</w:t>
              <w:tab/>
            </w:r>
            <w:r>
              <w:rPr>
                <w:rStyle w:val="IndexLink"/>
              </w:rPr>
              <w:t>539</w:t>
            </w:r>
          </w:hyperlink>
        </w:p>
        <w:p>
          <w:pPr>
            <w:pStyle w:val="Contents3"/>
            <w:tabs>
              <w:tab w:val="clear" w:pos="8459"/>
              <w:tab w:val="right" w:pos="9026" w:leader="dot"/>
            </w:tabs>
            <w:rPr/>
          </w:pPr>
          <w:hyperlink w:anchor="__RefHeading___Toc2175751_2314609296">
            <w:r>
              <w:rPr>
                <w:webHidden/>
                <w:rStyle w:val="IndexLink"/>
                <w:rtl w:val="true"/>
              </w:rPr>
              <w:t>[</w:t>
            </w:r>
            <w:r>
              <w:rPr>
                <w:rStyle w:val="IndexLink"/>
                <w:rtl w:val="true"/>
              </w:rPr>
              <w:t xml:space="preserve">احکامه </w:t>
            </w:r>
            <w:r>
              <w:rPr>
                <w:rStyle w:val="IndexLink"/>
                <w:rtl w:val="true"/>
              </w:rPr>
              <w:t>]</w:t>
              <w:tab/>
            </w:r>
            <w:r>
              <w:rPr>
                <w:rStyle w:val="IndexLink"/>
              </w:rPr>
              <w:t>541</w:t>
            </w:r>
          </w:hyperlink>
        </w:p>
        <w:p>
          <w:pPr>
            <w:pStyle w:val="Contents2"/>
            <w:tabs>
              <w:tab w:val="clear" w:pos="8743"/>
              <w:tab w:val="right" w:pos="9026" w:leader="dot"/>
            </w:tabs>
            <w:rPr/>
          </w:pPr>
          <w:hyperlink w:anchor="__RefHeading___Toc2175753_2314609296">
            <w:r>
              <w:rPr>
                <w:webHidden/>
                <w:rStyle w:val="IndexLink"/>
                <w:rtl w:val="true"/>
              </w:rPr>
              <w:t>فهرس المحتویات</w:t>
            </w:r>
            <w:r>
              <w:rPr>
                <w:rStyle w:val="IndexLink"/>
                <w:rtl w:val="true"/>
              </w:rPr>
              <w:tab/>
            </w:r>
            <w:r>
              <w:rPr>
                <w:rStyle w:val="IndexLink"/>
              </w:rPr>
              <w:t>559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10_214203"/>
      <w:bookmarkStart w:id="1" w:name="pg19810_214203"/>
      <w:bookmarkEnd w:id="1"/>
    </w:p>
    <w:p>
      <w:pPr>
        <w:pStyle w:val="Heading2"/>
        <w:numPr>
          <w:ilvl w:val="1"/>
          <w:numId w:val="1"/>
        </w:numPr>
        <w:rPr/>
      </w:pPr>
      <w:bookmarkStart w:id="2" w:name="pg19810_214203"/>
      <w:bookmarkStart w:id="3" w:name="__RefHeading___Toc2175253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 ، زین‌الدین‌بن علی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زین‌الدین العاملی ؛ المولف مجمع الفکر الاسلامی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الفکر الاسلامی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ascii="IRNazanin" w:hAnsi="IRNazanin" w:eastAsia="IRNazanin"/>
          <w:color w:val="111111"/>
          <w:sz w:val="28"/>
          <w:sz w:val="28"/>
          <w:szCs w:val="28"/>
          <w:lang w:bidi="fa-IR"/>
        </w:rPr>
        <w:t>۷۳۴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‌۸۰۲۱۵۵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5255_2314609296"/>
      <w:bookmarkStart w:id="6" w:name="_Toc2"/>
      <w:bookmarkEnd w:id="5"/>
      <w:r>
        <w:rPr>
          <w:rtl w:val="true"/>
        </w:rPr>
        <w:t>اشارة</w:t>
      </w:r>
      <w:bookmarkStart w:id="7" w:name="pg19810_214211"/>
      <w:bookmarkEnd w:id="6"/>
    </w:p>
    <w:p>
      <w:pPr>
        <w:pStyle w:val="Heading2"/>
        <w:numPr>
          <w:ilvl w:val="1"/>
          <w:numId w:val="1"/>
        </w:numPr>
        <w:rPr/>
      </w:pPr>
      <w:bookmarkStart w:id="8" w:name="__RefHeading___Toc2175257_2314609296"/>
      <w:bookmarkStart w:id="9" w:name="_Toc3"/>
      <w:bookmarkEnd w:id="7"/>
      <w:bookmarkEnd w:id="8"/>
      <w:r>
        <w:rPr>
          <w:rtl w:val="true"/>
        </w:rPr>
        <w:t>«</w:t>
      </w:r>
      <w:r>
        <w:rPr>
          <w:rtl w:val="true"/>
        </w:rPr>
        <w:t>کتاب الإجارة</w:t>
      </w:r>
      <w:r>
        <w:rPr>
          <w:rtl w:val="true"/>
        </w:rPr>
        <w:t>»</w:t>
      </w:r>
      <w:bookmarkEnd w:id="9"/>
    </w:p>
    <w:p>
      <w:pPr>
        <w:pStyle w:val="Heading3"/>
        <w:numPr>
          <w:ilvl w:val="2"/>
          <w:numId w:val="1"/>
        </w:numPr>
        <w:rPr/>
      </w:pPr>
      <w:bookmarkStart w:id="10" w:name="__RefHeading___Toc2175259_2314609296"/>
      <w:bookmarkStart w:id="11" w:name="_Toc4"/>
      <w:bookmarkEnd w:id="10"/>
      <w:r>
        <w:rPr>
          <w:rtl w:val="true"/>
        </w:rPr>
        <w:t>اشارة</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الإجارة</w:t>
      </w:r>
    </w:p>
    <w:p>
      <w:pPr>
        <w:pStyle w:val="BookText"/>
        <w:rPr/>
      </w:pPr>
      <w:r>
        <w:rPr>
          <w:rFonts w:ascii="IRNazanin" w:hAnsi="IRNazanin" w:eastAsia="IRNazanin"/>
          <w:color w:val="111111"/>
          <w:sz w:val="28"/>
          <w:sz w:val="28"/>
          <w:szCs w:val="28"/>
          <w:rtl w:val="true"/>
          <w:lang w:bidi="fa-IR"/>
        </w:rPr>
        <w:t xml:space="preserve">بسم اللّٰه الرحمن الرحیم وبه نستعین </w:t>
      </w:r>
      <w:r>
        <w:rPr>
          <w:rStyle w:val="FootnoteAnchor"/>
          <w:rtl w:val="true"/>
        </w:rPr>
        <w:footnoteReference w:id="2"/>
      </w:r>
    </w:p>
    <w:p>
      <w:pPr>
        <w:pStyle w:val="Heading3"/>
        <w:numPr>
          <w:ilvl w:val="2"/>
          <w:numId w:val="1"/>
        </w:numPr>
        <w:rPr/>
      </w:pPr>
      <w:bookmarkStart w:id="12" w:name="__RefHeading___Toc2175261_2314609296"/>
      <w:bookmarkStart w:id="13" w:name="_Toc5"/>
      <w:bookmarkEnd w:id="12"/>
      <w:r>
        <w:rPr>
          <w:rtl w:val="true"/>
        </w:rPr>
        <w:t>[</w:t>
      </w:r>
      <w:r>
        <w:rPr>
          <w:rtl w:val="true"/>
        </w:rPr>
        <w:t>تعریفها و صیغتها</w:t>
      </w:r>
      <w:r>
        <w:rPr>
          <w:rtl w:val="true"/>
        </w:rPr>
        <w:t>]</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العقد علی تملّک المنفعة المعلومة بعوض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فالعقد بمنزلة الجنس یشمل سائر العقود، وخرج بتعلّقه بالمنفعة البیع والصلح المتعلّق بالأعیان، وبالعوض الوصیّة بالمنفعة، وبالمعلوم إصداقها؛ إذ لیس فی مقابلها عوض معلوم وإنّما هو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ینتقض فی طرده بالصلح علی المنفعة بعوض معلوم، فإنّه لیس إجارة بناءً علی جعله أصلاً</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وإیجابها آجرتک، أو </w:t>
      </w:r>
      <w:r>
        <w:rPr>
          <w:rStyle w:val="FootnoteAnchor"/>
          <w:rtl w:val="true"/>
        </w:rPr>
        <w:footnoteReference w:id="3"/>
      </w:r>
      <w:r>
        <w:rPr>
          <w:rFonts w:ascii="IRNazanin" w:hAnsi="IRNazanin" w:eastAsia="IRNazanin"/>
          <w:color w:val="111111"/>
          <w:sz w:val="28"/>
          <w:sz w:val="28"/>
          <w:szCs w:val="28"/>
          <w:rtl w:val="true"/>
          <w:lang w:bidi="fa-IR"/>
        </w:rPr>
        <w:t>أکریتک، أو ملّکتک منفعتها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التملیک بالمنفعة، لیحترز عمّا لو عبّر بلفظ الإیجار والإکراء، فإنّه لا یصحّ تعلّقه إلّابالعین، فلو أوردهما علی المنفعة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منفعة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التملیک؛ لأنّه یفید نقل ما تعلّق به، فإن ورد علی الأعیان أفاد ملکها و </w:t>
      </w:r>
      <w:r>
        <w:rPr>
          <w:rStyle w:val="FootnoteAnchor"/>
          <w:rtl w:val="true"/>
        </w:rPr>
        <w:footnoteReference w:id="4"/>
      </w:r>
      <w:r>
        <w:rPr>
          <w:rFonts w:ascii="IRNazanin" w:hAnsi="IRNazanin" w:eastAsia="IRNazanin"/>
          <w:color w:val="111111"/>
          <w:sz w:val="28"/>
          <w:sz w:val="28"/>
          <w:szCs w:val="28"/>
          <w:rtl w:val="true"/>
          <w:lang w:bidi="fa-IR"/>
        </w:rPr>
        <w:t>لیس ذلک مورد الإجارة؛ لأنّ العین تبقی علی ملک المؤجر، فیتعیّن فیها إضافته إلی المنفعة لیفید نقلها إلی المستأجر حیث یعبَّر بالتملیک</w:t>
      </w:r>
      <w:r>
        <w:rPr>
          <w:rFonts w:eastAsia="IRNazanin" w:cs="IRNazanin"/>
          <w:color w:val="111111"/>
          <w:sz w:val="28"/>
          <w:szCs w:val="28"/>
          <w:rtl w:val="true"/>
          <w:lang w:bidi="fa-IR"/>
        </w:rPr>
        <w:t>.</w:t>
      </w:r>
      <w:bookmarkStart w:id="14" w:name="pg19810_214212"/>
    </w:p>
    <w:p>
      <w:pPr>
        <w:pStyle w:val="BookText"/>
        <w:rPr/>
      </w:pPr>
      <w:bookmarkEnd w:id="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بالبیع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بالبیع الإجارة، فإن أورده علی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الدار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لإفادته نقلَ العین وهو منافٍ للإجارة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سکناها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ففی الصحّة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موضوع لنقل الأعیان والمنافع تابعة لها، فلا یثمر الملک لو تجوّز به فی نقل المنافع منفردة وإن نوی به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نّه یفید نقل المنفعة أیضاً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مقام الإجارة مع 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المنع</w:t>
      </w:r>
      <w:r>
        <w:rPr>
          <w:rFonts w:eastAsia="IRNazanin" w:cs="IRNazanin"/>
          <w:color w:val="111111"/>
          <w:sz w:val="28"/>
          <w:szCs w:val="28"/>
          <w:rtl w:val="true"/>
          <w:lang w:bidi="fa-IR"/>
        </w:rPr>
        <w:t>.</w:t>
      </w:r>
    </w:p>
    <w:p>
      <w:pPr>
        <w:pStyle w:val="Heading3"/>
        <w:numPr>
          <w:ilvl w:val="2"/>
          <w:numId w:val="1"/>
        </w:numPr>
        <w:rPr/>
      </w:pPr>
      <w:bookmarkStart w:id="15" w:name="__RefHeading___Toc2175263_2314609296"/>
      <w:bookmarkStart w:id="16" w:name="_Toc6"/>
      <w:bookmarkEnd w:id="15"/>
      <w:r>
        <w:rPr>
          <w:rtl w:val="true"/>
        </w:rPr>
        <w:t>[</w:t>
      </w:r>
      <w:r>
        <w:rPr>
          <w:rtl w:val="true"/>
        </w:rPr>
        <w:t>احکامها</w:t>
      </w:r>
      <w:r>
        <w:rPr>
          <w:rtl w:val="true"/>
        </w:rPr>
        <w:t>]</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لازمة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تبطل إلّابالتقایل، أو بأحد الأسباب المقتضیة للفسخ، وسیأتی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تعقّبها البیع 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المنافاة، فإنّ الإجارة تتعلّق بالمنافع، والبیع بالعین وإن تبعتها المنافع حیث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المشتری هو المستأجر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هو المستأجر لم تبطل الإجارة علی الأقوی، بل یجتمع علیه الاُجرة والثمن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غیره وهو عالم بها صبر إلی انقضاء المدّة، ولم یمنع ذلک من تعجیل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جاهلاً بها تخیّر بین فسخ البیع وإمضائه مجّاناً مسلوب المنفعة إلی 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تجدّد فسخ الإجارة عادت المنفعة إلی البائع، لا إلی المشتری</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وعذر المستأجر لا یبطلها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بلغ حدّاً یتعذّر علیه الانتفاع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استأجر حانوتاً فسرق 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یقدر علی إبداله؛ لأنّ العین تامّة صالحة للانتفاع بها فیستصحب 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عمّ العذر کالثلج المانع من قطع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استأجر الدابّة لسلوکه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فالأقرب جواز الفسخ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 استیفاء المنفعة المقصودة حسّاً، فلو لم یُجبر بالخیار لزم الضرر المنفیّ </w:t>
      </w:r>
      <w:r>
        <w:rPr>
          <w:rStyle w:val="FootnoteAnchor"/>
          <w:rtl w:val="true"/>
        </w:rPr>
        <w:footnoteReference w:id="5"/>
      </w:r>
      <w:r>
        <w:rPr>
          <w:rFonts w:ascii="IRNazanin" w:hAnsi="IRNazanin" w:eastAsia="IRNazanin"/>
          <w:color w:val="111111"/>
          <w:sz w:val="28"/>
          <w:sz w:val="28"/>
          <w:szCs w:val="28"/>
          <w:rtl w:val="true"/>
          <w:lang w:bidi="fa-IR"/>
        </w:rPr>
        <w:t>ومثله</w:t>
      </w:r>
    </w:p>
    <w:p>
      <w:pPr>
        <w:pStyle w:val="BookText"/>
        <w:rPr/>
      </w:pPr>
      <w:r>
        <w:rPr>
          <w:rFonts w:ascii="IRNazanin" w:hAnsi="IRNazanin" w:eastAsia="IRNazanin"/>
          <w:color w:val="111111"/>
          <w:sz w:val="28"/>
          <w:sz w:val="28"/>
          <w:szCs w:val="28"/>
          <w:rtl w:val="true"/>
          <w:lang w:bidi="fa-IR"/>
        </w:rPr>
        <w:t>ما لو عرض مانع شرعی کخوف الطریق؛ لتحریم السفر حینئذٍ، أو استئجار امرأة لکنس المسجد فحاضت والزمان معیّن ینقضی مدّة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انفساخ العقد فی ذلک کلّه، تنزیلاً للتعذّر منزلة تلف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یقتضیه لزوم العقد، سواء فی ذلک موت المؤجر والمستأجر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تکون العین 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المؤجر وعلی مَن بعده من البطون فیؤجرها مدّة ویتّفق موته قبل انقضائها فتبطل؛ لانتقال الحقّ إلی غیره، ولیس له التصرّف فیها إلّازمن استحقاقه، ولهذا لا یملک نقلها ولا إتلافها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ناظراً وآجرها لمصلحة البطون لم تبطل بموته، لکن الصحّة حینئذٍ لیست من حیث إنّه موقوف علیه، بل من حیث إنّه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الموصی له بمنفعتها مدّة حیاته فیؤجرها کذلک </w:t>
      </w:r>
      <w:r>
        <w:rPr>
          <w:rStyle w:val="FootnoteAnchor"/>
          <w:rtl w:val="true"/>
        </w:rPr>
        <w:footnoteReference w:id="6"/>
      </w:r>
      <w:r>
        <w:rPr>
          <w:rFonts w:ascii="IRNazanin" w:hAnsi="IRNazanin" w:eastAsia="IRNazanin"/>
          <w:color w:val="111111"/>
          <w:sz w:val="28"/>
          <w:sz w:val="28"/>
          <w:szCs w:val="28"/>
          <w:rtl w:val="true"/>
          <w:lang w:bidi="fa-IR"/>
        </w:rPr>
        <w:t>ولو شرط علی المستأجر استیفاء المنفعة بنفسه بطلت بموته أیضاً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یصحّ الانتفاع به مع بقاء عینه تصحّ إعارته وإجارته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وینعکس فی الإجارة کلّیّاً </w:t>
      </w:r>
      <w:r>
        <w:rPr>
          <w:rStyle w:val="FootnoteAnchor"/>
          <w:rtl w:val="true"/>
        </w:rPr>
        <w:footnoteReference w:id="7"/>
      </w:r>
      <w:r>
        <w:rPr>
          <w:rFonts w:ascii="Amiri" w:hAnsi="Amiri" w:eastAsia="Amiri" w:cs="Amiri"/>
          <w:color w:val="111111"/>
          <w:sz w:val="28"/>
          <w:sz w:val="28"/>
          <w:szCs w:val="28"/>
          <w:rtl w:val="true"/>
          <w:lang w:bidi="ar-SA"/>
        </w:rPr>
        <w:t>دون الإعارة؛ لجواز إعارة</w:t>
      </w:r>
    </w:p>
    <w:p>
      <w:pPr>
        <w:pStyle w:val="BookText"/>
        <w:rPr/>
      </w:pPr>
      <w:r>
        <w:rPr>
          <w:rFonts w:ascii="Amiri" w:hAnsi="Amiri" w:eastAsia="Amiri" w:cs="Amiri"/>
          <w:color w:val="111111"/>
          <w:sz w:val="28"/>
          <w:sz w:val="28"/>
          <w:szCs w:val="28"/>
          <w:rtl w:val="true"/>
          <w:lang w:bidi="ar-SA"/>
        </w:rPr>
        <w:t xml:space="preserve">المِنْحة </w:t>
      </w:r>
      <w:r>
        <w:rPr>
          <w:rStyle w:val="FootnoteAnchor"/>
          <w:rtl w:val="true"/>
        </w:rPr>
        <w:footnoteReference w:id="8"/>
      </w:r>
      <w:r>
        <w:rPr>
          <w:rFonts w:ascii="IRNazanin" w:hAnsi="IRNazanin" w:eastAsia="IRNazanin"/>
          <w:color w:val="111111"/>
          <w:sz w:val="28"/>
          <w:sz w:val="28"/>
          <w:szCs w:val="28"/>
          <w:rtl w:val="true"/>
          <w:lang w:bidi="fa-IR"/>
        </w:rPr>
        <w:t xml:space="preserve">مع أنّ المقصود منها وهو اللبن لا تبقی عینه، ولا تصحّ إجارتها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مانع من المشاع باعتبار عدم القسمة؛ لإمکان استیفاء المنفعة بموافقة الشریک ولا فرق بین أن یؤجره من شریکه و </w:t>
      </w:r>
      <w:r>
        <w:rPr>
          <w:rStyle w:val="FootnoteAnchor"/>
          <w:rtl w:val="true"/>
        </w:rPr>
        <w:footnoteReference w:id="9"/>
      </w:r>
      <w:r>
        <w:rPr>
          <w:rFonts w:ascii="IRNazanin" w:hAnsi="IRNazanin" w:eastAsia="IRNazanin"/>
          <w:color w:val="111111"/>
          <w:sz w:val="28"/>
          <w:sz w:val="28"/>
          <w:szCs w:val="28"/>
          <w:rtl w:val="true"/>
          <w:lang w:bidi="fa-IR"/>
        </w:rPr>
        <w:t>غیره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یضمن المستأجر العین إلّابالتعدّی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مقبوضة بإذن المالک لحقّ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بین مدّة الإجارة وبعدها قبل طلب المالک وبعده إذا لم یؤخّر مع طلبها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عقد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لفساد الشرط من حیث مخالفته للمشروع ومقتضی الإجارة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اشتراط الخیار لهما ولأحدهما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مضبوطة؛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ولا فرق بین المعیّنة والمطلقة عندنا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17" w:name="pg19810_214215"/>
    </w:p>
    <w:p>
      <w:pPr>
        <w:pStyle w:val="BookText"/>
        <w:rPr/>
      </w:pPr>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للوکیل والوصیّ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اشتراط الخیار للمستأجر أو للأعمّ بحیث یفسخ إذا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الإذن، أو ظهور الغبطة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الفسخ فیفسخ حیث یشترطها لنفسه، لا بدون الإذن فی الوکیل، ولا الغبطة فی الوصیّ؛ لعدم اقتضاء إطلاق التوکیل فیها إضافةَ الخیار المقتضی للتسلّط علی إبطالها، وکذا الوصایة، فإنّ فعل الوصیّ منوط بالمصلحة</w:t>
      </w:r>
      <w:r>
        <w:rPr>
          <w:rFonts w:eastAsia="IRNazanin" w:cs="IRNazanin"/>
          <w:color w:val="111111"/>
          <w:sz w:val="28"/>
          <w:szCs w:val="28"/>
          <w:rtl w:val="true"/>
          <w:lang w:bidi="fa-IR"/>
        </w:rPr>
        <w:t>.</w:t>
      </w:r>
    </w:p>
    <w:p>
      <w:pPr>
        <w:pStyle w:val="Heading3"/>
        <w:numPr>
          <w:ilvl w:val="2"/>
          <w:numId w:val="1"/>
        </w:numPr>
        <w:rPr/>
      </w:pPr>
      <w:bookmarkStart w:id="18" w:name="__RefHeading___Toc2175265_2314609296"/>
      <w:bookmarkStart w:id="19" w:name="_Toc7"/>
      <w:bookmarkEnd w:id="18"/>
      <w:r>
        <w:rPr>
          <w:rtl w:val="true"/>
        </w:rPr>
        <w:t>[</w:t>
      </w:r>
      <w:r>
        <w:rPr>
          <w:rtl w:val="true"/>
        </w:rPr>
        <w:t xml:space="preserve">شروط المتعاقدین </w:t>
      </w:r>
      <w:r>
        <w:rPr>
          <w:rtl w:val="true"/>
        </w:rPr>
        <w:t>]</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کمال المتعاقدین، وجواز تصرّفهما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تصحّ إجارة الصبیّ وإن کان ممیّزاً أو أذن له الولیّ، ولا المجنون مطلقاً، ولا المحجور بدون إذن الولیّ، أو من فی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کون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المقصودة من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والاُجرة معلومتین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ویتحقّق العلم بالمنفعة بمشاهدة العین المستأجرة التی هی متعلّقة المنفعة، أو وصفِها بما یرفع الجهالة، وتعیینِ المنفعة إن کانت متعدّدة فی العین ولم یرد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الاُجرة بکیلها أو وزنها أو عدّها إن کانت ممّا یعتبر بها فی البیع، أو مشاهدتها إن لم تکن کذلک</w:t>
      </w:r>
      <w:r>
        <w:rPr>
          <w:rFonts w:eastAsia="IRNazanin" w:cs="IRNazanin"/>
          <w:color w:val="111111"/>
          <w:sz w:val="28"/>
          <w:szCs w:val="28"/>
          <w:rtl w:val="true"/>
          <w:lang w:bidi="fa-IR"/>
        </w:rPr>
        <w:t>.</w:t>
      </w:r>
    </w:p>
    <w:p>
      <w:pPr>
        <w:pStyle w:val="Heading3"/>
        <w:numPr>
          <w:ilvl w:val="2"/>
          <w:numId w:val="1"/>
        </w:numPr>
        <w:rPr/>
      </w:pPr>
      <w:bookmarkStart w:id="20" w:name="__RefHeading___Toc2175267_2314609296"/>
      <w:bookmarkStart w:id="21" w:name="_Toc8"/>
      <w:bookmarkEnd w:id="20"/>
      <w:r>
        <w:rPr>
          <w:rtl w:val="true"/>
        </w:rPr>
        <w:t>[</w:t>
      </w:r>
      <w:r>
        <w:rPr>
          <w:rtl w:val="true"/>
        </w:rPr>
        <w:t>شروط الاجرة</w:t>
      </w:r>
      <w:r>
        <w:rPr>
          <w:rtl w:val="true"/>
        </w:rPr>
        <w:t>]</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أ نّه لا تکفی المشاهدة فی الاُجرة عن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الاُمور الثلاثة إن کانت ممّا یعتبر بها؛ لأنّ الإجارة معاوضة لازمة مبنیّة علی المغابنة فلا بدّ فیها من انتفاء الغرر عن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الاُجرة ممّا یکفی فی بیعها المشاهدة کالعقار کفت فیها هنا قطعاً، وهو خارج بقرینة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لاقتضاء صحّة المعاوضة انتقالَ کلٍّ من العوضین إلی الآخر، لکن لا یجب تسلیمها قبل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تظهر الفائدة فی ثبوت أصل الملک، فیتبعها النماء متّصلاً ومنفصلاً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تسلیمها بتسلیم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علی عملٍ فبعده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 ذلک، حتّی لو کان المستأجر وصیّاً أو وکیلاً لم یجز له التسلیم</w:t>
      </w:r>
    </w:p>
    <w:p>
      <w:pPr>
        <w:pStyle w:val="BookText"/>
        <w:rPr/>
      </w:pPr>
      <w:r>
        <w:rPr>
          <w:rFonts w:ascii="IRNazanin" w:hAnsi="IRNazanin" w:eastAsia="IRNazanin"/>
          <w:color w:val="111111"/>
          <w:sz w:val="28"/>
          <w:sz w:val="28"/>
          <w:szCs w:val="28"/>
          <w:rtl w:val="true"/>
          <w:lang w:bidi="fa-IR"/>
        </w:rPr>
        <w:t>قبلَه، إلّامع الإذن صریحاً أو بشاهد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توقّف الفعل علی الاُجرة کالحجّ وامتنع المستأجر من التسلیم تسلّط الأجیر علی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فللأجیر الفسخ أو الأرش مع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للاُجرة فی متن العقد؛ لاقتضاء الإطلاق السلیم وتعیینه مانع من البدل کالبیع، فیُجبر العیب بالخیار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یُطالَب بالبدل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تعیین المعیب اُجرة، فإن اُجیب إلیه وإلّا جاز له الفسخ والرضا بالمعیب فیطالِب بالأرش؛ لتعیین المدفوع عوضاً بتعذّر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المطلقة مطلقاً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قریب إن تعذّر 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لا مع بدله؛ لعدم انحصار حقّه فی المعیب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جعل اُجرتین علی 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کنقل المتاع فی یوم بعینه باُجرة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الخیاطة الرومیّة وهی التی بدرزین،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الاُخری علی الخیاطة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الفارسیّة وهی التی بواحد، فالأقرب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الفعلین معلوم، واُجرته معلومة والواقع لا یخلو منهما، ولأصالة الجواز</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بمنع معلومیّته؛ إذ لیس المستأجَر علیه المجموع، ولا کلّ واحد وإلّا لوجبا، فیکون واحداً غیر معیّن، وذلک غرر مبطل لها کالبیع بثمنین علی 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تُحمّل مثلُ هذا الغرر لزم مثله فی البیع بثمنین؛ لاشتراکهما فی العقد اللازم المشتمل علی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وقع ذلک جعالة توجّهت الصحّة؛ لاحتمالها من الجهالة ما لا تحتمله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عدم الاُجرة علی التقدیر الآخر لم تصحّ فی مسألة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الیومین، وتثبت اُجرة المثل علی المشهور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ومستند الحکمین 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صحیح </w:t>
      </w:r>
      <w:r>
        <w:rPr>
          <w:rStyle w:val="FootnoteAnchor"/>
          <w:rtl w:val="true"/>
        </w:rPr>
        <w:footnoteReference w:id="13"/>
      </w:r>
      <w:r>
        <w:rPr>
          <w:rFonts w:ascii="IRNazanin" w:hAnsi="IRNazanin" w:eastAsia="IRNazanin"/>
          <w:color w:val="111111"/>
          <w:sz w:val="28"/>
          <w:sz w:val="28"/>
          <w:szCs w:val="28"/>
          <w:rtl w:val="true"/>
          <w:lang w:bidi="fa-IR"/>
        </w:rPr>
        <w:t xml:space="preserve">ولیس بصریح فی المطلوب، والآخر ضعیف أو موثّق </w:t>
      </w:r>
      <w:r>
        <w:rPr>
          <w:rStyle w:val="FootnoteAnchor"/>
          <w:rtl w:val="true"/>
        </w:rPr>
        <w:footnoteReference w:id="14"/>
      </w:r>
      <w:r>
        <w:rPr>
          <w:rFonts w:ascii="IRNazanin" w:hAnsi="IRNazanin" w:eastAsia="IRNazanin"/>
          <w:color w:val="111111"/>
          <w:sz w:val="28"/>
          <w:sz w:val="28"/>
          <w:szCs w:val="28"/>
          <w:rtl w:val="true"/>
          <w:lang w:bidi="fa-IR"/>
        </w:rPr>
        <w:t>فالرجوع فیهما إلی الاُصول الشرعیّة أولی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وللمصنّف رحمه الله فی الحکم الثانی بحث نبّه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ذلک نظر؛ لأنّ قضیّة کلّ إجارة المنع من نقیضها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یجعل مورد الإجارة هنا القسم الذی فُرض فیه اُجرة، والتعرّض للقسم الآخر الخالی عنها تعرّضاً فی العقد لحکم یقتضیه </w:t>
      </w:r>
      <w:r>
        <w:rPr>
          <w:rStyle w:val="FootnoteAnchor"/>
          <w:rtl w:val="true"/>
        </w:rPr>
        <w:footnoteReference w:id="15"/>
      </w:r>
      <w:r>
        <w:rPr>
          <w:rFonts w:ascii="IRNazanin" w:hAnsi="IRNazanin" w:eastAsia="IRNazanin"/>
          <w:color w:val="111111"/>
          <w:sz w:val="28"/>
          <w:sz w:val="28"/>
          <w:szCs w:val="28"/>
          <w:rtl w:val="true"/>
          <w:lang w:bidi="fa-IR"/>
        </w:rPr>
        <w:t xml:space="preserve">فإنّ قضیّة الإجارة بالاُجرة المخصوصة فی الزمن المعیّن حیث یُطلق عدم استحقاق شیء لو لم ینقل أو نقل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اشتراط عدم الاُجرة لو نقله فی غیر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شرط قضیّةَ العقد، فلم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النقل أو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شارکها فی هذا المعنی، وهو اشتراط عدم الاُجرة علی تقدیر مخالفة مقتضی الإجارة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 أ نّه إذا أخلّ بالمشروط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نقله فی الیوم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البطلان منسوباً إلی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فوّت الزمان المعیّن، ولم یفعل فیه ما شرط علیه، فلا یستحقّ شیئاً؛ لأنّه لم یفعل ما استؤجر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حاصلاً من جهة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للحکم ببطلان الإجارة علی هذا التقدیر وإثبات اُجرة المثل، بل اللازم عدم ثبوت شیء وإن نقل المتاع إلی المکان المعیَّن فی غیر الزمان؛ لأنّه فعل ما لم یؤمَر به ولا استؤجر علیه</w:t>
      </w:r>
      <w:r>
        <w:rPr>
          <w:rFonts w:eastAsia="IRNazanin" w:cs="IRNazanin"/>
          <w:color w:val="111111"/>
          <w:sz w:val="28"/>
          <w:szCs w:val="28"/>
          <w:rtl w:val="true"/>
          <w:lang w:bidi="fa-IR"/>
        </w:rPr>
        <w:t>.</w:t>
      </w:r>
      <w:bookmarkStart w:id="22" w:name="pg19810_214219"/>
    </w:p>
    <w:p>
      <w:pPr>
        <w:pStyle w:val="BookText"/>
        <w:rPr/>
      </w:pPr>
      <w:bookmarkEnd w:id="22"/>
      <w:r>
        <w:rPr>
          <w:rFonts w:ascii="IRNazanin" w:hAnsi="IRNazanin" w:eastAsia="IRNazanin"/>
          <w:color w:val="111111"/>
          <w:sz w:val="28"/>
          <w:sz w:val="28"/>
          <w:szCs w:val="28"/>
          <w:rtl w:val="true"/>
          <w:lang w:bidi="fa-IR"/>
        </w:rPr>
        <w:t>وهذا النظر ممّا لم یتعرّض له أحد من الأصحاب، ولا ذکره المصنّف فی غیر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نظر موجَّه، إلّاأ نّه لا یتمّ إلّاإذا فرض کون مورد الإجارة هو الفعل فی الزمن المعیّن، وما خرج عنه خارج عنها، وظاهر الروایة وکلام الأصحاب أنّ مورد الإجارة کلا القسمین، ومن ثَمّ حکموا بصحّتها مع إثبات الاُجرة علی التقدیرین، نظراً إلی حصول المقتضی وهو الإجارة المعیّنة المشتملة علی الاُجرة المعیّنة وإن تعدّدت واختلفت؛ لانحصارها وتعیّنها </w:t>
      </w:r>
      <w:r>
        <w:rPr>
          <w:rStyle w:val="FootnoteAnchor"/>
          <w:rtl w:val="true"/>
        </w:rPr>
        <w:footnoteReference w:id="16"/>
      </w:r>
      <w:r>
        <w:rPr>
          <w:rFonts w:ascii="IRNazanin" w:hAnsi="IRNazanin" w:eastAsia="IRNazanin"/>
          <w:color w:val="111111"/>
          <w:sz w:val="28"/>
          <w:sz w:val="28"/>
          <w:szCs w:val="28"/>
          <w:rtl w:val="true"/>
          <w:lang w:bidi="fa-IR"/>
        </w:rPr>
        <w:t>کما تقدّم، وبطلانها علی التقدیر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کون مورد الإجارة هو القسم الأوّل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النقل فی الزمن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الحکم بالبطلان علی تقدیر فرض اُجرة مع نقله فی غیره أولی؛ لأنّه خلاف قضیّة الإجارة وخلاف ما تعلّقت به، فکان أولی بثبوت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القسمین متعلّقها علی تقدیر ذکر الاُجرة، والأوّلَ خاصّةً علی تقدیر عدمه فی الثانی مع کونه خلاف الظاهر موجب لاختلاف الفرض بغیر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الفرق بکون تعیین الاُجرة علی التقدیرین قرینة جعلهما موردَ الإجارة حیث أتی بلازمها، وهو الاُجرة فیهما، وإسقاطها فی التقدیر الآخر قرینة عدم جعله مورداً من حیث نفی اللازم الدالّ علی نفی الملزوم، وحینئذٍ فتنزیله علی شرط قضیّة العقد أولی من جعله أجنبیّاً مفسداً للعقد بتخلّله بین الإیجاب والقبول</w:t>
      </w:r>
      <w:r>
        <w:rPr>
          <w:rFonts w:eastAsia="IRNazanin" w:cs="IRNazanin"/>
          <w:color w:val="111111"/>
          <w:sz w:val="28"/>
          <w:szCs w:val="28"/>
          <w:rtl w:val="true"/>
          <w:lang w:bidi="fa-IR"/>
        </w:rPr>
        <w:t>.</w:t>
      </w:r>
    </w:p>
    <w:p>
      <w:pPr>
        <w:pStyle w:val="Heading3"/>
        <w:numPr>
          <w:ilvl w:val="2"/>
          <w:numId w:val="1"/>
        </w:numPr>
        <w:rPr/>
      </w:pPr>
      <w:bookmarkStart w:id="23" w:name="__RefHeading___Toc2175269_2314609296"/>
      <w:bookmarkStart w:id="24" w:name="_Toc9"/>
      <w:bookmarkEnd w:id="23"/>
      <w:r>
        <w:rPr>
          <w:rtl w:val="true"/>
        </w:rPr>
        <w:t>[</w:t>
      </w:r>
      <w:r>
        <w:rPr>
          <w:rtl w:val="true"/>
        </w:rPr>
        <w:t>شروط المنفعة</w:t>
      </w:r>
      <w:r>
        <w:rPr>
          <w:rtl w:val="true"/>
        </w:rPr>
        <w:t>]</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الإجارة علی وجه 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المنفعة مملوکة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للمؤجر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لمولّاه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یدخل تحت ولایته ببنوّة، أو وصایة</w:t>
      </w:r>
    </w:p>
    <w:p>
      <w:pPr>
        <w:pStyle w:val="BookText"/>
        <w:rPr/>
      </w:pPr>
      <w:r>
        <w:rPr>
          <w:rFonts w:ascii="IRNazanin" w:hAnsi="IRNazanin" w:eastAsia="IRNazanin"/>
          <w:color w:val="111111"/>
          <w:sz w:val="28"/>
          <w:sz w:val="28"/>
          <w:szCs w:val="28"/>
          <w:rtl w:val="true"/>
          <w:lang w:bidi="fa-IR"/>
        </w:rPr>
        <w:t xml:space="preserve">أو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استأجر العین فملک منفعتها بالأصالة لا بالتبعیّة للعین ثمّ آجرها، أو اُوصی له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لملکه للعین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وللمستأجر </w:t>
      </w:r>
      <w:r>
        <w:rPr>
          <w:rStyle w:val="FootnoteAnchor"/>
          <w:rtl w:val="true"/>
        </w:rPr>
        <w:footnoteReference w:id="18"/>
      </w:r>
      <w:r>
        <w:rPr>
          <w:rFonts w:ascii="IRNazanin" w:hAnsi="IRNazanin" w:eastAsia="IRNazanin"/>
          <w:color w:val="111111"/>
          <w:sz w:val="28"/>
          <w:sz w:val="28"/>
          <w:szCs w:val="28"/>
          <w:rtl w:val="true"/>
          <w:lang w:bidi="fa-IR"/>
        </w:rPr>
        <w:t>أن یؤجر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التی استأجرها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المؤجر الأوّل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المنفعة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له حینئذٍ أن یؤجر، إلّاأن یشترط المستأجر الأوّل علی الثانی استیفاء المنفعة له بنفسه، فیصحّ أن یؤجر أیضاً؛ لعدم منافاتها لشرط المؤجر الأوّل، فإنّ استیفاءه المنفعة بنفسه أعمّ من استیفائها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جواز إیجاره لغیره هل یتوقّف تسلیم العین علی إذن مالکها؟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9"/>
      </w:r>
      <w:r>
        <w:rPr>
          <w:rFonts w:ascii="IRNazanin" w:hAnsi="IRNazanin" w:eastAsia="IRNazanin"/>
          <w:color w:val="111111"/>
          <w:sz w:val="28"/>
          <w:sz w:val="28"/>
          <w:szCs w:val="28"/>
          <w:rtl w:val="true"/>
          <w:lang w:bidi="fa-IR"/>
        </w:rPr>
        <w:t>إذ لا یلزم من استحقاقه استیفاء المنفعة والإذن له فی التسلّم جوازُ تسلیمها لغیره، فیضمن لو سلّمها بغیر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تسلیمها من غیر ضمان </w:t>
      </w:r>
      <w:r>
        <w:rPr>
          <w:rStyle w:val="FootnoteAnchor"/>
          <w:rtl w:val="true"/>
        </w:rPr>
        <w:footnoteReference w:id="20"/>
      </w:r>
      <w:r>
        <w:rPr>
          <w:rFonts w:ascii="IRNazanin" w:hAnsi="IRNazanin" w:eastAsia="IRNazanin"/>
          <w:color w:val="111111"/>
          <w:sz w:val="28"/>
          <w:sz w:val="28"/>
          <w:szCs w:val="28"/>
          <w:rtl w:val="true"/>
          <w:lang w:bidi="fa-IR"/>
        </w:rPr>
        <w:t>لأنّ القبض من ضرورات الإجارة للعین وقد حکم بجوازها، والإذن فی الشیء إذن فی لوازمه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الذی رجّحه المصنّف فی بعض حواشیه </w:t>
      </w:r>
      <w:r>
        <w:rPr>
          <w:rStyle w:val="FootnoteAnchor"/>
          <w:rtl w:val="true"/>
        </w:rPr>
        <w:footnoteReference w:id="21"/>
      </w:r>
      <w:r>
        <w:rPr>
          <w:rFonts w:ascii="IRNazanin" w:hAnsi="IRNazanin" w:eastAsia="IRNazanin"/>
          <w:color w:val="111111"/>
          <w:sz w:val="28"/>
          <w:sz w:val="28"/>
          <w:szCs w:val="28"/>
          <w:rtl w:val="true"/>
          <w:lang w:bidi="fa-IR"/>
        </w:rPr>
        <w:t>وفیه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صحیحة علیّ بن جعفر عن أخیه علیهما السلام فی عدم ضمان الدابّة المستأجرة بالتسلیم</w:t>
      </w:r>
    </w:p>
    <w:p>
      <w:pPr>
        <w:pStyle w:val="BookText"/>
        <w:rPr/>
      </w:pPr>
      <w:r>
        <w:rPr>
          <w:rFonts w:ascii="IRNazanin" w:hAnsi="IRNazanin" w:eastAsia="IRNazanin"/>
          <w:color w:val="111111"/>
          <w:sz w:val="28"/>
          <w:sz w:val="28"/>
          <w:szCs w:val="28"/>
          <w:rtl w:val="true"/>
          <w:lang w:bidi="fa-IR"/>
        </w:rPr>
        <w:t xml:space="preserve">إلی الغیر </w:t>
      </w:r>
      <w:r>
        <w:rPr>
          <w:rStyle w:val="FootnoteAnchor"/>
          <w:rtl w:val="true"/>
        </w:rPr>
        <w:footnoteReference w:id="22"/>
      </w:r>
      <w:r>
        <w:rPr>
          <w:rFonts w:ascii="IRNazanin" w:hAnsi="IRNazanin" w:eastAsia="IRNazanin"/>
          <w:color w:val="111111"/>
          <w:sz w:val="28"/>
          <w:sz w:val="28"/>
          <w:szCs w:val="28"/>
          <w:rtl w:val="true"/>
          <w:lang w:bidi="fa-IR"/>
        </w:rPr>
        <w:t>وغیرها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آجر الفضولی فالأقرب الوقوف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یقف غیرها 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وخصّها بالخلاف؛ لعدم النصّ فیها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البیع، فإنّ قصّة عروة البارقی مع النبیّ صلی الله علیه و آله فی شراء الشاة تدلّ علی جواز بیع الفضولی وشرائه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باختصاص الجواز بمورد النصّ </w:t>
      </w:r>
      <w:r>
        <w:rPr>
          <w:rStyle w:val="FootnoteAnchor"/>
          <w:rtl w:val="true"/>
        </w:rPr>
        <w:footnoteReference w:id="23"/>
      </w:r>
      <w:r>
        <w:rPr>
          <w:rFonts w:ascii="IRNazanin" w:hAnsi="IRNazanin" w:eastAsia="IRNazanin"/>
          <w:color w:val="111111"/>
          <w:sz w:val="28"/>
          <w:sz w:val="28"/>
          <w:szCs w:val="28"/>
          <w:rtl w:val="true"/>
          <w:lang w:bidi="fa-IR"/>
        </w:rPr>
        <w:t>والأشهر توقّفه علی الإجازة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 إمّا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لا یمکن ضبطه إلّا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به أو بالمسافة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یمکن ضبطه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یمکن ضبطه بالزمان کرکوب شهر، وبالمسافة کالرکوب إلی البلد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به أو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کاستئجار الآدمی 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ضبطه بالزمان کخیاطة شهر، وبالعمل کخیاطة هذا الثوب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جمع بین المدّة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کخیاطة هذا </w:t>
      </w:r>
      <w:r>
        <w:rPr>
          <w:rStyle w:val="FootnoteAnchor"/>
          <w:rtl w:val="true"/>
        </w:rPr>
        <w:footnoteReference w:id="24"/>
      </w:r>
      <w:r>
        <w:rPr>
          <w:rFonts w:ascii="IRNazanin" w:hAnsi="IRNazanin" w:eastAsia="IRNazanin"/>
          <w:color w:val="111111"/>
          <w:sz w:val="28"/>
          <w:sz w:val="28"/>
          <w:szCs w:val="28"/>
          <w:rtl w:val="true"/>
          <w:lang w:bidi="fa-IR"/>
        </w:rPr>
        <w:t xml:space="preserve">الثوب فی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البطلان إن قصد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العمل والزمان بحیث یبتدئ بابتدائه وینتهی بانتهائه؛ لأنّ ذلک ممّا لا یتّفق غالباً، بل یمکن انتهاء الزمان قبل انتهاء العمل وبالعکس، فإن أمر بالإکمال فی الأوّل لزم العمل فی غیر المدّة المشروطة وإلّا کان تارکاً للعمل الذی وقع علیه العقد، وإن أمر فی الثانی بالعمل إلی أن تنتهی المدّة لزم الزیادة علی ما وقع علیه العقد، وإن لم یعمل کان تارکاً للعمل فی المدّة المشروطة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قصد مجرّد وقوع الفعل فی ذلک الزمان صحّ مع إمکان وقوعه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إن وقع فیه مَلِک الاُجرة؛ لحصول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خرجت المدّة قبله، فإن کان قبلَ الشروع فیه بطلت، وإن خرجت فی أثنائه استحقّ المسمّی لما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بطلانها فی الباقی، أو تخیّر المستأجر بین الفسخ فی الباقی أو الإجازة، فیکمل خارجَه ویستحقّ المسمّی،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یستحقّ مع الفسخ اُجرةَ مثلِ ما عمل </w:t>
      </w:r>
      <w:r>
        <w:rPr>
          <w:rStyle w:val="FootnoteAnchor"/>
          <w:rtl w:val="true"/>
        </w:rPr>
        <w:footnoteReference w:id="25"/>
      </w:r>
      <w:r>
        <w:rPr>
          <w:rFonts w:ascii="IRNazanin" w:hAnsi="IRNazanin" w:eastAsia="IRNazanin"/>
          <w:color w:val="111111"/>
          <w:sz w:val="28"/>
          <w:sz w:val="28"/>
          <w:szCs w:val="28"/>
          <w:rtl w:val="true"/>
          <w:lang w:bidi="fa-IR"/>
        </w:rPr>
        <w:t>لا المسمّی والأوسط 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یعمل الأجیر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یستأجره للعمل بنفسه مدّة معیّنة حقیقة أو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استُؤجر لعملٍ معیّن أوّل زمانه الیوم المعیّن بحیث لا یتوانی فیه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لغیر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إلّابإذنه؛ لانحصار منفعته فیه بالنسبة إلی الوقت الذی جرت عادته بالعمل فیه کالنهار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غیره کاللیل فیجوز العمل فیه لغیره إذا لم یؤدّ إلی ضعف فی العمل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عمله لغیره فی المعیّن عملاً لا ینافی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کإیقاع عقد فی حال اشتغاله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من التصرّف فی حقّ الغیر، وشهادة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عملُ مملوکِ غیرِه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وباعتبار هذا الانحصار سُمّی خاصّاً؛ إذ لا یمکنه أن یشرّک غیرَ من استأجره فی العمل فی الزمان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عمل لغیره فی الوقت المختصّ، فلا یخلو إمّا أن یکون بعقد إجارة، أو جُعالة، أو تبرّعاً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المستأجر بین فسخ عقد نفسه لفوات المنافع التی وقع علیها العقد أو بعضها، وبین إبقائه، فإن اختار الفسخ وکان ذلک قبلَ أن یعمل الأجیر شیئاً فلا شیء علیه، وإن کان بعدَه تبعّضت الإجارة ولزمه من المسمّی</w:t>
      </w:r>
    </w:p>
    <w:p>
      <w:pPr>
        <w:pStyle w:val="BookText"/>
        <w:rPr/>
      </w:pP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بقی علی الإجارة تخیّر فی فسخ العقد الطارئ وإجازته؛ إذ المنفعة مملوکة له فالعاقد علیها فضولیّ، فإن فسخه رجع إلی اُجرة المثل عن المدّة الفائتة؛ لأنّها قیمة العمل المستحقّ له بعقد الإجارة وقد أتلف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ویتخیّر فی الرجوع بها علی الأجیر؛ لأنّه المباشر للإتلاف، أو المستأجر؛ لأ نّه المستوفی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أجازه ثبت له المسمّی فیه، فإن کان </w:t>
      </w:r>
      <w:r>
        <w:rPr>
          <w:rStyle w:val="FootnoteAnchor"/>
          <w:rtl w:val="true"/>
        </w:rPr>
        <w:footnoteReference w:id="26"/>
      </w:r>
      <w:r>
        <w:rPr>
          <w:rFonts w:ascii="IRNazanin" w:hAnsi="IRNazanin" w:eastAsia="IRNazanin"/>
          <w:color w:val="111111"/>
          <w:sz w:val="28"/>
          <w:sz w:val="28"/>
          <w:szCs w:val="28"/>
          <w:rtl w:val="true"/>
          <w:lang w:bidi="fa-IR"/>
        </w:rPr>
        <w:t>قبلَ قبض الأجیر له فالمطالَب به المستأجر؛ لأنّ الأجیر هنا بمنزلة فضولیّ باع ملکَ غیره فأجاز المالک، فإنّ الفضولی لا یُطالَب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القبض وکانت الاُجرة معیّنة فالمطالَب بها من هی فی یده، وإن کانت مطلقة، فإن أجاز القبض أیضاً فالمطالَب الأجیر، وإلّا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المستأجر یرجع علی الأجیر بما قبض مع جهله أو علمه وبقاء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عمله بجعالة تخیّر مع عدم فسخ إجارته بین إجازته فیأخذ المسمّی، وعدمه فیرجع باُجرة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عمل تبرّعاً وکان العمل ممّا له اُجرة فی العادة تخیّر مع عدم فسخ عقده بین مطالبة من شاء منهما باُجرة المثل، وإلّا فلا شیء، وفی معناه عمله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حاز شیئاً من المباحات بنیّة التملّک ملکه، وکان حکم الزمان المصروف فی ذلک ما ذکرناه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یُستأجر لعمل مجرّد عن المباشرة مع تعیین المدّة کتحصیل الخیاطة یوماً، أو عن المدّة مع تعیین المباشرة کأن یخیط له ثوباً بنفسه من غیر تعرّض إلی وقت، أو مجرّد عنهما کخیاطة ثوب مجرّد عن تعیین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مطلقاً؛ لعدم انحصار منفعته فی شخص معیّن، فمن ثَمّ جاز له أن</w:t>
      </w:r>
    </w:p>
    <w:p>
      <w:pPr>
        <w:pStyle w:val="BookText"/>
        <w:rPr/>
      </w:pPr>
      <w:r>
        <w:rPr>
          <w:rFonts w:ascii="IRNazanin" w:hAnsi="IRNazanin" w:eastAsia="IRNazanin"/>
          <w:color w:val="111111"/>
          <w:sz w:val="28"/>
          <w:sz w:val="28"/>
          <w:szCs w:val="28"/>
          <w:rtl w:val="true"/>
          <w:lang w:bidi="fa-IR"/>
        </w:rPr>
        <w:t>یعمل لنفسه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وتسمیته بذلک أولی من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 غیره </w:t>
      </w:r>
      <w:r>
        <w:rPr>
          <w:rStyle w:val="FootnoteAnchor"/>
          <w:rtl w:val="true"/>
        </w:rPr>
        <w:footnoteReference w:id="27"/>
      </w:r>
      <w:r>
        <w:rPr>
          <w:rFonts w:ascii="IRNazanin" w:hAnsi="IRNazanin" w:eastAsia="IRNazanin"/>
          <w:color w:val="111111"/>
          <w:sz w:val="28"/>
          <w:sz w:val="28"/>
          <w:szCs w:val="28"/>
          <w:rtl w:val="true"/>
          <w:lang w:bidi="fa-IR"/>
        </w:rPr>
        <w:t xml:space="preserve">لأ نّه فی مقابلة المقیّد وهو الخاصّ، ویباین هذا الخاصَّ باعتباراته الثلاثة؛ إذ الأوّل مطلق بالنسبة إلی المباشر </w:t>
      </w:r>
      <w:r>
        <w:rPr>
          <w:rStyle w:val="FootnoteAnchor"/>
          <w:rtl w:val="true"/>
        </w:rPr>
        <w:footnoteReference w:id="28"/>
      </w:r>
      <w:r>
        <w:rPr>
          <w:rFonts w:ascii="IRNazanin" w:hAnsi="IRNazanin" w:eastAsia="IRNazanin"/>
          <w:color w:val="111111"/>
          <w:sz w:val="28"/>
          <w:sz w:val="28"/>
          <w:szCs w:val="28"/>
          <w:rtl w:val="true"/>
          <w:lang w:bidi="fa-IR"/>
        </w:rPr>
        <w:t>والثانی بالنسبة إلی المدّة، والثالث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وللمصنّف رحمه الله قول بأنّ الإطلاق فی کلّ الإجارات یقتضی التعجیل وأ نّه یجب المبادرة إلی ذلک الفعل </w:t>
      </w:r>
      <w:r>
        <w:rPr>
          <w:rStyle w:val="FootnoteAnchor"/>
          <w:rtl w:val="true"/>
        </w:rPr>
        <w:footnoteReference w:id="29"/>
      </w:r>
      <w:r>
        <w:rPr>
          <w:rFonts w:ascii="IRNazanin" w:hAnsi="IRNazanin" w:eastAsia="IRNazanin"/>
          <w:color w:val="111111"/>
          <w:sz w:val="28"/>
          <w:sz w:val="28"/>
          <w:szCs w:val="28"/>
          <w:rtl w:val="true"/>
          <w:lang w:bidi="fa-IR"/>
        </w:rPr>
        <w:t>فإن کان مجرّداً عن المدّة خاصّة فبنفسه، وإلّا تخیّر بینه وبین غیره، وحینئذٍ فیقع التنافی بینه وبین عملٍ آخر فی صورة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 علیه عدم صحّة الإجارة الثانیة فی صورة التجرّد عن المدّة مع تعیین </w:t>
      </w:r>
      <w:r>
        <w:rPr>
          <w:rStyle w:val="FootnoteAnchor"/>
          <w:rtl w:val="true"/>
        </w:rPr>
        <w:footnoteReference w:id="30"/>
      </w:r>
      <w:r>
        <w:rPr>
          <w:rFonts w:ascii="IRNazanin" w:hAnsi="IRNazanin" w:eastAsia="IRNazanin"/>
          <w:color w:val="111111"/>
          <w:sz w:val="28"/>
          <w:sz w:val="28"/>
          <w:szCs w:val="28"/>
          <w:rtl w:val="true"/>
          <w:lang w:bidi="fa-IR"/>
        </w:rPr>
        <w:t>المباشرة کما مُنع الأجیر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ویرشد إلیه ما تقدّم فی الحجّ من عدم صحّة الإجارة الثانیة مع اتّحاد زمان الإیقاع نصّاً أو حکماً </w:t>
      </w:r>
      <w:r>
        <w:rPr>
          <w:rStyle w:val="FootnoteAnchor"/>
          <w:rtl w:val="true"/>
        </w:rPr>
        <w:footnoteReference w:id="31"/>
      </w:r>
      <w:r>
        <w:rPr>
          <w:rFonts w:ascii="Amiri" w:hAnsi="Amiri" w:eastAsia="Amiri" w:cs="Amiri"/>
          <w:color w:val="111111"/>
          <w:sz w:val="28"/>
          <w:sz w:val="28"/>
          <w:szCs w:val="28"/>
          <w:rtl w:val="true"/>
          <w:lang w:bidi="ar-SA"/>
        </w:rPr>
        <w:t>کما لو اُطلق فیهما، أو عُیّن فی إحداهما بالسنة الاُولی واُطلق فی الاُخری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ذکره أحوط، لکن لا دلیل علیه إن لم نقل باقتضاء مطلق الأمر الفور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ومضت مدّة یمکن فیها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فیما استأجرها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استقرّت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یستعملها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التسلیم ما لو بذل المؤجر العین فلم یأخذها المستأجر حتّی انقضت المدّة، أو مضت مدّة یمکنه الاستیفاء فتستقرّ الاُجرة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مباحة، فلو استأجره لتعلیم کفر أو</w:t>
      </w:r>
    </w:p>
    <w:p>
      <w:pPr>
        <w:pStyle w:val="BookText"/>
        <w:rPr/>
      </w:pP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المعلومات الباطلة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حمل مسکر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حمل المسکر الخمر بقصد الإراقة أو التخلیل، فإنّ الإجارة لهما جائزة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مقدوراً علی تسلیمها، فلا تصحّ إجارة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لاشتمالها فیه علی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ضمّ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متموّلاً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فی البیع، لا بالقیاس، بل لدخولها فی الحکم بطریق أولی؛ لاحتمالها من الغرر ما لا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الإمکان أفتی المصنّف فی بعض فوائده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النصّ المجوّز هنا فیقتصر فیه علی مورده وهو البیع، ومنع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الجواز هل یعتبر فی الضمیمة إمکان إفرادها بالإجارة أم بالبیع، أم یکفی کلّ واحد منهما فی کلّ واحد منهما؟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حصول المعنی فی کلّ منهما، ومن أنّ الظاهر ضمیمة کلّ شیء إلی جنسه، وقوّی المصنّف الثانی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آجره ممّن یقدر علی تحصیله صحّ من غیر 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المغصوب لو آجره الغاصبَ أو من یتمکّن من قبضه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طرأ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الانتفاع بالعین المؤجرة فیما اُوجرت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القبض فله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العین قبل القبض مضمونة علی المؤجر، فللمستأجر الفسخ عند تعذّرها ومطالبة المؤجر بالمسمّی لفوات المنفعة، وله الرضا بها وانتظار زوال المانع، أو مطالبة المانع باُجرة المثل لو کان غاصباً بل یحتمل مطالبة المؤجر بها أیضاً؛ لکون العین مضمونة علیه حتّی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یسقط</w:t>
      </w:r>
    </w:p>
    <w:p>
      <w:pPr>
        <w:pStyle w:val="BookText"/>
        <w:rPr/>
      </w:pPr>
      <w:r>
        <w:rPr>
          <w:rFonts w:ascii="IRNazanin" w:hAnsi="IRNazanin" w:eastAsia="IRNazanin"/>
          <w:color w:val="111111"/>
          <w:sz w:val="28"/>
          <w:sz w:val="28"/>
          <w:szCs w:val="28"/>
          <w:rtl w:val="true"/>
          <w:lang w:bidi="fa-IR"/>
        </w:rPr>
        <w:t>التخییر بزوال المانع فی أثناء المدّة؛ لأصالة بقائه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تلفاً </w:t>
      </w:r>
      <w:r>
        <w:rPr>
          <w:rStyle w:val="FootnoteAnchor"/>
          <w:rtl w:val="true"/>
        </w:rPr>
        <w:footnoteReference w:id="34"/>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الإجارة؛ لتعذّر تحصیل المنفعة المستأجَر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تبطل؛ لاستقرار العقد بالقبض وبراءة المؤجر، والحال أنّ العین موجودة یمکن تحصیل المنفعة منها، وإنّما المانع عارض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المستأجر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باُجرة مثل المنفعة الفائتة فی یده، ولا فرق حینئذٍ بین وقوع الغصب فی ابتداء المدّة وخلالها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الفرق بین کون الغاصب المؤجر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 فی المنفعة عیب فله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لفوات بعض المالیّة بسببه فیجبر بالخیار، ولأنّ الصبر علی العیب ضرر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اختار البقاء علی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العقد علی هذا المجموع وهو باقٍ فإمّا أن یفسخ أو یرضی بالجمیع، ومن کون الجزء الفائت أو الوصف مقصوداً للمستأجر ولم یحصل، وهو یستلزم نقص المنفعة التی هی أحد العوضین فیجبر بالأرش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إلی اُجرة مثل العین سلیمةً ومعیبةً ویرجع من المسمّی بمثل نسبة المعیبة إلی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اختار الفسخ وکان قبل مضیّ شیء من المدّة فلا شیء علیه، وإلّا فعلیه من المسمّی بنسبة ما مضی إلی المجموع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 فکذلک، کانهدام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استیفاء شیءٍ من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من ذلک کون التصرّف مسقطاً للخیار؛ لأنّ المعتبر منه ما وقع فی العوض المعیب الذی تعلّقت به المعاوضة وهو هنا المنفعة</w:t>
      </w:r>
    </w:p>
    <w:p>
      <w:pPr>
        <w:pStyle w:val="BookText"/>
        <w:rPr/>
      </w:pPr>
      <w:r>
        <w:rPr>
          <w:rFonts w:ascii="IRNazanin" w:hAnsi="IRNazanin" w:eastAsia="IRNazanin"/>
          <w:color w:val="111111"/>
          <w:sz w:val="28"/>
          <w:sz w:val="28"/>
          <w:szCs w:val="28"/>
          <w:rtl w:val="true"/>
          <w:lang w:bidi="fa-IR"/>
        </w:rPr>
        <w:t xml:space="preserve">وهی تتجدّد شیئاً فشیئاً، وما لم یستوفه منها لا یتحقّق فیه </w:t>
      </w:r>
      <w:r>
        <w:rPr>
          <w:rStyle w:val="FootnoteAnchor"/>
          <w:rtl w:val="true"/>
        </w:rPr>
        <w:footnoteReference w:id="35"/>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یتخیّر مع انهدام المسکن إذا أمکن الانتفاع به وإن قلّ أو أمکن إزالة المانع، وإلّا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أعاده المؤجر بسرعةٍ بحیث لا یفوت علیه شیء معتدّ به، ففی زوال الخیار نظر، من زوال المانع، وثبوت الخیار بالانهدام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أن یقاطع من یستعمله علی الاُجرة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به فی الأخبار، فعن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والیوم الآخر فلا یستعملنّ أجیراً حتّی یُعلمه ما أجره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وعن الرضا علیه السلام أ نّه ضرب غلمانه حیث استعملوا رجلاً بغیر مقاطعة،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من أحد یعمل لک شیئاً بغیر مقاطعة ثمّ زدته لذلک الشیء ثلاثة أضعاف علی اُجرته إلّاظنّ أ نّک قد نقصته اُجرته، وإذا قاطعته ثمّ أعطیته اُجرته حمدک علی الوفاء، فإن زدته حبّةً عرف ذلک لک، ورأی أ نّک قد زدته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فراغه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العمل، قال الصادق علیه السلام فی الحمّال والأجیر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یجفّ عرقه حتّی تعطیه اُجرته</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وعن حنان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تکارینا لأبی عبد اللّٰه علیه السلام قوماً یعملون فی بستان له وکان أجلهم إلی العصر، فلمّا فرغوا قال لمعتِّب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أعطهم اُجورهم قبل أن یجفّ عرقهم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أن یُضمَّن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ما تلف بیده بناءً علی ضمان الصانع ما یتلف بیده، أو مع قیام البیّنة علی تفریطه، أو مع نکوله عن الیمین حیث یتوجّه علیه لو قضینا بالنکول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بتقصیره علی وجهٍ یوجب الضمان</w:t>
      </w:r>
      <w:r>
        <w:rPr>
          <w:rFonts w:eastAsia="IRNazanin" w:cs="IRNazanin"/>
          <w:color w:val="111111"/>
          <w:sz w:val="28"/>
          <w:szCs w:val="28"/>
          <w:rtl w:val="true"/>
          <w:lang w:bidi="fa-IR"/>
        </w:rPr>
        <w:t>.</w:t>
      </w:r>
      <w:bookmarkStart w:id="25" w:name="pg19810_214228"/>
    </w:p>
    <w:p>
      <w:pPr>
        <w:pStyle w:val="Heading3"/>
        <w:numPr>
          <w:ilvl w:val="2"/>
          <w:numId w:val="1"/>
        </w:numPr>
        <w:rPr/>
      </w:pPr>
      <w:bookmarkStart w:id="26" w:name="__RefHeading___Toc2175271_2314609296"/>
      <w:bookmarkStart w:id="27" w:name="_Toc10"/>
      <w:bookmarkEnd w:id="25"/>
      <w:bookmarkEnd w:id="26"/>
      <w:r>
        <w:rPr>
          <w:rtl w:val="true"/>
        </w:rPr>
        <w:t>«</w:t>
      </w:r>
      <w:r>
        <w:rPr>
          <w:rtl w:val="true"/>
        </w:rPr>
        <w:t>مسائل</w:t>
      </w:r>
      <w:r>
        <w:rPr>
          <w:rtl w:val="true"/>
        </w:rPr>
        <w:t>»</w:t>
      </w:r>
      <w:bookmarkEnd w:id="27"/>
    </w:p>
    <w:p>
      <w:pPr>
        <w:pStyle w:val="Heading4"/>
        <w:numPr>
          <w:ilvl w:val="3"/>
          <w:numId w:val="1"/>
        </w:numPr>
        <w:rPr/>
      </w:pPr>
      <w:bookmarkStart w:id="28" w:name="__RefHeading___Toc2175273_2314609296"/>
      <w:bookmarkStart w:id="29" w:name="_Toc11"/>
      <w:bookmarkEnd w:id="28"/>
      <w:r>
        <w:rPr>
          <w:rtl w:val="true"/>
        </w:rPr>
        <w:t>«</w:t>
      </w:r>
      <w:r>
        <w:rPr>
          <w:rtl w:val="true"/>
        </w:rPr>
        <w:t>الاُولی</w:t>
      </w:r>
      <w:r>
        <w:rPr>
          <w:rtl w:val="true"/>
        </w:rPr>
        <w:t>» : «</w:t>
      </w:r>
      <w:r>
        <w:rPr>
          <w:rtl w:val="true"/>
        </w:rPr>
        <w:t>من تقبّل عملاً فله تقبیله غیره بأقلّ</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تقبّل عملاً فله تقبیله غیره بأقلّ</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ممّا تقبّله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الجواز، وما ورد من الأخبار دالّاً علی النهی عنه </w:t>
      </w:r>
      <w:r>
        <w:rPr>
          <w:rStyle w:val="FootnoteAnchor"/>
          <w:rtl w:val="true"/>
        </w:rPr>
        <w:footnoteReference w:id="41"/>
      </w:r>
      <w:r>
        <w:rPr>
          <w:rFonts w:ascii="IRNazanin" w:hAnsi="IRNazanin" w:eastAsia="IRNazanin"/>
          <w:color w:val="111111"/>
          <w:sz w:val="28"/>
          <w:sz w:val="28"/>
          <w:szCs w:val="28"/>
          <w:rtl w:val="true"/>
          <w:lang w:bidi="fa-IR"/>
        </w:rPr>
        <w:t xml:space="preserve">یحمل علی الکراهة جمعاً بینها وبین ما یدلّ علی الجواز </w:t>
      </w:r>
      <w:r>
        <w:rPr>
          <w:rStyle w:val="FootnoteAnchor"/>
          <w:rtl w:val="true"/>
        </w:rPr>
        <w:footnoteReference w:id="42"/>
      </w:r>
      <w:r>
        <w:rPr>
          <w:rFonts w:ascii="IRNazanin" w:hAnsi="IRNazanin" w:eastAsia="IRNazanin"/>
          <w:color w:val="111111"/>
          <w:sz w:val="28"/>
          <w:sz w:val="28"/>
          <w:szCs w:val="28"/>
          <w:rtl w:val="true"/>
          <w:lang w:bidi="fa-IR"/>
        </w:rPr>
        <w:t xml:space="preserve">هذا إذا لم یشترط علیه العمل بنفسه وإلّا فلا إشکال فی المنع، وإذا لم یحدث فیه حدثاً وإن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أحدث فیه حدثاً فلا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الجواز؛ للاتّفاق علیه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الجواز فالمشهور اشتراط إذن المالک فی تسلیم العین للمتقبّل؛ لأنّها مال الغیر فلا یصحّ تسلیمه لغیره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إجارته لا ینافیه، فیستأذن المالک فیه، فإن امتنع رفع أمره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ففی جوازه بغیر إذنه، أو تسلّطه علی الفسخ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التسلیم بغیر إذنه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کان المتقبّل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p>
    <w:p>
      <w:pPr>
        <w:pStyle w:val="Heading4"/>
        <w:numPr>
          <w:ilvl w:val="3"/>
          <w:numId w:val="1"/>
        </w:numPr>
        <w:rPr/>
      </w:pPr>
      <w:bookmarkStart w:id="30" w:name="__RefHeading___Toc2175275_2314609296"/>
      <w:bookmarkStart w:id="31" w:name="_Toc12"/>
      <w:bookmarkEnd w:id="30"/>
      <w:r>
        <w:rPr>
          <w:rtl w:val="true"/>
        </w:rPr>
        <w:t>«</w:t>
      </w:r>
      <w:r>
        <w:rPr>
          <w:rtl w:val="true"/>
        </w:rPr>
        <w:t>الثانیة</w:t>
      </w:r>
      <w:r>
        <w:rPr>
          <w:rtl w:val="true"/>
        </w:rPr>
        <w:t>» : «</w:t>
      </w:r>
      <w:r>
        <w:rPr>
          <w:rtl w:val="true"/>
        </w:rPr>
        <w:t>لو استأجر عیناً فله إجارتها بأکثر ممّا استأجرها به</w:t>
      </w:r>
      <w:r>
        <w:rPr>
          <w:rtl w:val="true"/>
        </w:rPr>
        <w:t>»</w:t>
      </w:r>
      <w:bookmarkEnd w:id="31"/>
    </w:p>
    <w:p>
      <w:pPr>
        <w:pStyle w:val="BookText"/>
        <w:rPr/>
      </w:pPr>
      <w:r>
        <w:rPr>
          <w:rFonts w:ascii="IRNazanin" w:hAnsi="IRNazanin" w:eastAsia="IRNazanin"/>
          <w:color w:val="111111"/>
          <w:sz w:val="28"/>
          <w:sz w:val="28"/>
          <w:szCs w:val="28"/>
          <w:rtl w:val="true"/>
          <w:lang w:bidi="fa-IR"/>
        </w:rPr>
        <w:t xml:space="preserve">للأصل، وعموم الأمر بالوفاء بالعقود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بالمنع إلّاأن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جنس الاُجرة، أو یحدث</w:t>
      </w:r>
      <w:bookmarkStart w:id="32" w:name="pg19810_214229"/>
    </w:p>
    <w:p>
      <w:pPr>
        <w:pStyle w:val="BookText"/>
        <w:rPr/>
      </w:pPr>
      <w:bookmarkEnd w:id="32"/>
      <w:r>
        <w:rPr>
          <w:rFonts w:ascii="IRNazanin" w:hAnsi="IRNazanin" w:eastAsia="IRNazanin"/>
          <w:color w:val="111111"/>
          <w:sz w:val="28"/>
          <w:sz w:val="28"/>
          <w:szCs w:val="28"/>
          <w:rtl w:val="true"/>
          <w:lang w:bidi="fa-IR"/>
        </w:rPr>
        <w:t>فیها صفة کمال</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استناداً إلی روایتین </w:t>
      </w:r>
      <w:r>
        <w:rPr>
          <w:rStyle w:val="FootnoteAnchor"/>
          <w:rtl w:val="true"/>
        </w:rPr>
        <w:footnoteReference w:id="45"/>
      </w:r>
      <w:r>
        <w:rPr>
          <w:rFonts w:ascii="IRNazanin" w:hAnsi="IRNazanin" w:eastAsia="IRNazanin"/>
          <w:color w:val="111111"/>
          <w:sz w:val="28"/>
          <w:sz w:val="28"/>
          <w:szCs w:val="28"/>
          <w:rtl w:val="true"/>
          <w:lang w:bidi="fa-IR"/>
        </w:rPr>
        <w:t>ظاهرتین فی الکراهة وإلی استلزامه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إذ لا معاوضة علی الجنس الواحد</w:t>
      </w:r>
      <w:r>
        <w:rPr>
          <w:rFonts w:eastAsia="IRNazanin" w:cs="IRNazanin"/>
          <w:color w:val="111111"/>
          <w:sz w:val="28"/>
          <w:szCs w:val="28"/>
          <w:rtl w:val="true"/>
          <w:lang w:bidi="fa-IR"/>
        </w:rPr>
        <w:t>.</w:t>
      </w:r>
    </w:p>
    <w:p>
      <w:pPr>
        <w:pStyle w:val="Heading4"/>
        <w:numPr>
          <w:ilvl w:val="3"/>
          <w:numId w:val="1"/>
        </w:numPr>
        <w:rPr/>
      </w:pPr>
      <w:bookmarkStart w:id="33" w:name="__RefHeading___Toc2175277_2314609296"/>
      <w:bookmarkStart w:id="34" w:name="_Toc13"/>
      <w:bookmarkEnd w:id="33"/>
      <w:r>
        <w:rPr>
          <w:rtl w:val="true"/>
        </w:rPr>
        <w:t>«</w:t>
      </w:r>
      <w:r>
        <w:rPr>
          <w:rtl w:val="true"/>
        </w:rPr>
        <w:t>الثالثة</w:t>
      </w:r>
      <w:r>
        <w:rPr>
          <w:rtl w:val="true"/>
        </w:rPr>
        <w:t>» : «</w:t>
      </w:r>
      <w:r>
        <w:rPr>
          <w:rtl w:val="true"/>
        </w:rPr>
        <w:t>إذا فرّط فی العین</w:t>
      </w:r>
      <w:r>
        <w:rPr>
          <w:rtl w:val="true"/>
        </w:rPr>
        <w:t>»</w:t>
      </w:r>
      <w:bookmarkEnd w:id="34"/>
    </w:p>
    <w:p>
      <w:pPr>
        <w:pStyle w:val="BookText"/>
        <w:rPr/>
      </w:pPr>
      <w:r>
        <w:rPr>
          <w:rFonts w:ascii="IRNazanin" w:hAnsi="IRNazanin" w:eastAsia="IRNazanin"/>
          <w:color w:val="111111"/>
          <w:sz w:val="28"/>
          <w:sz w:val="28"/>
          <w:szCs w:val="28"/>
          <w:rtl w:val="true"/>
          <w:lang w:bidi="fa-IR"/>
        </w:rPr>
        <w:t xml:space="preserve">المستأجرة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قیمتها یومَ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یوم تعلِّقها بذمّته، کما أنّ الغاصب یضمن القیمة یوم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الأکثر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یوم الانتقال إلی القیمة، لا قبله وإن حکم بالضمان؛ لأنّ المفروض بقاء العین فلا ینتقل إلی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الخلاف ما إذا کان الاختلاف بتفاوت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بسبب نقص فی العین فلا شبهة فی ضمانه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القیمة حلف الغارم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الزیادة ولأ نّه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المالک إن کانت دابّة </w:t>
      </w:r>
      <w:r>
        <w:rPr>
          <w:rStyle w:val="FootnoteAnchor"/>
          <w:rtl w:val="true"/>
        </w:rPr>
        <w:footnoteReference w:id="47"/>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Heading4"/>
        <w:numPr>
          <w:ilvl w:val="3"/>
          <w:numId w:val="1"/>
        </w:numPr>
        <w:rPr/>
      </w:pPr>
      <w:bookmarkStart w:id="35" w:name="__RefHeading___Toc2175279_2314609296"/>
      <w:bookmarkStart w:id="36" w:name="_Toc14"/>
      <w:bookmarkEnd w:id="35"/>
      <w:r>
        <w:rPr>
          <w:rtl w:val="true"/>
        </w:rPr>
        <w:t>«</w:t>
      </w:r>
      <w:r>
        <w:rPr>
          <w:rtl w:val="true"/>
        </w:rPr>
        <w:t>الرابعة</w:t>
      </w:r>
      <w:r>
        <w:rPr>
          <w:rtl w:val="true"/>
        </w:rPr>
        <w:t>» : «</w:t>
      </w:r>
      <w:r>
        <w:rPr>
          <w:rtl w:val="true"/>
        </w:rPr>
        <w:t>مؤونة العبد أو الدابّة علی المالک</w:t>
      </w:r>
      <w:r>
        <w:rPr>
          <w:rtl w:val="true"/>
        </w:rPr>
        <w:t>»</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المستأجر؛ لأنّها تابعة للملک، وأصالة عدم وجوبها علی غیر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المستأجر مطلقاً </w:t>
      </w:r>
      <w:r>
        <w:rPr>
          <w:rStyle w:val="FootnoteAnchor"/>
          <w:rtl w:val="true"/>
        </w:rPr>
        <w:footnoteReference w:id="48"/>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bookmarkStart w:id="37" w:name="pg19810_214230"/>
    </w:p>
    <w:p>
      <w:pPr>
        <w:pStyle w:val="BookText"/>
        <w:rPr/>
      </w:pPr>
      <w:bookmarkEnd w:id="37"/>
      <w:r>
        <w:rPr>
          <w:rFonts w:ascii="IRNazanin" w:hAnsi="IRNazanin" w:eastAsia="IRNazanin"/>
          <w:color w:val="111111"/>
          <w:sz w:val="28"/>
          <w:sz w:val="28"/>
          <w:szCs w:val="28"/>
          <w:rtl w:val="true"/>
          <w:lang w:bidi="fa-IR"/>
        </w:rPr>
        <w:t xml:space="preserve">ثمّ إن کان المالک حاضراً عندها أنفق، وإلّا استأذنه المستأجر فی الإنفاق ورجع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أنفق علیه المستأجر بنیّة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مع تعذّر إذن المالک أو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یُشهد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أهمل مع غیبة المالک ضمن؛ لتفریطه، إلّاأن ینهاه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استأجر أجیراً لینفذه فی حوائجه فنفقته علی المستأجر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روایة سلیمان بن سالم عن الرضا علیه السلام </w:t>
      </w:r>
      <w:r>
        <w:rPr>
          <w:rStyle w:val="FootnoteAnchor"/>
          <w:rtl w:val="true"/>
        </w:rPr>
        <w:footnoteReference w:id="49"/>
      </w:r>
      <w:r>
        <w:rPr>
          <w:rFonts w:ascii="IRNazanin" w:hAnsi="IRNazanin" w:eastAsia="IRNazanin"/>
          <w:color w:val="111111"/>
          <w:sz w:val="28"/>
          <w:sz w:val="28"/>
          <w:szCs w:val="28"/>
          <w:rtl w:val="true"/>
          <w:lang w:bidi="fa-IR"/>
        </w:rPr>
        <w:t>ولاستحقاق منافعه المانع من ثبوت النفقة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أ نّه کغیره لا تجب نفقته إلّامع الشرط، وتحمل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سلامة سندها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واستحقاق منافعه لا یمنع من وجوب النفقة فی ماله الذی من جملته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یشترط فیه وفی غیره من الحیوان علی المستأجر یعتبر بیان قدرها ووصفها، بخلاف ما لو قیل بوجوبها علیه ابتداءً، فإنّه یکفی القیام بعادة أمثاله</w:t>
      </w:r>
      <w:r>
        <w:rPr>
          <w:rFonts w:eastAsia="IRNazanin" w:cs="IRNazanin"/>
          <w:color w:val="111111"/>
          <w:sz w:val="28"/>
          <w:szCs w:val="28"/>
          <w:rtl w:val="true"/>
          <w:lang w:bidi="fa-IR"/>
        </w:rPr>
        <w:t>.</w:t>
      </w:r>
    </w:p>
    <w:p>
      <w:pPr>
        <w:pStyle w:val="Heading4"/>
        <w:numPr>
          <w:ilvl w:val="3"/>
          <w:numId w:val="1"/>
        </w:numPr>
        <w:rPr/>
      </w:pPr>
      <w:bookmarkStart w:id="38" w:name="__RefHeading___Toc2175281_2314609296"/>
      <w:bookmarkStart w:id="39" w:name="_Toc15"/>
      <w:bookmarkEnd w:id="38"/>
      <w:r>
        <w:rPr>
          <w:rtl w:val="true"/>
        </w:rPr>
        <w:t>«</w:t>
      </w:r>
      <w:r>
        <w:rPr>
          <w:rtl w:val="true"/>
        </w:rPr>
        <w:t>الخامسة</w:t>
      </w:r>
      <w:r>
        <w:rPr>
          <w:rtl w:val="true"/>
        </w:rPr>
        <w:t>» : «</w:t>
      </w:r>
      <w:r>
        <w:rPr>
          <w:rtl w:val="true"/>
        </w:rPr>
        <w:t>لا یجوز إسقاط المنفعة المعیّنة</w:t>
      </w:r>
      <w:r>
        <w:rPr>
          <w:rtl w:val="true"/>
        </w:rPr>
        <w:t>»</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الإبراء منها، سواء کان بلفظ الإسقاط أم الإبراء أم غیرهما من الألفاظ الدالّة علیه؛ لأنّه عبارة عن إسقاط ما فی الذمّة فلا یتعلّق بالأعیان ولا بالمنافع المتعلّقة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المتعلّقة بالذمّة وإن لم یستحقّ المطالبة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bookmarkStart w:id="40" w:name="pg19810_214231"/>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 إسقاطها إن تعلّقت بالذمّة، لا إن کانت عیناً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أجیراً لیعمل له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فتلف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صغیراً کان أم کبیراً، حرّاً کان أم عبداً؛ لأنّه قبضه لاستیفاء منفعة مستحقّة لا یمکن تحصیلها إلّا بإثبات الید علیه، فکان أمانة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تلفه مدّة الإجارة وبعدها، إلّا أن یحبسه مع الطلب بعد انقضاء المدّة فیصیر بمنزلة المغصوب، وسیأتی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الحرّ البالغ لا یُضمن مطلقاً </w:t>
      </w:r>
      <w:r>
        <w:rPr>
          <w:rStyle w:val="FootnoteAnchor"/>
          <w:rtl w:val="true"/>
        </w:rPr>
        <w:footnoteReference w:id="51"/>
      </w:r>
      <w:r>
        <w:rPr>
          <w:rFonts w:ascii="IRNazanin" w:hAnsi="IRNazanin" w:eastAsia="IRNazanin"/>
          <w:color w:val="111111"/>
          <w:sz w:val="28"/>
          <w:sz w:val="28"/>
          <w:szCs w:val="28"/>
          <w:rtl w:val="true"/>
          <w:lang w:bidi="fa-IR"/>
        </w:rPr>
        <w:t>وما علیه من الثیاب تابع له، ولو کان صغیراً أو عبداً ضمنه</w:t>
      </w:r>
      <w:r>
        <w:rPr>
          <w:rFonts w:eastAsia="IRNazanin" w:cs="IRNazanin"/>
          <w:color w:val="111111"/>
          <w:sz w:val="28"/>
          <w:szCs w:val="28"/>
          <w:rtl w:val="true"/>
          <w:lang w:bidi="fa-IR"/>
        </w:rPr>
        <w:t>.</w:t>
      </w:r>
    </w:p>
    <w:p>
      <w:pPr>
        <w:pStyle w:val="Heading4"/>
        <w:numPr>
          <w:ilvl w:val="3"/>
          <w:numId w:val="1"/>
        </w:numPr>
        <w:rPr/>
      </w:pPr>
      <w:bookmarkStart w:id="41" w:name="__RefHeading___Toc2175283_2314609296"/>
      <w:bookmarkStart w:id="42" w:name="_Toc16"/>
      <w:bookmarkEnd w:id="41"/>
      <w:r>
        <w:rPr>
          <w:rtl w:val="true"/>
        </w:rPr>
        <w:t>«</w:t>
      </w:r>
      <w:r>
        <w:rPr>
          <w:rtl w:val="true"/>
        </w:rPr>
        <w:t>السادسة</w:t>
      </w:r>
      <w:r>
        <w:rPr>
          <w:rtl w:val="true"/>
        </w:rPr>
        <w:t>» : «</w:t>
      </w:r>
      <w:r>
        <w:rPr>
          <w:rtl w:val="true"/>
        </w:rPr>
        <w:t>کلّ ما یتوقّف علیه توفیة المنفعة فعلی المؤجر، کالقَتَب والزِمام والحِزام</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ما یتوقّف علیه توفیة المنفعة فعلی المؤجر، کالقَتَب والزِمام والحِزام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والسرج والبَرْذَعَة ورفع المحمل والأحمال وشدّها وحطّها والقائِد والسائق إن شرط مصاحبته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والمداد فی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 إیفاء المنفعة الواجبة علیه بالعقد اللازم، فیجب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الرجوع فیه إلی العرف، فإن انتفی أو اضطرب فعلی المستأجر؛ لأنّ الواجب علی المؤجر إنّما هو العمل؛ لأنّ ذلک هو المقصود من إجارة العین، أمّا الأعیان فلا تدخل فی مفهوم الإجارة علی وجهٍ یجب إذهابها لأجلها، إلّافی مواضع نادرة تثبت علی خلاف الأصل کالرضاع والاستحمام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الخیوط للخیاطة، والصبغ للصباغة، والکُشّ </w:t>
      </w:r>
      <w:r>
        <w:rPr>
          <w:rStyle w:val="FootnoteAnchor"/>
          <w:rtl w:val="true"/>
        </w:rPr>
        <w:footnoteReference w:id="53"/>
      </w:r>
      <w:r>
        <w:rPr>
          <w:rFonts w:ascii="IRNazanin" w:hAnsi="IRNazanin" w:eastAsia="IRNazanin"/>
          <w:color w:val="111111"/>
          <w:sz w:val="28"/>
          <w:sz w:val="28"/>
          <w:szCs w:val="28"/>
          <w:rtl w:val="true"/>
          <w:lang w:bidi="fa-IR"/>
        </w:rPr>
        <w:t>للتلقیح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یجب علی المؤجر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تابع للغَلَق المثبت الذی یدخل فی الإجارة، بل هو کالجزء منه وإن کان منقولاً، ومن شأن</w:t>
      </w:r>
      <w:bookmarkStart w:id="43" w:name="pg19810_214232"/>
    </w:p>
    <w:p>
      <w:pPr>
        <w:pStyle w:val="BookText"/>
        <w:rPr/>
      </w:pPr>
      <w:bookmarkEnd w:id="43"/>
      <w:r>
        <w:rPr>
          <w:rFonts w:ascii="IRNazanin" w:hAnsi="IRNazanin" w:eastAsia="IRNazanin"/>
          <w:color w:val="111111"/>
          <w:sz w:val="28"/>
          <w:sz w:val="28"/>
          <w:szCs w:val="28"/>
          <w:rtl w:val="true"/>
          <w:lang w:bidi="fa-IR"/>
        </w:rPr>
        <w:t>المنقول أن لا یدخل فی إجارة العقار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مفتاح القُفل فلا یجب تسلیمه کما لا یجب تسلیم القُفل؛ لانتفاء التبعیّة عرفاً</w:t>
      </w:r>
      <w:r>
        <w:rPr>
          <w:rFonts w:eastAsia="IRNazanin" w:cs="IRNazanin"/>
          <w:color w:val="111111"/>
          <w:sz w:val="28"/>
          <w:szCs w:val="28"/>
          <w:rtl w:val="true"/>
          <w:lang w:bidi="fa-IR"/>
        </w:rPr>
        <w:t>.</w:t>
      </w:r>
    </w:p>
    <w:p>
      <w:pPr>
        <w:pStyle w:val="Heading4"/>
        <w:numPr>
          <w:ilvl w:val="3"/>
          <w:numId w:val="1"/>
        </w:numPr>
        <w:rPr/>
      </w:pPr>
      <w:bookmarkStart w:id="44" w:name="__RefHeading___Toc2175285_2314609296"/>
      <w:bookmarkStart w:id="45" w:name="_Toc17"/>
      <w:bookmarkEnd w:id="44"/>
      <w:r>
        <w:rPr>
          <w:rtl w:val="true"/>
        </w:rPr>
        <w:t>«</w:t>
      </w:r>
      <w:r>
        <w:rPr>
          <w:rtl w:val="true"/>
        </w:rPr>
        <w:t>السابعة</w:t>
      </w:r>
      <w:r>
        <w:rPr>
          <w:rtl w:val="true"/>
        </w:rPr>
        <w:t>» : «</w:t>
      </w:r>
      <w:r>
        <w:rPr>
          <w:rtl w:val="true"/>
        </w:rPr>
        <w:t>لو اختلفا فی عقد الإجارة حلف المنکر</w:t>
      </w:r>
      <w:r>
        <w:rPr>
          <w:rtl w:val="true"/>
        </w:rPr>
        <w:t>»</w:t>
      </w:r>
      <w:bookmarkEnd w:id="45"/>
    </w:p>
    <w:p>
      <w:pPr>
        <w:pStyle w:val="BookText"/>
        <w:rPr/>
      </w:pPr>
      <w:r>
        <w:rPr>
          <w:rFonts w:ascii="IRNazanin" w:hAnsi="IRNazanin" w:eastAsia="IRNazanin"/>
          <w:color w:val="111111"/>
          <w:sz w:val="28"/>
          <w:sz w:val="28"/>
          <w:szCs w:val="28"/>
          <w:rtl w:val="true"/>
          <w:lang w:bidi="fa-IR"/>
        </w:rPr>
        <w:t>لها، سواء کان هو المالک أم غیره؛ لأصالة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النزاع قبل استیفاء شیء من المنافع رجع کلّ مال إلی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استیفاء شیءٍ منها أو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یزعم من یدّعی وقوع الإجارة أ نّه متعلّق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المنکر المالک، فإن أنکر مع ذلک الإذن فی التصرّف وحلف استحقّ اُجرة المثل وإن زادت عن المسمّی بزعم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المتصرّف یزعم تعیّنها فی مال مخصوص وکان من جنس النقد الغالب لزم المالک قبضه عن اُجرة المثل، فإن ساواها أخذه، وإن نقص وجب علی المتصرّف الإکمال، وإن زاد صار الباقی مجهول المالک؛ لزعم المتصرّف استحقاق المالک وهو ینکر، وإن کان مغایراً له ولم یرض المالک به وجب علیه الدفع من الغالب، وبقی ذلک بأجمعه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 العین بإنکار الإذن، ولو اعترف به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المنکر المتصرّف وحلف وجب علیه اُجرة المثل، فإن کانت أزید من المسمّی بزعم المالک لم یکن له المطالبة به إن کان دفعه؛ لاعترافه باستحقاق المالک له، ووجب علیه دفعه إن لم یکن دفعه، ولیس للمالک قبضه؛ لاعترافه بأ نّه لا یستحقّ أزید من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زاد المسمّی عن اُجرة المثل کان للمنکر المطالبة بالزائد إن کان دفعه، وسقط 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 لیست مضمونة علیه هنا؛ لاعتراف المالک بکونها أمانة بالإجارة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الشیء المستأجَر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العین</w:t>
      </w:r>
    </w:p>
    <w:p>
      <w:pPr>
        <w:pStyle w:val="BookText"/>
        <w:rPr/>
      </w:pPr>
      <w:r>
        <w:rPr>
          <w:rFonts w:ascii="IRNazanin" w:hAnsi="IRNazanin" w:eastAsia="IRNazanin"/>
          <w:color w:val="111111"/>
          <w:sz w:val="28"/>
          <w:sz w:val="28"/>
          <w:szCs w:val="28"/>
          <w:rtl w:val="true"/>
          <w:lang w:bidi="fa-IR"/>
        </w:rPr>
        <w:t>المستأجرة،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البیت بمئة،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الدار أجمع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وقوع الإجارة علی ما زاد عمّا اتّفقا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یتحالفان </w:t>
      </w:r>
      <w:r>
        <w:rPr>
          <w:rStyle w:val="FootnoteAnchor"/>
          <w:rtl w:val="true"/>
        </w:rPr>
        <w:footnoteReference w:id="54"/>
      </w:r>
      <w:r>
        <w:rPr>
          <w:rFonts w:ascii="Amiri" w:hAnsi="Amiri" w:eastAsia="Amiri" w:cs="Amiri"/>
          <w:color w:val="111111"/>
          <w:sz w:val="28"/>
          <w:sz w:val="28"/>
          <w:szCs w:val="28"/>
          <w:rtl w:val="true"/>
          <w:lang w:bidi="ar-SA"/>
        </w:rPr>
        <w:t>وتبطل الإجارة؛ لأنّ کلّاً منهما مدّعٍ ومنکر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ردّ العین 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 والمستأجر قبض لمصلحة نفسه فلا یقبل قوله فیه، مع مخالفته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هلاک المتاع المستأجر علیه حلف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أمین، ولإمکان صدقه فیه، فلو لم یقبل قوله فیه لزم تخلیده الحبسَ ولا فرق بین دعواه تلفه بأمر ظاهر کالغَرَق، أو خفیّ کالسَرَق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کیفیّة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کالقباء والقمیص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قطعه الخیّاط قباءً فقال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أمرتک بقطعه قمیصاً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منکر لما یدّعیه الخیّاط من التصرّف فی ماله، والأصل عدم ما یدّعیه الخیّاط من الإذن، ولقبول قول المالک فی أصل الإذن وکذا فی صفته؛ لأنّ مرجع هذا النزاع إلی الإذن علی وجهٍ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الخیّاط؛ لدعوی المالک علیه ما یوجب الأرش، والأصل عدمه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المختار إذا حلف المالک ثبت علی الخیّاط أرش الثوب ما بین کونه مقطوعاً قمیصاً وقباءً، ولا اُجرة له علی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فتقه لیرفع ما أحدثه من العمل إن کانت الخیوط للمالک؛ إذ لا عین له ینزعها، والعمل لیس بعین وقد صدر عدواناً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الخیوط للخیّاط، فالأقوی أنّ له نزعها کالمغصوب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استلزامه التصرّف فی مال الغیر، ولو طلب المالک أن یشدّ فی طرف کلّ خیط منها خیطاً لتصیر خیوطه فی موضع خیوط الخیّاط إذا سلّها لم یجب إجابته؛ لأنّه تصرّف فی مال الغیر یتوقّف علی إذنه، کما لا یجب علیه القبول لو بذل له المالک قیمة الخیوط</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قدر الاُجرة حلف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یتحالفان </w:t>
      </w:r>
      <w:r>
        <w:rPr>
          <w:rStyle w:val="FootnoteAnchor"/>
          <w:rtl w:val="true"/>
        </w:rPr>
        <w:footnoteReference w:id="56"/>
      </w:r>
      <w:r>
        <w:rPr>
          <w:rFonts w:ascii="IRNazanin" w:hAnsi="IRNazanin" w:eastAsia="IRNazanin"/>
          <w:color w:val="111111"/>
          <w:sz w:val="28"/>
          <w:sz w:val="28"/>
          <w:szCs w:val="28"/>
          <w:rtl w:val="true"/>
          <w:lang w:bidi="fa-IR"/>
        </w:rPr>
        <w:t>کما لو اختلفا فی قدر المستأجَر؛ لأنّ کلّاً منهما مدّعٍ ومنکر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لاتّفاقهما علی وقوع العقد ومقدار العین والمدّة، وإنّما تخالفا علی القدر الزائد عمّا یتّفقان علیه، فیحلف منکره</w:t>
      </w:r>
      <w:r>
        <w:rPr>
          <w:rFonts w:eastAsia="IRNazanin" w:cs="IRNazanin"/>
          <w:color w:val="111111"/>
          <w:sz w:val="28"/>
          <w:szCs w:val="28"/>
          <w:rtl w:val="true"/>
          <w:lang w:bidi="fa-IR"/>
        </w:rPr>
        <w:t>.</w:t>
      </w:r>
      <w:bookmarkStart w:id="46" w:name="pg19810_214235"/>
    </w:p>
    <w:p>
      <w:pPr>
        <w:pStyle w:val="Heading2"/>
        <w:numPr>
          <w:ilvl w:val="1"/>
          <w:numId w:val="1"/>
        </w:numPr>
        <w:rPr/>
      </w:pPr>
      <w:bookmarkStart w:id="47" w:name="__RefHeading___Toc2175287_2314609296"/>
      <w:bookmarkStart w:id="48" w:name="_Toc18"/>
      <w:bookmarkEnd w:id="46"/>
      <w:bookmarkEnd w:id="47"/>
      <w:r>
        <w:rPr>
          <w:rtl w:val="true"/>
        </w:rPr>
        <w:t>کتاب الوکالة</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2175289_2314609296"/>
      <w:bookmarkStart w:id="50" w:name="_Toc19"/>
      <w:bookmarkEnd w:id="49"/>
      <w:r>
        <w:rPr>
          <w:rtl w:val="true"/>
        </w:rPr>
        <w:t>اشارة</w:t>
      </w:r>
      <w:bookmarkStart w:id="51" w:name="pg19810_214237"/>
      <w:bookmarkEnd w:id="50"/>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الوکالة</w:t>
      </w:r>
      <w:r>
        <w:rPr>
          <w:rFonts w:eastAsia="IRNazanin" w:cs="IRNazanin"/>
          <w:color w:val="111111"/>
          <w:sz w:val="28"/>
          <w:szCs w:val="28"/>
          <w:rtl w:val="true"/>
          <w:lang w:bidi="fa-IR"/>
        </w:rPr>
        <w:t>»</w:t>
      </w:r>
    </w:p>
    <w:p>
      <w:pPr>
        <w:pStyle w:val="Heading3"/>
        <w:numPr>
          <w:ilvl w:val="2"/>
          <w:numId w:val="1"/>
        </w:numPr>
        <w:rPr/>
      </w:pPr>
      <w:bookmarkStart w:id="52" w:name="__RefHeading___Toc2175291_2314609296"/>
      <w:bookmarkStart w:id="53" w:name="_Toc20"/>
      <w:bookmarkEnd w:id="52"/>
      <w:r>
        <w:rPr>
          <w:rtl w:val="true"/>
        </w:rPr>
        <w:t>[</w:t>
      </w:r>
      <w:r>
        <w:rPr>
          <w:rtl w:val="true"/>
        </w:rPr>
        <w:t>تعریفها و صیغتها</w:t>
      </w:r>
      <w:r>
        <w:rPr>
          <w:rtl w:val="true"/>
        </w:rPr>
        <w:t>]</w:t>
      </w:r>
      <w:bookmarkEnd w:id="53"/>
    </w:p>
    <w:p>
      <w:pPr>
        <w:pStyle w:val="BookText"/>
        <w:rPr/>
      </w:pPr>
      <w:r>
        <w:rPr>
          <w:rFonts w:ascii="IRNazanin" w:hAnsi="IRNazanin" w:eastAsia="IRNazanin"/>
          <w:color w:val="111111"/>
          <w:sz w:val="28"/>
          <w:sz w:val="28"/>
          <w:szCs w:val="28"/>
          <w:rtl w:val="true"/>
          <w:lang w:bidi="fa-IR"/>
        </w:rPr>
        <w:t xml:space="preserve">بفتح الواو وکسرها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استنابة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لئلّا یرد الاستنابة فی نحو القراض والمزارعة والمساقاة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بالتصرّف، فإنّها إحداث ولایة، لا استنابة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الودیعة، فإنّها استنابة فی الحفظ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وتفتقر إلی إیجاب وقبول؛ لأنّها من جملة العقود وإن کانت جائزة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أو استنبتک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شاکله من الألفاظ الدالّة علی الاستنابة فی التصرّف، وإن لم تکن علی نهج الألفاظ المعتبرة فی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الاستیجاب والإیجاب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وکّلنی فی کذا،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الأمر بالبیع والشراء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 علیه قول النبیّ صلی الله علیه و آله لعروة البارقی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لنا شاةً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وقبولها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کقبلت ورضیت، وما أشبهه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کفعله ما أمره بفعله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یجوز تراخیه عن الإیجاب وإن طالت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الغائب یوکَّل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والقبول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جواز توکیل الغائب موضع وفاق، فلذا جعله شاهداً علی الجواز، وإلّا فهو فرع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التنجیز فیها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فیها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عُلّقت علی شرط متوقَّع کقدوم المسافر، أو صفة مترقّبة کطلوع الشمس، لم یصحّ</w:t>
      </w:r>
      <w:r>
        <w:rPr>
          <w:rFonts w:eastAsia="IRNazanin" w:cs="IRNazanin"/>
          <w:color w:val="111111"/>
          <w:sz w:val="28"/>
          <w:szCs w:val="28"/>
          <w:rtl w:val="true"/>
          <w:lang w:bidi="fa-IR"/>
        </w:rPr>
        <w:t>.</w:t>
      </w:r>
      <w:bookmarkStart w:id="54" w:name="pg19810_214238"/>
    </w:p>
    <w:p>
      <w:pPr>
        <w:pStyle w:val="BookText"/>
        <w:rPr/>
      </w:pPr>
      <w:bookmarkEnd w:id="54"/>
      <w:r>
        <w:rPr>
          <w:rFonts w:ascii="IRNazanin" w:hAnsi="IRNazanin" w:eastAsia="IRNazanin"/>
          <w:color w:val="111111"/>
          <w:sz w:val="28"/>
          <w:sz w:val="28"/>
          <w:szCs w:val="28"/>
          <w:rtl w:val="true"/>
          <w:lang w:bidi="fa-IR"/>
        </w:rPr>
        <w:t xml:space="preserve">وفی صحّة التصرّف بعد حصول الشرط أو الصفة بالإذن الضمنی قولان </w:t>
      </w:r>
      <w:r>
        <w:rPr>
          <w:rStyle w:val="FootnoteAnchor"/>
          <w:rtl w:val="true"/>
        </w:rPr>
        <w:footnoteReference w:id="57"/>
      </w:r>
      <w:r>
        <w:rPr>
          <w:rFonts w:ascii="IRNazanin" w:hAnsi="IRNazanin" w:eastAsia="IRNazanin"/>
          <w:color w:val="111111"/>
          <w:sz w:val="28"/>
          <w:sz w:val="28"/>
          <w:szCs w:val="28"/>
          <w:rtl w:val="true"/>
          <w:lang w:bidi="fa-IR"/>
        </w:rPr>
        <w:t>منشؤهما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الفاسد بمثل ذلک إنّما هو العقد، أمّا الإذن الذی هو مجرّد إباحة تصرّف فلا، کما لو شرط فی الوکالة عوضاً مجهولاً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کذا علی أنّ لک العشر من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فتفسد الوکالة دون الإذن، ولأنّ الوکالة أخصّ من مطلق الإذن، وعدم الأخصّ أعمّ من عدم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Style w:val="FootnoteAnchor"/>
          <w:rtl w:val="true"/>
        </w:rPr>
        <w:footnoteReference w:id="58"/>
      </w:r>
      <w:r>
        <w:rPr>
          <w:rFonts w:ascii="IRNazanin" w:hAnsi="IRNazanin" w:eastAsia="IRNazanin"/>
          <w:color w:val="111111"/>
          <w:sz w:val="28"/>
          <w:sz w:val="28"/>
          <w:szCs w:val="28"/>
          <w:rtl w:val="true"/>
          <w:lang w:bidi="fa-IR"/>
        </w:rPr>
        <w:t>الوکالة لیست أمراً زائداً علی الإذن، وما یزید عنه من مثل الجعل أمر زائد علیها؛ لصحّتها بدونه، فلا یعقل فسادها مع صحّته</w:t>
      </w:r>
      <w:r>
        <w:rPr>
          <w:rFonts w:eastAsia="IRNazanin" w:cs="IRNazanin"/>
          <w:color w:val="111111"/>
          <w:sz w:val="28"/>
          <w:szCs w:val="28"/>
          <w:rtl w:val="true"/>
          <w:lang w:bidi="fa-IR"/>
        </w:rPr>
        <w:t>.</w:t>
      </w:r>
    </w:p>
    <w:p>
      <w:pPr>
        <w:pStyle w:val="Heading3"/>
        <w:numPr>
          <w:ilvl w:val="2"/>
          <w:numId w:val="1"/>
        </w:numPr>
        <w:rPr/>
      </w:pPr>
      <w:bookmarkStart w:id="55" w:name="__RefHeading___Toc2175293_2314609296"/>
      <w:bookmarkStart w:id="56" w:name="_Toc21"/>
      <w:bookmarkEnd w:id="55"/>
      <w:r>
        <w:rPr>
          <w:rtl w:val="true"/>
        </w:rPr>
        <w:t>[</w:t>
      </w:r>
      <w:r>
        <w:rPr>
          <w:rtl w:val="true"/>
        </w:rPr>
        <w:t>جواز عقد الوکالة</w:t>
      </w:r>
      <w:r>
        <w:rPr>
          <w:rtl w:val="true"/>
        </w:rPr>
        <w:t>]</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تعلیق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تنجیز الوکالة،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وکّلتک فی کذا، ولا تتصرّف إلّابعد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بمعنی اشتراط أمر سائغ زائد علی أصلها الجامع لشرائطه </w:t>
      </w:r>
      <w:r>
        <w:rPr>
          <w:rStyle w:val="FootnoteAnchor"/>
          <w:rtl w:val="true"/>
        </w:rPr>
        <w:footnoteReference w:id="59"/>
      </w:r>
      <w:r>
        <w:rPr>
          <w:rFonts w:ascii="IRNazanin" w:hAnsi="IRNazanin" w:eastAsia="IRNazanin"/>
          <w:color w:val="111111"/>
          <w:sz w:val="28"/>
          <w:sz w:val="28"/>
          <w:szCs w:val="28"/>
          <w:rtl w:val="true"/>
          <w:lang w:bidi="fa-IR"/>
        </w:rPr>
        <w:t>التی من جملتها التنجیز وإن کان فی معنی التعلیق؛ لأنّ العقود المتلقّاة من الشارع منوطة بضوابط، فلا تقع بدونها وإن أفاد فائدتها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جائزة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منهما إبطالها فی حضور الآخر وغیبته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إن عزل الوکیل نفسَه بطلت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بالعزل، فلا ینعزل بدونه فی أصحّ الأقوال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بالعلم هنا بلوغه الخبر بقول من یُقبل خبره وإن کان عدلاً واحداً؛ لصحیحة هشام بن سالم عن الصادق علیه السلام </w:t>
      </w:r>
      <w:r>
        <w:rPr>
          <w:rStyle w:val="FootnoteAnchor"/>
          <w:rtl w:val="true"/>
        </w:rPr>
        <w:footnoteReference w:id="61"/>
      </w:r>
      <w:r>
        <w:rPr>
          <w:rFonts w:ascii="IRNazanin" w:hAnsi="IRNazanin" w:eastAsia="IRNazanin"/>
          <w:color w:val="111111"/>
          <w:sz w:val="28"/>
          <w:sz w:val="28"/>
          <w:szCs w:val="28"/>
          <w:rtl w:val="true"/>
          <w:lang w:bidi="fa-IR"/>
        </w:rPr>
        <w:t>ولا عبرة بخبر غیره وإن تعدّد ما لم یحصل به العلم أو الظنّ المتاخم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انعزاله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الموکّل علی عزله علی الأقوی؛ للخبر السابق، خلافاً للشیخ وجماعة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کانت جائزة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بالموت والجنون والإغماء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واحد منهما، سواء طال زمان الإغماء أم قصر، وسواء أطبق الجنون أم کان أدواراً، وسواء علم الموکّل بعروض المبطل أم 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وبالحَجر علی الموکِّل فیما وکَّل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بالسفه والفلس؛ لأنّ منعه من مباشرة الفعل یقتضی منعه من التوکیل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 الحَجر طروّ الرقّ علی الموکّل بأن کان حربیّاً فاسترقّ، ولو کان وکیلاً صار بمنزلة توکیل عبد الغیر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بالنوم وإن 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أهلیّة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یؤدّ إلی 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فتبطل من حیث الإغماء، لا من حیث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السکر، إلّاأن یشترط عدالته کوکیل الوکیل والولیّ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وتبطل بفعل الموکّل ما تعلّقت به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وکّله فی بیع عبد ثمّ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 فعله ما ینافیها کعتقه</w:t>
      </w:r>
      <w:r>
        <w:rPr>
          <w:rFonts w:eastAsia="IRNazanin" w:cs="IRNazanin"/>
          <w:color w:val="111111"/>
          <w:sz w:val="28"/>
          <w:szCs w:val="28"/>
          <w:rtl w:val="true"/>
          <w:lang w:bidi="fa-IR"/>
        </w:rPr>
        <w:t>.</w:t>
      </w:r>
      <w:bookmarkStart w:id="57" w:name="pg19810_214240"/>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وإطلاق الوکالة فی البیع یقتضی البیع بثمن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إلّابنقصان عنه یتسامح بمثله عادة کدرهم فی مئة، وإلّا مع وجود باذل لأزید منه فلا یجوز الاقتصار علیه، حتّی لو باع بخیارٍ لنفسه فوجد فی مدّة الخیار باذلاً للزیادة وجب علیه الفسخ إن تناولت وکالته له، إلّاأن یعیّن له قدراً فلا یجب تحصیل الزائد وإن 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بالمؤجّل مطلقاً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بنقد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اتّحد تعیّن، وإن تعدّد باع بالأغلب، فإن تساوت النقود باع بالأنفع للموکّل، فإن استوت نفعاً تخیّر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یقتضیه بثمن المثل حالّاً بنقد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اقتضاه الإطلاق أو التنصیص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بیعه وشراؤه علی إجازة المالک</w:t>
      </w:r>
      <w:r>
        <w:rPr>
          <w:rFonts w:eastAsia="IRNazanin" w:cs="IRNazanin"/>
          <w:color w:val="111111"/>
          <w:sz w:val="28"/>
          <w:szCs w:val="28"/>
          <w:rtl w:val="true"/>
          <w:lang w:bidi="fa-IR"/>
        </w:rPr>
        <w:t>.</w:t>
      </w:r>
    </w:p>
    <w:p>
      <w:pPr>
        <w:pStyle w:val="Heading3"/>
        <w:numPr>
          <w:ilvl w:val="2"/>
          <w:numId w:val="1"/>
        </w:numPr>
        <w:rPr/>
      </w:pPr>
      <w:bookmarkStart w:id="58" w:name="__RefHeading___Toc2175295_2314609296"/>
      <w:bookmarkStart w:id="59" w:name="_Toc22"/>
      <w:bookmarkEnd w:id="58"/>
      <w:r>
        <w:rPr>
          <w:rtl w:val="true"/>
        </w:rPr>
        <w:t>[</w:t>
      </w:r>
      <w:r>
        <w:rPr>
          <w:rtl w:val="true"/>
        </w:rPr>
        <w:t>ما تصح فیه الوکالة</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تصحّ الوکالة فیما لا یتعلّق غرض الشارع بإیقاعه من مباشر بعینه کالعتق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غرضه فیه فکّ الرقبة سواء أحدثه المالک أم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غرضه منه رفع الزوجیّة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العقود والإیقاعات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فیما 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بإیقاعه من مباشر بعینه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ومرجع معرفة غرضه فی ذلک وعدمه إلی النقل، ولا قاعدة له لا تنخرم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تعلّق غرضه بجملة من العبادات؛ لأنّ الغرض منها امتثال المکلَّف ما اُمر به وانقیاده وتذلّله بفعل المأمور به ولا یحصل ذلک بدون المباشرة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الاستنابة فیها أجمع، وإن جاز فی غسل الأعضاء ومسحها حیث یعجز عن مباشرتها مع تولّیه النیّة، ومثل هذا لا یعدّ توکیلاً حقیقیّاً، ومن ثَمّ یقع ممّن لا یجوز توکیله کالمجنون، بل استعانة علی إیصال المطهّر إلی العضو کیف اتّفق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الواجبة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یستناب فیها</w:t>
      </w:r>
      <w:bookmarkStart w:id="60" w:name="pg19810_214241"/>
    </w:p>
    <w:p>
      <w:pPr>
        <w:pStyle w:val="BookText"/>
        <w:rPr/>
      </w:pPr>
      <w:bookmarkEnd w:id="60"/>
      <w:r>
        <w:rPr>
          <w:rFonts w:ascii="IRNazanin" w:hAnsi="IRNazanin" w:eastAsia="IRNazanin"/>
          <w:color w:val="111111"/>
          <w:sz w:val="28"/>
          <w:sz w:val="28"/>
          <w:szCs w:val="28"/>
          <w:rtl w:val="true"/>
          <w:lang w:bidi="fa-IR"/>
        </w:rPr>
        <w:t xml:space="preserve">مطلقاً إلّارکعتا الطواف، حیث یجوز استنابة الحیّ فی الحجّ الواجب، أو فیها </w:t>
      </w:r>
      <w:r>
        <w:rPr>
          <w:rStyle w:val="FootnoteAnchor"/>
          <w:rtl w:val="true"/>
        </w:rPr>
        <w:footnoteReference w:id="63"/>
      </w:r>
      <w:r>
        <w:rPr>
          <w:rFonts w:ascii="IRNazanin" w:hAnsi="IRNazanin" w:eastAsia="IRNazanin"/>
          <w:color w:val="111111"/>
          <w:sz w:val="28"/>
          <w:sz w:val="28"/>
          <w:szCs w:val="28"/>
          <w:rtl w:val="true"/>
          <w:lang w:bidi="fa-IR"/>
        </w:rPr>
        <w:t>خاصّة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بالواجبة عن المندوبة، فیصحّ الاستنابة فیها فی الجملة، کصلاة الطواف المندوب، أو فی الحجّ المندوب وإن وجب، وصلاة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 الاستنابة فی مطلق النوافل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فضبط متعلّق غرض الشارع فی العبادات وغیرها یحتاج إلی تفصیلٍ ومستندٍ نقلیٍّ</w:t>
      </w:r>
      <w:r>
        <w:rPr>
          <w:rFonts w:eastAsia="IRNazanin" w:cs="IRNazanin"/>
          <w:color w:val="111111"/>
          <w:sz w:val="28"/>
          <w:szCs w:val="28"/>
          <w:rtl w:val="true"/>
          <w:lang w:bidi="fa-IR"/>
        </w:rPr>
        <w:t>.</w:t>
      </w:r>
    </w:p>
    <w:p>
      <w:pPr>
        <w:pStyle w:val="Heading3"/>
        <w:numPr>
          <w:ilvl w:val="2"/>
          <w:numId w:val="1"/>
        </w:numPr>
        <w:rPr/>
      </w:pPr>
      <w:bookmarkStart w:id="61" w:name="__RefHeading___Toc2175297_2314609296"/>
      <w:bookmarkStart w:id="62" w:name="_Toc23"/>
      <w:bookmarkEnd w:id="61"/>
      <w:r>
        <w:rPr>
          <w:rtl w:val="true"/>
        </w:rPr>
        <w:t>[</w:t>
      </w:r>
      <w:r>
        <w:rPr>
          <w:rtl w:val="true"/>
        </w:rPr>
        <w:t xml:space="preserve">شروط المتعاقدین </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کمال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فلا یُوکَّل ولا یتوکّل الصبیّ والمجنون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وجواز تصرّف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یوکّل المحجور علیه فیما لیس له مباشرته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 الموکِّل؛ لجواز کون المحجور فی الجملة وکیلاً لغیره فیما حجر علیه فیه من التصرّف، کالسفیه والمفلَّس مطلقاً والعبد بإذن سیّده</w:t>
      </w:r>
      <w:r>
        <w:rPr>
          <w:rFonts w:eastAsia="IRNazanin" w:cs="IRNazanin"/>
          <w:color w:val="111111"/>
          <w:sz w:val="28"/>
          <w:szCs w:val="28"/>
          <w:rtl w:val="true"/>
          <w:lang w:bidi="fa-IR"/>
        </w:rPr>
        <w:t>.</w:t>
      </w:r>
    </w:p>
    <w:p>
      <w:pPr>
        <w:pStyle w:val="Heading3"/>
        <w:numPr>
          <w:ilvl w:val="2"/>
          <w:numId w:val="1"/>
        </w:numPr>
        <w:rPr/>
      </w:pPr>
      <w:bookmarkStart w:id="63" w:name="__RefHeading___Toc2175299_2314609296"/>
      <w:bookmarkStart w:id="64" w:name="_Toc24"/>
      <w:bookmarkEnd w:id="63"/>
      <w:r>
        <w:rPr>
          <w:rtl w:val="true"/>
        </w:rPr>
        <w:t>[</w:t>
      </w:r>
      <w:r>
        <w:rPr>
          <w:rtl w:val="true"/>
        </w:rPr>
        <w:t>احکام الوکالة</w:t>
      </w:r>
      <w:r>
        <w:rPr>
          <w:rtl w:val="true"/>
        </w:rPr>
        <w:t>]</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وتجوز الوکالة فی الطلاق للحاضر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64"/>
      </w:r>
      <w:r>
        <w:rPr>
          <w:rFonts w:ascii="IRNazanin" w:hAnsi="IRNazanin" w:eastAsia="IRNazanin"/>
          <w:color w:val="111111"/>
          <w:sz w:val="28"/>
          <w:sz w:val="28"/>
          <w:szCs w:val="28"/>
          <w:rtl w:val="true"/>
          <w:lang w:bidi="fa-IR"/>
        </w:rPr>
        <w:t>لأنّ الطلاق قابل للنیابة، وإلّا لما صحّ توکیل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الشیخ من توکیل الحاضر فیه </w:t>
      </w:r>
      <w:r>
        <w:rPr>
          <w:rStyle w:val="FootnoteAnchor"/>
          <w:rtl w:val="true"/>
        </w:rPr>
        <w:footnoteReference w:id="65"/>
      </w:r>
      <w:r>
        <w:rPr>
          <w:rFonts w:ascii="IRNazanin" w:hAnsi="IRNazanin" w:eastAsia="IRNazanin"/>
          <w:color w:val="111111"/>
          <w:sz w:val="28"/>
          <w:sz w:val="28"/>
          <w:szCs w:val="28"/>
          <w:rtl w:val="true"/>
          <w:lang w:bidi="fa-IR"/>
        </w:rPr>
        <w:t xml:space="preserve">استناداً إلی روایة ضعیفة السند قاصرة الدلالة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للوکیل أن یوکّل إلّامع الإذن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بالتعمیم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ما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فحویً، کاتّساع 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تدلّ القرائن علی الإذن له فیه، کالزراعة فی أماکن متباعدة لا تقوم إلّابمساعد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عجزه عن مباشرته وإن لم یکن متّسعاً مع علم الموکّل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وترفع الوکیل عمّا وُکّل فیه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توکیله حینئذٍ یدلّ بفحواه علی الإذن له فیه مع علم الموکِّل بترفّعه عن مثله، وإلّا لم یجز؛ لأنّه مستفاد من القرائن، ومع جهل الموکِّل بحاله ینتفی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أذن له فی التوکیل، فإن صرّح له بکون وکیله وکیلاً عنه أو عن الموکِّل لزمه حکم من وکّله، فینعزل فی الأوّل بانعزاله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وبعزل کلّ منهما له، وفی الثانی لا ینعزل إلّابعزل الموکّل أو بما أبطل توکیله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أطلق، ففی کونه وکیلاً عنه أو عن الموکّل أو تخیّر الوکیل فی توکیله عن أ یّهما شاء،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مع استفادته من الفحوی، إلّاأنّ کونه هنا وکیلاً عن الوکیل أوجه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أن یکون الوکیل تامّ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وُکّل فیه، لیکون ملیّاً بتحقیق مراد الموکّل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باللغة التی یُحاور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وُکّل فیه، لیحصل الغرض من توکیله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واجب </w:t>
      </w:r>
      <w:r>
        <w:rPr>
          <w:rStyle w:val="FootnoteAnchor"/>
          <w:rtl w:val="true"/>
        </w:rPr>
        <w:footnoteReference w:id="67"/>
      </w:r>
      <w:r>
        <w:rPr>
          <w:rFonts w:ascii="IRNazanin" w:hAnsi="IRNazanin" w:eastAsia="IRNazanin"/>
          <w:color w:val="111111"/>
          <w:sz w:val="28"/>
          <w:sz w:val="28"/>
          <w:szCs w:val="28"/>
          <w:rtl w:val="true"/>
          <w:lang w:bidi="fa-IR"/>
        </w:rPr>
        <w:t xml:space="preserve">وهو مناسب لمعنی الشرط بالنسبة إلی الأخیر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لذوی المروءات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الشرف والرفعة والمروءة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التوکیل فی المنازعات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یتولّوها بأنفسهم لما یتضمّن من الامتهان</w:t>
      </w:r>
    </w:p>
    <w:p>
      <w:pPr>
        <w:pStyle w:val="BookText"/>
        <w:rPr/>
      </w:pPr>
      <w:r>
        <w:rPr>
          <w:rFonts w:ascii="Amiri" w:hAnsi="Amiri" w:eastAsia="Amiri" w:cs="Amiri"/>
          <w:color w:val="111111"/>
          <w:sz w:val="28"/>
          <w:sz w:val="28"/>
          <w:szCs w:val="28"/>
          <w:rtl w:val="true"/>
          <w:lang w:bidi="ar-SA"/>
        </w:rPr>
        <w:t xml:space="preserve">والوقوع فیما یُکره،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 السلام وکّل عقیلاً فی خصومة،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للخصومة قُحماً، وإنّ الشیطان لیحضرها، وإنّی لأکره أن أحضرها</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والقُحم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المهلکة، والمراد هنا أ نّها تُقحم بصاحبها إلی ما لا یریده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تبطل الوکالة بارتداد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ارتداد، وإن کانت قد تبطل من جهة اُخری فی بعض الموارد، ککونه وکیلاً علی مسلم، فإنّه فی ذلک بحکم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الفطری وغیره وإن حکم ببطلان تصرّفاته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یتوکّل المسلم للذمّی علی المسلم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Style w:val="FootnoteAnchor"/>
          <w:rtl w:val="true"/>
        </w:rPr>
        <w:footnoteReference w:id="70"/>
      </w:r>
      <w:r>
        <w:rPr>
          <w:rFonts w:ascii="IRNazanin" w:hAnsi="IRNazanin" w:eastAsia="IRNazanin"/>
          <w:color w:val="111111"/>
          <w:sz w:val="28"/>
          <w:sz w:val="28"/>
          <w:szCs w:val="28"/>
          <w:rtl w:val="true"/>
          <w:lang w:bidi="fa-IR"/>
        </w:rPr>
        <w:t xml:space="preserve">والأقوی الجواز علی کراهیة؛ 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الذمّی علی المسلم لمسلم، ولا لذمّی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لاستلزامهما إثبات السبیل للکافر علی المسلم المنفیّ بالآیة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وباقی الصور جائزة، وهی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الصور الثلاث المتقدّمة إلی باقیها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الموکِّل والوکیل والموکَّل علیه إمّا مسلم أو کافر، ومنه تتشعّب الثمان بضرب قسمی الوکیل فی قسمی الموکّل، ثمّ المجتمع فی قسمی الموکَّل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الکافر بین الذمّی وغیره، کما یقتضیه التعلیل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یتجاوز الوکیل ما 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طرف </w:t>
      </w:r>
      <w:r>
        <w:rPr>
          <w:rStyle w:val="FootnoteAnchor"/>
          <w:rtl w:val="true"/>
        </w:rPr>
        <w:footnoteReference w:id="72"/>
      </w:r>
      <w:r>
        <w:rPr>
          <w:rFonts w:ascii="IRNazanin" w:hAnsi="IRNazanin" w:eastAsia="IRNazanin"/>
          <w:color w:val="111111"/>
          <w:sz w:val="28"/>
          <w:sz w:val="28"/>
          <w:szCs w:val="28"/>
          <w:rtl w:val="true"/>
          <w:lang w:bidi="fa-IR"/>
        </w:rPr>
        <w:t xml:space="preserve">الزیادة والنقصان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تشهد العادة بدخوله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دخول ما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کالزیادة فی ثمن ما وُکّل فی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بثمن معیّن إن لم یعلم منه الغرض فی التخصیص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والنقیصة</w:t>
      </w:r>
      <w:bookmarkStart w:id="65" w:name="pg19810_214244"/>
    </w:p>
    <w:p>
      <w:pPr>
        <w:pStyle w:val="BookText"/>
        <w:rPr/>
      </w:pPr>
      <w:bookmarkEnd w:id="65"/>
      <w:r>
        <w:rPr>
          <w:rFonts w:ascii="IRNazanin" w:hAnsi="IRNazanin" w:eastAsia="IRNazanin"/>
          <w:color w:val="111111"/>
          <w:sz w:val="28"/>
          <w:sz w:val="28"/>
          <w:szCs w:val="28"/>
          <w:rtl w:val="true"/>
          <w:lang w:bidi="fa-IR"/>
        </w:rPr>
        <w:t>فی ثمن ما وکّل فی 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بثمن معیّن؛ لشهادة الحال غالباً بالرضا بذلک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یتخلّف بأن لا یرید الإشطاط </w:t>
      </w:r>
      <w:r>
        <w:rPr>
          <w:rStyle w:val="FootnoteAnchor"/>
          <w:rtl w:val="true"/>
        </w:rPr>
        <w:footnoteReference w:id="73"/>
      </w:r>
      <w:r>
        <w:rPr>
          <w:rFonts w:ascii="IRNazanin" w:hAnsi="IRNazanin" w:eastAsia="IRNazanin"/>
          <w:color w:val="111111"/>
          <w:sz w:val="28"/>
          <w:sz w:val="28"/>
          <w:szCs w:val="28"/>
          <w:rtl w:val="true"/>
          <w:lang w:bidi="fa-IR"/>
        </w:rPr>
        <w:t>فی البیع، أو غیره من الأغراض</w:t>
      </w:r>
      <w:r>
        <w:rPr>
          <w:rFonts w:eastAsia="IRNazanin" w:cs="IRNazanin"/>
          <w:color w:val="111111"/>
          <w:sz w:val="28"/>
          <w:szCs w:val="28"/>
          <w:rtl w:val="true"/>
          <w:lang w:bidi="fa-IR"/>
        </w:rPr>
        <w:t>.</w:t>
      </w:r>
    </w:p>
    <w:p>
      <w:pPr>
        <w:pStyle w:val="Heading3"/>
        <w:numPr>
          <w:ilvl w:val="2"/>
          <w:numId w:val="1"/>
        </w:numPr>
        <w:rPr/>
      </w:pPr>
      <w:bookmarkStart w:id="66" w:name="__RefHeading___Toc2175301_2314609296"/>
      <w:bookmarkStart w:id="67" w:name="_Toc25"/>
      <w:bookmarkEnd w:id="66"/>
      <w:r>
        <w:rPr>
          <w:rtl w:val="true"/>
        </w:rPr>
        <w:t>[</w:t>
      </w:r>
      <w:r>
        <w:rPr>
          <w:rtl w:val="true"/>
        </w:rPr>
        <w:t>ما تثبت به الوکالة</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وتثبت الوکالة بعدلین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یثبت بهما غیرها من الحقوق المالیّة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تُقبل فیها شهادة النساء منفردات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لاختصاصها بما یعسر اطّلاع الرجال علیه والوصیّة کما سلف فی بابه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الرجال؛ لاختصاصها حینئذٍ بالمال وما فی حکمه </w:t>
      </w:r>
      <w:r>
        <w:rPr>
          <w:rStyle w:val="FootnoteAnchor"/>
          <w:rtl w:val="true"/>
        </w:rPr>
        <w:footnoteReference w:id="75"/>
      </w:r>
      <w:r>
        <w:rPr>
          <w:rFonts w:ascii="IRNazanin" w:hAnsi="IRNazanin" w:eastAsia="IRNazanin"/>
          <w:color w:val="111111"/>
          <w:sz w:val="28"/>
          <w:sz w:val="28"/>
          <w:szCs w:val="28"/>
          <w:rtl w:val="true"/>
          <w:lang w:bidi="fa-IR"/>
        </w:rPr>
        <w:t>والوکالة ولایة علی التصرّف وإن ترتّب علیها المال، لکنّه غیر 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تثبت بشاهد ویمین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إلّاأن یشتمل علی جهتین کما لو ادّعی شخص علی آخر وکالة بجُعلٍ وأقام شاهداً وامرأتین، أو شاهداً وحلف معه، فالأقوی ثبوت المال، لا الوکالة وإن تبعّضت الشهادة، کما لو أقام ذلک بالسرقة یثبت المال لا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ذلک قبل العمل لم یثبت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بتصدیق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لمدّعی الوکالة علیها فی أخذ حقٍّ منه لغیره؛ لأنّه تصدیق فی حقّ غیره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الحقّ الذی یدّعی الوکالة فیه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دیناً ففی وجوب دفعه إلیه بتصدیقه قولان </w:t>
      </w:r>
      <w:r>
        <w:rPr>
          <w:rStyle w:val="FootnoteAnchor"/>
          <w:rtl w:val="true"/>
        </w:rPr>
        <w:footnoteReference w:id="76"/>
      </w:r>
      <w:r>
        <w:rPr>
          <w:rFonts w:ascii="IRNazanin" w:hAnsi="IRNazanin" w:eastAsia="IRNazanin"/>
          <w:color w:val="111111"/>
          <w:sz w:val="28"/>
          <w:sz w:val="28"/>
          <w:szCs w:val="28"/>
          <w:rtl w:val="true"/>
          <w:lang w:bidi="fa-IR"/>
        </w:rPr>
        <w:t>أجودهما ذلک؛ لأنّه إقرار فی حقّ نفسه خاصّة؛ إذ الحقّ لا یتعیّن إلّابقبض مالکه أو وکیله، فإذا حضر وأنکر بقی دینه فی ذمّة</w:t>
      </w:r>
    </w:p>
    <w:p>
      <w:pPr>
        <w:pStyle w:val="BookText"/>
        <w:rPr/>
      </w:pPr>
      <w:r>
        <w:rPr>
          <w:rFonts w:ascii="IRNazanin" w:hAnsi="IRNazanin" w:eastAsia="IRNazanin"/>
          <w:color w:val="111111"/>
          <w:sz w:val="28"/>
          <w:sz w:val="28"/>
          <w:szCs w:val="28"/>
          <w:rtl w:val="true"/>
          <w:lang w:bidi="fa-IR"/>
        </w:rPr>
        <w:t>الغریم، فلا ضرر علیه فی ذلک، وإنّما اُلزم الغریم بالدفع؛ لاعترافه بلزومه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الفرق بینه وبین العین؛ لأنّها حقّ محض لغیره وفائتها لا یُستدرک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له تسلیمها إلیه مع تصدیقه له؛ إذ لا منازع له الآن ویبقی المالک علی حجّته، فإذا حضر وصدّق الوکیل بَرِئ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کذّبه فالقول قوله مع یمینه، فإن کانت العین موجودة أخذها، وله مطالبة من شاء منهما بردّها؛ لترتّب أیدیهما علی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وللدافع مطالبة الوکیل بإحضارها لو طولب به،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تعذّر ردّها بتلف وغیره تخیّر فی الرجوع علی من شاء منهما، فإن رجع علی الوکیل لم یرجع علی الغریم مطلقاً؛ لاعترافه ببراءته بدفعها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علی الغریم لم یرجع علی الوکیل مع تلفها فی یده بغیر تفریط؛ لأنّه بتصدیقه له أمین عنده، وإلّا رجع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والوکیل أمین لا یضمن إلّابالتعدّی أو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وفاقٌ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علیه تسلیم ما فی یده إلی الموکّل إذا طولب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 المالُ الذی وُکّل فی بیعه وثمنُه والمبیعُ الذی اشتراه وثمنُه، قبلَ الشراء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طولب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 نّه لا یجب علیه دفعه إلیه قبل طلبه بل معه، ومع إمکان الدفع شرعاً وعرفاً کالودیعة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أخّر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إمکان الدفع شرعاً، بأن لا یکون فی صلاة واجبة مطلقاً ولا مریداً لها مع تضیّق وقتها، ونحو ذلک من الواجبات المنافیة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عرفاً، بأن لا یکون علی حاجةٍ یرید قضاءها، ولا فی حمّام أو أکل طعام، ونحوها من الأعذار العرفیّة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الموکّل بقبض حقّه، حذراً من إنکاره فیضمن له ثانیاً أو یلزمه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 حقّ وإن کان 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قوله فی ردّها؛ لافتقاره إلی الیمین، فله دفعها بالإشهاد وإن کان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ذلک بین من یکون له علی الحقّ بیّنة وغیره؛ لما ذکرناه من الوجه </w:t>
      </w:r>
      <w:r>
        <w:rPr>
          <w:rStyle w:val="FootnoteAnchor"/>
          <w:rtl w:val="true"/>
        </w:rPr>
        <w:footnoteReference w:id="78"/>
      </w:r>
      <w:r>
        <w:rPr>
          <w:rFonts w:ascii="IRNazanin" w:hAnsi="IRNazanin" w:eastAsia="IRNazanin"/>
          <w:color w:val="111111"/>
          <w:sz w:val="28"/>
          <w:sz w:val="28"/>
          <w:szCs w:val="28"/>
          <w:rtl w:val="true"/>
          <w:lang w:bidi="fa-IR"/>
        </w:rPr>
        <w:t>هذا هو أجود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وفرّق بعضهم بین من یُقبل قوله فی الردّ وغیره </w:t>
      </w:r>
      <w:r>
        <w:rPr>
          <w:rStyle w:val="FootnoteAnchor"/>
          <w:rtl w:val="true"/>
        </w:rPr>
        <w:footnoteReference w:id="79"/>
      </w:r>
      <w:r>
        <w:rPr>
          <w:rFonts w:ascii="IRNazanin" w:hAnsi="IRNazanin" w:eastAsia="IRNazanin"/>
          <w:color w:val="111111"/>
          <w:sz w:val="28"/>
          <w:sz w:val="28"/>
          <w:szCs w:val="28"/>
          <w:rtl w:val="true"/>
          <w:lang w:bidi="fa-IR"/>
        </w:rPr>
        <w:t>وآخرون بین من علیه بقبض الحقّ بیّنة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ضرر الیمین یدفع ذلک کلَّه، خصوصاً فی بعض الناس، فإنّ ضرر الغرامة علیهم أسهل من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والوکیل فی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 شخص عند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الوکیل فی قضاء الدین وتسلیم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ذلک حتّی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الودیعة مبنیّة علی الإخفاء بخلاف غیرها، ولأنّ الإشهاد علی الوَدَعیّ لا یفید ضمانه؛ لقبول قوله فی الردّ بخلاف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الودیعة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لتفریطه إذا لم یکن الأداء بحضرة الموکّل، وإلّا انتفی الضمان؛ لأنّ التفریط حینئذٍ مستند إلیه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للوکیل تولّی طرفی العقد بإذن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المانع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ومغایرة الموجب للقابل یکفی فیها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أطلق له الإذن، ففی جواز تولّیهما لنفسه قولان </w:t>
      </w:r>
      <w:r>
        <w:rPr>
          <w:rStyle w:val="FootnoteAnchor"/>
          <w:rtl w:val="true"/>
        </w:rPr>
        <w:footnoteReference w:id="80"/>
      </w:r>
      <w:r>
        <w:rPr>
          <w:rFonts w:ascii="IRNazanin" w:hAnsi="IRNazanin" w:eastAsia="IRNazanin"/>
          <w:color w:val="111111"/>
          <w:sz w:val="28"/>
          <w:sz w:val="28"/>
          <w:szCs w:val="28"/>
          <w:rtl w:val="true"/>
          <w:lang w:bidi="fa-IR"/>
        </w:rPr>
        <w:t>منشؤهما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 فی الإطلاق، ومن ظاهر الروایات الدالّة</w:t>
      </w:r>
      <w:bookmarkStart w:id="68" w:name="pg19810_214247"/>
    </w:p>
    <w:p>
      <w:pPr>
        <w:pStyle w:val="BookText"/>
        <w:rPr/>
      </w:pPr>
      <w:bookmarkEnd w:id="68"/>
      <w:r>
        <w:rPr>
          <w:rFonts w:ascii="IRNazanin" w:hAnsi="IRNazanin" w:eastAsia="IRNazanin"/>
          <w:color w:val="111111"/>
          <w:sz w:val="28"/>
          <w:sz w:val="28"/>
          <w:szCs w:val="28"/>
          <w:rtl w:val="true"/>
          <w:lang w:bidi="fa-IR"/>
        </w:rPr>
        <w:t xml:space="preserve">علی المنع </w:t>
      </w:r>
      <w:r>
        <w:rPr>
          <w:rStyle w:val="FootnoteAnchor"/>
          <w:rtl w:val="true"/>
        </w:rPr>
        <w:footnoteReference w:id="81"/>
      </w:r>
      <w:r>
        <w:rPr>
          <w:rFonts w:ascii="IRNazanin" w:hAnsi="IRNazanin" w:eastAsia="IRNazanin"/>
          <w:color w:val="111111"/>
          <w:sz w:val="28"/>
          <w:sz w:val="28"/>
          <w:szCs w:val="28"/>
          <w:rtl w:val="true"/>
          <w:lang w:bidi="fa-IR"/>
        </w:rPr>
        <w:t>وهو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تولّیه طرفی العقد أعمّ من کون البیع أو الشراء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الخلاف مع عدم الإذن تولّیه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لغیره بأن یکون وکیلاً لهما فلا إشکال إلّا علی القول بمنع کونه موجباً قابلاً </w:t>
      </w:r>
      <w:r>
        <w:rPr>
          <w:rStyle w:val="FootnoteAnchor"/>
          <w:rtl w:val="true"/>
        </w:rPr>
        <w:footnoteReference w:id="82"/>
      </w:r>
      <w:r>
        <w:rPr>
          <w:rFonts w:ascii="IRNazanin" w:hAnsi="IRNazanin" w:eastAsia="IRNazanin"/>
          <w:color w:val="111111"/>
          <w:sz w:val="28"/>
          <w:sz w:val="28"/>
          <w:szCs w:val="28"/>
          <w:rtl w:val="true"/>
          <w:lang w:bidi="fa-IR"/>
        </w:rPr>
        <w:t>وذلک لا یفرق فیه بین إذن الموکّل وعدمه</w:t>
      </w:r>
      <w:r>
        <w:rPr>
          <w:rFonts w:eastAsia="IRNazanin" w:cs="IRNazanin"/>
          <w:color w:val="111111"/>
          <w:sz w:val="28"/>
          <w:szCs w:val="28"/>
          <w:rtl w:val="true"/>
          <w:lang w:bidi="fa-IR"/>
        </w:rPr>
        <w:t>.</w:t>
      </w:r>
    </w:p>
    <w:p>
      <w:pPr>
        <w:pStyle w:val="Heading3"/>
        <w:numPr>
          <w:ilvl w:val="2"/>
          <w:numId w:val="1"/>
        </w:numPr>
        <w:rPr/>
      </w:pPr>
      <w:bookmarkStart w:id="69" w:name="__RefHeading___Toc2175303_2314609296"/>
      <w:bookmarkStart w:id="70" w:name="_Toc26"/>
      <w:bookmarkEnd w:id="69"/>
      <w:r>
        <w:rPr>
          <w:rtl w:val="true"/>
        </w:rPr>
        <w:t>[</w:t>
      </w:r>
      <w:r>
        <w:rPr>
          <w:rtl w:val="true"/>
        </w:rPr>
        <w:t>التنازع فی الوکالة</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أصل الوکالة حلف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عدمها، سواء کان منکرها الموکّل أم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فائدة إنکار الوکیل فیما لو کانت الوکالة مشروطة فی عقد لازم لأمر لا یتلافی حین النزاع، فیدّعی الموکّل حصولها لیتمّ له العقد، وینکرها الوکیل لیتزلزل ویتسلّط علی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حلف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 سواء کانت الوکالة بجُعل أم 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إلّاأن تکون بجُعل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فالموکّل </w:t>
      </w:r>
      <w:r>
        <w:rPr>
          <w:rStyle w:val="FootnoteAnchor"/>
          <w:rtl w:val="true"/>
        </w:rPr>
        <w:footnoteReference w:id="83"/>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أمین وقد قبض المال لمصلحة المالک فکان محسناً محضاً کالوَدَعیّ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w:t>
      </w:r>
      <w:r>
        <w:rPr>
          <w:rStyle w:val="FootnoteAnchor"/>
          <w:rtl w:val="true"/>
        </w:rPr>
        <w:footnoteReference w:id="84"/>
      </w:r>
      <w:r>
        <w:rPr>
          <w:rFonts w:ascii="IRNazanin" w:hAnsi="IRNazanin" w:eastAsia="IRNazanin"/>
          <w:color w:val="111111"/>
          <w:sz w:val="28"/>
          <w:sz w:val="28"/>
          <w:szCs w:val="28"/>
          <w:rtl w:val="true"/>
          <w:lang w:bidi="fa-IR"/>
        </w:rPr>
        <w:t>ولأ نّه قبض لمصلحة نفسه کعامل القراض والمستأجر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بأنّ الأمانة لا تستلزم القبول کما لا یستلزمه فی الثانی مع اشتراکهما فی الأمانة، وکذلک الإحسان، والسبیل المنفیّ </w:t>
      </w:r>
      <w:r>
        <w:rPr>
          <w:rStyle w:val="FootnoteAnchor"/>
          <w:rtl w:val="true"/>
        </w:rPr>
        <w:footnoteReference w:id="85"/>
      </w:r>
      <w:r>
        <w:rPr>
          <w:rFonts w:ascii="IRNazanin" w:hAnsi="IRNazanin" w:eastAsia="IRNazanin"/>
          <w:color w:val="111111"/>
          <w:sz w:val="28"/>
          <w:sz w:val="28"/>
          <w:szCs w:val="28"/>
          <w:rtl w:val="true"/>
          <w:lang w:bidi="fa-IR"/>
        </w:rPr>
        <w:t>مخصوص، فإنّ الیمین 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تلف المال الذی بید الوکیل کالعین الموکَّل فی بیعها وشرائها أو الثمن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أمین، وقد یتعذّر إقامة البیّنة علی التلف فاقتُنع بقوله وإن کان مخالفاً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دعواه التلف بأمر ظاهر وخفیّ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ما یشمل التعدّی؛ لأنّه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یحلف لو اختلفا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 الضمان؛ لأصالة عدم الزائد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زوّجه امرأة بدعوی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الوکیل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عمر بن حنظلة عن الصادق علیه السلام </w:t>
      </w:r>
      <w:r>
        <w:rPr>
          <w:rStyle w:val="FootnoteAnchor"/>
          <w:rtl w:val="true"/>
        </w:rPr>
        <w:footnoteReference w:id="86"/>
      </w:r>
      <w:r>
        <w:rPr>
          <w:rFonts w:ascii="IRNazanin" w:hAnsi="IRNazanin" w:eastAsia="IRNazanin"/>
          <w:color w:val="111111"/>
          <w:sz w:val="28"/>
          <w:sz w:val="28"/>
          <w:szCs w:val="28"/>
          <w:rtl w:val="true"/>
          <w:lang w:bidi="fa-IR"/>
        </w:rPr>
        <w:t xml:space="preserve">ولأ نّه فسخ قبلَ الدخول فیجب معه نصف المهر کالطلاق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 لبطلان نکاحه بإنکاره 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بینه وبین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إن کان 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التزویج؛ لأنّها حینئذٍ زوجته فإنکارها وتعریضها للتزویج بغیره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ویسوق نصف المهر إلی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للزومه بالطلاق، وغرم الوکیل له بسببه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Style w:val="FootnoteAnchor"/>
          <w:rtl w:val="true"/>
        </w:rPr>
        <w:footnoteReference w:id="87"/>
      </w:r>
      <w:r>
        <w:rPr>
          <w:rFonts w:ascii="IRNazanin" w:hAnsi="IRNazanin" w:eastAsia="IRNazanin"/>
          <w:color w:val="111111"/>
          <w:sz w:val="28"/>
          <w:sz w:val="28"/>
          <w:szCs w:val="28"/>
          <w:rtl w:val="true"/>
          <w:lang w:bidi="fa-IR"/>
        </w:rPr>
        <w:t>ولا غُرم علی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عقد حتّی یحکم بالمهر أو نصفه، ولأ نّه علی تقدیر ثبوته إنّما یلزم الزوج؛ لأنّه عوض البُضع والوکیل لیس بزوج، والحدیث ضعیف السند، وإلّا لما کان عنه عدول مع عمل الأکثر بمضمونه، والتعلیل بالفسخ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الأخیر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ضمن الوکیل المهر کلَّه أو نصفَه لزمه حسب ما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یجوز للمرأة التزویج إذا لم تصدّق الوکیلَ علیها، وإلّا لم یجز لها التزویج قبلَ الطلاق؛ لأنّها بزعمها زوجة، بخلاف ما إذا لم تکن عالمةً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امتنع من الطلاق حینئذٍ لم یُجبر علیه؛ لانتفاء النکاح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ففی تسلّطها علی الفسخ دفعاً للضرر، أو تسلّط الحاکم علیه أو علی الطلاق، أو بقائه کذلک حتّی یطلّق أو یموت؟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أوقع الطلاق معلّقاً علی الشرط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زوجتی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ولم یکن إقراراً ولا تعلیقاً مانعاً؛ لأنّه أمر یَعلم حالَه، وکذا فی نظائره کقول من یعلم أنّ الیوم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الیوم الجمعة فقد بعتک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من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تصرّف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أو قبضت، أو اشتریت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لأنّه أمین وقادر علی الإنشاء، والتصرّف إلیه ومرجع الاختلاف إلی فعله، وهو أعلم به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التصرّف وبقاءِ الملک علی</w:t>
      </w:r>
    </w:p>
    <w:p>
      <w:pPr>
        <w:pStyle w:val="BookText"/>
        <w:rPr/>
      </w:pPr>
      <w:r>
        <w:rPr>
          <w:rFonts w:ascii="IRNazanin" w:hAnsi="IRNazanin" w:eastAsia="IRNazanin"/>
          <w:color w:val="111111"/>
          <w:sz w:val="28"/>
          <w:sz w:val="28"/>
          <w:szCs w:val="28"/>
          <w:rtl w:val="true"/>
          <w:lang w:bidi="fa-IR"/>
        </w:rPr>
        <w:t xml:space="preserve">مالکه </w:t>
      </w:r>
      <w:r>
        <w:rPr>
          <w:rStyle w:val="FootnoteAnchor"/>
          <w:rtl w:val="true"/>
        </w:rPr>
        <w:footnoteReference w:id="88"/>
      </w:r>
      <w:r>
        <w:rPr>
          <w:rFonts w:ascii="IRNazanin" w:hAnsi="IRNazanin" w:eastAsia="IRNazanin"/>
          <w:color w:val="111111"/>
          <w:sz w:val="28"/>
          <w:sz w:val="28"/>
          <w:szCs w:val="28"/>
          <w:rtl w:val="true"/>
          <w:lang w:bidi="fa-IR"/>
        </w:rPr>
        <w:t>والأقوی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قوله فی دعوی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لاشتراک الجمیع فی المعنی، ودعوی التلف أمر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الخلاف لو تنازعا فی قدر الثمن الذی اشتریت به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قال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اشتریته بمئة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 نّه یساوی مئة، لیمکن صحّة البیع، فقال الموکّل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قول الوکیل؛ لأنّه أمین </w:t>
      </w:r>
      <w:r>
        <w:rPr>
          <w:rStyle w:val="FootnoteAnchor"/>
          <w:rtl w:val="true"/>
        </w:rPr>
        <w:footnoteReference w:id="89"/>
      </w:r>
      <w:r>
        <w:rPr>
          <w:rFonts w:ascii="IRNazanin" w:hAnsi="IRNazanin" w:eastAsia="IRNazanin"/>
          <w:color w:val="111111"/>
          <w:sz w:val="28"/>
          <w:sz w:val="28"/>
          <w:szCs w:val="28"/>
          <w:rtl w:val="true"/>
          <w:lang w:bidi="fa-IR"/>
        </w:rPr>
        <w:t>والاختلاف فی فعله ودلالة الظاهر علی کون الشیء إنّما یباع بقیمته وهو الأقوی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الموکِّل </w:t>
      </w:r>
      <w:r>
        <w:rPr>
          <w:rStyle w:val="FootnoteAnchor"/>
          <w:rtl w:val="true"/>
        </w:rPr>
        <w:footnoteReference w:id="90"/>
      </w:r>
      <w:r>
        <w:rPr>
          <w:rFonts w:ascii="IRNazanin" w:hAnsi="IRNazanin" w:eastAsia="IRNazanin"/>
          <w:color w:val="111111"/>
          <w:sz w:val="28"/>
          <w:sz w:val="28"/>
          <w:szCs w:val="28"/>
          <w:rtl w:val="true"/>
          <w:lang w:bidi="fa-IR"/>
        </w:rPr>
        <w:t>لأصالة براءته من الزائد، ولأنّ فی ذلک إثبات حقّ للبائع علیه فلا یُسمع</w:t>
      </w:r>
      <w:r>
        <w:rPr>
          <w:rFonts w:eastAsia="IRNazanin" w:cs="IRNazanin"/>
          <w:color w:val="111111"/>
          <w:sz w:val="28"/>
          <w:szCs w:val="28"/>
          <w:rtl w:val="true"/>
          <w:lang w:bidi="fa-IR"/>
        </w:rPr>
        <w:t>.</w:t>
      </w:r>
      <w:bookmarkStart w:id="71" w:name="pg19810_214251"/>
    </w:p>
    <w:p>
      <w:pPr>
        <w:pStyle w:val="Heading2"/>
        <w:numPr>
          <w:ilvl w:val="1"/>
          <w:numId w:val="1"/>
        </w:numPr>
        <w:rPr/>
      </w:pPr>
      <w:bookmarkStart w:id="72" w:name="__RefHeading___Toc2175305_2314609296"/>
      <w:bookmarkStart w:id="73" w:name="_Toc27"/>
      <w:bookmarkEnd w:id="71"/>
      <w:bookmarkEnd w:id="72"/>
      <w:r>
        <w:rPr>
          <w:rtl w:val="true"/>
        </w:rPr>
        <w:t>کتاب الشفعة</w:t>
      </w:r>
      <w:bookmarkEnd w:id="7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2175307_2314609296"/>
      <w:bookmarkStart w:id="75" w:name="_Toc28"/>
      <w:bookmarkEnd w:id="74"/>
      <w:r>
        <w:rPr>
          <w:rtl w:val="true"/>
        </w:rPr>
        <w:t>اشارة</w:t>
      </w:r>
      <w:bookmarkStart w:id="76" w:name="pg19810_214253"/>
      <w:bookmarkEnd w:id="75"/>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الشفعة</w:t>
      </w:r>
      <w:r>
        <w:rPr>
          <w:rFonts w:eastAsia="IRNazanin" w:cs="IRNazanin"/>
          <w:color w:val="111111"/>
          <w:sz w:val="28"/>
          <w:szCs w:val="28"/>
          <w:rtl w:val="true"/>
          <w:lang w:bidi="fa-IR"/>
        </w:rPr>
        <w:t>»</w:t>
      </w:r>
    </w:p>
    <w:p>
      <w:pPr>
        <w:pStyle w:val="Heading3"/>
        <w:numPr>
          <w:ilvl w:val="2"/>
          <w:numId w:val="1"/>
        </w:numPr>
        <w:rPr/>
      </w:pPr>
      <w:bookmarkStart w:id="77" w:name="__RefHeading___Toc2175309_2314609296"/>
      <w:bookmarkStart w:id="78" w:name="_Toc29"/>
      <w:bookmarkEnd w:id="77"/>
      <w:r>
        <w:rPr>
          <w:rtl w:val="true"/>
        </w:rPr>
        <w:t>[</w:t>
      </w:r>
      <w:r>
        <w:rPr>
          <w:rtl w:val="true"/>
        </w:rPr>
        <w:t xml:space="preserve">تعریفها </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شفعتُ کذا بکذا، إذا جعلته شَفْعاً به أی زوجاً، کأنّ الشفیع یجعل نصیبه شفعاً بنصیب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وأصلُها التقویة والإعانة، ومنه الشفاعة والشفع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الشریک الحصّةَ المبیعة فی شرکته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یحتاج إلی قید الاتّحاد وغیره ممّا یعتبر فی الاستحقاق؛ لاستلزام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وإنّما یفتقر إلی ذکرها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یرد النقض فی طرده </w:t>
      </w:r>
      <w:r>
        <w:rPr>
          <w:rStyle w:val="FootnoteAnchor"/>
          <w:rtl w:val="true"/>
        </w:rPr>
        <w:footnoteReference w:id="91"/>
      </w:r>
      <w:r>
        <w:rPr>
          <w:rFonts w:ascii="IRNazanin" w:hAnsi="IRNazanin" w:eastAsia="IRNazanin"/>
          <w:color w:val="111111"/>
          <w:sz w:val="28"/>
          <w:sz w:val="28"/>
          <w:szCs w:val="28"/>
          <w:rtl w:val="true"/>
          <w:lang w:bidi="fa-IR"/>
        </w:rPr>
        <w:t xml:space="preserve">بشراء الشریک حصّة شریکه، فإنّه بعد البیع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الشریک الحصّة المبیعة فی شرکته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فی التعریف أ نّها مبیعة لغیره أو له، وکما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بالأخذ یصدق بنفس الملک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الاستحقاق المذکور هنا للشریک المقتضی لکونه شریکاً حالَ شرکته، والأمر فی البیع لیس کذلک؛ لأنّه حال الشرکة غیر مستحقّ، وبعد الاستحقاق لیس بشریک؛ إذ المراد بالشریک هنا الشریک بالفعل؛ لأنّه المعتبر شرعاً، لا ما کان فیه شریکاً مع ارتفاع الشرکة، نظراً إلی عدم اشتراط بقاء المعنی المشتقّ منه فی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ورود ذلک مع تعدّد الشرکاء إذا اشتری أحدهم نصیب بعضهم مع بقاء الشرکة فی غیر الحصّة المبیعة</w:t>
      </w:r>
      <w:r>
        <w:rPr>
          <w:rFonts w:eastAsia="IRNazanin" w:cs="IRNazanin"/>
          <w:color w:val="111111"/>
          <w:sz w:val="28"/>
          <w:szCs w:val="28"/>
          <w:rtl w:val="true"/>
          <w:lang w:bidi="fa-IR"/>
        </w:rPr>
        <w:t>.</w:t>
      </w:r>
      <w:bookmarkStart w:id="79" w:name="pg19810_214254"/>
    </w:p>
    <w:p>
      <w:pPr>
        <w:pStyle w:val="BookText"/>
        <w:rPr/>
      </w:pPr>
      <w:bookmarkEnd w:id="79"/>
      <w:r>
        <w:rPr>
          <w:rFonts w:ascii="IRNazanin" w:hAnsi="IRNazanin" w:eastAsia="IRNazanin"/>
          <w:color w:val="111111"/>
          <w:sz w:val="28"/>
          <w:sz w:val="28"/>
          <w:szCs w:val="28"/>
          <w:rtl w:val="true"/>
          <w:lang w:bidi="fa-IR"/>
        </w:rPr>
        <w:t>ولو قیّد المبیع بکونه لغیر المستحقّ، أو علّق الاستحقاق بتملّک الحصّة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استحقاق الشریک تملّک الحصّة المبیعة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سَلِم من ذلک؛ لأنّ استحقاق التملّک غیر استحقاق الملک</w:t>
      </w:r>
      <w:r>
        <w:rPr>
          <w:rFonts w:eastAsia="IRNazanin" w:cs="IRNazanin"/>
          <w:color w:val="111111"/>
          <w:sz w:val="28"/>
          <w:szCs w:val="28"/>
          <w:rtl w:val="true"/>
          <w:lang w:bidi="fa-IR"/>
        </w:rPr>
        <w:t>.</w:t>
      </w:r>
    </w:p>
    <w:p>
      <w:pPr>
        <w:pStyle w:val="Heading3"/>
        <w:numPr>
          <w:ilvl w:val="2"/>
          <w:numId w:val="1"/>
        </w:numPr>
        <w:rPr/>
      </w:pPr>
      <w:bookmarkStart w:id="80" w:name="__RefHeading___Toc2175311_2314609296"/>
      <w:bookmarkStart w:id="81" w:name="_Toc30"/>
      <w:bookmarkEnd w:id="80"/>
      <w:r>
        <w:rPr>
          <w:rtl w:val="true"/>
        </w:rPr>
        <w:t>[</w:t>
      </w:r>
      <w:r>
        <w:rPr>
          <w:rtl w:val="true"/>
        </w:rPr>
        <w:t>ما تثبت و ما لا تثبت فیه الشفعة</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تثبت 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أشهر القولین </w:t>
      </w:r>
      <w:r>
        <w:rPr>
          <w:rStyle w:val="FootnoteAnchor"/>
          <w:rtl w:val="true"/>
        </w:rPr>
        <w:footnoteReference w:id="92"/>
      </w:r>
      <w:r>
        <w:rPr>
          <w:rFonts w:ascii="IRNazanin" w:hAnsi="IRNazanin" w:eastAsia="IRNazanin"/>
          <w:color w:val="111111"/>
          <w:sz w:val="28"/>
          <w:sz w:val="28"/>
          <w:szCs w:val="28"/>
          <w:rtl w:val="true"/>
          <w:lang w:bidi="fa-IR"/>
        </w:rPr>
        <w:t xml:space="preserve">وصحیح الأخبار </w:t>
      </w:r>
      <w:r>
        <w:rPr>
          <w:rStyle w:val="FootnoteAnchor"/>
          <w:rtl w:val="true"/>
        </w:rPr>
        <w:footnoteReference w:id="93"/>
      </w:r>
      <w:r>
        <w:rPr>
          <w:rFonts w:ascii="IRNazanin" w:hAnsi="IRNazanin" w:eastAsia="IRNazanin"/>
          <w:color w:val="111111"/>
          <w:sz w:val="28"/>
          <w:sz w:val="28"/>
          <w:szCs w:val="28"/>
          <w:rtl w:val="true"/>
          <w:lang w:bidi="fa-IR"/>
        </w:rPr>
        <w:t>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 الأصحاب إلی ثبوتها مع الکثرة </w:t>
      </w:r>
      <w:r>
        <w:rPr>
          <w:rStyle w:val="FootnoteAnchor"/>
          <w:rtl w:val="true"/>
        </w:rPr>
        <w:footnoteReference w:id="94"/>
      </w:r>
      <w:r>
        <w:rPr>
          <w:rFonts w:ascii="IRNazanin" w:hAnsi="IRNazanin" w:eastAsia="IRNazanin"/>
          <w:color w:val="111111"/>
          <w:sz w:val="28"/>
          <w:sz w:val="28"/>
          <w:szCs w:val="28"/>
          <w:rtl w:val="true"/>
          <w:lang w:bidi="fa-IR"/>
        </w:rPr>
        <w:t xml:space="preserve">استناداً إلی روایات </w:t>
      </w:r>
      <w:r>
        <w:rPr>
          <w:rStyle w:val="FootnoteAnchor"/>
          <w:rtl w:val="true"/>
        </w:rPr>
        <w:footnoteReference w:id="95"/>
      </w:r>
      <w:r>
        <w:rPr>
          <w:rFonts w:ascii="IRNazanin" w:hAnsi="IRNazanin" w:eastAsia="IRNazanin"/>
          <w:color w:val="111111"/>
          <w:sz w:val="28"/>
          <w:sz w:val="28"/>
          <w:szCs w:val="28"/>
          <w:rtl w:val="true"/>
          <w:lang w:bidi="fa-IR"/>
        </w:rPr>
        <w:t>معارَضة بأقوی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المال الذی تثبت فیه علی تقدیر 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ینقل، کالأرض والشجر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بیع منضمّاً إلی مغرسه، لا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البناء، فلو اشترکت غرفة بین اثنین دون قرارها فلا شفعة فیها، وإن ضُمّت إلی أرض غیره، کالشجر إذا ضُمّ إلی غیر مغرسه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اشتراط إمکان قسمته قولان</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أجودهما اشتراطه؛ لأصالة</w:t>
      </w:r>
      <w:bookmarkStart w:id="82" w:name="pg19810_214255"/>
    </w:p>
    <w:p>
      <w:pPr>
        <w:pStyle w:val="BookText"/>
        <w:rPr/>
      </w:pPr>
      <w:bookmarkEnd w:id="82"/>
      <w:r>
        <w:rPr>
          <w:rFonts w:ascii="IRNazanin" w:hAnsi="IRNazanin" w:eastAsia="IRNazanin"/>
          <w:color w:val="111111"/>
          <w:sz w:val="28"/>
          <w:sz w:val="28"/>
          <w:szCs w:val="28"/>
          <w:rtl w:val="true"/>
          <w:lang w:bidi="fa-IR"/>
        </w:rPr>
        <w:t xml:space="preserve">عدم ثبوتها فی محلّ النزاع، وعلیه شواهد من الأخبار </w:t>
      </w:r>
      <w:r>
        <w:rPr>
          <w:rStyle w:val="FootnoteAnchor"/>
          <w:rtl w:val="true"/>
        </w:rPr>
        <w:footnoteReference w:id="97"/>
      </w:r>
      <w:r>
        <w:rPr>
          <w:rFonts w:ascii="IRNazanin" w:hAnsi="IRNazanin" w:eastAsia="IRNazanin"/>
          <w:color w:val="111111"/>
          <w:sz w:val="28"/>
          <w:sz w:val="28"/>
          <w:szCs w:val="28"/>
          <w:rtl w:val="true"/>
          <w:lang w:bidi="fa-IR"/>
        </w:rPr>
        <w:t xml:space="preserve">لکن فی طریقها ضعف </w:t>
      </w:r>
      <w:r>
        <w:rPr>
          <w:rStyle w:val="FootnoteAnchor"/>
          <w:rtl w:val="true"/>
        </w:rPr>
        <w:footnoteReference w:id="98"/>
      </w:r>
      <w:r>
        <w:rPr>
          <w:rFonts w:ascii="IRNazanin" w:hAnsi="IRNazanin" w:eastAsia="IRNazanin"/>
          <w:color w:val="111111"/>
          <w:sz w:val="28"/>
          <w:sz w:val="28"/>
          <w:szCs w:val="28"/>
          <w:rtl w:val="true"/>
          <w:lang w:bidi="fa-IR"/>
        </w:rPr>
        <w:t>ومن لم یشترط نظر إلی عموم أدلّة ثبوتها، مع ضعف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فلا شفعة فی الحمّام الصغیر، والعضائد الضیّقة، والنهر والطریق الضیّقین، والرحی حیث لا یمکن قسمة أحجارها وبیتها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الضیّق قلّة النصیب بحیث یتضرّر صاحب القلیل بالقسمة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غیر المشترک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الشرکة فی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والشِرْب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ضمّهما فی البیع إلی المقسوم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یشترط قبولهما القسمة کالأصل؟ إطلاق العبارة یقتضی عدمه، وفی الدروس اشترطه </w:t>
      </w:r>
      <w:r>
        <w:rPr>
          <w:rStyle w:val="FootnoteAnchor"/>
          <w:rtl w:val="true"/>
        </w:rPr>
        <w:footnoteReference w:id="100"/>
      </w:r>
      <w:r>
        <w:rPr>
          <w:rFonts w:ascii="IRNazanin" w:hAnsi="IRNazanin" w:eastAsia="IRNazanin"/>
          <w:color w:val="111111"/>
          <w:sz w:val="28"/>
          <w:sz w:val="28"/>
          <w:szCs w:val="28"/>
          <w:rtl w:val="true"/>
          <w:lang w:bidi="fa-IR"/>
        </w:rPr>
        <w:t>والأقوی الاکتفاء بقبول المقسوم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بیعا منفردین اعتبر قبولهما کالأصل</w:t>
      </w:r>
      <w:r>
        <w:rPr>
          <w:rFonts w:eastAsia="IRNazanin" w:cs="IRNazanin"/>
          <w:color w:val="111111"/>
          <w:sz w:val="28"/>
          <w:szCs w:val="28"/>
          <w:rtl w:val="true"/>
          <w:lang w:bidi="fa-IR"/>
        </w:rPr>
        <w:t>.</w:t>
      </w:r>
    </w:p>
    <w:p>
      <w:pPr>
        <w:pStyle w:val="Heading3"/>
        <w:numPr>
          <w:ilvl w:val="2"/>
          <w:numId w:val="1"/>
        </w:numPr>
        <w:rPr/>
      </w:pPr>
      <w:bookmarkStart w:id="83" w:name="__RefHeading___Toc2175313_2314609296"/>
      <w:bookmarkStart w:id="84" w:name="_Toc31"/>
      <w:bookmarkEnd w:id="83"/>
      <w:r>
        <w:rPr>
          <w:rtl w:val="true"/>
        </w:rPr>
        <w:t>[</w:t>
      </w:r>
      <w:r>
        <w:rPr>
          <w:rtl w:val="true"/>
        </w:rPr>
        <w:t>فی الشفیع</w:t>
      </w:r>
      <w:r>
        <w:rPr>
          <w:rtl w:val="true"/>
        </w:rPr>
        <w:t>]</w:t>
      </w:r>
      <w:bookmarkEnd w:id="8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قدرة الشفیع علی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وبذله للمشتری، فلا شفعة للعاجز، ولا للممتنع مع قدرته، والمماطل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فی العجز إلی اعترافه، لا إلی حاله؛ لإمکان استدانته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 المشتری قبول الرهن والضامن والعوض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وإسلامه إذا کان المشتری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شفعة لکافر مطلقاً علی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غیبة الثمن اُجِّل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ملفّقةً، وفی دخول اللیالی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الأخذ عشیّة دخلت اللیلة تبعاً، ولا إشکال فی دخول اللیلتین المتوسّطتین کالاعتکاف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ادّعی أ نّه فی بلد آخر اُجِّل زماناً یسع ذهابه وإیابه، وثلاثةً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یتضرّر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 البلد عادةً کالعراق 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تضرّر المشتری یُسقِط الإمهال ثلاثةً مطلقاً، والموجود فی کلامه فی الدروس </w:t>
      </w:r>
      <w:r>
        <w:rPr>
          <w:rStyle w:val="FootnoteAnchor"/>
          <w:rtl w:val="true"/>
        </w:rPr>
        <w:footnoteReference w:id="101"/>
      </w:r>
      <w:r>
        <w:rPr>
          <w:rFonts w:ascii="IRNazanin" w:hAnsi="IRNazanin" w:eastAsia="IRNazanin"/>
          <w:color w:val="111111"/>
          <w:sz w:val="28"/>
          <w:sz w:val="28"/>
          <w:szCs w:val="28"/>
          <w:rtl w:val="true"/>
          <w:lang w:bidi="fa-IR"/>
        </w:rPr>
        <w:t xml:space="preserve">وکلام غیره </w:t>
      </w:r>
      <w:r>
        <w:rPr>
          <w:rStyle w:val="FootnoteAnchor"/>
          <w:rtl w:val="true"/>
        </w:rPr>
        <w:footnoteReference w:id="102"/>
      </w:r>
      <w:r>
        <w:rPr>
          <w:rFonts w:ascii="IRNazanin" w:hAnsi="IRNazanin" w:eastAsia="IRNazanin"/>
          <w:color w:val="111111"/>
          <w:sz w:val="28"/>
          <w:sz w:val="28"/>
          <w:szCs w:val="28"/>
          <w:rtl w:val="true"/>
          <w:lang w:bidi="fa-IR"/>
        </w:rPr>
        <w:t>اعتباره فی البلد النائی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طالت غیبته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یتمکّن من الأخذ فی الغیبة بنفسه أو وکیله، ولا عبرة بتمکّنه من 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 المریض والمحبوس ظلماً أو بحقّ یعجز عنه، ولو قدر علیه ولم یطالب بعد مضیّ زمانٍ یتمکّن من التخلّص والمطالبة بطلت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للصبیّ والمجنون والسفیه، ویتولّی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مع الغبطة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 الأخذ کسائر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کون الشریک البائع هو الولیّ وغیره، وکما یأخذ لهم یأخذ منهم لو باع عنهم ما هو بشرکته، وکذا یأخذ لأحد المولَّیین نصیب الآخر لو باعه بشرکته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عند الکمال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ترک لعدم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جهل الحال ففی استحقاقهم الأخذ نظراً إلی وجود السبب فیستصحب، أم لا التفاتاً إلی أ نّه</w:t>
      </w:r>
      <w:bookmarkStart w:id="85" w:name="pg19810_214257"/>
    </w:p>
    <w:p>
      <w:pPr>
        <w:pStyle w:val="BookText"/>
        <w:rPr/>
      </w:pPr>
      <w:bookmarkEnd w:id="85"/>
      <w:r>
        <w:rPr>
          <w:rFonts w:ascii="IRNazanin" w:hAnsi="IRNazanin" w:eastAsia="IRNazanin"/>
          <w:color w:val="111111"/>
          <w:sz w:val="28"/>
          <w:sz w:val="28"/>
          <w:szCs w:val="28"/>
          <w:rtl w:val="true"/>
          <w:lang w:bidi="fa-IR"/>
        </w:rPr>
        <w:t>مقیّد بالمصلحة ولم تُعلم، وجهان، أوجههما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المفلَّس فتثبت له أیضاً، لکن لا یجب علی الغرماء تمکینه من الثمن، فإن بذلوه أو رضی المشتری بذمّته فأخذ تعلّق بالشِقص حقّ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علیه الأخذ ولو طلبوه منه مطلقاً</w:t>
      </w:r>
      <w:r>
        <w:rPr>
          <w:rFonts w:eastAsia="IRNazanin" w:cs="IRNazanin"/>
          <w:color w:val="111111"/>
          <w:sz w:val="28"/>
          <w:szCs w:val="28"/>
          <w:rtl w:val="true"/>
          <w:lang w:bidi="fa-IR"/>
        </w:rPr>
        <w:t>.</w:t>
      </w:r>
    </w:p>
    <w:p>
      <w:pPr>
        <w:pStyle w:val="Heading3"/>
        <w:numPr>
          <w:ilvl w:val="2"/>
          <w:numId w:val="1"/>
        </w:numPr>
        <w:rPr/>
      </w:pPr>
      <w:bookmarkStart w:id="86" w:name="__RefHeading___Toc2175315_2314609296"/>
      <w:bookmarkStart w:id="87" w:name="_Toc32"/>
      <w:bookmarkEnd w:id="86"/>
      <w:r>
        <w:rPr>
          <w:rtl w:val="true"/>
        </w:rPr>
        <w:t>[</w:t>
      </w:r>
      <w:r>
        <w:rPr>
          <w:rtl w:val="true"/>
        </w:rPr>
        <w:t>فی الاخذ باشفعة</w:t>
      </w:r>
      <w:r>
        <w:rPr>
          <w:rtl w:val="true"/>
        </w:rPr>
        <w:t>]</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بالشفعة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العقد وإن کان فیه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انتقال المبیع إلی ملک المشتری به، فلو أوقفناه علی انقضاء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کالشیخ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علی انقضائه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بقاء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المشتری أو البائع الفسخ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وإلّا استقرّ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بعض الأصحاب الأخذ بعد انقضاء الخیار مع حکمه بملکه بالعقد </w:t>
      </w:r>
      <w:r>
        <w:rPr>
          <w:rStyle w:val="FootnoteAnchor"/>
          <w:rtl w:val="true"/>
        </w:rPr>
        <w:footnoteReference w:id="104"/>
      </w:r>
      <w:r>
        <w:rPr>
          <w:rFonts w:ascii="IRNazanin" w:hAnsi="IRNazanin" w:eastAsia="IRNazanin"/>
          <w:color w:val="111111"/>
          <w:sz w:val="28"/>
          <w:sz w:val="28"/>
          <w:szCs w:val="28"/>
          <w:rtl w:val="true"/>
          <w:lang w:bidi="fa-IR"/>
        </w:rPr>
        <w:t>نظراً إلی عدم الفائدة به قبله؛ إذ لیس له انتزاع العین قبل مضیّ مدّة الخیار؛ لعدم استقرار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ذلک جائز، لا لازم، بل یجوز قبلَه وإن منع من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والفائدة تظهر فی النماء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المصنّف فی الدروس بطلان خیار المشتری بالأخذ </w:t>
      </w:r>
      <w:r>
        <w:rPr>
          <w:rStyle w:val="FootnoteAnchor"/>
          <w:rtl w:val="true"/>
        </w:rPr>
        <w:footnoteReference w:id="105"/>
      </w:r>
      <w:r>
        <w:rPr>
          <w:rFonts w:ascii="IRNazanin" w:hAnsi="IRNazanin" w:eastAsia="IRNazanin"/>
          <w:color w:val="111111"/>
          <w:sz w:val="28"/>
          <w:sz w:val="28"/>
          <w:szCs w:val="28"/>
          <w:rtl w:val="true"/>
          <w:lang w:bidi="fa-IR"/>
        </w:rPr>
        <w:t>لانتفاء فائدته؛ إذ الغرض الثمن وقد حصل من الشفیع، کما لو أراد الردّ بالعیب فأخذ الشفیع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ویضعَّف بأنّ الفائدة لیست منحصرة فی الثمن، فجاز أن یرید دفع الدرک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للشفیع أخذ البعض، بل یأخذ الجمیع، أو 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یتضرّر المشتری بتبعیض الصفقة؛ ولأنّ حقّه فی المجموع من حیث هو مجموع کالخیار، حتّی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الشفعة؛ لمنافاته الفوریّة، حیث تعتبر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ویأخذ بالثمن الذی وقع علیه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بمثله؛ لعدم إمکان الأخذ بعینه، إلّاأن یتملّکه، ولیس بلازم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یلزمه غیره من دلالة أو 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واُجرة نقد ووزن، وغیرها؛ لأنّها لیست من الثمن وإن کانت من توابعه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مثلیّاً فعلیه مثله، وإن کان قیمیّاً فقیمته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شفعة هنا </w:t>
      </w:r>
      <w:r>
        <w:rPr>
          <w:rStyle w:val="FootnoteAnchor"/>
          <w:rtl w:val="true"/>
        </w:rPr>
        <w:footnoteReference w:id="106"/>
      </w:r>
      <w:r>
        <w:rPr>
          <w:rFonts w:ascii="IRNazanin" w:hAnsi="IRNazanin" w:eastAsia="IRNazanin"/>
          <w:color w:val="111111"/>
          <w:sz w:val="28"/>
          <w:sz w:val="28"/>
          <w:szCs w:val="28"/>
          <w:rtl w:val="true"/>
          <w:lang w:bidi="fa-IR"/>
        </w:rPr>
        <w:t xml:space="preserve">لتعذّر الأخذ بالثمن، وعملاً بروایةٍ </w:t>
      </w:r>
      <w:r>
        <w:rPr>
          <w:rStyle w:val="FootnoteAnchor"/>
          <w:rtl w:val="true"/>
        </w:rPr>
        <w:footnoteReference w:id="107"/>
      </w:r>
      <w:r>
        <w:rPr>
          <w:rFonts w:ascii="Amiri" w:hAnsi="Amiri" w:eastAsia="Amiri" w:cs="Amiri"/>
          <w:color w:val="111111"/>
          <w:sz w:val="28"/>
          <w:sz w:val="28"/>
          <w:szCs w:val="28"/>
          <w:rtl w:val="true"/>
          <w:lang w:bidi="ar-SA"/>
        </w:rPr>
        <w:t>لا تخلو من ضعفٍ وقصورٍ عن الدلالة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الأوّل یعتبر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وقت استحقاق الثمن، فحیث لا یمکن الأخذ به تعتبر قیمته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القیم من حینه إلی حین دفعها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کالغاصب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أشهر القولین </w:t>
      </w:r>
      <w:r>
        <w:rPr>
          <w:rStyle w:val="FootnoteAnchor"/>
          <w:rtl w:val="true"/>
        </w:rPr>
        <w:footnoteReference w:id="109"/>
      </w:r>
      <w:r>
        <w:rPr>
          <w:rFonts w:ascii="Amiri" w:hAnsi="Amiri" w:eastAsia="Amiri" w:cs="Amiri"/>
          <w:color w:val="111111"/>
          <w:sz w:val="28"/>
          <w:sz w:val="28"/>
          <w:szCs w:val="28"/>
          <w:rtl w:val="true"/>
          <w:lang w:bidi="ar-SA"/>
        </w:rPr>
        <w:t xml:space="preserve">اقتصاراً فیما خالف الأصل علی محلّ الوفاق، ولما رُوی أ نّها کحَلّ العقال </w:t>
      </w:r>
      <w:r>
        <w:rPr>
          <w:rStyle w:val="FootnoteAnchor"/>
          <w:rtl w:val="true"/>
        </w:rPr>
        <w:footnoteReference w:id="110"/>
      </w:r>
      <w:r>
        <w:rPr>
          <w:rFonts w:ascii="IRNazanin" w:hAnsi="IRNazanin" w:eastAsia="IRNazanin"/>
          <w:color w:val="111111"/>
          <w:sz w:val="28"/>
          <w:sz w:val="28"/>
          <w:szCs w:val="28"/>
          <w:rtl w:val="true"/>
          <w:lang w:bidi="fa-IR"/>
        </w:rPr>
        <w:t>ولأ نّها شُرّعت لدفع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جاء من التراخی علی المشتری ضرر أقوی؛ لأنّه إن تصرّف کان معرضاً للنقص، وإن أهمل انتفت فائدة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التراخی </w:t>
      </w:r>
      <w:r>
        <w:rPr>
          <w:rStyle w:val="FootnoteAnchor"/>
          <w:rtl w:val="true"/>
        </w:rPr>
        <w:footnoteReference w:id="111"/>
      </w:r>
      <w:r>
        <w:rPr>
          <w:rFonts w:ascii="IRNazanin" w:hAnsi="IRNazanin" w:eastAsia="IRNazanin"/>
          <w:color w:val="111111"/>
          <w:sz w:val="28"/>
          <w:sz w:val="28"/>
          <w:szCs w:val="28"/>
          <w:rtl w:val="true"/>
          <w:lang w:bidi="fa-IR"/>
        </w:rPr>
        <w:t>استصحاباً لما ثبت، وأصالة عدم الفوریّة وهو مخرج عن الأصل، والروایة 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روی علیّ بن مهزیار عن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إنظاره بالثمن ثلاثة أیّام </w:t>
      </w:r>
      <w:r>
        <w:rPr>
          <w:rStyle w:val="FootnoteAnchor"/>
          <w:rtl w:val="true"/>
        </w:rPr>
        <w:footnoteReference w:id="112"/>
      </w:r>
      <w:r>
        <w:rPr>
          <w:rFonts w:ascii="IRNazanin" w:hAnsi="IRNazanin" w:eastAsia="IRNazanin"/>
          <w:color w:val="111111"/>
          <w:sz w:val="28"/>
          <w:sz w:val="28"/>
          <w:szCs w:val="28"/>
          <w:rtl w:val="true"/>
          <w:lang w:bidi="fa-IR"/>
        </w:rPr>
        <w:t xml:space="preserve">وهو یؤذن بعدم التراخی مطلقاً </w:t>
      </w:r>
      <w:r>
        <w:rPr>
          <w:rStyle w:val="FootnoteAnchor"/>
          <w:rtl w:val="true"/>
        </w:rPr>
        <w:footnoteReference w:id="113"/>
      </w:r>
      <w:r>
        <w:rPr>
          <w:rFonts w:ascii="IRNazanin" w:hAnsi="IRNazanin" w:eastAsia="IRNazanin"/>
          <w:color w:val="111111"/>
          <w:sz w:val="28"/>
          <w:sz w:val="28"/>
          <w:szCs w:val="28"/>
          <w:rtl w:val="true"/>
          <w:lang w:bidi="fa-IR"/>
        </w:rPr>
        <w:t xml:space="preserve">ولا قائل بالفرق </w:t>
      </w:r>
      <w:r>
        <w:rPr>
          <w:rStyle w:val="FootnoteAnchor"/>
          <w:rtl w:val="true"/>
        </w:rPr>
        <w:footnoteReference w:id="114"/>
      </w:r>
      <w:r>
        <w:rPr>
          <w:rFonts w:ascii="IRNazanin" w:hAnsi="IRNazanin" w:eastAsia="IRNazanin"/>
          <w:color w:val="111111"/>
          <w:sz w:val="28"/>
          <w:sz w:val="28"/>
          <w:szCs w:val="28"/>
          <w:rtl w:val="true"/>
          <w:lang w:bidi="fa-IR"/>
        </w:rPr>
        <w:t>وهذا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وأهمل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مختاراً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ویعذَّر جاهل الفوریّة کجاهل الشفعة وناسیهما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دعوی الجهل ممّن یمکن فی حقّه عادة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یعذَّر مؤخِّر الطلب إلی الصبح لو بلغه لیلاً، وإلی الطهارة والصلاة</w:t>
      </w:r>
    </w:p>
    <w:p>
      <w:pPr>
        <w:pStyle w:val="BookText"/>
        <w:rPr/>
      </w:pPr>
      <w:r>
        <w:rPr>
          <w:rFonts w:ascii="IRNazanin" w:hAnsi="IRNazanin" w:eastAsia="IRNazanin"/>
          <w:color w:val="111111"/>
          <w:sz w:val="28"/>
          <w:sz w:val="28"/>
          <w:szCs w:val="28"/>
          <w:rtl w:val="true"/>
          <w:lang w:bidi="fa-IR"/>
        </w:rPr>
        <w:t>ولو بالأذان والإقامة والسنن المعهودة، وانتظار الجماعة لها، والأکل والشرب، والخروج من الحمّام بعد قضاء وطره منه، وتشییع المسافر، وشهود الجنازة، وقضاء حاجة طالبها، وعیادة المریض، ونحو ذلک؛ لشهادة العرف به، إلّاأن یکون المشتری حاضراً عنده بحیث لا یمنعه من شغله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من ثبوت البیع عنده بشهادة عدلین أو الشیاع، فلا عبرة بخبر الفاسق والمجهول والصبیّ والمرأة مطلقاً، وفی شهادة العدل الواحد وجه، واکتفی به المصنّف فی الدروس مع القرینة </w:t>
      </w:r>
      <w:r>
        <w:rPr>
          <w:rStyle w:val="FootnoteAnchor"/>
          <w:rtl w:val="true"/>
        </w:rPr>
        <w:footnoteReference w:id="115"/>
      </w:r>
      <w:r>
        <w:rPr>
          <w:rFonts w:ascii="IRNazanin" w:hAnsi="IRNazanin" w:eastAsia="IRNazanin"/>
          <w:color w:val="111111"/>
          <w:sz w:val="28"/>
          <w:sz w:val="28"/>
          <w:szCs w:val="28"/>
          <w:rtl w:val="true"/>
          <w:lang w:bidi="fa-IR"/>
        </w:rPr>
        <w:t>نعم لو صدّق المخبرَ کان کثبوته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علم صدقه بأمر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تسقط الشفعة بالفسخ المتعقّب للبیع بتقایل، أو فسخ بعیب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التقایل فظاهر؛ لأنّه لاحِقٌ للعقد، والشفعة تثبت به فتقدّم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العیب، فلأنّ استحقاق الفسخ به فرع دخول المعیب فی ملکه؛ إذ لا یعقل ردّ ما کان ملکاً للغیر، ودخوله فی ملکه إنّما یتحقّق بوقوع العقد صحیحاً، وفی هذا الوقت تثبت الشفعة فیقترنان ویقدّم حقّ الشفیع؛ لعموم أدلّة الشفعة للشریک واستصحاب الحال، ولأنّ فیه جمعاً بین الحقّین؛ لأنّ العیب إن کان فی الثمن المعیّن فالبائع یرجع إلی قیمة الشقص، وإن کان فی الشقص فالمشتری یطلب الثمن، وهو حاصل له من 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قدّمنا البائع فی الأوّل، فإنّه یقتضی سقوط حقّ الشفیع من الشقص عیناً وقیمة، وکذا لو قدّمنا المشتری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فُرّق بین أخذ الشفیع قبل الفسخ وبعده؛ لتساویهما فی الثبوت، فیقدَّم السابق فی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ویضعَّف بما ذکرناه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بتقدیم حقّ المتبایعین </w:t>
      </w:r>
      <w:r>
        <w:rPr>
          <w:rStyle w:val="FootnoteAnchor"/>
          <w:rtl w:val="true"/>
        </w:rPr>
        <w:footnoteReference w:id="118"/>
      </w:r>
      <w:r>
        <w:rPr>
          <w:rFonts w:ascii="IRNazanin" w:hAnsi="IRNazanin" w:eastAsia="IRNazanin"/>
          <w:color w:val="111111"/>
          <w:sz w:val="28"/>
          <w:sz w:val="28"/>
          <w:szCs w:val="28"/>
          <w:rtl w:val="true"/>
          <w:lang w:bidi="fa-IR"/>
        </w:rPr>
        <w:t>لاستناد الفسخ إلی العیب المقارن للعقد، والشفعة تثبت بعده، فیکون العیب أسبق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 مجرّد وجودِ العیب غیر کافٍ فی السببیّة بل هو مع العقد، کما أنّ الشرکة غیر کافیة فی سببیّة الشفعة بل هی مع العقد، فهما متساویان من هذا الوجه، وإن کان جانب العیب لا یخلو من قوّة، إلّاأ نّها لا توجب التقدیم، فالعمل علی ما اختاره المصنّف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اختار البائع أخذ أرش الثمن المعیب من المشتری رجع المشتری به علی الشفیع إن کان أخذ بقیمة المعیب أو بمعیب مثله،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 البائع الردّ والأرش معاً مع أخذ الشفیع له بقیمة المعیب أو مثله، فلا رجوع له بشیء؛ لأنّه کإسقاط بعض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اختار المشتری أخذ أرش الشقص قبل أخذ الشفیع أخَذَه الشفیع بما بعد الأرش؛ لأنّه کجزءٍ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أخذه بعد أخذ الشفیع رجع الشفیع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من تقیید الفسخ بالعیب أ نّه لو کان بغیره بطلت، وقد تقدّم ذلک فی الفسخ بالخیار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 تجدّد الفسخ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تلف الثمن المعیّن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بطلانها به قول </w:t>
      </w:r>
      <w:r>
        <w:rPr>
          <w:rStyle w:val="FootnoteAnchor"/>
          <w:rtl w:val="true"/>
        </w:rPr>
        <w:footnoteReference w:id="119"/>
      </w:r>
      <w:r>
        <w:rPr>
          <w:rFonts w:ascii="IRNazanin" w:hAnsi="IRNazanin" w:eastAsia="IRNazanin"/>
          <w:color w:val="111111"/>
          <w:sz w:val="28"/>
          <w:sz w:val="28"/>
          <w:szCs w:val="28"/>
          <w:rtl w:val="true"/>
          <w:lang w:bidi="fa-IR"/>
        </w:rPr>
        <w:t>من حیث إنّه یوجب بطلان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بعدمه </w:t>
      </w:r>
      <w:r>
        <w:rPr>
          <w:rStyle w:val="FootnoteAnchor"/>
          <w:rtl w:val="true"/>
        </w:rPr>
        <w:footnoteReference w:id="120"/>
      </w:r>
      <w:r>
        <w:rPr>
          <w:rFonts w:ascii="IRNazanin" w:hAnsi="IRNazanin" w:eastAsia="IRNazanin"/>
          <w:color w:val="111111"/>
          <w:sz w:val="28"/>
          <w:sz w:val="28"/>
          <w:szCs w:val="28"/>
          <w:rtl w:val="true"/>
          <w:lang w:bidi="fa-IR"/>
        </w:rPr>
        <w:t>لأنّ البطلان من</w:t>
      </w:r>
    </w:p>
    <w:p>
      <w:pPr>
        <w:pStyle w:val="BookText"/>
        <w:rPr/>
      </w:pPr>
      <w:r>
        <w:rPr>
          <w:rFonts w:ascii="IRNazanin" w:hAnsi="IRNazanin" w:eastAsia="IRNazanin"/>
          <w:color w:val="111111"/>
          <w:sz w:val="28"/>
          <w:sz w:val="28"/>
          <w:szCs w:val="28"/>
          <w:rtl w:val="true"/>
          <w:lang w:bidi="fa-IR"/>
        </w:rPr>
        <w:t>حین التلف لا من أصله، فلا یزیل ما سبق من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 بالفرق بین أخذ الشفیع قبل التلف فتثبت وبعده فتبطل </w:t>
      </w:r>
      <w:r>
        <w:rPr>
          <w:rStyle w:val="FootnoteAnchor"/>
          <w:rtl w:val="true"/>
        </w:rPr>
        <w:footnoteReference w:id="121"/>
      </w:r>
      <w:r>
        <w:rPr>
          <w:rFonts w:ascii="IRNazanin" w:hAnsi="IRNazanin" w:eastAsia="IRNazanin"/>
          <w:color w:val="111111"/>
          <w:sz w:val="28"/>
          <w:sz w:val="28"/>
          <w:szCs w:val="28"/>
          <w:rtl w:val="true"/>
          <w:lang w:bidi="fa-IR"/>
        </w:rPr>
        <w:t>والأوسط أوسط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تسقط الشفعة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بالعقود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الشقص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وهب أو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لسبق حقّ الشفیع علی ما تأخّر من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للشفیع إبطال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والأخذ بالبیع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یجیز البیع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بالبیع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 البیعین سبب تامّ فی ثبوت الشفعة، والثانی صحیح وإن توقّف علی إجازة الشفیع، فالتعیین إلی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تعدّدت العقود، فإن أخذ من الأخیر صحّت العقود السابقة، وإن أخذ من الأوّل بطلت اللاحقة، وإن أخذ من المتوسّط صحّ ما قبله وبطل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بطلان الهبة لو اختاره الشفیع بین اللازمة وغیرها، ولا بین المعوّض عنها وغیرها، فیأخذ الواهب الثمن ویرجع العوض إلی باذله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والشفیع یأخذ من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البائع؛ لأنّه المالک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درک الشقص لو ظهر مستحقّاً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علیه بالثمن وبما اغترمه لو أخذه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کونه فی ید المشتری وید البائع بأن لم یکن أقبضه، لکن هنا لا یکلّف المشتری قبضه منه، بل یکلَّف الشفیع الأخذ منه أو الترک؛ لأنّ الشقص هو حقّ الشفیع، فحیثما وجده أخذه، ویکون قبضه کقبض المشتری، والدرک علیه علی التقدیرین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والشفعة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الشفیع کما یورث الخیار وحدّ القذف والقصاص</w:t>
      </w:r>
    </w:p>
    <w:p>
      <w:pPr>
        <w:pStyle w:val="BookText"/>
        <w:rPr/>
      </w:pPr>
      <w:r>
        <w:rPr>
          <w:rFonts w:ascii="IRNazanin" w:hAnsi="IRNazanin" w:eastAsia="IRNazanin"/>
          <w:color w:val="111111"/>
          <w:sz w:val="28"/>
          <w:sz w:val="28"/>
          <w:szCs w:val="28"/>
          <w:rtl w:val="true"/>
          <w:lang w:bidi="fa-IR"/>
        </w:rPr>
        <w:t xml:space="preserve">فی أصحّ القولین </w:t>
      </w:r>
      <w:r>
        <w:rPr>
          <w:rStyle w:val="FootnoteAnchor"/>
          <w:rtl w:val="true"/>
        </w:rPr>
        <w:footnoteReference w:id="122"/>
      </w:r>
      <w:r>
        <w:rPr>
          <w:rFonts w:ascii="IRNazanin" w:hAnsi="IRNazanin" w:eastAsia="IRNazanin"/>
          <w:color w:val="111111"/>
          <w:sz w:val="28"/>
          <w:sz w:val="28"/>
          <w:szCs w:val="28"/>
          <w:rtl w:val="true"/>
          <w:lang w:bidi="fa-IR"/>
        </w:rPr>
        <w:t>لعموم أدلّة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تورث </w:t>
      </w:r>
      <w:r>
        <w:rPr>
          <w:rStyle w:val="FootnoteAnchor"/>
          <w:rtl w:val="true"/>
        </w:rPr>
        <w:footnoteReference w:id="123"/>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124"/>
      </w:r>
      <w:r>
        <w:rPr>
          <w:rFonts w:ascii="IRNazanin" w:hAnsi="IRNazanin" w:eastAsia="IRNazanin"/>
          <w:color w:val="111111"/>
          <w:sz w:val="28"/>
          <w:sz w:val="28"/>
          <w:szCs w:val="28"/>
          <w:rtl w:val="true"/>
          <w:lang w:bidi="fa-IR"/>
        </w:rPr>
        <w:t xml:space="preserve">ضعیفة السند </w:t>
      </w:r>
      <w:r>
        <w:rPr>
          <w:rStyle w:val="FootnoteAnchor"/>
          <w:rtl w:val="true"/>
        </w:rPr>
        <w:footnoteReference w:id="125"/>
      </w:r>
      <w:r>
        <w:rPr>
          <w:rFonts w:ascii="IRNazanin" w:hAnsi="IRNazanin" w:eastAsia="IRNazanin"/>
          <w:color w:val="111111"/>
          <w:sz w:val="28"/>
          <w:sz w:val="28"/>
          <w:szCs w:val="28"/>
          <w:rtl w:val="true"/>
          <w:lang w:bidi="fa-IR"/>
        </w:rPr>
        <w:t xml:space="preserve">وعلی المختار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نسبة سهامهم، لا علی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فللزوجة معَ الولد الثُمن، فلو عفی أحد الورّاث عن نصیبه لم تسقط؛ لأنّ الحقّ للجمیع، فلا یسقط حقّ واحد بترک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عفوا إلّاواحداً أخذ الجمیع، أو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تبعّض الصفقة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هنا تکثّر المستحقّ وإن کانوا شرکاء؛ لأنّ أصل الشریک متّحد، والاعتبار بالوحدة عند البیع، لا الأخذ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تسلیم الثمن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 لقهر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تسلّم المبیع، لا الأخذ بالشفعة القولی، فإنّه متقدّم علی تسلیم الثمن مراعاة للفوریّة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یرضی الشفیع بکونه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یتسلّم المبیع أوّلاً؛ لأنّ الحقّ فی ذلک للمشتری، فإذا أسقطه برضاه بتأخیر الثمن فی ذمّة الشفیع فله ذلک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بالشفیع هنا المشتری؛ لما ذکرناه إمّا تجوّزاً؛ لکونه سبباً فی إثبات الشفیع، أو وقع سهواً</w:t>
      </w:r>
      <w:r>
        <w:rPr>
          <w:rFonts w:eastAsia="IRNazanin" w:cs="IRNazanin"/>
          <w:color w:val="111111"/>
          <w:sz w:val="28"/>
          <w:szCs w:val="28"/>
          <w:rtl w:val="true"/>
          <w:lang w:bidi="fa-IR"/>
        </w:rPr>
        <w:t>.</w:t>
      </w:r>
      <w:bookmarkStart w:id="88" w:name="pg19810_214264"/>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یصحّ الأخذ إلّابعد العلم بقدره وجنسه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لأنّه معاوضة تفتقر إلی العلم بالعوضین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أخذ قبله لغی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بمهما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ولا تبطل بذلک 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ویُغتفر بعد اجتماعه بالمشتری السؤال عن کمّیّة الثمن والشقص بعد السلام والکلام المعتاد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انتقل الشقص بهبة أو صلح أو صداق 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تعریفها من اختصاصها بالبیع، وما ذکر لیس بیعاً حتّی الصلح بناءً علی أصالته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اشتراه بثمن کثیر ثمّ عوّضه عنه بیسیر أو أبرأه من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حیلةً علی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الشفیع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لأنّه الثمن والباقی معاوضة جدیدة أو إسقاط لما ثبت، ومقتضی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الثمن الذی وقع علیه العقد لازم للمشتری وجائز للبائع أخذه وإن کان بینهما مواطاة علی ذلک؛ إذ لا یستحقّ المشتری أن یأخذ من الشفیع إلّاما ثبت فی ذمّته، ولا یثبت فی ذمّته إلّا ما یستحقّ البائع المطالبة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خالف أحدهما ما تواطآ علیه فطالب صاحبه بما أظهر له لزمه فی ظاهر الحکم ویحرم علیه فی الباطن؛ لأنّ صاحبه إنّما رضی بالعقد للتواطؤ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الشفیع الأخذ؛ لما یلزمه من الغُرم</w:t>
      </w:r>
      <w:r>
        <w:rPr>
          <w:rFonts w:eastAsia="IRNazanin" w:cs="IRNazanin"/>
          <w:color w:val="111111"/>
          <w:sz w:val="28"/>
          <w:szCs w:val="28"/>
          <w:rtl w:val="true"/>
          <w:lang w:bidi="fa-IR"/>
        </w:rPr>
        <w:t>.</w:t>
      </w:r>
    </w:p>
    <w:p>
      <w:pPr>
        <w:pStyle w:val="Heading3"/>
        <w:numPr>
          <w:ilvl w:val="2"/>
          <w:numId w:val="1"/>
        </w:numPr>
        <w:rPr/>
      </w:pPr>
      <w:bookmarkStart w:id="89" w:name="__RefHeading___Toc2175317_2314609296"/>
      <w:bookmarkStart w:id="90" w:name="_Toc33"/>
      <w:bookmarkEnd w:id="89"/>
      <w:r>
        <w:rPr>
          <w:rtl w:val="true"/>
        </w:rPr>
        <w:t>[</w:t>
      </w:r>
      <w:r>
        <w:rPr>
          <w:rtl w:val="true"/>
        </w:rPr>
        <w:t xml:space="preserve">اختلاف الشفیع و المشتری </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 الشفیع والمشتری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حلف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لأنّه أعرف بالعقد، ولأ نّه المالک فلا یزال مُلکه إلّابما یدّعیه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بمنع کون حکم المالک کذلک مطلقاً، وقد تقدّم قبول قول المنکر فی</w:t>
      </w:r>
    </w:p>
    <w:p>
      <w:pPr>
        <w:pStyle w:val="BookText"/>
        <w:rPr/>
      </w:pPr>
      <w:r>
        <w:rPr>
          <w:rFonts w:ascii="IRNazanin" w:hAnsi="IRNazanin" w:eastAsia="IRNazanin"/>
          <w:color w:val="111111"/>
          <w:sz w:val="28"/>
          <w:sz w:val="28"/>
          <w:szCs w:val="28"/>
          <w:rtl w:val="true"/>
          <w:lang w:bidi="fa-IR"/>
        </w:rPr>
        <w:t xml:space="preserve">کثیر </w:t>
      </w:r>
      <w:r>
        <w:rPr>
          <w:rStyle w:val="FootnoteAnchor"/>
          <w:rtl w:val="true"/>
        </w:rPr>
        <w:footnoteReference w:id="127"/>
      </w:r>
      <w:r>
        <w:rPr>
          <w:rFonts w:ascii="IRNazanin" w:hAnsi="IRNazanin" w:eastAsia="IRNazanin"/>
          <w:color w:val="111111"/>
          <w:sz w:val="28"/>
          <w:sz w:val="28"/>
          <w:szCs w:val="28"/>
          <w:rtl w:val="true"/>
          <w:lang w:bidi="fa-IR"/>
        </w:rPr>
        <w:t xml:space="preserve">خصوصاً مع تلف العین،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هنا، ومن ثَمّ ذهب ابن الجنید إلی تقدیم قول الشفیع؛ لأنّه منکر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والاعتذار للأوّل بأنّ المشتری لا دعوی له علی الشفیع؛ إذ لا یدّعی شیئاً فی ذمّته ولا تحت یده، وإنّما الشفیع یدّعی استحقاق ملکه بالشفعة بالقدر الذی یدّعیه، والمشتری ینکره ولا یلزم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اشتریته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مدّعیاً علیه وإن کان خلاف الأصل؛ لأنّه لا یدّعی استحقاقه إیّاه علیه ولا یطلب تغریمه إیّاه، إنّما یتمّ </w:t>
      </w:r>
      <w:r>
        <w:rPr>
          <w:rStyle w:val="FootnoteAnchor"/>
          <w:rtl w:val="true"/>
        </w:rPr>
        <w:footnoteReference w:id="129"/>
      </w:r>
      <w:r>
        <w:rPr>
          <w:rFonts w:ascii="IRNazanin" w:hAnsi="IRNazanin" w:eastAsia="IRNazanin"/>
          <w:color w:val="111111"/>
          <w:sz w:val="28"/>
          <w:sz w:val="28"/>
          <w:szCs w:val="28"/>
          <w:rtl w:val="true"/>
          <w:lang w:bidi="fa-IR"/>
        </w:rPr>
        <w:t>قبل الأخذ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بعده فالمشتری یدّعی الثمن فی ذمّة الشفیع ویأتی فیه جمیع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یأخذ حتّی یستقرّ أمر الثمن؛ لما تقدّم من اشتراط العلم بقدره، فما داما متنازعین لا یأخذ ویتّجه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أخذه علمه بالقدر بحسب ما عنده، لا علی وجه یرفع الاختلاف، فإذا زعم العلم بقدره جاز له الأخذ ووقع النزاع فیه بعد تملّکه للشقص، فیکون المشتری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أیضاً أن یتملّک الشقص برضاء المشتری قبل دفع الثمن ثمّ یقع التنازع بعدُ </w:t>
      </w:r>
      <w:r>
        <w:rPr>
          <w:rStyle w:val="FootnoteAnchor"/>
          <w:rtl w:val="true"/>
        </w:rPr>
        <w:footnoteReference w:id="130"/>
      </w:r>
      <w:r>
        <w:rPr>
          <w:rFonts w:ascii="Amiri" w:hAnsi="Amiri" w:eastAsia="Amiri" w:cs="Amiri"/>
          <w:color w:val="111111"/>
          <w:sz w:val="28"/>
          <w:sz w:val="28"/>
          <w:szCs w:val="28"/>
          <w:rtl w:val="true"/>
          <w:lang w:bidi="ar-SA"/>
        </w:rPr>
        <w:t>فیصیر المشتری مدّعیاً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الفائدة لو أقاما بیّنة فالحکم لبیّنة الشفیع علی المشهور، وبیّنة</w:t>
      </w:r>
    </w:p>
    <w:p>
      <w:pPr>
        <w:pStyle w:val="BookText"/>
        <w:rPr/>
      </w:pPr>
      <w:r>
        <w:rPr>
          <w:rFonts w:ascii="IRNazanin" w:hAnsi="IRNazanin" w:eastAsia="IRNazanin"/>
          <w:color w:val="111111"/>
          <w:sz w:val="28"/>
          <w:sz w:val="28"/>
          <w:szCs w:val="28"/>
          <w:rtl w:val="true"/>
          <w:lang w:bidi="fa-IR"/>
        </w:rPr>
        <w:t>المشتری علی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أنّ شریکه اشتری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نّه یستحقّ علیه الشفعة فأنکر الشریک التأخّر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منکر والأصل عدم الاستحقاق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ویکفیه الحلف علی نفی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أجاب بنفی التأخّر؛ لأنّ الغرض هو الاستحقاق ویکفی الیمین لنفیه، وربما کان صادقاً فی نفی الاستحقاق وإن کان الشراء متأخّراً لسبب من الأسباب المسقطة للشفعة، فلا یکلّف الحلف علی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لزوم حلفه علی نفی التأخّر علی تقدیر الجواب به؛ لأنّه ما أجاب به إلّا ویمکنه الحلف علیه، وقد تقدّم مثله فی القضاء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تداعیا السبق تحالفا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واحد منهما مدّعٍ ومدّعی علیه، فإذا تحالفا استقرّ ملکهما؛ لاندفاع دعوی کلٍّ منهما بیمین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السبق</w:t>
      </w:r>
      <w:r>
        <w:rPr>
          <w:rFonts w:eastAsia="IRNazanin" w:cs="IRNazanin"/>
          <w:color w:val="111111"/>
          <w:sz w:val="28"/>
          <w:szCs w:val="28"/>
          <w:rtl w:val="true"/>
          <w:lang w:bidi="fa-IR"/>
        </w:rPr>
        <w:t>.</w:t>
      </w:r>
      <w:bookmarkStart w:id="91" w:name="pg19810_214267"/>
    </w:p>
    <w:p>
      <w:pPr>
        <w:pStyle w:val="Heading2"/>
        <w:numPr>
          <w:ilvl w:val="1"/>
          <w:numId w:val="1"/>
        </w:numPr>
        <w:rPr/>
      </w:pPr>
      <w:bookmarkStart w:id="92" w:name="__RefHeading___Toc2175319_2314609296"/>
      <w:bookmarkStart w:id="93" w:name="_Toc34"/>
      <w:bookmarkEnd w:id="91"/>
      <w:bookmarkEnd w:id="92"/>
      <w:r>
        <w:rPr>
          <w:rtl w:val="true"/>
        </w:rPr>
        <w:t>کتاب السبق والرمایة</w:t>
      </w:r>
      <w:bookmarkEnd w:id="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2175321_2314609296"/>
      <w:bookmarkStart w:id="95" w:name="_Toc35"/>
      <w:bookmarkEnd w:id="94"/>
      <w:r>
        <w:rPr>
          <w:rtl w:val="true"/>
        </w:rPr>
        <w:t>اشارة</w:t>
      </w:r>
      <w:bookmarkStart w:id="96" w:name="pg19810_214269"/>
      <w:bookmarkEnd w:id="95"/>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السبق والرمایة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عقد شُرّع لفائدة التمرّن علی مباشرة النِضال والاستعداد لممارسة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إلّافی نصل أو خفّ، أو حافر</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لتنفر عند الرهان وتلعن صاحبه ما خلا الحافر والخفّ والریش والنصل</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175323_2314609296"/>
      <w:bookmarkStart w:id="98" w:name="_Toc36"/>
      <w:bookmarkEnd w:id="97"/>
      <w:r>
        <w:rPr>
          <w:rtl w:val="true"/>
        </w:rPr>
        <w:t>[</w:t>
      </w:r>
      <w:r>
        <w:rPr>
          <w:rtl w:val="true"/>
        </w:rPr>
        <w:t xml:space="preserve">شروط انعقاد السبق </w:t>
      </w:r>
      <w:r>
        <w:rPr>
          <w:rtl w:val="true"/>
        </w:rPr>
        <w:t>]</w:t>
      </w:r>
      <w:bookmarkEnd w:id="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ینعقد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الخالیین من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یقتضی تصرّفاً فی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الخیل والبغال والحمیر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داخلة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المثبت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والإبل والفیلة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داخلان فی الخفّ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السیف والسهم والحراب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داخلة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السهم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الروایة الثانیة إذا اشتمل علیه، تسمیةً للشیء باسم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واُطلق السبق علی ما یعمّ الرمی، تبعاً للنصّ وتغلیباً للاسم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بالمصارعة والسُفُن والطیور، والعَدْو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الأحجار ورمیها، ونحو ذلک؛ لدلالة الحدیث السابق علی نفی مشروعیّة ما خرج عن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تضمّن السبق بذلک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تجرّد عنه ففی تحریمه نظر، من دلالة النصّ علی عدم مشروعیّته إن رُوی السبق بسکون الباء لیفید نفی المصدر، وإن رُوی بفتحها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135"/>
      </w:r>
      <w:r>
        <w:rPr>
          <w:rFonts w:ascii="IRNazanin" w:hAnsi="IRNazanin" w:eastAsia="IRNazanin"/>
          <w:color w:val="111111"/>
          <w:sz w:val="28"/>
          <w:sz w:val="28"/>
          <w:szCs w:val="28"/>
          <w:rtl w:val="true"/>
          <w:lang w:bidi="fa-IR"/>
        </w:rPr>
        <w:t>إنّه الصحیح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المنفی مشروعیّة العوض علیها، فیبقی الفعل علی أصل الإباحة؛ إذ لم یرد شرعاً ما یدلّ علی تحریم هذه الأشیاء، خصوصاً مع تعلّق غرضٍ صحیحٍ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بعدم ثبوت روایة الفتح فاحتمال الأمرین یُسقط دلالته علی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فیها </w:t>
      </w:r>
      <w:r>
        <w:rPr>
          <w:rStyle w:val="FootnoteAnchor"/>
          <w:rtl w:val="true"/>
        </w:rPr>
        <w:footnoteReference w:id="136"/>
      </w:r>
      <w:r>
        <w:rPr>
          <w:rFonts w:ascii="Amiri" w:hAnsi="Amiri" w:eastAsia="Amiri" w:cs="Amiri"/>
          <w:color w:val="111111"/>
          <w:sz w:val="28"/>
          <w:sz w:val="28"/>
          <w:szCs w:val="28"/>
          <w:rtl w:val="true"/>
          <w:lang w:bidi="ar-SA"/>
        </w:rPr>
        <w:t>من إیجاب وقبول علی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عند شروطهم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وکلّ من جعله لازماً حکم بافتقاره إلی إیجاب وقبول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جُعالة </w:t>
      </w:r>
      <w:r>
        <w:rPr>
          <w:rStyle w:val="FootnoteAnchor"/>
          <w:rtl w:val="true"/>
        </w:rPr>
        <w:footnoteReference w:id="139"/>
      </w:r>
      <w:r>
        <w:rPr>
          <w:rFonts w:ascii="IRNazanin" w:hAnsi="IRNazanin" w:eastAsia="IRNazanin"/>
          <w:color w:val="111111"/>
          <w:sz w:val="28"/>
          <w:sz w:val="28"/>
          <w:szCs w:val="28"/>
          <w:rtl w:val="true"/>
          <w:lang w:bidi="fa-IR"/>
        </w:rPr>
        <w:t>لوجود بعض خواصّها فیه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بذل العوض فیه علی ما لا یوثق بحصوله وعدم تعیین العامل،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متعیّن عند العقد، ولأصالة عدم اللزوم وعدم اشتراط القبول، والأمر بالوفاء بالعقد مشروط بتحقّقه وهو موضع النزاع؛ سلّمنا لکنّ الوفاء به هو العمل بمقتضاه لزوماً وجوازاً، وإلّا لوجب الوفاء بالعقود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 وجود بعض الخواصّ لا یقتضی الاتّحاد فی الحکم مطلقاً، وأصالة عدم اللزوم ارتفعت بما دلّ علیه والأصل فی الوفاء العمل بمقتضاه دائماً وخروج العقد الجائز تخصیص للعامّ فیبقی حجّة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بقی الشکّ فی کونه عقداً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وتعیین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المال الذی یبذل للسابق منهما قدراً وجنساً ووصفاً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العبارة ککثیر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شرط فی صحّة العقد، وفی التذکرة أ نّه لیس بشرط، وإنّما یعتبر تعیینه لو شرط </w:t>
      </w:r>
      <w:r>
        <w:rPr>
          <w:rStyle w:val="FootnoteAnchor"/>
          <w:rtl w:val="true"/>
        </w:rPr>
        <w:footnoteReference w:id="140"/>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کونه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ومن أحدهما، وفائدته حینئذٍ أنّ الباذل إن کان هو السابق أحرز ماله، وإن کان غیره أحرزه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معدّ للمصالح وهذا منها؛ لما فیه من البعث علی التمرّن علی العمل المترتّب علیه إقامة نظام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الإمام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 فیجوز کونه عیناً ودیناً، حالّاً ومؤجّلاً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یدخل بین المتراهنین </w:t>
      </w:r>
      <w:r>
        <w:rPr>
          <w:rStyle w:val="FootnoteAnchor"/>
          <w:rtl w:val="true"/>
        </w:rPr>
        <w:footnoteReference w:id="141"/>
      </w:r>
      <w:r>
        <w:rPr>
          <w:rFonts w:ascii="IRNazanin" w:hAnsi="IRNazanin" w:eastAsia="IRNazanin"/>
          <w:color w:val="111111"/>
          <w:sz w:val="28"/>
          <w:sz w:val="28"/>
          <w:szCs w:val="28"/>
          <w:rtl w:val="true"/>
          <w:lang w:bidi="fa-IR"/>
        </w:rPr>
        <w:t>بالشرط فی عقده فیسابق معهما من غیر عوض یبذله لیعتبر السابق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سَبَق أخذ العوض وإن سُبق لم یغرم، وهو بینهما کالأمین، وإنّما لم یشترط؛ للأصل وتناولِ ما دلّ علی الجواز للعقد الخالی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w:t>
      </w:r>
      <w:r>
        <w:rPr>
          <w:rStyle w:val="FootnoteAnchor"/>
          <w:rtl w:val="true"/>
        </w:rPr>
        <w:footnoteReference w:id="142"/>
      </w:r>
      <w:r>
        <w:rPr>
          <w:rFonts w:ascii="Amiri" w:hAnsi="Amiri" w:eastAsia="Amiri" w:cs="Amiri"/>
          <w:color w:val="111111"/>
          <w:sz w:val="28"/>
          <w:sz w:val="28"/>
          <w:szCs w:val="28"/>
          <w:rtl w:val="true"/>
          <w:lang w:bidi="ar-SA"/>
        </w:rPr>
        <w:t xml:space="preserve">بعض العامّة </w:t>
      </w:r>
      <w:r>
        <w:rPr>
          <w:rStyle w:val="FootnoteAnchor"/>
          <w:rtl w:val="true"/>
        </w:rPr>
        <w:footnoteReference w:id="143"/>
      </w:r>
      <w:r>
        <w:rPr>
          <w:rFonts w:ascii="IRNazanin" w:hAnsi="IRNazanin" w:eastAsia="IRNazanin"/>
          <w:color w:val="111111"/>
          <w:sz w:val="28"/>
          <w:sz w:val="28"/>
          <w:szCs w:val="28"/>
          <w:rtl w:val="true"/>
          <w:lang w:bidi="fa-IR"/>
        </w:rPr>
        <w:t xml:space="preserve">وبعض أصحابنا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هو شرط، وبه سُمّی محلّلاً؛ لتحریم العقد بدونه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شرط لزم، فیُجری دابّته بینهما أو إلی أحد الجانبین مع الإطلاق، وإلی </w:t>
      </w:r>
      <w:r>
        <w:rPr>
          <w:rStyle w:val="FootnoteAnchor"/>
          <w:rtl w:val="true"/>
        </w:rPr>
        <w:footnoteReference w:id="145"/>
      </w:r>
      <w:r>
        <w:rPr>
          <w:rFonts w:ascii="IRNazanin" w:hAnsi="IRNazanin" w:eastAsia="IRNazanin"/>
          <w:color w:val="111111"/>
          <w:sz w:val="28"/>
          <w:sz w:val="28"/>
          <w:szCs w:val="28"/>
          <w:rtl w:val="true"/>
          <w:lang w:bidi="fa-IR"/>
        </w:rPr>
        <w:t>ما شرط مع التعیین؛ لأنّهما بإخراج السَبَق متنافران، فیدخل بینهما، لقطع تنافرهما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السبق تقدیرُ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یستبقان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وغایةً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یؤدّی إلی التنازع، ولاختلاف الأغراض فی ذلک اختلافاً ظاهراً؛ لأنّ من الخیل ما یکون سریعاً فی أوّل عَدْوه دون آخره، فصاحبه یطلب قصر المسافة، ومنها ما هو بالعکس، فینعکس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العوض إن شرطاه، أو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وتعیین ما یُسابق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بالمشاهدة ولا یکفی الإطلاق، ولا التعیین بالوصف؛ لاختلاف الأغراض بذلک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واحتمال السبق فی المعیَّنین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احتمال کون کلّ واحد یسبق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قصور أحدهما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الفائدة حینئذٍ؛ لأنّ الغرض منه استعلام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رجحان سبق أحدهما إذا أمکن سبق الآخر؛ لحصول الغرض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یجعل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وهو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السابق منهما، لا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للمحلّل إن سبق، لا 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للمسبوق منهما ومن المحلّل، ولا جعل القسط الأوفر للمتأخّر أو للمُصلّی والأقلّ للسابق؛ لمنافاة ذلک کلّه للغرض الأقصی من شرعیّته وهو الحثّ علی السبق والتمرّن علیه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التساوی فی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وحصولِ الغرض مع تعیین المبدأ والغایة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لانتفاء معرفة جودة عَدْو الفرس وفروسیّة الفارس مع عدم التساوی </w:t>
      </w:r>
      <w:r>
        <w:rPr>
          <w:rStyle w:val="FootnoteAnchor"/>
          <w:rtl w:val="true"/>
        </w:rPr>
        <w:footnoteReference w:id="146"/>
      </w:r>
      <w:r>
        <w:rPr>
          <w:rFonts w:ascii="IRNazanin" w:hAnsi="IRNazanin" w:eastAsia="IRNazanin"/>
          <w:color w:val="111111"/>
          <w:sz w:val="28"/>
          <w:sz w:val="28"/>
          <w:szCs w:val="28"/>
          <w:rtl w:val="true"/>
          <w:lang w:bidi="fa-IR"/>
        </w:rPr>
        <w:t>لأنّ عدم السبق قد یکون مستنداً إلیه، فیخلّ بمقصوده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إرسال إحدی الدابّتین قبلَ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 هو الذی 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اعتبار التقدّم بجمیعه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بعضه </w:t>
      </w:r>
      <w:r>
        <w:rPr>
          <w:rStyle w:val="FootnoteAnchor"/>
          <w:rtl w:val="true"/>
        </w:rPr>
        <w:footnoteReference w:id="147"/>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اتّفقا فی طول العنق أو قصره وسبق الأقصرُ عنقاً ببعضه فواضح، وإلّا اعتبر سبق الطویل بأکثر من قدر الزائد، ولو سبق بأقلّ من قدر الزائد فالقصیر هو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عبارة کثیر أنّ السبق یحصل بالعنق والکَتَد معاً </w:t>
      </w:r>
      <w:r>
        <w:rPr>
          <w:rStyle w:val="FootnoteAnchor"/>
          <w:rtl w:val="true"/>
        </w:rPr>
        <w:footnoteReference w:id="148"/>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الفوقانیّة أشهر من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الکتفین بین أصل العنق والظهر، وعلیه یسقط اعتبار بعضِ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یتّفق السبق بالکَتِد وحدَه، کما لو قصر عنق السابق به أو رفع أحد الفرسین عنقَه بحیث لم یمکن اعتباره به، وبالقوائم فالمتقدّم بیدیه عند الغایة سابق؛ لأنّ السبق یحصل بهما والجری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حینئذٍ تعیین السبق بأحد الأربعة ومع الإطلاق یتّجه الاکتفاء بأحدها؛ لدلالة العرف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ویطلق علی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والمُصلّی هو الذی یحاذی رأسه صَلْوَی السابق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العظمان الناتئان عن یمین الذَنَب وشماله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والتالی هو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والمرتاح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والحظیّ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والعاطف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واللطیم</w:t>
      </w:r>
      <w:bookmarkStart w:id="99" w:name="pg19810_214274"/>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بفتح أوّله وکسر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 ففتح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والفِسْکِل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 فسکون السین فکسر الکاف، أو بضمّهما کقُنْفُذ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فیما لو شرط للمجلّی مالاً، وللمصلّی أقلّ منه،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العاشر</w:t>
      </w:r>
      <w:r>
        <w:rPr>
          <w:rFonts w:eastAsia="IRNazanin" w:cs="IRNazanin"/>
          <w:color w:val="111111"/>
          <w:sz w:val="28"/>
          <w:szCs w:val="28"/>
          <w:rtl w:val="true"/>
          <w:lang w:bidi="fa-IR"/>
        </w:rPr>
        <w:t>.</w:t>
      </w:r>
    </w:p>
    <w:p>
      <w:pPr>
        <w:pStyle w:val="Heading3"/>
        <w:numPr>
          <w:ilvl w:val="2"/>
          <w:numId w:val="1"/>
        </w:numPr>
        <w:rPr/>
      </w:pPr>
      <w:bookmarkStart w:id="100" w:name="__RefHeading___Toc2175325_2314609296"/>
      <w:bookmarkStart w:id="101" w:name="_Toc37"/>
      <w:bookmarkEnd w:id="100"/>
      <w:r>
        <w:rPr>
          <w:rtl w:val="true"/>
        </w:rPr>
        <w:t>[</w:t>
      </w:r>
      <w:r>
        <w:rPr>
          <w:rtl w:val="true"/>
        </w:rPr>
        <w:t xml:space="preserve">شروط الرمی و احکامه </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الرمی معرفة الرِشْق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الراء، وهو عدد الرمی الذی یتّفقان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کعشرین، وعدد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کعشرة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وصفتها من المارق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یخرج من الغرض نافذاً ویقع من ورائه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بالمعجمة والمهملة </w:t>
      </w:r>
      <w:r>
        <w:rPr>
          <w:rStyle w:val="FootnoteAnchor"/>
          <w:rtl w:val="true"/>
        </w:rPr>
        <w:footnoteReference w:id="149"/>
      </w:r>
      <w:r>
        <w:rPr>
          <w:rFonts w:ascii="IRNazanin" w:hAnsi="IRNazanin" w:eastAsia="IRNazanin"/>
          <w:color w:val="111111"/>
          <w:sz w:val="28"/>
          <w:sz w:val="28"/>
          <w:szCs w:val="28"/>
          <w:rtl w:val="true"/>
          <w:lang w:bidi="fa-IR"/>
        </w:rPr>
        <w:t xml:space="preserve">وهو الذی یثقب الغرض ویقف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بالمعجمة والزای، وهو ما خدشه ولم یثقبه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ثقبه ولم یثبت فیه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والصاد المهملة، وهو یطلق علی القارع وهو ما أصاب الغرض ولم یؤثّر فیه، وعلی الخازق وعلی الخاسق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عرفتهما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المصیب له 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الأوصاف، کالخاصر وهو ما أصاب أحد جانبیه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والخارم وهو الذی یخرم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والحابی وهو الواقع دونه ثمّ یحبو إلیه مأخوذ من حَبْو الصبیّ </w:t>
      </w:r>
      <w:r>
        <w:rPr>
          <w:rStyle w:val="FootnoteAnchor"/>
          <w:rtl w:val="true"/>
        </w:rPr>
        <w:footnoteReference w:id="151"/>
      </w:r>
      <w:r>
        <w:rPr>
          <w:rFonts w:ascii="IRNazanin" w:hAnsi="IRNazanin" w:eastAsia="IRNazanin"/>
          <w:color w:val="111111"/>
          <w:sz w:val="28"/>
          <w:sz w:val="28"/>
          <w:szCs w:val="28"/>
          <w:rtl w:val="true"/>
          <w:lang w:bidi="fa-IR"/>
        </w:rPr>
        <w:t>ویقال علی ما وقع بین یدی الغرض ثمّ وثب إلیه فأصابه وهو المزدلِف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والقارع وهو الذی یصیبه بلا خدش</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اشتراطه تعیینَ الصفة بطلانُ العقد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أحد القولین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لاختلاف النوع الموجِب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علی أخیر ما ذکره بمعناه الأخیر </w:t>
      </w:r>
      <w:r>
        <w:rPr>
          <w:rStyle w:val="FootnoteAnchor"/>
          <w:rtl w:val="true"/>
        </w:rPr>
        <w:footnoteReference w:id="153"/>
      </w:r>
      <w:r>
        <w:rPr>
          <w:rFonts w:ascii="IRNazanin" w:hAnsi="IRNazanin" w:eastAsia="IRNazanin"/>
          <w:color w:val="111111"/>
          <w:sz w:val="28"/>
          <w:sz w:val="28"/>
          <w:szCs w:val="28"/>
          <w:rtl w:val="true"/>
          <w:lang w:bidi="fa-IR"/>
        </w:rPr>
        <w:t>وهو الأقوی؛ لأنّه القدر المشترک بین الجمیع، فیحمل الإطلاق علیه، ولأصالة البراءة من وجوب التعیین، ولأنّ اسم الإصابة واقع علی الجمیع، فیکفی اشتراطه، ولا غرر حیث یُعلم من الإطلاق الدلالة علی المشترک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بالمشاهدة، أو بالتقدیر کمئة ذراع؛ لاختلاف الإصابة بالقرب والبُعد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یقصد إصابته من قرطاس أو جلد أو غیرهما؛ لاختلافه بالسعة والضیق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العلم بوضعه من الهدف وهو ما یجعل فیه الغرض من تراب وغیره؛ لاختلافه فی الرفعة والانحطاط الموجب لاختلاف الإصابة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وتماثل جنس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نوعها الخاصّ کالقوس العربی، أو المنسوب إلی وضع خاصّ؛ لاختلاف الرمی باختلافها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الفائدة بعد تعیین النوع، ولأدائه إلی التضییق بعروض مانع من المعیَّن یحوج إلی إبداله،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عیّنه لم یتعیّن وجاز الإبدال وفسد الشرط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وشمل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القوسَ والسهمَ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جماعة أ نّه لا یشترط تعیین السهم </w:t>
      </w:r>
      <w:r>
        <w:rPr>
          <w:rStyle w:val="FootnoteAnchor"/>
          <w:rtl w:val="true"/>
        </w:rPr>
        <w:footnoteReference w:id="155"/>
      </w:r>
      <w:r>
        <w:rPr>
          <w:rFonts w:ascii="IRNazanin" w:hAnsi="IRNazanin" w:eastAsia="IRNazanin"/>
          <w:color w:val="111111"/>
          <w:sz w:val="28"/>
          <w:sz w:val="28"/>
          <w:szCs w:val="28"/>
          <w:rtl w:val="true"/>
          <w:lang w:bidi="fa-IR"/>
        </w:rPr>
        <w:t>لعدم الاختلاف الفاحش الموجب لاختلاف الرمی،</w:t>
      </w:r>
    </w:p>
    <w:p>
      <w:pPr>
        <w:pStyle w:val="BookText"/>
        <w:rPr/>
      </w:pPr>
      <w:r>
        <w:rPr>
          <w:rFonts w:ascii="IRNazanin" w:hAnsi="IRNazanin" w:eastAsia="IRNazanin"/>
          <w:color w:val="111111"/>
          <w:sz w:val="28"/>
          <w:sz w:val="28"/>
          <w:szCs w:val="28"/>
          <w:rtl w:val="true"/>
          <w:lang w:bidi="fa-IR"/>
        </w:rPr>
        <w:t>بخلاف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نّه لو لم یعیّن جنس الآلة انصرف إلی الأغلب عادة؛ لأنّه جارٍ مجری التقیید لفظاً، فإن اضطربت فسد العقد؛ للغرر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اشتراط استحقاق العوض لمن بدر إلی إصابة عددٍ معیَّن من مقدار رِشق معیَّن مع تساویهما فی الرِشق، کخمسة من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اشتراط استحقاقه لمن خلص له من الإصابة عدد معلوم بعد مقابلة إصابات أحدهما بإصابات الآخر وطرح ما اشترکا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ویحمل المطلق علی المحاطّة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اشتراط السَبَق إنّما یکون لإصابة معیّنة من أصل العدد المشترط فی العقد، وذلک یقتضی إکمال العدد کلّه لتکون الإصابة المعیّنة منه، وبالمبادرة قد لا یفتقر إلی الإکمال، فإنّهما إذا اشترطا رِشق عشرین وإصابة خمسة فرمی کلّ واحد عشرة فأصاب أحدهما خمسة، والآخر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نضله </w:t>
      </w:r>
      <w:r>
        <w:rPr>
          <w:rStyle w:val="FootnoteAnchor"/>
          <w:rtl w:val="true"/>
        </w:rPr>
        <w:footnoteReference w:id="156"/>
      </w:r>
      <w:r>
        <w:rPr>
          <w:rFonts w:ascii="IRNazanin" w:hAnsi="IRNazanin" w:eastAsia="IRNazanin"/>
          <w:color w:val="111111"/>
          <w:sz w:val="28"/>
          <w:sz w:val="28"/>
          <w:szCs w:val="28"/>
          <w:rtl w:val="true"/>
          <w:lang w:bidi="fa-IR"/>
        </w:rPr>
        <w:t>صاحب الخمسة، ولا یجب علیه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شرطا المحاطّة، فإنّهما یتحاطّان أربعة بأربعة ویبقی لصاحب الخمسة واحد، ویجب الإکمال؛ لاحتمال اختصاص کلّ واحد بإصابة خمسة فیما یبقی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علی المبادرة </w:t>
      </w:r>
      <w:r>
        <w:rPr>
          <w:rStyle w:val="FootnoteAnchor"/>
          <w:rtl w:val="true"/>
        </w:rPr>
        <w:footnoteReference w:id="157"/>
      </w:r>
      <w:r>
        <w:rPr>
          <w:rFonts w:ascii="IRNazanin" w:hAnsi="IRNazanin" w:eastAsia="IRNazanin"/>
          <w:color w:val="111111"/>
          <w:sz w:val="28"/>
          <w:sz w:val="28"/>
          <w:szCs w:val="28"/>
          <w:rtl w:val="true"/>
          <w:lang w:bidi="fa-IR"/>
        </w:rPr>
        <w:t>لأنّه المتبادر من إطلاق السبق لمن أصاب عدداً معیّناً، وعدم وجوب الإکمال مشترک بینهما، فإنّه قد لا یجب الإکمال فی المحاطّة علی بعض الوجوه، کما إذا انتفت فائدته؛ للعلم باختصاص المصیب بالمشروط علی کلّ تقدیر، بأن رمی أحدهما فی المثال خمسة عشر فأصابها ورماها الآخر فأصاب خمسة، فإذا تحاطّا خمسة بخمسة بقی للآخر عشرة،</w:t>
      </w:r>
    </w:p>
    <w:p>
      <w:pPr>
        <w:pStyle w:val="BookText"/>
        <w:rPr/>
      </w:pPr>
      <w:r>
        <w:rPr>
          <w:rFonts w:ascii="IRNazanin" w:hAnsi="IRNazanin" w:eastAsia="IRNazanin"/>
          <w:color w:val="111111"/>
          <w:sz w:val="28"/>
          <w:sz w:val="28"/>
          <w:szCs w:val="28"/>
          <w:rtl w:val="true"/>
          <w:lang w:bidi="fa-IR"/>
        </w:rPr>
        <w:t>وغایة ما یتّفق مع الإکمال أن یخطئ صاحب العشرة الخمسة ویصیبها الآخر، فیبقی له فضل خمسة، وهی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اختاره المصنّف أقوی؛ لأنّه المتبادر وما ادّعی منه فی المبادرة غیر متبادر، ووجوب الإکمال فیها أغلب، فتکثر الفائدة التی بسببها شرّعت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عیّنا إحداهما </w:t>
      </w:r>
      <w:r>
        <w:rPr>
          <w:rStyle w:val="FootnoteAnchor"/>
          <w:rtl w:val="true"/>
        </w:rPr>
        <w:footnoteReference w:id="158"/>
      </w: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المراماة، وتمامه بتحقّق الإصابة المشروطة لأحدهما، سواء أتمّ العدد أجمع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غلب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جعلناه لازماً کالإجارة، أم 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العوض فی الإجارة وإن کان یُملک بالعقد، إلّاأ نّه هنا لمّا کان للغالب وهو غیر معلوم بل یمکن عدمه أصلاً </w:t>
      </w:r>
      <w:r>
        <w:rPr>
          <w:rStyle w:val="FootnoteAnchor"/>
          <w:rtl w:val="true"/>
        </w:rPr>
        <w:footnoteReference w:id="159"/>
      </w:r>
      <w:r>
        <w:rPr>
          <w:rFonts w:ascii="IRNazanin" w:hAnsi="IRNazanin" w:eastAsia="IRNazanin"/>
          <w:color w:val="111111"/>
          <w:sz w:val="28"/>
          <w:sz w:val="28"/>
          <w:szCs w:val="28"/>
          <w:rtl w:val="true"/>
          <w:lang w:bidi="fa-IR"/>
        </w:rPr>
        <w:t>توقّف الملک علی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وجاز کونه لازماً برأسه یخالف الإجارة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المال إنّما یملک فیها بتمام العمل، وجواز الرهن علیه قبل ذلک وضمانه نظراً إلی وجود السبب المملّک، وهو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یتمّ 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الضمان فیشکل بأنّ مجرّد السبب غیر کافٍ،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تخلّفه بعدم الإصابة فلیس بتامّ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یرجّح کونه جعالة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فضل أحدُهما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فصالحه علی ترک الفضل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مفوِّت للغرض من المناضلة أو مخالف لوضعها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 استحقاق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الباذل مثله أو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أقرب إلی ما وقع التراضی علیه من العوض الفاسد، کالصداق إذا ظهر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استحقاق العوض المعیّن یقتضی فساد المعاملة کنظائره، وذلک یوجب الرجوع إلی اُجرة المثل للعوض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زادت اُجرة المثل عن مثل المعیّن أو قیمته اتّجه سقوط الزائد؛ لدخوله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باُجرة المثل هنا ما یبذل لذلک العمل الواقع من المستحقّ له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تستقرّ العادة علی شیءٍ رجع إلی الصلح</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قیل بأ نّه اُجرة مثل الزمان الذی وقع العمل فیه، نظراً إلی أنّ ذلک اُجرة مثل الحرّ لو غصب تلک المدّة </w:t>
      </w:r>
      <w:r>
        <w:rPr>
          <w:rStyle w:val="FootnoteAnchor"/>
          <w:rtl w:val="true"/>
        </w:rPr>
        <w:footnoteReference w:id="160"/>
      </w:r>
      <w:r>
        <w:rPr>
          <w:rFonts w:ascii="IRNazanin" w:hAnsi="IRNazanin" w:eastAsia="IRNazanin"/>
          <w:color w:val="111111"/>
          <w:sz w:val="28"/>
          <w:sz w:val="28"/>
          <w:szCs w:val="28"/>
          <w:rtl w:val="true"/>
          <w:lang w:bidi="fa-IR"/>
        </w:rPr>
        <w:t>والأجود الأوّل</w:t>
      </w:r>
      <w:r>
        <w:rPr>
          <w:rFonts w:eastAsia="IRNazanin" w:cs="IRNazanin"/>
          <w:color w:val="111111"/>
          <w:sz w:val="28"/>
          <w:szCs w:val="28"/>
          <w:rtl w:val="true"/>
          <w:lang w:bidi="fa-IR"/>
        </w:rPr>
        <w:t>.</w:t>
      </w:r>
      <w:bookmarkStart w:id="102" w:name="pg19810_214279"/>
    </w:p>
    <w:p>
      <w:pPr>
        <w:pStyle w:val="Heading2"/>
        <w:numPr>
          <w:ilvl w:val="1"/>
          <w:numId w:val="1"/>
        </w:numPr>
        <w:rPr/>
      </w:pPr>
      <w:bookmarkStart w:id="103" w:name="__RefHeading___Toc2175327_2314609296"/>
      <w:bookmarkStart w:id="104" w:name="_Toc38"/>
      <w:bookmarkEnd w:id="102"/>
      <w:bookmarkEnd w:id="103"/>
      <w:r>
        <w:rPr>
          <w:rtl w:val="true"/>
        </w:rPr>
        <w:t>کتاب الجعالة</w:t>
      </w:r>
      <w:bookmarkEnd w:id="10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2175329_2314609296"/>
      <w:bookmarkStart w:id="106" w:name="_Toc39"/>
      <w:bookmarkEnd w:id="105"/>
      <w:r>
        <w:rPr>
          <w:rtl w:val="true"/>
        </w:rPr>
        <w:t>اشارة</w:t>
      </w:r>
      <w:bookmarkStart w:id="107" w:name="pg19810_214281"/>
      <w:bookmarkEnd w:id="106"/>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الجعالة</w:t>
      </w:r>
      <w:r>
        <w:rPr>
          <w:rFonts w:eastAsia="IRNazanin" w:cs="IRNazanin"/>
          <w:color w:val="111111"/>
          <w:sz w:val="28"/>
          <w:szCs w:val="28"/>
          <w:rtl w:val="true"/>
          <w:lang w:bidi="fa-IR"/>
        </w:rPr>
        <w:t>»</w:t>
      </w:r>
    </w:p>
    <w:p>
      <w:pPr>
        <w:pStyle w:val="Heading3"/>
        <w:numPr>
          <w:ilvl w:val="2"/>
          <w:numId w:val="1"/>
        </w:numPr>
        <w:rPr/>
      </w:pPr>
      <w:bookmarkStart w:id="108" w:name="__RefHeading___Toc2175331_2314609296"/>
      <w:bookmarkStart w:id="109" w:name="_Toc40"/>
      <w:bookmarkEnd w:id="108"/>
      <w:r>
        <w:rPr>
          <w:rtl w:val="true"/>
        </w:rPr>
        <w:t>[</w:t>
      </w:r>
      <w:r>
        <w:rPr>
          <w:rtl w:val="true"/>
        </w:rPr>
        <w:t>صیغة الجعالة</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مال یجعل علی فعل، وشرعاً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ثمرتها تحصیل المنفعة بعوض مع عدم اشتراط العلم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والعوض،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الجهالة به وبمکانه، وبهذا تتمیّز عن الإجارة علی تحصیل منفعة معیّنة؛ لأنّ التعیین شرط فی الإجارة، وکذا عوضها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اشتراط العلم بالعمل هنا فموضع وفاق، وأمّا العوض ففیه خلاف یأتی تحقیقه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علی کلّ عمل محلَّل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للعقلاء غیر واجب علی العامل، فلا یصحّ علی الأعمال المحرّمة کالزنا، ولا علی ما لا غایة له معتدّ بها عقلاً، کنزف ماء البئر والذهاب لیلاً إلی بعض المواضع الخطیرة، ونحوهما ممّا یقصده العابثون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الغرض به التمرّن علی الشجاعة وإضعاف الوهم ونحوه من الأغراض المقصودة للعقلاء صحّ، وکذا لا یصحّ علی الواجب علیه کالصلاة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یفتقر إلی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بل یکفی فعل مقتضی الاستدعاء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إلی مخاطبة شخص معیّن،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أو خاط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کذا صحّ، أو فله مال، أو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من العوض المجهول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العلم بالعوض غیر شرط فی تحقّق الجعالة وإنّما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تشخّصه وتعیّنه، فإن أراد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فلیذکر جنسه وقدره،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 أو ذکره</w:t>
      </w:r>
      <w:bookmarkStart w:id="110" w:name="pg19810_214282"/>
    </w:p>
    <w:p>
      <w:pPr>
        <w:pStyle w:val="BookText"/>
        <w:rPr/>
      </w:pPr>
      <w:bookmarkEnd w:id="110"/>
      <w:r>
        <w:rPr>
          <w:rFonts w:ascii="Amiri" w:hAnsi="Amiri" w:eastAsia="Amiri" w:cs="Amiri"/>
          <w:color w:val="111111"/>
          <w:sz w:val="28"/>
          <w:sz w:val="28"/>
          <w:szCs w:val="28"/>
          <w:rtl w:val="true"/>
          <w:lang w:bidi="ar-SA"/>
        </w:rPr>
        <w:t xml:space="preserve">ولم یعیّنه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بالردّ اُجرة المثل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ویشکل بأنّ ثبوت اُجرة المثل لا تقتضی صحّة العقد، بل هی ظاهرة فی فساده، وإنّما أوجبها الأمرُ بعملٍ له اُجرة عادةً، کما لو استدعاه ولم یعیّن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ذلک یُعدّ جعالة أیضاً، فإنّها لا تنحصر فی لفظ، ویرشد إلیه اتّفاقهم علی الحکم من غیر تعرّض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الجعالة مستلزمة لجعل شیءٍ، فإذا لم یذکره لا یتحقّق مفهومها وإن ترتّب علیها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الجهالة لا تمنع من التسلیم لزم بالعمل العوضُ المعیّن لا اُجرة المثل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نصفه</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فردّه من لا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فیصحّ جعله صبرة مشاهدة مجهولة المقدار، وحصّةً من نماء شجر علی عمله، وزرع کذلک،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مقولیّتهما علی القلیل والکثیر المفضی إلی التنازع والتجاذب فلم یصحّ علی هذا الوجه، بخلاف ما لا یمنع من التسلیم، فإنّه أمر واحد لا یقبل الاختلاف، ومسمّاه لتشخّصه لا یقبل التعدّد، وقبوله للاختلاف قیمة بالزیادة والنقصان قد قدم علیه العامل کیف کان ویمکن التبرّع به، فإذا قدم علی العوض الخاصّ انتفی الغرر؛ لأنّه معیَّن فی حدّ ذاته</w:t>
      </w:r>
      <w:r>
        <w:rPr>
          <w:rFonts w:eastAsia="IRNazanin" w:cs="IRNazanin"/>
          <w:color w:val="111111"/>
          <w:sz w:val="28"/>
          <w:szCs w:val="28"/>
          <w:rtl w:val="true"/>
          <w:lang w:bidi="fa-IR"/>
        </w:rPr>
        <w:t>.</w:t>
      </w:r>
    </w:p>
    <w:p>
      <w:pPr>
        <w:pStyle w:val="Heading3"/>
        <w:numPr>
          <w:ilvl w:val="2"/>
          <w:numId w:val="1"/>
        </w:numPr>
        <w:rPr/>
      </w:pPr>
      <w:bookmarkStart w:id="111" w:name="__RefHeading___Toc2175333_2314609296"/>
      <w:bookmarkStart w:id="112" w:name="_Toc41"/>
      <w:bookmarkEnd w:id="111"/>
      <w:r>
        <w:rPr>
          <w:rtl w:val="true"/>
        </w:rPr>
        <w:t>[</w:t>
      </w:r>
      <w:r>
        <w:rPr>
          <w:rtl w:val="true"/>
        </w:rPr>
        <w:t>شروط الجاعل</w:t>
      </w:r>
      <w:r>
        <w:rPr>
          <w:rtl w:val="true"/>
        </w:rPr>
        <w:t>]</w:t>
      </w:r>
      <w:bookmarkEnd w:id="11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الجاعل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باذل لمالٍ </w:t>
      </w:r>
      <w:r>
        <w:rPr>
          <w:rStyle w:val="FootnoteAnchor"/>
          <w:rtl w:val="true"/>
        </w:rPr>
        <w:footnoteReference w:id="162"/>
      </w:r>
      <w:r>
        <w:rPr>
          <w:rFonts w:ascii="IRNazanin" w:hAnsi="IRNazanin" w:eastAsia="IRNazanin"/>
          <w:color w:val="111111"/>
          <w:sz w:val="28"/>
          <w:sz w:val="28"/>
          <w:szCs w:val="28"/>
          <w:rtl w:val="true"/>
          <w:lang w:bidi="fa-IR"/>
        </w:rPr>
        <w:t>فیعتبر رفع الحجر عنه، بخلاف العامل، فإنّه یستحقّ الجعل وإن کان</w:t>
      </w:r>
      <w:bookmarkStart w:id="113" w:name="pg19810_214283"/>
    </w:p>
    <w:p>
      <w:pPr>
        <w:pStyle w:val="BookText"/>
        <w:rPr/>
      </w:pPr>
      <w:bookmarkEnd w:id="113"/>
      <w:r>
        <w:rPr>
          <w:rFonts w:ascii="IRNazanin" w:hAnsi="IRNazanin" w:eastAsia="IRNazanin"/>
          <w:color w:val="111111"/>
          <w:sz w:val="28"/>
          <w:sz w:val="28"/>
          <w:szCs w:val="28"/>
          <w:rtl w:val="true"/>
          <w:lang w:bidi="fa-IR"/>
        </w:rPr>
        <w:t>صبیّاً ممیّزاً بغیر إذن ولیّه، وفی غیر الممیّز والمجنون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العمل المبذول علیه، ومن عدم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عیّن الجعالة لواحد وردّ غیره فهو 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للتبرّع، ولا للمعیّن؛ لعدم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شارک المعیَّن فإن قصد التبرّع علیه فالجمیع للمعیّن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 الفعل بأجمعه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التبرّع علیه بأن أطلق أو قصد العمل لنفسه أو التبرّع علی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للمعیّن خاصّة؛ لحصوله بفعلین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مجعول له والآخر متبرَّع، فیستحقّ النصف بناءً علی قسمة العوض علی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بسطه علی عملهما، فیستحقّ المعیّن بنسبة عمله، قصر عن النصف أم زاد، وهو خیرة المصنّف فی الدروس </w:t>
      </w:r>
      <w:r>
        <w:rPr>
          <w:rStyle w:val="FootnoteAnchor"/>
          <w:rtl w:val="true"/>
        </w:rPr>
        <w:footnoteReference w:id="163"/>
      </w:r>
      <w:r>
        <w:rPr>
          <w:rFonts w:ascii="IRNazanin" w:hAnsi="IRNazanin" w:eastAsia="IRNazanin"/>
          <w:color w:val="111111"/>
          <w:sz w:val="28"/>
          <w:sz w:val="28"/>
          <w:szCs w:val="28"/>
          <w:rtl w:val="true"/>
          <w:lang w:bidi="fa-IR"/>
        </w:rPr>
        <w:t xml:space="preserve">ومثله ما لو عمل معه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شیء للمتبرّع</w:t>
      </w:r>
      <w:r>
        <w:rPr>
          <w:rFonts w:eastAsia="IRNazanin" w:cs="IRNazanin"/>
          <w:color w:val="111111"/>
          <w:sz w:val="28"/>
          <w:szCs w:val="28"/>
          <w:rtl w:val="true"/>
          <w:lang w:bidi="fa-IR"/>
        </w:rPr>
        <w:t>» .</w:t>
      </w:r>
    </w:p>
    <w:p>
      <w:pPr>
        <w:pStyle w:val="Heading3"/>
        <w:numPr>
          <w:ilvl w:val="2"/>
          <w:numId w:val="1"/>
        </w:numPr>
        <w:rPr/>
      </w:pPr>
      <w:bookmarkStart w:id="114" w:name="__RefHeading___Toc2175335_2314609296"/>
      <w:bookmarkStart w:id="115" w:name="_Toc42"/>
      <w:bookmarkEnd w:id="114"/>
      <w:r>
        <w:rPr>
          <w:rtl w:val="true"/>
        </w:rPr>
        <w:t>[</w:t>
      </w:r>
      <w:r>
        <w:rPr>
          <w:rtl w:val="true"/>
        </w:rPr>
        <w:t>الجعالة الجائزة</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وتجوز الجعالة من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فیلزمه المال، دون المالک إن لم یأمره به، ولو جعله من مال المالک بغیر إذنه فهو فضولیّ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الجاعل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 مع العمل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یتعیّن، وإلّا فما ذُکر بدله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جائزة من طرف العامل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التلبّس بالعمل وبعده، فله الرجوع متی شاء، ولا یستحقّ شیئاً لما حصل منه من العمل قبل تمامه مطلقاً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الجاعل فجائزة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بعده فجائزة بالنسبة إلی ما بقی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فسخ فیه انتفی عنه بنسبته من العوض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الماضی فعلیه اُجرته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الحقیقة لا یخرج عن کونها جائزة من قبله مطلقاً، فإنّ المراد بالعقد الجائز أو الإیقاع ما یصحّ فسخه لمن جاز من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العوض لا ینافی جوازَه، کما أ نّها بعد تمام العمل یلزمها جمیع العوض مع أ نّها من العقود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الوکالة بجعل بعد تمام العمل، واستحقاق الجعل لا یخرجها عن کونها عقداً جائزاً، فینبغی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جائزة مطلقاً، لکن إذا کان الفسخ من المالک ثبت للعامل بنسبة ما سبق من العمل إلی المسمّی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اُجرة مثله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اُشکل ذلک فیما لو کانت علی ردّ ضالّة مثلاً ثمّ فسخ وقد صارت بیده، فإنّه لا یکاد یتحقّق للفسخ معنی حینئذٍ؛ إذ لا یجوز له ترکها، بل یجب تسلیمها إلی المالک أو من یقوم مقامه، فلا یتحقّق فائدة للفسخ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بأنّ فائدة البطلان عدم سلامة جمیع العوض له علی هذا التقدیر، بل یستحقّ لما سبق بنسبته ویبقی له فیما بعد ذلک اُجرة المثل علی ما یعمله إلی أن یتسلّمه المالک وهو حفظه عنده ونحوه؛ إذ لا یجب علیه حینئذٍ ردّه إلی المالک، بل تمکینه منه إن کان قد علم بوصوله إلی یده، وإن لم یعلم وجب إعلامه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المالک فیها قبل العمل، أو فی أثنائه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العامل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أکمل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کمال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فی الأثناء فله بنسبة ما سلف 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یراد بالعلم ما یثبت به ذلک شرعاً لیشمل السماع من المالک، والشیاع المفید للعلم، وخبر العدلین، لا الواحد وإن حُکم به فی عزل الوکالة بنصّ خاصّ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116" w:name="pg19810_214285"/>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للجعالة مختلفتین فی مقدار العوض أو فی بعض أوصافها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بالأخیرة إذا سمعهما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الجعالة جائزة، فالثانیة رجوع عن الاُولی، سواء زادت أم نقصت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الاُولی والأخیرة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سمع الثانیة بعد الشروع فی العمل، فله من الاُولی بنسبة ما عمل إلی الجمیع </w:t>
      </w:r>
      <w:r>
        <w:rPr>
          <w:rStyle w:val="FootnoteAnchor"/>
          <w:rtl w:val="true"/>
        </w:rPr>
        <w:footnoteReference w:id="166"/>
      </w:r>
      <w:r>
        <w:rPr>
          <w:rFonts w:ascii="IRNazanin" w:hAnsi="IRNazanin" w:eastAsia="IRNazanin"/>
          <w:color w:val="111111"/>
          <w:sz w:val="28"/>
          <w:sz w:val="28"/>
          <w:szCs w:val="28"/>
          <w:rtl w:val="true"/>
          <w:lang w:bidi="fa-IR"/>
        </w:rPr>
        <w:t>ومن الثانیة بنسبة الباقی</w:t>
      </w:r>
      <w:r>
        <w:rPr>
          <w:rFonts w:eastAsia="IRNazanin" w:cs="IRNazanin"/>
          <w:color w:val="111111"/>
          <w:sz w:val="28"/>
          <w:szCs w:val="28"/>
          <w:rtl w:val="true"/>
          <w:lang w:bidi="fa-IR"/>
        </w:rPr>
        <w:t>.</w:t>
      </w:r>
    </w:p>
    <w:p>
      <w:pPr>
        <w:pStyle w:val="Heading3"/>
        <w:numPr>
          <w:ilvl w:val="2"/>
          <w:numId w:val="1"/>
        </w:numPr>
        <w:rPr/>
      </w:pPr>
      <w:bookmarkStart w:id="117" w:name="__RefHeading___Toc2175337_2314609296"/>
      <w:bookmarkStart w:id="118" w:name="_Toc43"/>
      <w:bookmarkEnd w:id="117"/>
      <w:r>
        <w:rPr>
          <w:rtl w:val="true"/>
        </w:rPr>
        <w:t>[</w:t>
      </w:r>
      <w:r>
        <w:rPr>
          <w:rtl w:val="true"/>
        </w:rPr>
        <w:t xml:space="preserve">الکلام فی استحقاق الجعل </w:t>
      </w:r>
      <w:r>
        <w:rPr>
          <w:rtl w:val="true"/>
        </w:rPr>
        <w:t>]</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یستحقّ الجُعل علی الردّ بتسلیم المردود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مالکه مع الإطلاق أو التصریح بالجعل علی إیصاله إلی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جاء به إلی باب منزل المالک فهرب فلا شیء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إتمامه العمل الذی هو شرط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مات قبل وصوله إلی یده وإن کان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الاستحقاق هنا؛ لأنّ المانع من قبل اللّٰه تعالی، لا من قبل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الجعل علی إیصاله إلی البلد أو إلی منزل المالک استحقّ الجمیع بالامتثال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یستحقّ الاُجرة إلّاببذل الجاعل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استدعائه الردّ، سواء کان مع بذل عوض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ردّ بغیره کان متبرّعاً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عوض له مطلقاً، وکذا لو ردّ من</w:t>
      </w:r>
      <w:bookmarkStart w:id="119" w:name="pg19810_214286"/>
    </w:p>
    <w:p>
      <w:pPr>
        <w:pStyle w:val="BookText"/>
        <w:rPr/>
      </w:pPr>
      <w:bookmarkEnd w:id="119"/>
      <w:r>
        <w:rPr>
          <w:rFonts w:ascii="IRNazanin" w:hAnsi="IRNazanin" w:eastAsia="IRNazanin"/>
          <w:color w:val="111111"/>
          <w:sz w:val="28"/>
          <w:sz w:val="28"/>
          <w:szCs w:val="28"/>
          <w:rtl w:val="true"/>
          <w:lang w:bidi="fa-IR"/>
        </w:rPr>
        <w:t>لم یسمع الجعالة علی قصد التبرّع، أو بقصد یغایر ما بذله المالک جنساً أو وصفاً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ردّ بنیّة العوض مطلقاً </w:t>
      </w:r>
      <w:r>
        <w:rPr>
          <w:rStyle w:val="FootnoteAnchor"/>
          <w:rtl w:val="true"/>
        </w:rPr>
        <w:footnoteReference w:id="167"/>
      </w:r>
      <w:r>
        <w:rPr>
          <w:rFonts w:ascii="IRNazanin" w:hAnsi="IRNazanin" w:eastAsia="IRNazanin"/>
          <w:color w:val="111111"/>
          <w:sz w:val="28"/>
          <w:sz w:val="28"/>
          <w:szCs w:val="28"/>
          <w:rtl w:val="true"/>
          <w:lang w:bidi="fa-IR"/>
        </w:rPr>
        <w:t xml:space="preserve">وکان ممّن یدخل فی عموم الصیغة أو إطلاقها، ففی استحقاقه قولان </w:t>
      </w:r>
      <w:r>
        <w:rPr>
          <w:rStyle w:val="FootnoteAnchor"/>
          <w:rtl w:val="true"/>
        </w:rPr>
        <w:footnoteReference w:id="168"/>
      </w:r>
      <w:r>
        <w:rPr>
          <w:rFonts w:ascii="IRNazanin" w:hAnsi="IRNazanin" w:eastAsia="IRNazanin"/>
          <w:color w:val="111111"/>
          <w:sz w:val="28"/>
          <w:sz w:val="28"/>
          <w:szCs w:val="28"/>
          <w:rtl w:val="true"/>
          <w:lang w:bidi="fa-IR"/>
        </w:rPr>
        <w:t>منشؤهما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متعلَّقَ الجعل مطابقاً لصدوره من المالک علی وجهٍ یشمله، وأ نّه عمل محترم لم یقصد به فاعله التبرّع وقد وقع بإذن الجاعل، فقد وُجِد المقتضی، والمانع لیس إلّاعدم علمه بصدور الجعل، ومثله یشکّ فی مانعیّته؛ لعدم الدلیل علیه، فیعمل المقتضی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 نّه بالنسبة إلی اعتقاده متبرّع؛ إذ لا عبرة بقصده من دون جَعل المالک، وعدمُ سماعه فی قوّة عدمه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ثالث ففرّق بین من ردّ کذلک عالماً بأنّ العمل بدون الجعل تبرّع وإن قصد العامل العوض، وبین غیره؛ لأنّ الأوّل متبرّع محضاً، بخلاف الثانی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واستقرب المصنّف الأوّل، والتفصیل متّجه</w:t>
      </w:r>
      <w:r>
        <w:rPr>
          <w:rFonts w:eastAsia="IRNazanin" w:cs="IRNazanin"/>
          <w:color w:val="111111"/>
          <w:sz w:val="28"/>
          <w:szCs w:val="28"/>
          <w:rtl w:val="true"/>
          <w:lang w:bidi="fa-IR"/>
        </w:rPr>
        <w:t>.</w:t>
      </w:r>
    </w:p>
    <w:p>
      <w:pPr>
        <w:pStyle w:val="Heading3"/>
        <w:numPr>
          <w:ilvl w:val="2"/>
          <w:numId w:val="1"/>
        </w:numPr>
        <w:rPr/>
      </w:pPr>
      <w:bookmarkStart w:id="120" w:name="__RefHeading___Toc2175339_2314609296"/>
      <w:bookmarkStart w:id="121" w:name="_Toc44"/>
      <w:bookmarkEnd w:id="120"/>
      <w:r>
        <w:rPr>
          <w:rtl w:val="true"/>
        </w:rPr>
        <w:t xml:space="preserve">مسائل </w:t>
      </w:r>
      <w:r>
        <w:rPr>
          <w:rtl w:val="true"/>
        </w:rPr>
        <w:t>[</w:t>
      </w:r>
      <w:r>
        <w:rPr>
          <w:rtl w:val="true"/>
        </w:rPr>
        <w:t xml:space="preserve">فی احکام الجعل </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لم یُعیَّن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لترکه أصلاً، بأن استدعی الردّ وأطلق، أو لذکره مبهماً کما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عمل مقتضاه سامعاً للصیغة غیر متبرّع بالعمل، إلّاأن یصرّح بالاستدعاء مجّاناً فلا شیء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اُجرة مع إطلاق الاستدعاء </w:t>
      </w:r>
      <w:r>
        <w:rPr>
          <w:rStyle w:val="FootnoteAnchor"/>
          <w:rtl w:val="true"/>
        </w:rPr>
        <w:footnoteReference w:id="170"/>
      </w:r>
      <w:r>
        <w:rPr>
          <w:rFonts w:ascii="IRNazanin" w:hAnsi="IRNazanin" w:eastAsia="IRNazanin"/>
          <w:color w:val="111111"/>
          <w:sz w:val="28"/>
          <w:sz w:val="28"/>
          <w:szCs w:val="28"/>
          <w:rtl w:val="true"/>
          <w:lang w:bidi="fa-IR"/>
        </w:rPr>
        <w:t>والأوّل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العمل ممّا</w:t>
      </w:r>
    </w:p>
    <w:p>
      <w:pPr>
        <w:pStyle w:val="BookText"/>
        <w:rPr/>
      </w:pPr>
      <w:r>
        <w:rPr>
          <w:rFonts w:ascii="IRNazanin" w:hAnsi="IRNazanin" w:eastAsia="IRNazanin"/>
          <w:color w:val="111111"/>
          <w:sz w:val="28"/>
          <w:sz w:val="28"/>
          <w:szCs w:val="28"/>
          <w:rtl w:val="true"/>
          <w:lang w:bidi="fa-IR"/>
        </w:rPr>
        <w:t>لا اُجرة له عادةً لقلّته فلا شیء للعامل، کمن أمر غیره بعمل من غیر أن یذکر اُجرة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ردّ الآبق من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مالکه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من مصر آخر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ضعیف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قیل بثبوت اُجرة المثل فیه کغیره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بالدینار 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 وهو المثقال الذی کانت قیمته عشرة دراهم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والبعیر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کالآبق فی الحکم المذکور، ولا نصّ علیه بخصوصه، وإنّما ذکره الشیخان </w:t>
      </w:r>
      <w:r>
        <w:rPr>
          <w:rStyle w:val="FootnoteAnchor"/>
          <w:rtl w:val="true"/>
        </w:rPr>
        <w:footnoteReference w:id="172"/>
      </w:r>
      <w:r>
        <w:rPr>
          <w:rFonts w:ascii="IRNazanin" w:hAnsi="IRNazanin" w:eastAsia="IRNazanin"/>
          <w:color w:val="111111"/>
          <w:sz w:val="28"/>
          <w:sz w:val="28"/>
          <w:szCs w:val="28"/>
          <w:rtl w:val="true"/>
          <w:lang w:bidi="fa-IR"/>
        </w:rPr>
        <w:t xml:space="preserve">وتبعهما علیه جماعة </w:t>
      </w:r>
      <w:r>
        <w:rPr>
          <w:rStyle w:val="FootnoteAnchor"/>
          <w:rtl w:val="true"/>
        </w:rPr>
        <w:footnoteReference w:id="173"/>
      </w:r>
      <w:r>
        <w:rPr>
          <w:rFonts w:ascii="IRNazanin" w:hAnsi="IRNazanin" w:eastAsia="IRNazanin"/>
          <w:color w:val="111111"/>
          <w:sz w:val="28"/>
          <w:sz w:val="28"/>
          <w:szCs w:val="28"/>
          <w:rtl w:val="true"/>
          <w:lang w:bidi="fa-IR"/>
        </w:rPr>
        <w:t>ویظهر من المفید أنّ به روایة؛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 ثبتت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إلحاقه علی تقدیر ثبوت الحکم فی الآبق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 الإشکال لو قصرت قیمتهما عن الدینار والأربعة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حینئذٍ أن یثبت علی المالک أقلّ الأمرین من قیمته والمقدّر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ومبنی الروایة علی الغالب من زیادة قیمته عن ذلک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بذل 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ردّه واحداً کان أم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جماعة استحقّوه بینهم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العمل غیر الردّ من الأعمال التی یمکن وقوعها أجمع من کلّ واحد منهم کدخول داره مع الغرض الصحیح فلکلٍّ ما 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جعل لکلّ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للآخرینَ، کأن جعل لأحدهما دیناراً وللآخر دینارین وللثالث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 فلکلٍّ ثلثُ ما جعل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ردّه أحدهم فله ما عیّن له أجمع، ولو ردّه اثنان منهم فلکلٍّ منهما نصف ما عیّن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یسمّ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جعلاً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ثلث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واحد من الآخرین ثلث ما عیّن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ردّه من لم یُسمّ له وأحدَهما فله نصف اُجرة مثله، وللآخر نصف ما سمّی له، وهکذا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ولو کانوا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ردّوه أجمع فلکلّ واحدٍ بنسبة عمله إلی المجموع من اُجرة المثل أو المسمّی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أصل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ادّعی العامل الجعل وأنکره المالک وادّعی التبرّع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المالک 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اتّفاقهما علی الجعالة، بأن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المردود لیس هو المجعول وادّعاه العامل؛ لأصالة براءة ذمّته من المال الذی یدّعی العامل استحقاقَه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السعی، بأن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فی یدک قبل الجعل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براءة ذمّته من حقّ الجعالة، أو عدم تقدّم الجَعل علی حصوله فی یده، وإن کان الأصل أیضاً عدم تقدّم وصوله إلی یده علی الجَعل، إلّاأ نّه بتعارض الأصلین لا یثبت فی ذمّة المالک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فی یدک قبل علمک بالجَعل، أو من غیر سعی وإن کان بعد صدوره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قدر الجُعل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المالک؛ لأصالة براءته من الزائد، ولأنّ</w:t>
      </w:r>
    </w:p>
    <w:p>
      <w:pPr>
        <w:pStyle w:val="BookText"/>
        <w:rPr/>
      </w:pPr>
      <w:r>
        <w:rPr>
          <w:rFonts w:ascii="IRNazanin" w:hAnsi="IRNazanin" w:eastAsia="IRNazanin"/>
          <w:color w:val="111111"/>
          <w:sz w:val="28"/>
          <w:sz w:val="28"/>
          <w:szCs w:val="28"/>
          <w:rtl w:val="true"/>
          <w:lang w:bidi="fa-IR"/>
        </w:rPr>
        <w:t xml:space="preserve">العامل مدّعٍ للزائد والمالک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الأمرین من اُجرة المثل وممّا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الأقلّ إن کان الاُجرة فقد انتفی ما یدّعیه العامل بیمین المالک، وإن کان ما یدّعیه العامل فلاعترافه بعدم استحقاق الزائد </w:t>
      </w:r>
      <w:r>
        <w:rPr>
          <w:rStyle w:val="FootnoteAnchor"/>
          <w:rtl w:val="true"/>
        </w:rPr>
        <w:footnoteReference w:id="174"/>
      </w:r>
      <w:r>
        <w:rPr>
          <w:rFonts w:ascii="IRNazanin" w:hAnsi="IRNazanin" w:eastAsia="IRNazanin"/>
          <w:color w:val="111111"/>
          <w:sz w:val="28"/>
          <w:sz w:val="28"/>
          <w:szCs w:val="28"/>
          <w:rtl w:val="true"/>
          <w:lang w:bidi="fa-IR"/>
        </w:rPr>
        <w:t xml:space="preserve">وبراءة ذمّة المالک منه، والحال أ نّهما معترفان بأنّ عمله بجعل فی الجملة وأ نّه عمل محترم، فتثبت له الاُجرة إن لم ینتفِ بعضها بإنکاره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یزید ما ادّعاه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اُجرة المثل فتثبت الزیادة؛ لاعترافه باستحقاق العامل إیّاها والعامل لا ینکرها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نجیب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رحمه الله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نفی ما ادّعاه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لأصالة عدم الزائد واتّفاقِهما علی العقد المشخّص بالعوض المعیَّن وانحصاره فی دعواهما، فإذا حلف المالک علی نفی ما ادّعاه العامل ثبت مدّعاه، لقضیّة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قویّ کمال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یتحالفان </w:t>
      </w:r>
      <w:r>
        <w:rPr>
          <w:rStyle w:val="FootnoteAnchor"/>
          <w:rtl w:val="true"/>
        </w:rPr>
        <w:footnoteReference w:id="176"/>
      </w:r>
      <w:r>
        <w:rPr>
          <w:rFonts w:ascii="Amiri" w:hAnsi="Amiri" w:eastAsia="Amiri" w:cs="Amiri"/>
          <w:color w:val="111111"/>
          <w:sz w:val="28"/>
          <w:sz w:val="28"/>
          <w:szCs w:val="28"/>
          <w:rtl w:val="true"/>
          <w:lang w:bidi="ar-SA"/>
        </w:rPr>
        <w:t>لأنّ کلّاً منهما مدّعٍ ومدّعی علیه، فلا ترجیح لأحدهما، فیحلف کلّ منهما علی نفی ما یدّعیه الآخر ویثبت الأقلّ کما مرّ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اختلافهما فی القدر إن کان مجرّداً عن التسمیة، بأن 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أستحقّ مئة من جهة الجعل الفلانی، فأنکر المالک وادّعی أ نّه خمسون فالقول قول المالک؛ لأنّه منکر محض والأصل براءته من الزائد، کما یقدّم قوله لو أنکر أصل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یتوجّه الیمین هنا من طرف العامل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مئة،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خمسین، ففیه الوجهان الماضیان فی الإجارة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تقدیم قول المالک أیضاً؛ لاتّفاقهما علی صدور الفعل بعوض واختلافهما فی مقداره خاصّة، فلیس کلّ منهما مدّعیاً لما ینفیه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اختلافهما فی جنس المجعول مع اختلافه بالقیمة، فادّعی المالک جعل شیء معیّن یساوی خمسین، وادّعی العامل جعل غیره ممّا یساوی مئتین، فالتحالف هنا متعیّن؛ لأنّ کلّاً منهما یدّعی ما ینکره الآخر، إلّاأنّ ذلک نشأ من اختلاف الجُعل جنساً أو وصفاً، لا من اختلافه قدراً، وإذا فرض اختلاف الجنس فالقول بالتحالف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وإن تساویا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ذکرنا اختلاف الجنس فی هذا القسم؛ لأنّ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 والعلّامة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شرّکوا بینه وبین الاختلاف قدراً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بواضح</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فی القول بالتحالف مطلقاً إشکال آخر، وهو فیما إذا تساوت الاُجرة وما یدّعیه المالک، أو زاد ما یدّعیه عنها، فإنّه لا وجه لتحلیف العامل بعد حلف المالک علی نفی الزائد الذی یدّعیه العامل؛ لثبوت ما حکم به من مدّعی المالک زائداً عن الاُجرة أو مساویاً باعترافه، فتکلیف العامل بالیمین حینئذٍ لا وجه له؛ لاعتراف المالک به، وإنّما یتوجّه لو زادت اُجرة المثل عمّا یدّعیه المالک، فیتوقّف إثبات الزائد من الاُجرة عمّا یدّعیه علی یمین المدّعی، وهو العامل</w:t>
      </w:r>
      <w:r>
        <w:rPr>
          <w:rFonts w:eastAsia="IRNazanin" w:cs="IRNazanin"/>
          <w:color w:val="111111"/>
          <w:sz w:val="28"/>
          <w:szCs w:val="28"/>
          <w:rtl w:val="true"/>
          <w:lang w:bidi="fa-IR"/>
        </w:rPr>
        <w:t>.</w:t>
      </w:r>
      <w:bookmarkStart w:id="122" w:name="pg19810_214291"/>
    </w:p>
    <w:p>
      <w:pPr>
        <w:pStyle w:val="Heading2"/>
        <w:numPr>
          <w:ilvl w:val="1"/>
          <w:numId w:val="1"/>
        </w:numPr>
        <w:rPr/>
      </w:pPr>
      <w:bookmarkStart w:id="123" w:name="__RefHeading___Toc2175341_2314609296"/>
      <w:bookmarkStart w:id="124" w:name="_Toc45"/>
      <w:bookmarkEnd w:id="122"/>
      <w:bookmarkEnd w:id="123"/>
      <w:r>
        <w:rPr>
          <w:rtl w:val="true"/>
        </w:rPr>
        <w:t>کتاب الوصایا</w:t>
      </w:r>
      <w:bookmarkEnd w:id="12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2175343_2314609296"/>
      <w:bookmarkStart w:id="126" w:name="_Toc46"/>
      <w:bookmarkEnd w:id="125"/>
      <w:r>
        <w:rPr>
          <w:rtl w:val="true"/>
        </w:rPr>
        <w:t>اشارة</w:t>
      </w:r>
      <w:bookmarkStart w:id="127" w:name="pg19810_214293"/>
      <w:bookmarkEnd w:id="126"/>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w:t>
      </w:r>
    </w:p>
    <w:p>
      <w:pPr>
        <w:pStyle w:val="Heading3"/>
        <w:numPr>
          <w:ilvl w:val="2"/>
          <w:numId w:val="1"/>
        </w:numPr>
        <w:rPr/>
      </w:pPr>
      <w:bookmarkStart w:id="128" w:name="__RefHeading___Toc2175345_2314609296"/>
      <w:bookmarkStart w:id="129" w:name="_Toc47"/>
      <w:bookmarkEnd w:id="128"/>
      <w:r>
        <w:rPr>
          <w:rtl w:val="true"/>
        </w:rPr>
        <w:t xml:space="preserve">الفصل </w:t>
      </w:r>
      <w:r>
        <w:rPr>
          <w:rtl w:val="true"/>
        </w:rPr>
        <w:t>«</w:t>
      </w:r>
      <w:r>
        <w:rPr>
          <w:rtl w:val="true"/>
        </w:rPr>
        <w:t>الأوّل</w:t>
      </w:r>
      <w:r>
        <w:rPr>
          <w:rtl w:val="true"/>
        </w:rPr>
        <w:t>» «</w:t>
      </w:r>
      <w:r>
        <w:rPr>
          <w:rtl w:val="true"/>
        </w:rPr>
        <w:t>الوصیّة</w:t>
      </w:r>
      <w:r>
        <w:rPr>
          <w:rtl w:val="true"/>
        </w:rPr>
        <w:t>»</w:t>
      </w:r>
      <w:bookmarkEnd w:id="129"/>
    </w:p>
    <w:p>
      <w:pPr>
        <w:pStyle w:val="Heading4"/>
        <w:numPr>
          <w:ilvl w:val="3"/>
          <w:numId w:val="1"/>
        </w:numPr>
        <w:rPr/>
      </w:pPr>
      <w:bookmarkStart w:id="130" w:name="__RefHeading___Toc2175347_2314609296"/>
      <w:bookmarkStart w:id="131" w:name="_Toc48"/>
      <w:bookmarkEnd w:id="130"/>
      <w:r>
        <w:rPr>
          <w:rtl w:val="true"/>
        </w:rPr>
        <w:t>[</w:t>
      </w:r>
      <w:r>
        <w:rPr>
          <w:rtl w:val="true"/>
        </w:rPr>
        <w:t>تعریفها</w:t>
      </w:r>
      <w:r>
        <w:rPr>
          <w:rtl w:val="true"/>
        </w:rPr>
        <w:t>]</w:t>
      </w:r>
      <w:bookmarkEnd w:id="131"/>
    </w:p>
    <w:p>
      <w:pPr>
        <w:pStyle w:val="BookText"/>
        <w:rPr/>
      </w:pPr>
      <w:r>
        <w:rPr>
          <w:rFonts w:ascii="IRNazanin" w:hAnsi="IRNazanin" w:eastAsia="IRNazanin"/>
          <w:color w:val="111111"/>
          <w:sz w:val="28"/>
          <w:sz w:val="28"/>
          <w:szCs w:val="28"/>
          <w:rtl w:val="true"/>
          <w:lang w:bidi="fa-IR"/>
        </w:rPr>
        <w:t>ماخوذه من وصی یصی، أو أوصی یوصی، أو وصّی 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وأصلها الوصل، وسمّی هذا التصرّف وصیّة لما فیه من وُصلة التصرّف فی حال الحیاة به بعد الوفاة، أو وُصلة القربة فی تلک الحال بها فی الحالة الاُخری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تملیک عین أو منفعة أو تسلیط علی تصرّف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فالتملیک بمنزلة الجنس یشمل سائر التصرّفات المملّکة من البیع والوقف والهبة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ذکر العین والمنفعة تنبیه علی متعلّقی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منها بالفعل کالشجرة، والقوّة کالثمرة المتجدّدة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المؤبّدة والمؤقّتة والمطلقة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التسلیط علی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الوصایة إلی الغیر بإنفاذ الوصیّة، والولایة علی من للموصی علیه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وغیرها من التصرّفات المنجَّزة فی الحیاة المتعلّقة بإحداهما والوکالةُ؛ لأنّها تسلیط علی التصرّف فی الحیاة</w:t>
      </w:r>
      <w:r>
        <w:rPr>
          <w:rFonts w:eastAsia="IRNazanin" w:cs="IRNazanin"/>
          <w:color w:val="111111"/>
          <w:sz w:val="28"/>
          <w:szCs w:val="28"/>
          <w:rtl w:val="true"/>
          <w:lang w:bidi="fa-IR"/>
        </w:rPr>
        <w:t>.</w:t>
      </w:r>
      <w:bookmarkStart w:id="132" w:name="pg19810_214294"/>
    </w:p>
    <w:p>
      <w:pPr>
        <w:pStyle w:val="BookText"/>
        <w:rPr/>
      </w:pPr>
      <w:bookmarkEnd w:id="132"/>
      <w:r>
        <w:rPr>
          <w:rFonts w:ascii="IRNazanin" w:hAnsi="IRNazanin" w:eastAsia="IRNazanin"/>
          <w:color w:val="111111"/>
          <w:sz w:val="28"/>
          <w:sz w:val="28"/>
          <w:szCs w:val="28"/>
          <w:rtl w:val="true"/>
          <w:lang w:bidi="fa-IR"/>
        </w:rPr>
        <w:t xml:space="preserve">وینتقض فی عکسه بالوصیّة بالعتق فإنّه فکّ ملک، والتدبیر فإنّه وصیّة به عند الأکثر </w:t>
      </w:r>
      <w:r>
        <w:rPr>
          <w:rStyle w:val="FootnoteAnchor"/>
          <w:rtl w:val="true"/>
        </w:rPr>
        <w:footnoteReference w:id="180"/>
      </w:r>
      <w:r>
        <w:rPr>
          <w:rFonts w:ascii="IRNazanin" w:hAnsi="IRNazanin" w:eastAsia="IRNazanin"/>
          <w:color w:val="111111"/>
          <w:sz w:val="28"/>
          <w:sz w:val="28"/>
          <w:szCs w:val="28"/>
          <w:rtl w:val="true"/>
          <w:lang w:bidi="fa-IR"/>
        </w:rPr>
        <w:t>والوصیّة بإبراء المدیون، وبوقف المسجد فإنّه فکّ ملک أیضاً، وبالوصیّة بالمضاربة والمساقاة، فإنّهما وإن أفادا ملک العامل الحصّة من الربح والثمرة علی تقدیر ظهورهما، إلّاأنّ حقیقتهما لیست کذلک، وقد لا یحصل ربح ولا ثمرة، فینتفی التملیک</w:t>
      </w:r>
      <w:r>
        <w:rPr>
          <w:rFonts w:eastAsia="IRNazanin" w:cs="IRNazanin"/>
          <w:color w:val="111111"/>
          <w:sz w:val="28"/>
          <w:szCs w:val="28"/>
          <w:rtl w:val="true"/>
          <w:lang w:bidi="fa-IR"/>
        </w:rPr>
        <w:t>.</w:t>
      </w:r>
    </w:p>
    <w:p>
      <w:pPr>
        <w:pStyle w:val="Heading4"/>
        <w:numPr>
          <w:ilvl w:val="3"/>
          <w:numId w:val="1"/>
        </w:numPr>
        <w:rPr/>
      </w:pPr>
      <w:bookmarkStart w:id="133" w:name="__RefHeading___Toc2175349_2314609296"/>
      <w:bookmarkStart w:id="134" w:name="_Toc49"/>
      <w:bookmarkEnd w:id="133"/>
      <w:r>
        <w:rPr>
          <w:rtl w:val="true"/>
        </w:rPr>
        <w:t>[</w:t>
      </w:r>
      <w:r>
        <w:rPr>
          <w:rtl w:val="true"/>
        </w:rPr>
        <w:t xml:space="preserve">الایجاب و القبول </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افعلوا کذا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القید یحتاج إلیه فی الصیغة الثانیة خاصّة؛ لأنّها أعمّ ممّا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الاُولی فمقتضاها کون ذلک بعد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لفلان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ونحو ذلک من الألفاظ الدالّة علی المعنی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علیه الإیجاب، سواء وقع باللفظ أم بالفعل الدالّ علیه کالأخذ والتصرّف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یفتقر إلیه فی من یمکن فی حقّه کالمحصور، لا غیره کالفقراء والفقهاء وبنی هاشم والمسجد والقنطرة، کما سیأتی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واستفید من افتقارها إلی الإیجاب والقبول أ نّها من جملة العقود، ومن جواز رجوع الموصی ما دام حیّاً والموصی له کذلک ما لم یقبل بعد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نّها من العقود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تلحق باللازمة علی بعض الوجوه </w:t>
      </w:r>
      <w:r>
        <w:rPr>
          <w:rStyle w:val="FootnoteAnchor"/>
          <w:rtl w:val="true"/>
        </w:rPr>
        <w:footnoteReference w:id="182"/>
      </w:r>
      <w:r>
        <w:rPr>
          <w:rFonts w:ascii="IRNazanin" w:hAnsi="IRNazanin" w:eastAsia="IRNazanin"/>
          <w:color w:val="111111"/>
          <w:sz w:val="28"/>
          <w:sz w:val="28"/>
          <w:szCs w:val="28"/>
          <w:rtl w:val="true"/>
          <w:lang w:bidi="fa-IR"/>
        </w:rPr>
        <w:t>کما یعلم ذلک من القیود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الغالب علیها حکم الجواز لم یشترط فیها القبول اللفظی، ولا مقارنته للإیجاب، بل یجوز مطلقاً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قارن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ویمکن أن یرید بتأخّره تأخّره عن الحیاة ومقارنته للوفاة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أوفق بمذهب المصنّف؛ لأنّه یری جواز تقدیم القبول علی الوفاة </w:t>
      </w:r>
      <w:r>
        <w:rPr>
          <w:rStyle w:val="FootnoteAnchor"/>
          <w:rtl w:val="true"/>
        </w:rPr>
        <w:footnoteReference w:id="183"/>
      </w:r>
      <w:r>
        <w:rPr>
          <w:rFonts w:ascii="IRNazanin" w:hAnsi="IRNazanin" w:eastAsia="IRNazanin"/>
          <w:color w:val="111111"/>
          <w:sz w:val="28"/>
          <w:sz w:val="28"/>
          <w:szCs w:val="28"/>
          <w:rtl w:val="true"/>
          <w:lang w:bidi="fa-IR"/>
        </w:rPr>
        <w:t xml:space="preserve">والثانی للمشهور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ومبنی القولین علی أنّ الإیجاب فی الوصیّة إنّما یتعلّق بما بعد الوفاة؛ لأنّها تملیک أو ما فی حکمه بعدَ الموت، فلو قبل قبلَه لم یطابق القبول الإیجاب، وأنّ المتعلّق بالوفاة تمام الملک علی تقدیر القبول والقبض لا إحداث سببه، فإنّ الإیجاب جزء السبب فجاز أن یکون القبول کذلک وبالموت یتمّ، أو یجعل الموت شرطاً لحصول الملک بالعقد، کالبیع علی بعض الوجوه </w:t>
      </w:r>
      <w:r>
        <w:rPr>
          <w:rStyle w:val="FootnoteAnchor"/>
          <w:rtl w:val="true"/>
        </w:rPr>
        <w:footnoteReference w:id="185"/>
      </w:r>
      <w:r>
        <w:rPr>
          <w:rFonts w:ascii="IRNazanin" w:hAnsi="IRNazanin" w:eastAsia="IRNazanin"/>
          <w:color w:val="111111"/>
          <w:sz w:val="28"/>
          <w:sz w:val="28"/>
          <w:szCs w:val="28"/>
          <w:rtl w:val="true"/>
          <w:lang w:bidi="fa-IR"/>
        </w:rPr>
        <w:t>وهذا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 الإیجاب بالتملیک بعد الموت لا ینافی قبوله قبلَه؛ لأنّه قبوله بعدَه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یصحّ القبول علی التقدیرین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لم یؤثّر القبول؛ لبطلان الإیجاب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الموصی جاز القبول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اعتبار بردّه السابق، حیث إنّ الملک لا یمکن تحقّقه حال الحیاة، والمتأخّر لم یقع بعدُ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بمذهب من یعتبر تأخّر القبول عن الحیاة أوفق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تقدیر جواز تقدّمه </w:t>
      </w:r>
      <w:r>
        <w:rPr>
          <w:rStyle w:val="FootnoteAnchor"/>
          <w:rtl w:val="true"/>
        </w:rPr>
        <w:footnoteReference w:id="186"/>
      </w:r>
      <w:r>
        <w:rPr>
          <w:rFonts w:ascii="IRNazanin" w:hAnsi="IRNazanin" w:eastAsia="IRNazanin"/>
          <w:color w:val="111111"/>
          <w:sz w:val="28"/>
          <w:sz w:val="28"/>
          <w:szCs w:val="28"/>
          <w:rtl w:val="true"/>
          <w:lang w:bidi="fa-IR"/>
        </w:rPr>
        <w:t>فی حال الحیاة فینبغی تأثیر الردّ حالتها أیضاً؛ لفوات أحد رکنی العقد حال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القول بعدم جواز القبول بعد الردّ مطلقاً </w:t>
      </w:r>
      <w:r>
        <w:rPr>
          <w:rStyle w:val="FootnoteAnchor"/>
          <w:rtl w:val="true"/>
        </w:rPr>
        <w:footnoteReference w:id="187"/>
      </w:r>
      <w:r>
        <w:rPr>
          <w:rFonts w:ascii="IRNazanin" w:hAnsi="IRNazanin" w:eastAsia="IRNazanin"/>
          <w:color w:val="111111"/>
          <w:sz w:val="28"/>
          <w:sz w:val="28"/>
          <w:szCs w:val="28"/>
          <w:rtl w:val="true"/>
          <w:lang w:bidi="fa-IR"/>
        </w:rPr>
        <w:t>لإبطاله الإیجاب</w:t>
      </w:r>
    </w:p>
    <w:p>
      <w:pPr>
        <w:pStyle w:val="BookText"/>
        <w:rPr/>
      </w:pPr>
      <w:r>
        <w:rPr>
          <w:rFonts w:ascii="IRNazanin" w:hAnsi="IRNazanin" w:eastAsia="IRNazanin"/>
          <w:color w:val="111111"/>
          <w:sz w:val="28"/>
          <w:sz w:val="28"/>
          <w:szCs w:val="28"/>
          <w:rtl w:val="true"/>
          <w:lang w:bidi="fa-IR"/>
        </w:rPr>
        <w:t>السابق، ولم یحصل بعد ذلک ما یقتضیها، کما لو ردّ المتّهب الهبة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فرّق بأنّ المانع هنا </w:t>
      </w:r>
      <w:r>
        <w:rPr>
          <w:rStyle w:val="FootnoteAnchor"/>
          <w:rtl w:val="true"/>
        </w:rPr>
        <w:footnoteReference w:id="188"/>
      </w:r>
      <w:r>
        <w:rPr>
          <w:rFonts w:ascii="IRNazanin" w:hAnsi="IRNazanin" w:eastAsia="IRNazanin"/>
          <w:color w:val="111111"/>
          <w:sz w:val="28"/>
          <w:sz w:val="28"/>
          <w:szCs w:val="28"/>
          <w:rtl w:val="true"/>
          <w:lang w:bidi="fa-IR"/>
        </w:rPr>
        <w:t>انتفاء المقارنة بین القبول والإیجاب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ردّ الوکیل الوکالة، فإنّه لیس له التصرّف بعد ذلک بالإذن السابق وإن جاز تراخی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نسب الحکم بجواز القبول حینئذٍ بعد الوفاة إلی المشهور </w:t>
      </w:r>
      <w:r>
        <w:rPr>
          <w:rStyle w:val="FootnoteAnchor"/>
          <w:rtl w:val="true"/>
        </w:rPr>
        <w:footnoteReference w:id="189"/>
      </w:r>
      <w:r>
        <w:rPr>
          <w:rFonts w:ascii="Amiri" w:hAnsi="Amiri" w:eastAsia="Amiri" w:cs="Amiri"/>
          <w:color w:val="111111"/>
          <w:sz w:val="28"/>
          <w:sz w:val="28"/>
          <w:szCs w:val="28"/>
          <w:rtl w:val="true"/>
          <w:lang w:bidi="ar-SA"/>
        </w:rPr>
        <w:t xml:space="preserve">مؤذناً بتمریضه، ولعلّ المشهور مبنیّاً </w:t>
      </w:r>
      <w:r>
        <w:rPr>
          <w:rStyle w:val="FootnoteAnchor"/>
          <w:rtl w:val="true"/>
        </w:rPr>
        <w:footnoteReference w:id="190"/>
      </w:r>
      <w:r>
        <w:rPr>
          <w:rFonts w:ascii="IRNazanin" w:hAnsi="IRNazanin" w:eastAsia="IRNazanin"/>
          <w:color w:val="111111"/>
          <w:sz w:val="28"/>
          <w:sz w:val="28"/>
          <w:szCs w:val="28"/>
          <w:rtl w:val="true"/>
          <w:lang w:bidi="fa-IR"/>
        </w:rPr>
        <w:t xml:space="preserve">علی الحکم </w:t>
      </w:r>
      <w:r>
        <w:rPr>
          <w:rStyle w:val="FootnoteAnchor"/>
          <w:rtl w:val="true"/>
        </w:rPr>
        <w:footnoteReference w:id="191"/>
      </w:r>
      <w:r>
        <w:rPr>
          <w:rFonts w:ascii="IRNazanin" w:hAnsi="IRNazanin" w:eastAsia="IRNazanin"/>
          <w:color w:val="111111"/>
          <w:sz w:val="28"/>
          <w:sz w:val="28"/>
          <w:szCs w:val="28"/>
          <w:rtl w:val="true"/>
          <w:lang w:bidi="fa-IR"/>
        </w:rPr>
        <w:t xml:space="preserve">المشهور السابق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ردّ بعدَ الوفاة قبلَ القبول بطلت وإن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إذ لا أثر للقبض من دون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ردّ بعد القبول لم تبطل وإن لم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أجود القولین </w:t>
      </w:r>
      <w:r>
        <w:rPr>
          <w:rStyle w:val="FootnoteAnchor"/>
          <w:rtl w:val="true"/>
        </w:rPr>
        <w:footnoteReference w:id="193"/>
      </w:r>
      <w:r>
        <w:rPr>
          <w:rFonts w:ascii="IRNazanin" w:hAnsi="IRNazanin" w:eastAsia="IRNazanin"/>
          <w:color w:val="111111"/>
          <w:sz w:val="28"/>
          <w:sz w:val="28"/>
          <w:szCs w:val="28"/>
          <w:rtl w:val="true"/>
          <w:lang w:bidi="fa-IR"/>
        </w:rPr>
        <w:t>لحصول الملک بالقبول فلا یُبطله الردّ، کردّ غیره من العقود المملّکة بعد تحقّقه، فإنّ زوال الملک بعد ثبوته یتوقّف علی وجود السبب الناقل ولم یتحقّق، والأصل عدمه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الردّ بناءً علی أنّ القبض شرط فی صحّة الملک کالهبة، فتبطل بالردّ قبله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ببطلان القیاس وثبوت حکمها بأمر خارج لا یقتضی المشارکة بمجرّده وأصالة عدم الزوال بذلک، واستصحاب حکم الملک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وینتقل حقّ القبول إلی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الموصیٰ له قبلَه، سواء مات فی حیاة الموصی أم بعدها علی المشهور، ومستنده روایة </w:t>
      </w:r>
      <w:r>
        <w:rPr>
          <w:rStyle w:val="FootnoteAnchor"/>
          <w:rtl w:val="true"/>
        </w:rPr>
        <w:footnoteReference w:id="195"/>
      </w:r>
      <w:r>
        <w:rPr>
          <w:rFonts w:ascii="IRNazanin" w:hAnsi="IRNazanin" w:eastAsia="IRNazanin"/>
          <w:color w:val="111111"/>
          <w:sz w:val="28"/>
          <w:sz w:val="28"/>
          <w:szCs w:val="28"/>
          <w:rtl w:val="true"/>
          <w:lang w:bidi="fa-IR"/>
        </w:rPr>
        <w:t>تدلّ بإطلاقها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الوصیّة بموته </w:t>
      </w:r>
      <w:r>
        <w:rPr>
          <w:rStyle w:val="FootnoteAnchor"/>
          <w:rtl w:val="true"/>
        </w:rPr>
        <w:footnoteReference w:id="196"/>
      </w:r>
      <w:r>
        <w:rPr>
          <w:rFonts w:ascii="IRNazanin" w:hAnsi="IRNazanin" w:eastAsia="IRNazanin"/>
          <w:color w:val="111111"/>
          <w:sz w:val="28"/>
          <w:sz w:val="28"/>
          <w:szCs w:val="28"/>
          <w:rtl w:val="true"/>
          <w:lang w:bidi="fa-IR"/>
        </w:rPr>
        <w:t xml:space="preserve">لظاهر صحیحة أبی بصیر ومحمّد بن مسلم عن الصادق علیه السلام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وفصّل ثالث فأبطلها بموته فی حیاته، لا بعدها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البطلان مع تعلّق غرضه بالمورّث،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مختار المصنّف فی الدروس </w:t>
      </w:r>
      <w:r>
        <w:rPr>
          <w:rStyle w:val="FootnoteAnchor"/>
          <w:rtl w:val="true"/>
        </w:rPr>
        <w:footnoteReference w:id="199"/>
      </w:r>
      <w:r>
        <w:rPr>
          <w:rFonts w:ascii="IRNazanin" w:hAnsi="IRNazanin" w:eastAsia="IRNazanin"/>
          <w:color w:val="111111"/>
          <w:sz w:val="28"/>
          <w:sz w:val="28"/>
          <w:szCs w:val="28"/>
          <w:rtl w:val="true"/>
          <w:lang w:bidi="fa-IR"/>
        </w:rPr>
        <w:t xml:space="preserve">ویمکن الجمع به بین الأخبار لو وجب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 موته قبل موت الموصی لم تدخل العین فی ملکه، وإن کان بعدَه ففی دخولها وجهان مبنیّان علی أنّ القبول هل هو کاشف عن سبق الملک من حین الموت، أم ناقل له من حینه، أم الملک یحصل للموصی له بالوفاة متزلزلاً ویستقرّ بالقبول؟ أوجه تأتی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فیما لو کان الموصیٰ به ینعتق علی الموصیٰ له المیّت لو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مقیّدة بزمان أو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کذا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بعد وفاتی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ومقیّدة،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وفاتی فی سنة کذا، أو </w:t>
      </w:r>
      <w:r>
        <w:rPr>
          <w:rStyle w:val="FootnoteAnchor"/>
          <w:rtl w:val="true"/>
        </w:rPr>
        <w:footnoteReference w:id="201"/>
      </w:r>
      <w:r>
        <w:rPr>
          <w:rFonts w:ascii="IRNazanin" w:hAnsi="IRNazanin" w:eastAsia="IRNazanin"/>
          <w:color w:val="111111"/>
          <w:sz w:val="28"/>
          <w:sz w:val="28"/>
          <w:szCs w:val="28"/>
          <w:rtl w:val="true"/>
          <w:lang w:bidi="fa-IR"/>
        </w:rPr>
        <w:t>فی سفر کذا، فیتخصّص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خصّصه من السَنَة أو السفر ونحوهما، فلو مات فی غیرها أو غیره بطلت الوصیّة؛ لاختصاصها بمحلّ القید فلا وصیّة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وتکفی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المراد قطعاً فی إیجاب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تعذّر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لخرس، واعتقال لسانٍ بمرض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قطعاً علی قصد الوصیّة بها، لا مطلقاً؛ لأنّها أعمّ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تکفیان مع الاختیار وإن شوهد کاتباً أو علم خطّه أو عمل الورثة 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للشیخ فی الأخیر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بخطّی وأنا عالم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وصیّتی فاشهدوا علیّ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بل لا بدّ من تلفّظه به أو قراءته علیه واعترافه بعد ذلک؛ لأنّ الشهادة مشروطة بالعلم وهو منفیّ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الجنید حیث اکتفی به مع حفظ الشاهد له عنده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الاکتفاء بقراءة الشاهد له مع نفسه مع اعتراف الموصی بمعرفته ما فیه وأ نّه موصی </w:t>
      </w:r>
      <w:r>
        <w:rPr>
          <w:rStyle w:val="FootnoteAnchor"/>
          <w:rtl w:val="true"/>
        </w:rPr>
        <w:footnoteReference w:id="204"/>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المقرّ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والوصیّة للجهة العامّة مثل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والفقهاء وبنی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والمساجد والمدارس لا تحتاج إلی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لتعذّره إن اُرید من الجمیع، واستلزامه الترجیح من غیر مرجّح إن اُرید من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یفتقر إلی قبول الحاکم أو منصوبه وإن أمکن کالوقف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فیه بذلک </w:t>
      </w:r>
      <w:r>
        <w:rPr>
          <w:rStyle w:val="FootnoteAnchor"/>
          <w:rtl w:val="true"/>
        </w:rPr>
        <w:footnoteReference w:id="205"/>
      </w:r>
      <w:r>
        <w:rPr>
          <w:rFonts w:ascii="IRNazanin" w:hAnsi="IRNazanin" w:eastAsia="IRNazanin"/>
          <w:color w:val="111111"/>
          <w:sz w:val="28"/>
          <w:sz w:val="28"/>
          <w:szCs w:val="28"/>
          <w:rtl w:val="true"/>
          <w:lang w:bidi="fa-IR"/>
        </w:rPr>
        <w:t>ولکن لا قائل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مجال الوصیّة أوسع، ومن ثَمّ لم یشترط فیها التنجیز ولا فوریّة القبول ولا صراحة الإیجاب ولا وقوعه بالعربیّة مع القدرة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القبول کاشف عن سبق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ناقل له من حینه؛ إذ لولاه لزم بقاء الملک بعد الموت بغیر مالک؛ إذ المیّت لا یملک؛ لخروجه به عن أهلیّته کالجمادات وانتقال ماله عنه، ولا الوارث، لظاهر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فلو لم ینتقل إلی الموصی له لزم خلوّه عن المالک؛ إذ لا یصلح لغیر من ذکر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الثانی أنّ القبول معتبر فی حصول الملک، فهو إمّا جزء السبب أو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کقبول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فیمتنع تقدّم الملک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وکونها من جملة العقود یرشد إلی أنّ القبول جزء السبب الناقل للملک والآخر الإیجاب، کما یستفاد من تعریفهم</w:t>
      </w:r>
    </w:p>
    <w:p>
      <w:pPr>
        <w:pStyle w:val="BookText"/>
        <w:rPr/>
      </w:pPr>
      <w:r>
        <w:rPr>
          <w:rFonts w:ascii="IRNazanin" w:hAnsi="IRNazanin" w:eastAsia="IRNazanin"/>
          <w:color w:val="111111"/>
          <w:sz w:val="28"/>
          <w:sz w:val="28"/>
          <w:szCs w:val="28"/>
          <w:rtl w:val="true"/>
          <w:lang w:bidi="fa-IR"/>
        </w:rPr>
        <w:t xml:space="preserve">العقود بأ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الدالّة علی نقل الملک علی الوجه المناسب له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وهو العین فی البیع والمنفعة فی الإجارة، ونحو ذلک، فیکون الموت شرطاً فی انتقال الملک، کما أنّ الملک للعین والعلم بالعوضین شرط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اجتمعت الشرائط قبل تمام العقد بأن کان مالکاً للمبیع تحقّقت ثمرته به </w:t>
      </w:r>
      <w:r>
        <w:rPr>
          <w:rStyle w:val="FootnoteAnchor"/>
          <w:rtl w:val="true"/>
        </w:rPr>
        <w:footnoteReference w:id="208"/>
      </w:r>
      <w:r>
        <w:rPr>
          <w:rFonts w:ascii="IRNazanin" w:hAnsi="IRNazanin" w:eastAsia="IRNazanin"/>
          <w:color w:val="111111"/>
          <w:sz w:val="28"/>
          <w:sz w:val="28"/>
          <w:szCs w:val="28"/>
          <w:rtl w:val="true"/>
          <w:lang w:bidi="fa-IR"/>
        </w:rPr>
        <w:t>وإن تخلّف بعضها، فقد یحصل منه بطلانه کالعلم بالعوض، وقد تبقی موقوفة علی ذلک الشرط، فإذا حصل تحقّق تأثیر السبب الناقل وهو العقد، کإجازة المالک فی عقد الفضولی، والموت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فالانتقال حصل بالعقد، لکنّه موقوف علی الشرط المذکور، فإذا تأخّر قبول الوصیّة کان الملک موقوفاً علیه، والشرط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w:t>
      </w:r>
      <w:r>
        <w:rPr>
          <w:rStyle w:val="FootnoteAnchor"/>
          <w:rtl w:val="true"/>
        </w:rPr>
        <w:footnoteReference w:id="209"/>
      </w:r>
      <w:r>
        <w:rPr>
          <w:rFonts w:ascii="Amiri" w:hAnsi="Amiri" w:eastAsia="Amiri" w:cs="Amiri"/>
          <w:color w:val="111111"/>
          <w:sz w:val="28"/>
          <w:sz w:val="28"/>
          <w:szCs w:val="28"/>
          <w:rtl w:val="true"/>
          <w:lang w:bidi="ar-SA"/>
        </w:rPr>
        <w:t>قبلَه، فلا یتحقّق الملک قبلَ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ویشکل بأنّ هذا لو تمّ یقتضی أنّ قبول الوصیّة لو تقدّم علی الموت حصل الملک به حصولاً متوقّفاً علی الشرط وهو الموت، فیکون الموت کاشفاً عن حصوله بعد القبول کإجازة المالک بعد العقد، والقائل بالنقل لا یقول بحصول الملک قبل الموت مطلقاً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أنّ الموت شرط فی انتقال الملک، بل حقیقة الوصیّة التملیک بعده، کما عُلم من 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تقدّم القبول توقّف الملک علی الموت، وإن تأخّر عنه فمقتضی حکم العقد عدم تحقّقه بدون القبول، فیکون تمام الملک موقوفاً علی الإیجاب والقبول 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فالقول بالکشف متوجّه لولا مخالفة ما عُلم</w:t>
      </w:r>
      <w:bookmarkStart w:id="135" w:name="pg19810_214301"/>
    </w:p>
    <w:p>
      <w:pPr>
        <w:pStyle w:val="BookText"/>
        <w:rPr/>
      </w:pPr>
      <w:bookmarkEnd w:id="135"/>
      <w:r>
        <w:rPr>
          <w:rFonts w:ascii="IRNazanin" w:hAnsi="IRNazanin" w:eastAsia="IRNazanin"/>
          <w:color w:val="111111"/>
          <w:sz w:val="28"/>
          <w:sz w:val="28"/>
          <w:szCs w:val="28"/>
          <w:rtl w:val="true"/>
          <w:lang w:bidi="fa-IR"/>
        </w:rPr>
        <w:t>من حکم العقد</w:t>
      </w:r>
      <w:r>
        <w:rPr>
          <w:rFonts w:eastAsia="IRNazanin" w:cs="IRNazanin"/>
          <w:color w:val="111111"/>
          <w:sz w:val="28"/>
          <w:szCs w:val="28"/>
          <w:rtl w:val="true"/>
          <w:lang w:bidi="fa-IR"/>
        </w:rPr>
        <w:t>.</w:t>
      </w:r>
    </w:p>
    <w:p>
      <w:pPr>
        <w:pStyle w:val="Heading4"/>
        <w:numPr>
          <w:ilvl w:val="3"/>
          <w:numId w:val="1"/>
        </w:numPr>
        <w:rPr/>
      </w:pPr>
      <w:bookmarkStart w:id="136" w:name="__RefHeading___Toc2175351_2314609296"/>
      <w:bookmarkStart w:id="137" w:name="_Toc50"/>
      <w:bookmarkEnd w:id="136"/>
      <w:r>
        <w:rPr>
          <w:rtl w:val="true"/>
        </w:rPr>
        <w:t>[</w:t>
      </w:r>
      <w:r>
        <w:rPr>
          <w:rtl w:val="true"/>
        </w:rPr>
        <w:t xml:space="preserve">شروط الوصی </w:t>
      </w:r>
      <w:r>
        <w:rPr>
          <w:rtl w:val="true"/>
        </w:rPr>
        <w:t>]</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الموصی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 والعقل ورفع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وصیّة من بلغ عشراً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الأصحاب مستند </w:t>
      </w:r>
      <w:r>
        <w:rPr>
          <w:rStyle w:val="FootnoteAnchor"/>
          <w:rtl w:val="true"/>
        </w:rPr>
        <w:footnoteReference w:id="211"/>
      </w:r>
      <w:r>
        <w:rPr>
          <w:rFonts w:ascii="IRNazanin" w:hAnsi="IRNazanin" w:eastAsia="IRNazanin"/>
          <w:color w:val="111111"/>
          <w:sz w:val="28"/>
          <w:sz w:val="28"/>
          <w:szCs w:val="28"/>
          <w:rtl w:val="true"/>
          <w:lang w:bidi="fa-IR"/>
        </w:rPr>
        <w:t xml:space="preserve">إلی روایات متظافرة </w:t>
      </w:r>
      <w:r>
        <w:rPr>
          <w:rStyle w:val="FootnoteAnchor"/>
          <w:rtl w:val="true"/>
        </w:rPr>
        <w:footnoteReference w:id="212"/>
      </w:r>
      <w:r>
        <w:rPr>
          <w:rFonts w:ascii="IRNazanin" w:hAnsi="IRNazanin" w:eastAsia="IRNazanin"/>
          <w:color w:val="111111"/>
          <w:sz w:val="28"/>
          <w:sz w:val="28"/>
          <w:szCs w:val="28"/>
          <w:rtl w:val="true"/>
          <w:lang w:bidi="fa-IR"/>
        </w:rPr>
        <w:t xml:space="preserve">بعضها صحیح </w:t>
      </w:r>
      <w:r>
        <w:rPr>
          <w:rStyle w:val="FootnoteAnchor"/>
          <w:rtl w:val="true"/>
        </w:rPr>
        <w:footnoteReference w:id="213"/>
      </w:r>
      <w:r>
        <w:rPr>
          <w:rFonts w:ascii="IRNazanin" w:hAnsi="IRNazanin" w:eastAsia="IRNazanin"/>
          <w:color w:val="111111"/>
          <w:sz w:val="28"/>
          <w:sz w:val="28"/>
          <w:szCs w:val="28"/>
          <w:rtl w:val="true"/>
          <w:lang w:bidi="fa-IR"/>
        </w:rPr>
        <w:t>إلّاأ نّها مخالفة لاُصول المذهب وسبیل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المجنون والسکران ومن جرح نفسه بالمهلک فالوصیّة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الأوّلان فظاهر، لانتفاء العقل ورفع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الأخیر فمستنده صحیحة أبی ولّاد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أوصی بوصیّة بعدما أحدث فی نفسه من جراحة أو قتل لعلّه یموت لم تجز وصیّته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ولدلالة هذا الفعل علی سفهه؛ ولأ نّه فی حکم المیّت فلا تجری علیه الأحکام الجاریة علی الحیّ، ومن ثمَّ لا تقع علیه الذکاة لو کان قابلاً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وصیّته مع ثبات عقله کغیره </w:t>
      </w:r>
      <w:r>
        <w:rPr>
          <w:rStyle w:val="FootnoteAnchor"/>
          <w:rtl w:val="true"/>
        </w:rPr>
        <w:footnoteReference w:id="215"/>
      </w:r>
      <w:r>
        <w:rPr>
          <w:rFonts w:ascii="Amiri" w:hAnsi="Amiri" w:eastAsia="Amiri" w:cs="Amiri"/>
          <w:color w:val="111111"/>
          <w:sz w:val="28"/>
          <w:sz w:val="28"/>
          <w:szCs w:val="28"/>
          <w:rtl w:val="true"/>
          <w:lang w:bidi="ar-SA"/>
        </w:rPr>
        <w:t xml:space="preserve">وهو حسن، لولا معارضة النصّ المشهور </w:t>
      </w:r>
      <w:r>
        <w:rPr>
          <w:rStyle w:val="FootnoteAnchor"/>
          <w:rtl w:val="true"/>
        </w:rPr>
        <w:footnoteReference w:id="216"/>
      </w:r>
      <w:r>
        <w:rPr>
          <w:rFonts w:ascii="IRNazanin" w:hAnsi="IRNazanin" w:eastAsia="IRNazanin"/>
          <w:color w:val="111111"/>
          <w:sz w:val="28"/>
          <w:sz w:val="28"/>
          <w:szCs w:val="28"/>
          <w:rtl w:val="true"/>
          <w:lang w:bidi="fa-IR"/>
        </w:rPr>
        <w:t>وأمّا دلالة الفعل علی سفهه فغیر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منه کونه فی حکم المیّت، فإنّه غیر مانع من التصرّف مع تیقّن رشده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وموضع الخلاف ما إذا تعمّد الجَرح، فلو وقع منه سهواً أو خطأً لم تمتنع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وصیّته إجماعاً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الموصی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وصحّة التملّک، فلو أوصی للحمل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حالَ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بوضعه لدون ستّة أشهر منذ حین </w:t>
      </w:r>
      <w:r>
        <w:rPr>
          <w:rStyle w:val="FootnoteAnchor"/>
          <w:rtl w:val="true"/>
        </w:rPr>
        <w:footnoteReference w:id="218"/>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بذلک کونه موجوداً حالتَها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هناک زوج ولا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أحدهما لم تصحّ؛ لعدم العلم بوجوده عندها، وأصالة عدمه؛ لإمکان تجدّده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الاحتمال مع عدمهما بإمکان الزنا والشبهة مندفع بأنّ الأصل عدم إقدام المسلم علی الزنا کغیره من المحرّمات وندور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الأوّل </w:t>
      </w:r>
      <w:r>
        <w:rPr>
          <w:rStyle w:val="FootnoteAnchor"/>
          <w:rtl w:val="true"/>
        </w:rPr>
        <w:footnoteReference w:id="219"/>
      </w:r>
      <w:r>
        <w:rPr>
          <w:rFonts w:ascii="IRNazanin" w:hAnsi="IRNazanin" w:eastAsia="IRNazanin"/>
          <w:color w:val="111111"/>
          <w:sz w:val="28"/>
          <w:sz w:val="28"/>
          <w:szCs w:val="28"/>
          <w:rtl w:val="true"/>
          <w:lang w:bidi="fa-IR"/>
        </w:rPr>
        <w:t>لو کانت کافرة حیث تصحّ الوصیّة لحملها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علی تقدیر وجود الفراش باستحقاقه بین الغایتین </w:t>
      </w:r>
      <w:r>
        <w:rPr>
          <w:rStyle w:val="FootnoteAnchor"/>
          <w:rtl w:val="true"/>
        </w:rPr>
        <w:footnoteReference w:id="220"/>
      </w:r>
      <w:r>
        <w:rPr>
          <w:rFonts w:ascii="Amiri" w:hAnsi="Amiri" w:eastAsia="Amiri" w:cs="Amiri"/>
          <w:color w:val="111111"/>
          <w:sz w:val="28"/>
          <w:sz w:val="28"/>
          <w:szCs w:val="28"/>
          <w:rtl w:val="true"/>
          <w:lang w:bidi="ar-SA"/>
        </w:rPr>
        <w:t xml:space="preserve">عملاً بالعادة الغالبة من الوضع لأقصاهما </w:t>
      </w:r>
      <w:r>
        <w:rPr>
          <w:rStyle w:val="FootnoteAnchor"/>
          <w:rtl w:val="true"/>
        </w:rPr>
        <w:footnoteReference w:id="221"/>
      </w:r>
      <w:r>
        <w:rPr>
          <w:rFonts w:ascii="IRNazanin" w:hAnsi="IRNazanin" w:eastAsia="IRNazanin"/>
          <w:color w:val="111111"/>
          <w:sz w:val="28"/>
          <w:sz w:val="28"/>
          <w:szCs w:val="28"/>
          <w:rtl w:val="true"/>
          <w:lang w:bidi="fa-IR"/>
        </w:rPr>
        <w:t>أو ما قاربها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تقدیر فیشترط انفصاله حیّاً، فلو وضعته میّتاً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بعد انفصاله حیّاً کانت 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اعتبار قبوله هنا وجه قویّ؛ لإمکانه منه، بخلاف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قبول ولیّه </w:t>
      </w:r>
      <w:r>
        <w:rPr>
          <w:rStyle w:val="FootnoteAnchor"/>
          <w:rtl w:val="true"/>
        </w:rPr>
        <w:footnoteReference w:id="222"/>
      </w:r>
      <w:r>
        <w:rPr>
          <w:rFonts w:ascii="Amiri" w:hAnsi="Amiri" w:eastAsia="Amiri" w:cs="Amiri"/>
          <w:color w:val="111111"/>
          <w:sz w:val="28"/>
          <w:sz w:val="28"/>
          <w:szCs w:val="28"/>
          <w:rtl w:val="true"/>
          <w:lang w:bidi="ar-SA"/>
        </w:rPr>
        <w:t>ثمّ إن اتّحد فهی له، وإن تعدّد قُسِّم الموصی به علی العدد بالسویة، وإن اختلفوا بالذکوریّة والاُنوثیّة</w:t>
      </w:r>
      <w:r>
        <w:rPr>
          <w:rFonts w:eastAsia="Amiri" w:cs="Amiri" w:ascii="Amiri" w:hAnsi="Amiri"/>
          <w:color w:val="111111"/>
          <w:sz w:val="28"/>
          <w:szCs w:val="28"/>
          <w:rtl w:val="true"/>
          <w:lang w:bidi="ar-SA"/>
        </w:rPr>
        <w:t>.</w:t>
      </w:r>
      <w:bookmarkStart w:id="138" w:name="pg19810_214303"/>
    </w:p>
    <w:p>
      <w:pPr>
        <w:pStyle w:val="Heading4"/>
        <w:numPr>
          <w:ilvl w:val="3"/>
          <w:numId w:val="1"/>
        </w:numPr>
        <w:rPr/>
      </w:pPr>
      <w:bookmarkStart w:id="139" w:name="__RefHeading___Toc2175353_2314609296"/>
      <w:bookmarkStart w:id="140" w:name="_Toc51"/>
      <w:bookmarkEnd w:id="138"/>
      <w:bookmarkEnd w:id="139"/>
      <w:r>
        <w:rPr>
          <w:rtl w:val="true"/>
        </w:rPr>
        <w:t>[</w:t>
      </w:r>
      <w:r>
        <w:rPr>
          <w:rtl w:val="true"/>
        </w:rPr>
        <w:t>من تصح له الوصیة</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أوصی للعبد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قنّاً أم مدبَّراً أم اُمَّ ولد، أجاز مولاه أم لا؛ لأنّ العبد لا یملک بتملیک سیّده، فبتملیک غیره أولی، ولروایة عبد الرحمن ابن الحجّاج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وصیّة لمملوک</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ولو کان مکاتباً مشروطاً أو مطلقاً لم یؤدّ شیئاً ففی جواز الوصیّة له قولان </w:t>
      </w:r>
      <w:r>
        <w:rPr>
          <w:rStyle w:val="FootnoteAnchor"/>
          <w:rtl w:val="true"/>
        </w:rPr>
        <w:footnoteReference w:id="224"/>
      </w:r>
      <w:r>
        <w:rPr>
          <w:rFonts w:ascii="IRNazanin" w:hAnsi="IRNazanin" w:eastAsia="IRNazanin"/>
          <w:color w:val="111111"/>
          <w:sz w:val="28"/>
          <w:sz w:val="28"/>
          <w:szCs w:val="28"/>
          <w:rtl w:val="true"/>
          <w:lang w:bidi="fa-IR"/>
        </w:rPr>
        <w:t xml:space="preserve">من أ نّه فی حکم المملوک حیث لم یتحرّر منه شیء، ولروایة محمّد بن قیس عن الباقر علیه السلام </w:t>
      </w:r>
      <w:r>
        <w:rPr>
          <w:rStyle w:val="FootnoteAnchor"/>
          <w:rtl w:val="true"/>
        </w:rPr>
        <w:footnoteReference w:id="225"/>
      </w:r>
      <w:r>
        <w:rPr>
          <w:rFonts w:ascii="IRNazanin" w:hAnsi="IRNazanin" w:eastAsia="IRNazanin"/>
          <w:color w:val="111111"/>
          <w:sz w:val="28"/>
          <w:sz w:val="28"/>
          <w:szCs w:val="28"/>
          <w:rtl w:val="true"/>
          <w:lang w:bidi="fa-IR"/>
        </w:rPr>
        <w:t>ومن انقطاع سلطنة المولی عنه، ومن ثَمَّ جاز اکتسابه، وقبول الوصیّة نوع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والصحّة مطلقاً أقوی، والروایة لا حجّة فیها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الموصی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عبد الموصی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ساواه عُتق أجمع وإن نقص عُتق بحسابه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زاد المال عن ثمنه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القنّ وغیره، ولا بین المال المشاع والمعیَّن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اختصاصه بالأوّل، لشیوعه فی جمیع المال وهو من جملته فیکون کعتق جزء منه، بخلاف المعیَّن،</w:t>
      </w:r>
    </w:p>
    <w:p>
      <w:pPr>
        <w:pStyle w:val="BookText"/>
        <w:rPr/>
      </w:pPr>
      <w:r>
        <w:rPr>
          <w:rFonts w:ascii="IRNazanin" w:hAnsi="IRNazanin" w:eastAsia="IRNazanin"/>
          <w:color w:val="111111"/>
          <w:sz w:val="28"/>
          <w:sz w:val="28"/>
          <w:szCs w:val="28"/>
          <w:rtl w:val="true"/>
          <w:lang w:bidi="fa-IR"/>
        </w:rPr>
        <w:t>ولا بین أن تبلغ قیمته ضعف الوصیّة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فی الأوّل </w:t>
      </w:r>
      <w:r>
        <w:rPr>
          <w:rStyle w:val="FootnoteAnchor"/>
          <w:rtl w:val="true"/>
        </w:rPr>
        <w:footnoteReference w:id="227"/>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228"/>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وتصحّ الوصیّة للمشقَّص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عُتق منه شِقص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بنسبة ما فیه من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مملوک غیر السیّد، أمّا هو فتصحّ فی الجمیع بطریق أولی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اُمّ ولد الموصی؛ لأنّها فی حیاته من جملة ممالیکه، وإنّما خصّها لیترتّب </w:t>
      </w:r>
      <w:r>
        <w:rPr>
          <w:rStyle w:val="FootnoteAnchor"/>
          <w:rtl w:val="true"/>
        </w:rPr>
        <w:footnoteReference w:id="229"/>
      </w:r>
      <w:r>
        <w:rPr>
          <w:rFonts w:ascii="IRNazanin" w:hAnsi="IRNazanin" w:eastAsia="IRNazanin"/>
          <w:color w:val="111111"/>
          <w:sz w:val="28"/>
          <w:sz w:val="28"/>
          <w:szCs w:val="28"/>
          <w:rtl w:val="true"/>
          <w:lang w:bidi="fa-IR"/>
        </w:rPr>
        <w:t>علیها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فتعتق من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نصیب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وتأخذ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أبی عبیدة عن الصادق علیه السلام </w:t>
      </w:r>
      <w:r>
        <w:rPr>
          <w:rStyle w:val="FootnoteAnchor"/>
          <w:rtl w:val="true"/>
        </w:rPr>
        <w:footnoteReference w:id="230"/>
      </w:r>
      <w:r>
        <w:rPr>
          <w:rFonts w:ascii="IRNazanin" w:hAnsi="IRNazanin" w:eastAsia="IRNazanin"/>
          <w:color w:val="111111"/>
          <w:sz w:val="28"/>
          <w:sz w:val="28"/>
          <w:szCs w:val="28"/>
          <w:rtl w:val="true"/>
          <w:lang w:bidi="fa-IR"/>
        </w:rPr>
        <w:t>ولأنّ الترکة تنتقل من حین الموت إلی الوارث فیستقرّ ملک ولدها علی جزءٍ منها فتعتق علیه وتستحقّ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والوصیّة للمملوک وإن لم تتوقّف علی القبول فینتقل إلی ملک الموصی له بالموت، إلّاأنّ تنفیذها یتوقّف علی معرفة القیمة ووصول الترکة إلی الوارث، بخلاف ملک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تعتق من الوصیّة، فإن ضاقت فالباقی من نصیب ولدها </w:t>
      </w:r>
      <w:r>
        <w:rPr>
          <w:rStyle w:val="FootnoteAnchor"/>
          <w:rtl w:val="true"/>
        </w:rPr>
        <w:footnoteReference w:id="231"/>
      </w:r>
      <w:r>
        <w:rPr>
          <w:rFonts w:ascii="IRNazanin" w:hAnsi="IRNazanin" w:eastAsia="IRNazanin"/>
          <w:color w:val="111111"/>
          <w:sz w:val="28"/>
          <w:sz w:val="28"/>
          <w:szCs w:val="28"/>
          <w:rtl w:val="true"/>
          <w:lang w:bidi="fa-IR"/>
        </w:rPr>
        <w:t xml:space="preserve">لتأخّر الإرث عن الوصیّة والدین بمقتضی الآیة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ولظاهر الروایة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والوصیّة لجماعة تقتضی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 فیها، ذکوراً کانوا أم إناثاً أم مختلفین، وسواء کانت الوصیّة لأعمامه وأخواله أم لغیرهم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 شرطه، سواء جعل المفضَّل الذکر أم الاُنثی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اللّٰه، فللذکر ضعف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حکم الکتاب فی الإرث، والمتبادر منه هنا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بنسبه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لأنّ المرجع فی الأحکام إلی العرف حیث لا نصّ، وهو دالّ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مطلق العلم بالنسب کما یتّفق ذلک فی الهاشمیّین، ونحوه ممّن یُعرف نسبه مع بُعده الآن مع انتفاء القرابة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الوارث وغیره، ولا بین الغنیّ والفقیر، ولا بین الصغیر والکبیر، ولا بین الذکر والاُنثی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ینصرف إلی أنسابه الراجعین إلی آخر أب واُمّ له فی الإسلام، لا مطلق الأنساب </w:t>
      </w:r>
      <w:r>
        <w:rPr>
          <w:rStyle w:val="FootnoteAnchor"/>
          <w:rtl w:val="true"/>
        </w:rPr>
        <w:footnoteReference w:id="234"/>
      </w:r>
      <w:r>
        <w:rPr>
          <w:rFonts w:ascii="IRNazanin" w:hAnsi="IRNazanin" w:eastAsia="IRNazanin"/>
          <w:color w:val="111111"/>
          <w:sz w:val="28"/>
          <w:sz w:val="28"/>
          <w:szCs w:val="28"/>
          <w:rtl w:val="true"/>
          <w:lang w:bidi="fa-IR"/>
        </w:rPr>
        <w:t>استناداً إلی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الإسلام أرحام الجاهلیّة</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فلا یُرتقی إلی آباء الشرک وإن عُرفوا بالنسب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یُعطی الکافر وإن انتسب إلی مسلم؛ لقوله تعالی عن ابن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p>
    <w:p>
      <w:pPr>
        <w:pStyle w:val="BookText"/>
        <w:rPr/>
      </w:pPr>
      <w:r>
        <w:rPr>
          <w:rFonts w:ascii="Amiri" w:hAnsi="Amiri" w:eastAsia="Amiri" w:cs="Amiri"/>
          <w:color w:val="111111"/>
          <w:sz w:val="28"/>
          <w:sz w:val="28"/>
          <w:szCs w:val="28"/>
          <w:rtl w:val="true"/>
          <w:lang w:bidi="ar-SA"/>
        </w:rPr>
        <w:t>لَیْسَ مِنْ أَهْلِکَ</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ودلالتهما علی ذلک ممنوعة مع تسلیم سند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والجیران لمن یلی داره إلی أربعین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جانب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w:t>
      </w:r>
      <w:r>
        <w:rPr>
          <w:rStyle w:val="FootnoteAnchor"/>
          <w:rtl w:val="true"/>
        </w:rPr>
        <w:footnoteReference w:id="237"/>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أربعین داراً </w:t>
      </w:r>
      <w:r>
        <w:rPr>
          <w:rStyle w:val="FootnoteAnchor"/>
          <w:rtl w:val="true"/>
        </w:rPr>
        <w:footnoteReference w:id="238"/>
      </w:r>
      <w:r>
        <w:rPr>
          <w:rFonts w:ascii="Amiri" w:hAnsi="Amiri" w:eastAsia="Amiri" w:cs="Amiri"/>
          <w:color w:val="111111"/>
          <w:sz w:val="28"/>
          <w:sz w:val="28"/>
          <w:szCs w:val="28"/>
          <w:rtl w:val="true"/>
          <w:lang w:bidi="ar-SA"/>
        </w:rPr>
        <w:t xml:space="preserve">استناداً إلی روایة عامّیّة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الرجوع فیهم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مالک الدار ومستأجرها ومستعیرها، وغاصبها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انتقل منها إلی غیرها اعتبرت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غاب لم یخرج عن الحکم ما لم تطل الغیبة بحیث یخرج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تعدّدت دور الموصی وتساوت فی الاسم عرفاً استحقّ جیران کلّ واحدة، ولو غلب أحدها اختصّ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تعدّدت دور الجار واختلفت فی الحکم اعتبر إطلاق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عرفاً کالمتّحد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اعتبار الأغلب سکنی فیها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اعتبار الأذرع ففی استحقاق ما کان علی رأس الغایة وجهان، أجودهما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اعتبار الدور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علی عددها، لا علی عدد</w:t>
      </w:r>
    </w:p>
    <w:p>
      <w:pPr>
        <w:pStyle w:val="BookText"/>
        <w:rPr/>
      </w:pPr>
      <w:r>
        <w:rPr>
          <w:rFonts w:ascii="Amiri" w:hAnsi="Amiri" w:eastAsia="Amiri" w:cs="Amiri"/>
          <w:color w:val="111111"/>
          <w:sz w:val="28"/>
          <w:sz w:val="28"/>
          <w:szCs w:val="28"/>
          <w:rtl w:val="true"/>
          <w:lang w:bidi="ar-SA"/>
        </w:rPr>
        <w:t xml:space="preserve">سکّانها ثمّ تقسَّم حصّة کلّ دار علی عدد سکّانها </w:t>
      </w:r>
      <w:r>
        <w:rPr>
          <w:rStyle w:val="FootnoteAnchor"/>
          <w:rtl w:val="true"/>
        </w:rPr>
        <w:footnoteReference w:id="241"/>
      </w:r>
      <w:r>
        <w:rPr>
          <w:rFonts w:ascii="IRNazanin" w:hAnsi="IRNazanin" w:eastAsia="IRNazanin"/>
          <w:color w:val="111111"/>
          <w:sz w:val="28"/>
          <w:sz w:val="28"/>
          <w:szCs w:val="28"/>
          <w:rtl w:val="true"/>
          <w:lang w:bidi="fa-IR"/>
        </w:rPr>
        <w:t xml:space="preserve">ویحتمل القسمة علی عدد السکّان مطلقاً </w:t>
      </w:r>
      <w:r>
        <w:rPr>
          <w:rStyle w:val="FootnoteAnchor"/>
          <w:rtl w:val="true"/>
        </w:rPr>
        <w:footnoteReference w:id="242"/>
      </w:r>
      <w:r>
        <w:rPr>
          <w:rFonts w:ascii="IRNazanin" w:hAnsi="IRNazanin" w:eastAsia="IRNazanin"/>
          <w:color w:val="111111"/>
          <w:sz w:val="28"/>
          <w:sz w:val="28"/>
          <w:szCs w:val="28"/>
          <w:rtl w:val="true"/>
          <w:lang w:bidi="fa-IR"/>
        </w:rPr>
        <w:t>وعلی المختار فالقسمة علی الرؤوس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موالی الموصی واللام عوض عن 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علی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للفاعل علی تقدیر وجودهما، لتناول الاسم لهما کالإخوة </w:t>
      </w:r>
      <w:r>
        <w:rPr>
          <w:rStyle w:val="FootnoteAnchor"/>
          <w:rtl w:val="true"/>
        </w:rPr>
        <w:footnoteReference w:id="243"/>
      </w:r>
      <w:r>
        <w:rPr>
          <w:rFonts w:ascii="IRNazanin" w:hAnsi="IRNazanin" w:eastAsia="IRNazanin"/>
          <w:color w:val="111111"/>
          <w:sz w:val="28"/>
          <w:sz w:val="28"/>
          <w:szCs w:val="28"/>
          <w:rtl w:val="true"/>
          <w:lang w:bidi="fa-IR"/>
        </w:rPr>
        <w:t>ولأنّ الجمع المضاف یفید العموم فیما یصلح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إرادة أحدهما خاصّة، فیختصّ به بغیر إشکال، کما أ نّه لو دلّت علی إرادتهما معاً تناولتهما بغیر إشکال، وکذا لو لم یکن له مَوالٍ إلّا من إحدی الجهتین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قرینة تدلّ علی إرادتهما أو أحدهما </w:t>
      </w:r>
      <w:r>
        <w:rPr>
          <w:rStyle w:val="FootnoteAnchor"/>
          <w:rtl w:val="true"/>
        </w:rPr>
        <w:footnoteReference w:id="245"/>
      </w:r>
      <w:r>
        <w:rPr>
          <w:rFonts w:ascii="IRNazanin" w:hAnsi="IRNazanin" w:eastAsia="IRNazanin"/>
          <w:color w:val="111111"/>
          <w:sz w:val="28"/>
          <w:sz w:val="28"/>
          <w:szCs w:val="28"/>
          <w:rtl w:val="true"/>
          <w:lang w:bidi="fa-IR"/>
        </w:rPr>
        <w:t>لأنّه لفظ مشترک، وحمله علی معنییه مجاز؛ لأنّه موضوع لکلّ منهما علی سبیل البدل، والجمع تکریر الواحد فلا یتناول غیر صنف واحد، والمعنی المجازی لا یصار إلیه عند الإطلاق؛ وبذلک یحصل الفرق بینه وبین الإخوة؛ لأنّه لفظ متواطئ لا مشترک؛ لأ نّه موضوع لمعنی یقع علی المتقرّب بالأب وبالاُمّ 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تنصرف إلی فقراء ملّة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مطلق الفقراء وإن کان جمعاً معرّفاً مفیداً للعموم، والمخصِّص شاهد الحال الدالّ علی عدم إرادة فقراء غیر ملّته ونحلته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ویدخل فیهم المساکین إن جعلناهم</w:t>
      </w:r>
    </w:p>
    <w:p>
      <w:pPr>
        <w:pStyle w:val="BookText"/>
        <w:rPr/>
      </w:pPr>
      <w:r>
        <w:rPr>
          <w:rFonts w:ascii="IRNazanin" w:hAnsi="IRNazanin" w:eastAsia="IRNazanin"/>
          <w:color w:val="111111"/>
          <w:sz w:val="28"/>
          <w:sz w:val="28"/>
          <w:szCs w:val="28"/>
          <w:rtl w:val="true"/>
          <w:lang w:bidi="fa-IR"/>
        </w:rPr>
        <w:t>مساوین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 الحال بأن جعلنا اللفظین بمعنی واحد، کما ذهب إلیه بعضهم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کما هو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لاختلاف المعنی، وعدم دلالة دخول الأضعف علی دخول الأعلی، بخلاف العکس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جماعة من الأصحاب أنّ الخلاف فی الأسوأ والتساوی إنّما هو مع اجتماعهما کآیة الزکاة، أمّا مع انفراد أحدهما خاصّة فیشمل الآخر إجماعاً </w:t>
      </w:r>
      <w:r>
        <w:rPr>
          <w:rStyle w:val="FootnoteAnchor"/>
          <w:rtl w:val="true"/>
        </w:rPr>
        <w:footnoteReference w:id="247"/>
      </w:r>
      <w:r>
        <w:rPr>
          <w:rFonts w:ascii="IRNazanin" w:hAnsi="IRNazanin" w:eastAsia="IRNazanin"/>
          <w:color w:val="111111"/>
          <w:sz w:val="28"/>
          <w:sz w:val="28"/>
          <w:szCs w:val="28"/>
          <w:rtl w:val="true"/>
          <w:lang w:bidi="fa-IR"/>
        </w:rPr>
        <w:t xml:space="preserve">وکأنّ المصنّف لم تثبت عنده هذه الدعوی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أوصی للمساکین، فإنّه یتناول الفقراء علی القول بالتساوی أو کون الفقراء أسوأ حالاً،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نقلناه عنهم یدخل کلّ منهما فی الآخر هنا مطلقاً</w:t>
      </w:r>
      <w:r>
        <w:rPr>
          <w:rFonts w:eastAsia="IRNazanin" w:cs="IRNazanin"/>
          <w:color w:val="111111"/>
          <w:sz w:val="28"/>
          <w:szCs w:val="28"/>
          <w:rtl w:val="true"/>
          <w:lang w:bidi="fa-IR"/>
        </w:rPr>
        <w:t>.</w:t>
      </w:r>
      <w:bookmarkStart w:id="141" w:name="pg19810_214309"/>
    </w:p>
    <w:p>
      <w:pPr>
        <w:pStyle w:val="Heading3"/>
        <w:numPr>
          <w:ilvl w:val="2"/>
          <w:numId w:val="1"/>
        </w:numPr>
        <w:rPr/>
      </w:pPr>
      <w:bookmarkStart w:id="142" w:name="__RefHeading___Toc2175355_2314609296"/>
      <w:bookmarkStart w:id="143" w:name="_Toc52"/>
      <w:bookmarkEnd w:id="141"/>
      <w:bookmarkEnd w:id="142"/>
      <w:r>
        <w:rPr>
          <w:rtl w:val="true"/>
        </w:rPr>
        <w:t>«</w:t>
      </w:r>
      <w:r>
        <w:rPr>
          <w:rtl w:val="true"/>
        </w:rPr>
        <w:t>الفصل الثانی</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متعلّق الوصیّة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للتملّک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الملک من مالکه إلی غیره، فلا تصحّ الوصیّة بما لیس بمقصود کذلک، إمّا لحقارته کفضلة الإنسان، أو لقلّته کحبّة الحنطة وقشر الجوزة، أو لکون جنسه لا یقبل الملک کالخمر والخنزیر، ولا بما لا یقبل النقل کالوقف واُمّ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کونه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للموصی ولا للموصی له ولا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صلاحیّته للوجود عادة فی المستقبل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الوصیّة بالقسط والنصیب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کالحظّ والقلیل والکثیر والجزیل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ویتخیّر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ما شاء إذا لم یعلم من الموصی إرادة قدر معیَّن أو أزید ممّا عیّنه الوارث</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لحسنة أبان بن تغلب عن الباقر علیه السلام متمثّلاً بالجبال العشرة التی جعل علی کلّ واحد منها جزءاً من الطیور الأربعة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لصحیحة البزنطی عن أبی الحسن علیه السلام متمثّلاً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سَبْعَةُ أَبْوٰابٍ لِکُلِّ بٰابٍ مِنْهُمْ جُزْءٌ مَقْسُومٌ </w:t>
      </w:r>
      <w:r>
        <w:rPr>
          <w:rStyle w:val="FootnoteAnchor"/>
          <w:rtl w:val="true"/>
        </w:rPr>
        <w:footnoteReference w:id="250"/>
      </w:r>
      <w:r>
        <w:rPr>
          <w:rFonts w:ascii="Amiri" w:hAnsi="Amiri" w:eastAsia="Amiri" w:cs="Amiri"/>
          <w:color w:val="111111"/>
          <w:sz w:val="28"/>
          <w:sz w:val="28"/>
          <w:szCs w:val="28"/>
          <w:rtl w:val="true"/>
          <w:lang w:bidi="ar-SA"/>
        </w:rPr>
        <w:t xml:space="preserve">ورُجّح </w:t>
      </w:r>
      <w:r>
        <w:rPr>
          <w:rStyle w:val="FootnoteAnchor"/>
          <w:rtl w:val="true"/>
        </w:rPr>
        <w:footnoteReference w:id="251"/>
      </w:r>
      <w:r>
        <w:rPr>
          <w:rFonts w:ascii="IRNazanin" w:hAnsi="IRNazanin" w:eastAsia="IRNazanin"/>
          <w:color w:val="111111"/>
          <w:sz w:val="28"/>
          <w:sz w:val="28"/>
          <w:szCs w:val="28"/>
          <w:rtl w:val="true"/>
          <w:lang w:bidi="fa-IR"/>
        </w:rPr>
        <w:t>الأوّل بموافقته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أضافه إلی جزءٍ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فعُشره؛ لصحیحة عبد اللّٰه بن سنان عن الصادق علیه السلام وتمثّل أیضاً بالجبال </w:t>
      </w:r>
      <w:r>
        <w:rPr>
          <w:rStyle w:val="FootnoteAnchor"/>
          <w:rtl w:val="true"/>
        </w:rPr>
        <w:footnoteReference w:id="252"/>
      </w:r>
      <w:r>
        <w:rPr>
          <w:rFonts w:ascii="IRNazanin" w:hAnsi="IRNazanin" w:eastAsia="IRNazanin"/>
          <w:color w:val="111111"/>
          <w:sz w:val="28"/>
          <w:sz w:val="28"/>
          <w:szCs w:val="28"/>
          <w:rtl w:val="true"/>
          <w:lang w:bidi="fa-IR"/>
        </w:rPr>
        <w:t>وهو مرجّح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لحسنة صفوان عن الرضا علیه السلام </w:t>
      </w:r>
      <w:r>
        <w:rPr>
          <w:rStyle w:val="FootnoteAnchor"/>
          <w:rtl w:val="true"/>
        </w:rPr>
        <w:footnoteReference w:id="253"/>
      </w:r>
      <w:r>
        <w:rPr>
          <w:rFonts w:ascii="IRNazanin" w:hAnsi="IRNazanin" w:eastAsia="IRNazanin"/>
          <w:color w:val="111111"/>
          <w:sz w:val="28"/>
          <w:sz w:val="28"/>
          <w:szCs w:val="28"/>
          <w:rtl w:val="true"/>
          <w:lang w:bidi="fa-IR"/>
        </w:rPr>
        <w:t xml:space="preserve">ومثله روی السکونی عن الصادق علیه السلام معلّلاً بآیة أصناف الزکاة الثمانیة </w:t>
      </w:r>
      <w:r>
        <w:rPr>
          <w:rStyle w:val="FootnoteAnchor"/>
          <w:rtl w:val="true"/>
        </w:rPr>
        <w:footnoteReference w:id="254"/>
      </w:r>
      <w:r>
        <w:rPr>
          <w:rFonts w:ascii="IRNazanin" w:hAnsi="IRNazanin" w:eastAsia="IRNazanin"/>
          <w:color w:val="111111"/>
          <w:sz w:val="28"/>
          <w:sz w:val="28"/>
          <w:szCs w:val="28"/>
          <w:rtl w:val="true"/>
          <w:lang w:bidi="fa-IR"/>
        </w:rPr>
        <w:t xml:space="preserve">وأنّ النبیّ صلی الله علیه و آله قسّمها علی ثمانیة أسهم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هذه التعلیلات لا تصلح للعلّیّة، وإنّما ذکروها علیهم السلام علی وجه التقریب والتمثیل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العُشر، استناداً إلی روایة </w:t>
      </w:r>
      <w:r>
        <w:rPr>
          <w:rStyle w:val="FootnoteAnchor"/>
          <w:rtl w:val="true"/>
        </w:rPr>
        <w:footnoteReference w:id="256"/>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السُدس؛ لما روی عن النبیّ صلی الله علیه و آله أ نّه أعطاه لرجل اُوصی له بسهم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کلام العرب أنّ السهم سُدس </w:t>
      </w:r>
      <w:r>
        <w:rPr>
          <w:rStyle w:val="FootnoteAnchor"/>
          <w:rtl w:val="true"/>
        </w:rPr>
        <w:footnoteReference w:id="258"/>
      </w:r>
      <w:r>
        <w:rPr>
          <w:rFonts w:ascii="IRNazanin" w:hAnsi="IRNazanin" w:eastAsia="IRNazanin"/>
          <w:color w:val="111111"/>
          <w:sz w:val="28"/>
          <w:sz w:val="28"/>
          <w:szCs w:val="28"/>
          <w:rtl w:val="true"/>
          <w:lang w:bidi="fa-IR"/>
        </w:rPr>
        <w:t>ولم یثبت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259"/>
      </w:r>
      <w:r>
        <w:rPr>
          <w:rFonts w:ascii="IRNazanin" w:hAnsi="IRNazanin" w:eastAsia="IRNazanin"/>
          <w:color w:val="111111"/>
          <w:sz w:val="28"/>
          <w:sz w:val="28"/>
          <w:szCs w:val="28"/>
          <w:rtl w:val="true"/>
          <w:lang w:bidi="fa-IR"/>
        </w:rPr>
        <w:t xml:space="preserve">وبه نصوص </w:t>
      </w:r>
      <w:r>
        <w:rPr>
          <w:rStyle w:val="FootnoteAnchor"/>
          <w:rtl w:val="true"/>
        </w:rPr>
        <w:footnoteReference w:id="260"/>
      </w:r>
      <w:r>
        <w:rPr>
          <w:rFonts w:ascii="Amiri" w:hAnsi="Amiri" w:eastAsia="Amiri" w:cs="Amiri"/>
          <w:color w:val="111111"/>
          <w:sz w:val="28"/>
          <w:sz w:val="28"/>
          <w:szCs w:val="28"/>
          <w:rtl w:val="true"/>
          <w:lang w:bidi="ar-SA"/>
        </w:rPr>
        <w:t>غیر معلّلة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یشترط فی الموصی به کونه موجوداً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بما ستحمله الأمة أو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دائماً أو فی وقت مخصوص کالسنة المستقبلة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کسکنی الدار مدّة معیّنة أو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ومنفعة العبد کذلک وشبهه وإن استوعبت قیمة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تصحّ الوصیّة بما لا یقبل النقل، کحقّ القصاص وحدّ القذف والشفعة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الغرض من الأوّل تشفّی الوارث باستیفائه فلا یتمّ الغرض بنقله إلی غیره، ومثله حدّ القذف، والتعزیر للشتم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الشفعة فالغرض منها دفع الضرر عن الشریک بالشرکة ولا حظّ للموصی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اُوصی له بالشِقص والخیار معاً لم تبعد الصحّة؛ لأنّ الوصیّة بالمال والخیار تابع، ونفعه ظاهر مقصود، وکذا غیرها من الخیار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الکلاب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والجرْو </w:t>
      </w:r>
      <w:r>
        <w:rPr>
          <w:rStyle w:val="FootnoteAnchor"/>
          <w:rtl w:val="true"/>
        </w:rPr>
        <w:footnoteReference w:id="261"/>
      </w:r>
      <w:r>
        <w:rPr>
          <w:rFonts w:ascii="IRNazanin" w:hAnsi="IRNazanin" w:eastAsia="IRNazanin"/>
          <w:color w:val="111111"/>
          <w:sz w:val="28"/>
          <w:sz w:val="28"/>
          <w:szCs w:val="28"/>
          <w:rtl w:val="true"/>
          <w:lang w:bidi="fa-IR"/>
        </w:rPr>
        <w:t>القابل للتعلیم؛</w:t>
      </w:r>
    </w:p>
    <w:p>
      <w:pPr>
        <w:pStyle w:val="BookText"/>
        <w:rPr/>
      </w:pPr>
      <w:r>
        <w:rPr>
          <w:rFonts w:ascii="IRNazanin" w:hAnsi="IRNazanin" w:eastAsia="IRNazanin"/>
          <w:color w:val="111111"/>
          <w:sz w:val="28"/>
          <w:sz w:val="28"/>
          <w:szCs w:val="28"/>
          <w:rtl w:val="true"/>
          <w:lang w:bidi="fa-IR"/>
        </w:rPr>
        <w:t xml:space="preserve">لکونها مالاً مقصوداً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بالخنزیر، وکلب الهراش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المالیّة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طبل اللهو الذی لا یقبل التغییر عن الصفة المحرّمة مع بقاء المالیّة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الزائد عن الثلث إجازة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حیاة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الوارث مالکاً الآن؛ لتعلّق حقّه بالمال وإلّا لم یمنع الموصی من التصرّف فیه، ولصحیحة منصور بن حازم وحسنة محمّد بن مسلم عن الصادق علیه السلام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تعتبر إلّابعد وفاته؛ لعدم استحقاق الوارث المال حینئذٍ </w:t>
      </w:r>
      <w:r>
        <w:rPr>
          <w:rStyle w:val="FootnoteAnchor"/>
          <w:rtl w:val="true"/>
        </w:rPr>
        <w:footnoteReference w:id="263"/>
      </w:r>
      <w:r>
        <w:rPr>
          <w:rFonts w:ascii="IRNazanin" w:hAnsi="IRNazanin" w:eastAsia="IRNazanin"/>
          <w:color w:val="111111"/>
          <w:sz w:val="28"/>
          <w:sz w:val="28"/>
          <w:szCs w:val="28"/>
          <w:rtl w:val="true"/>
          <w:lang w:bidi="fa-IR"/>
        </w:rPr>
        <w:t>وقد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وصیّة الصحیح والمریض فی ذلک؛ لاشتراکهما فی الحَجر بالنسبة إلی ما بعد الوفاة، ولو کان التصرّف منجّزاً افترقا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فی المجیز جواز التصرّف، فلا عبرة بإجازة الصبیّ والمجنون والسفیه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المفلَّس فإن کانت إجازته حالَ الحیاة نفذت؛ إذ لا ملک له حینئذٍ، وإنّما إجازته تنفیذ لتصرّف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بعد الموت ففی صحّتها وجهان، مبناهما علی أنّ الترکة هل تنتقل إلی الوارث بالموت وبالإجازة تنتقل عنه إلی الموصی له، أم تکون الإجازة کاشفة عن سبق ملکه من حین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تنفذ؛ لتعلّق حقّ الغرماء بالترکة قبل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یحتمل الأمرین وإن کان النفوذ أوجه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والمعتبر بالترکة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مقدارها لیعتبر ثلثها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حین الوصیّة ولا ما بینهما؛ لأنّه وقت تعلّق الوصیّة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قتل فاُخذت دیته 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ثلثها؛ لثبوتها بالوفاة وإن لم تکن عند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إنّما یتمّ بغیر إشکال لو کانت الوصیّة بمقدار معیّن کمئة دینار مثلاً، أو کانت بجزءٍ من الترکة 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الترکة حین الوصیّة أزید منها حین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انعکس أشکل اعتبارها عند الوفاة مع عدم العلم بإرادة الموصی للزیادة المتجدّدة؛ لأصالة عدم التعلّق، وشهادةِ الحال بأنّ الموصی لا یرید ثلث المتجدّد حیث لا یکون تجدّده متوقّعاً غالباً، خصوصاً مع زیادته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علی ما ذکر اعتبارها بعد الموت أیضاً؛ إذ قد یتجدّد للمیّت مال بعد الموت کالدیة إذا ثبتت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یتجدّد تلف بعض الترکة قبل قبض الوارث، فلا یکون محسوباً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اعتبار أقلّ الأمرین من حین الوفاة إلی حین القبض</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أوصی بما یقع اسمه علی المحرّم والمحلّل صرف إلی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لتصرّف المسلم علی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عود لهو، وعیدان قِسیّ </w:t>
      </w:r>
      <w:r>
        <w:rPr>
          <w:rStyle w:val="FootnoteAnchor"/>
          <w:rtl w:val="true"/>
        </w:rPr>
        <w:footnoteReference w:id="264"/>
      </w:r>
      <w:r>
        <w:rPr>
          <w:rFonts w:ascii="Amiri" w:hAnsi="Amiri" w:eastAsia="Amiri" w:cs="Amiri"/>
          <w:color w:val="111111"/>
          <w:sz w:val="28"/>
          <w:sz w:val="28"/>
          <w:szCs w:val="28"/>
          <w:rtl w:val="true"/>
          <w:lang w:bidi="ar-SA"/>
        </w:rPr>
        <w:t xml:space="preserve">وعیدان عِصیّ </w:t>
      </w:r>
      <w:r>
        <w:rPr>
          <w:rStyle w:val="FootnoteAnchor"/>
          <w:rtl w:val="true"/>
        </w:rPr>
        <w:footnoteReference w:id="265"/>
      </w:r>
      <w:r>
        <w:rPr>
          <w:rFonts w:ascii="IRNazanin" w:hAnsi="IRNazanin" w:eastAsia="IRNazanin"/>
          <w:color w:val="111111"/>
          <w:sz w:val="28"/>
          <w:sz w:val="28"/>
          <w:szCs w:val="28"/>
          <w:rtl w:val="true"/>
          <w:lang w:bidi="fa-IR"/>
        </w:rPr>
        <w:t xml:space="preserve">وعیدان السقف والبنیان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طبل لهو وطبل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اتّحد المحلَّل حُمل علیه، وإن تعدّد تخیّر الوارث فی تعیین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له إلّاالمحرّم بطلت الوصیّة إن لم یمکن إزالة الوصف المحرّم مع بقاء مالیّته، وإلّا صحّت وحُوّل إلی المحلَّل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ویتخیّر الوارث فی المتواطئ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المقول علی معنی یشترک فیه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کالعبد، وفی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المقول علی معنیین فصاعداً بالوضع الأوّل </w:t>
      </w:r>
      <w:r>
        <w:rPr>
          <w:rStyle w:val="FootnoteAnchor"/>
          <w:rtl w:val="true"/>
        </w:rPr>
        <w:footnoteReference w:id="266"/>
      </w:r>
      <w:r>
        <w:rPr>
          <w:rFonts w:ascii="IRNazanin" w:hAnsi="IRNazanin" w:eastAsia="IRNazanin"/>
          <w:color w:val="111111"/>
          <w:sz w:val="28"/>
          <w:sz w:val="28"/>
          <w:szCs w:val="28"/>
          <w:rtl w:val="true"/>
          <w:lang w:bidi="fa-IR"/>
        </w:rPr>
        <w:t xml:space="preserve">من حیث هو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الوصیّة بالمتواطئ وصیّة بالماهیّة الصادقة بکلّ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من الأفراد کالعبد؛ لأنّ مدلول اللفظ فیه هو الماهیّة الکلّیة، وخصوصیّات الأفراد غیر مقصودة إلّاتبعاً، فیتخیّر الوارث فی تعیین أیّ فرد شاء؛ لوجود متعلّق الوصیّة فی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المشترک؛ لأنّ متعلَّق الوصیّة فیه هو الاسم، وهو صادق علی ما تحته من المعانی حقیقة، فتحصل البراءة بکلّ واحدٍ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احتمل هنا القرعة </w:t>
      </w:r>
      <w:r>
        <w:rPr>
          <w:rStyle w:val="FootnoteAnchor"/>
          <w:rtl w:val="true"/>
        </w:rPr>
        <w:footnoteReference w:id="268"/>
      </w:r>
      <w:r>
        <w:rPr>
          <w:rFonts w:ascii="IRNazanin" w:hAnsi="IRNazanin" w:eastAsia="IRNazanin"/>
          <w:color w:val="111111"/>
          <w:sz w:val="28"/>
          <w:sz w:val="28"/>
          <w:szCs w:val="28"/>
          <w:rtl w:val="true"/>
          <w:lang w:bidi="fa-IR"/>
        </w:rPr>
        <w:t>لأنّه أمر مشکل؛ إذ الموصی به لیس کلّ أحد؛ لأنّ اللفظ لا یصلح له، وإنّما المراد واحد غیر معیَّن، فیتوصّل إلیه بالقرعة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ویضعَّف بأ نّها لبیان ما هو معیَّن فی نفس الأمر مشکل ظاهراً، ولیس هنا کذلک، فإنّ الإبهام حاصل عند الموصی وعندنا وفی نفس الأمر، فیتخیّر الوارث، وسیأتی فی هذا الإشکال بحث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 یُحمل علی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کان کأعبد، أو کثرة کالعبید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لتطابق اللغة والعرف العامّ علی اشتراط مطلق الجمع فی إطلاقه علی الثلاثة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بحمل جمع‌الکثرة علی ما فوق العشرة اصطلاح خاصّ </w:t>
      </w:r>
      <w:r>
        <w:rPr>
          <w:rStyle w:val="FootnoteAnchor"/>
          <w:rtl w:val="true"/>
        </w:rPr>
        <w:footnoteReference w:id="270"/>
      </w:r>
      <w:r>
        <w:rPr>
          <w:rFonts w:ascii="IRNazanin" w:hAnsi="IRNazanin" w:eastAsia="IRNazanin"/>
          <w:color w:val="111111"/>
          <w:sz w:val="28"/>
          <w:sz w:val="28"/>
          <w:szCs w:val="28"/>
          <w:rtl w:val="true"/>
          <w:lang w:bidi="fa-IR"/>
        </w:rPr>
        <w:t>لا یستعمله أهل المحاورات العرفیّة والاستعمالات العامّیّة، فلا یحمل إطلاقهم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تعیین الموصی قدراً من المال یصلح لعتق العبید بما یوافق جمع الکثرة لو اقتصر علی الخسیس من ذلک الجنس وعدمه، فیتخیّر بین شراء النفیس المطابق لأقلّ الجمع فصاعداً، وشراء الخسیس الزائد المطابق لجمع الکثرة حیث یعبّر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أوصی بمنافع العبد دائماً أو بثمرة البستان دائماً قُوّمت المنفعة علی الموصی له، والرقبة علی الوارث إن فرض لها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یتّفق فی العبد؛ لصحّة عتق الوارث له ولو عن الکفّارة، وفی البستان بانکسار جذع ونحوه، فیستحقّه الوارث حطباً أو خشباً؛ لأنّه لیس بثمرة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للرقبة نفع البتّة قُوّمت العین أجمع علی الموصی 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وطریق خروجها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یعتبر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ذلک، فتقوَّم العین بمنافعها مطلقاً ثمّ تقوَّم مسلوبة المنافع الموصی بها، فالتفاوت هو الموصی به، فإن لم یکن تفاوت فالمخرج من الثلث جمیع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حکم ما لو</w:t>
      </w:r>
    </w:p>
    <w:p>
      <w:pPr>
        <w:pStyle w:val="BookText"/>
        <w:rPr/>
      </w:pPr>
      <w:r>
        <w:rPr>
          <w:rFonts w:ascii="IRNazanin" w:hAnsi="IRNazanin" w:eastAsia="IRNazanin"/>
          <w:color w:val="111111"/>
          <w:sz w:val="28"/>
          <w:sz w:val="28"/>
          <w:szCs w:val="28"/>
          <w:rtl w:val="true"/>
          <w:lang w:bidi="fa-IR"/>
        </w:rPr>
        <w:t>کانت المنفعة مخصوصة بوقت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أوصی بعتق مملوکه وعلیه دین قُدّم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المال الذی من جملته 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وعتق من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الدین من جمیع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یزد علی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یملک سواه بطل منه فیما قابل الدین وعُتق ثلث الفاضل إن لم یُجز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بین کون قیمة العبد ضِعفَ الدین وأقلّ علی أصحّ القولین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الوصیّة مع نقصان قیمته عن ضِعف الدین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نجّز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قیمته ضِعف الدین صحّ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 للدیّان وفی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ثلثا النصف الباقی عن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النصف الباقی هو مجموع الترکة بعد الدین، فیعتق ثلثه ویکون ثلثاه للورثة، وهو ثلث مجموعه، وهذا ممّا لا خلاف فیه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الخلاف فیما لو نقصت قیمته عن ضعف الدین، فقد ذهب الشیخ </w:t>
      </w:r>
      <w:r>
        <w:rPr>
          <w:rStyle w:val="FootnoteAnchor"/>
          <w:rtl w:val="true"/>
        </w:rPr>
        <w:footnoteReference w:id="273"/>
      </w:r>
      <w:r>
        <w:rPr>
          <w:rFonts w:ascii="Amiri" w:hAnsi="Amiri" w:eastAsia="Amiri" w:cs="Amiri"/>
          <w:color w:val="111111"/>
          <w:sz w:val="28"/>
          <w:sz w:val="28"/>
          <w:szCs w:val="28"/>
          <w:rtl w:val="true"/>
          <w:lang w:bidi="ar-SA"/>
        </w:rPr>
        <w:t xml:space="preserve">وجماعة </w:t>
      </w:r>
      <w:r>
        <w:rPr>
          <w:rStyle w:val="FootnoteAnchor"/>
          <w:rtl w:val="true"/>
        </w:rPr>
        <w:footnoteReference w:id="274"/>
      </w:r>
      <w:r>
        <w:rPr>
          <w:rFonts w:ascii="IRNazanin" w:hAnsi="IRNazanin" w:eastAsia="IRNazanin"/>
          <w:color w:val="111111"/>
          <w:sz w:val="28"/>
          <w:sz w:val="28"/>
          <w:szCs w:val="28"/>
          <w:rtl w:val="true"/>
          <w:lang w:bidi="fa-IR"/>
        </w:rPr>
        <w:t xml:space="preserve">إلی بطلان العتق حینئذٍ استناداً إلی صحیحة عبد الرحمن بن الحجّاج عن الصادق علیه السلام </w:t>
      </w:r>
      <w:r>
        <w:rPr>
          <w:rStyle w:val="FootnoteAnchor"/>
          <w:rtl w:val="true"/>
        </w:rPr>
        <w:footnoteReference w:id="275"/>
      </w:r>
      <w:r>
        <w:rPr>
          <w:rFonts w:ascii="IRNazanin" w:hAnsi="IRNazanin" w:eastAsia="IRNazanin"/>
          <w:color w:val="111111"/>
          <w:sz w:val="28"/>
          <w:sz w:val="28"/>
          <w:szCs w:val="28"/>
          <w:rtl w:val="true"/>
          <w:lang w:bidi="fa-IR"/>
        </w:rPr>
        <w:t>ویفهم من المصنّف هنا المیل إلیه، حیث شرط فی صحّة العتق</w:t>
      </w:r>
    </w:p>
    <w:p>
      <w:pPr>
        <w:pStyle w:val="BookText"/>
        <w:rPr/>
      </w:pPr>
      <w:r>
        <w:rPr>
          <w:rFonts w:ascii="IRNazanin" w:hAnsi="IRNazanin" w:eastAsia="IRNazanin"/>
          <w:color w:val="111111"/>
          <w:sz w:val="28"/>
          <w:sz w:val="28"/>
          <w:szCs w:val="28"/>
          <w:rtl w:val="true"/>
          <w:lang w:bidi="fa-IR"/>
        </w:rPr>
        <w:t>کون قیمته ضعف الدین، إلّاأ نّه لم یصرّح بالشقّ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أ نّه کالأوّل، فینعتق منه بمقدار ثلث ما یبقی من قیمته فاضلاً عن الدین، ویسعی للدیّان بمقدار دینهم، وللورثة بضِعف ما عتق منه مطلقاً، فإذا أدّاه عتق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المذکورة مع مخالفتها للاُصول معارضة بما یدلّ علی المطلوب، وهو حسنة الحلبی عنه علیه السلام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أوصی بعتق ثُلث عبیده، أو عدد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کثلاثة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والعدد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لصلاحیّة الحکم لکلّ واحد، فالقرعة طریق التعیین؛ لأ نّها لکلّ أمر مشکل؛ ولأنّ العتق حقّ للمعتَق ولا ترجیح لبعضهم؛ لانتفاء التعیین، فوجب استخراجه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الوارث فی الثانی </w:t>
      </w:r>
      <w:r>
        <w:rPr>
          <w:rStyle w:val="FootnoteAnchor"/>
          <w:rtl w:val="true"/>
        </w:rPr>
        <w:footnoteReference w:id="277"/>
      </w:r>
      <w:r>
        <w:rPr>
          <w:rFonts w:ascii="IRNazanin" w:hAnsi="IRNazanin" w:eastAsia="IRNazanin"/>
          <w:color w:val="111111"/>
          <w:sz w:val="28"/>
          <w:sz w:val="28"/>
          <w:szCs w:val="28"/>
          <w:rtl w:val="true"/>
          <w:lang w:bidi="fa-IR"/>
        </w:rPr>
        <w:t xml:space="preserve">لأنّ متعلّق الوصیّة متواطئ فیتخیّر فی تعیینه الوارث کما سبق </w:t>
      </w:r>
      <w:r>
        <w:rPr>
          <w:rStyle w:val="FootnoteAnchor"/>
          <w:rtl w:val="true"/>
        </w:rPr>
        <w:footnoteReference w:id="278"/>
      </w:r>
      <w:r>
        <w:rPr>
          <w:rFonts w:ascii="IRNazanin" w:hAnsi="IRNazanin" w:eastAsia="IRNazanin"/>
          <w:color w:val="111111"/>
          <w:sz w:val="28"/>
          <w:sz w:val="28"/>
          <w:szCs w:val="28"/>
          <w:rtl w:val="true"/>
          <w:lang w:bidi="fa-IR"/>
        </w:rPr>
        <w:t>ولأنّ المتبادر من اللفظ هو الاکتفاء بعتق أیّ عدد کان من الجمیع فیحمل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الفرق بینه وبین الثُلث نظر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أوصی باُمور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فیها واجب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غیره وإن تأخّرت الوصیّة به، سواء کان الواجب مالیّاً أم غیره، وبُدئ بعدَه بالأوّل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کان الواجب مالیّاً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کالدین والحجّ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 أصل المال والباقی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بدنیّاً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کالصلاة والصوم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من الثلث واُکمل من الباقی مرتّباً للأوّل فالأوّل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فیها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بُدئ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حتّی یستوفی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الباقی إن لم یُجز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قدّمه الموصی فی الذکر ولم یعقّبه بما ینافیه، سواء عطف علیه التالی </w:t>
      </w:r>
      <w:r>
        <w:rPr>
          <w:rStyle w:val="FootnoteAnchor"/>
          <w:rtl w:val="true"/>
        </w:rPr>
        <w:footnoteReference w:id="279"/>
      </w:r>
      <w:r>
        <w:rPr>
          <w:rFonts w:ascii="IRNazanin" w:hAnsi="IRNazanin" w:eastAsia="IRNazanin"/>
          <w:color w:val="111111"/>
          <w:sz w:val="28"/>
          <w:sz w:val="28"/>
          <w:szCs w:val="28"/>
          <w:rtl w:val="true"/>
          <w:lang w:bidi="fa-IR"/>
        </w:rPr>
        <w:t>بثُمّ أم بالفاء أم بالواو، أم قطعه عنه،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فلاناً مئة، أعطوا فلاناً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رتّب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ابدؤوا بالأخیر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بغیره اتُّبع لفظه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ذکر الجمیع دفعة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فلاناً وفلاناً وفلاناً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رتّب باللفظ ثمّ نصّ علی عدم 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الثلث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 من کلّ وصیّة بحسابها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الترتیب واشتبه الأوّل 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اشتبه الترتیب </w:t>
      </w:r>
      <w:r>
        <w:rPr>
          <w:rStyle w:val="FootnoteAnchor"/>
          <w:rtl w:val="true"/>
        </w:rPr>
        <w:footnoteReference w:id="280"/>
      </w:r>
      <w:r>
        <w:rPr>
          <w:rFonts w:ascii="IRNazanin" w:hAnsi="IRNazanin" w:eastAsia="IRNazanin"/>
          <w:color w:val="111111"/>
          <w:sz w:val="28"/>
          <w:sz w:val="28"/>
          <w:szCs w:val="28"/>
          <w:rtl w:val="true"/>
          <w:lang w:bidi="fa-IR"/>
        </w:rPr>
        <w:t>وعدمه فظاهرهم إطلاق التقدیم بالقرعة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باحتمال کون الواقع عدمه وهی لإخراج المشکل ولم یحصل، فینبغی الإخراج علی الترتیب وعدمه؛ لاحتمال أن یکون غیر مرتَّب فتقدیم کلّ واحد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جامع الوصایا منجّزاً </w:t>
      </w:r>
      <w:r>
        <w:rPr>
          <w:rStyle w:val="FootnoteAnchor"/>
          <w:rtl w:val="true"/>
        </w:rPr>
        <w:footnoteReference w:id="281"/>
      </w:r>
      <w:r>
        <w:rPr>
          <w:rFonts w:ascii="IRNazanin" w:hAnsi="IRNazanin" w:eastAsia="IRNazanin"/>
          <w:color w:val="111111"/>
          <w:sz w:val="28"/>
          <w:sz w:val="28"/>
          <w:szCs w:val="28"/>
          <w:rtl w:val="true"/>
          <w:lang w:bidi="fa-IR"/>
        </w:rPr>
        <w:t>یخرج من الثلث قدّم علیها مطلقاً وأکمل الثلث منها کما ذکر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أجاز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علی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قلّة الموصی به وأ نّه ظهر أزید ممّا ظنّوه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الإیصاء بعین لم یقبل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الإجازة وقعت علی معلوم لهم فلا تسمع دعواهم أ نّهم ظنّوا</w:t>
      </w:r>
    </w:p>
    <w:p>
      <w:pPr>
        <w:pStyle w:val="BookText"/>
        <w:rPr/>
      </w:pPr>
      <w:r>
        <w:rPr>
          <w:rFonts w:ascii="IRNazanin" w:hAnsi="IRNazanin" w:eastAsia="IRNazanin"/>
          <w:color w:val="111111"/>
          <w:sz w:val="28"/>
          <w:sz w:val="28"/>
          <w:szCs w:val="28"/>
          <w:rtl w:val="true"/>
          <w:lang w:bidi="fa-IR"/>
        </w:rPr>
        <w:t xml:space="preserve">زیادته عن الثلث بیسیر مثلاً فظهر أزید أو ظنّ أنّ المال کثیر؛ لأصالة عدم الزیادة فی المال، فلا تعتبر دعواهم ظنَّ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بجزء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کالنصف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بنائهم علی أصالة عدم زیادة المال فظهر خلافه، عکس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قولهم فی الموضعین </w:t>
      </w:r>
      <w:r>
        <w:rPr>
          <w:rStyle w:val="FootnoteAnchor"/>
          <w:rtl w:val="true"/>
        </w:rPr>
        <w:footnoteReference w:id="282"/>
      </w:r>
      <w:r>
        <w:rPr>
          <w:rFonts w:ascii="IRNazanin" w:hAnsi="IRNazanin" w:eastAsia="IRNazanin"/>
          <w:color w:val="111111"/>
          <w:sz w:val="28"/>
          <w:sz w:val="28"/>
          <w:szCs w:val="28"/>
          <w:rtl w:val="true"/>
          <w:lang w:bidi="fa-IR"/>
        </w:rPr>
        <w:t>لأنّ الإجازة فی الأوّل وإن وقعت علی معلوم إلّاأنّ کونه بمقدار جزءٍ مخصوص من المال کالنصف لا یعلم إلّابعد العلم بمقدار الترکة؛ ولأ نّه کما احتمل ظنّهم قلّة النصف فی نفسه یحتمل ظنّهم قلّة المعیَّن بالإضافة إلی مجموع الترکة ظنّاً منهم زیادتها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عدمها لا دخل لها فی قبول قولهم وعدمه؛ لإمکان صدق دعواهم وتعذّر إقامة البیّنة علیها، ولأنّ الأصل عدم العلم بمقدار الترکة علی التقدیرین، وهو یقتضی جهالة قدر المعیَّن من الترکة کالمشاع، ولإمکان ظنّهم أ نّه لا دین علی المیّت فظهر، مع أنّ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متّجه، وحیث یحلفون علی مدّعاهم یُعطی الموصی له من الوصیّة ثلث المجموع وما ادّعوا ظنَّه من الزائد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ویدخل فی الوصیّة بالسیف جَفْنُه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وهو غِمْده بکسره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تدخل حِلْیته؛ لشمول اسمه لها عرفاً وإن اختصّ لغةً بالنصل </w:t>
      </w:r>
      <w:r>
        <w:rPr>
          <w:rStyle w:val="FootnoteAnchor"/>
          <w:rtl w:val="true"/>
        </w:rPr>
        <w:footnoteReference w:id="283"/>
      </w:r>
      <w:r>
        <w:rPr>
          <w:rFonts w:ascii="IRNazanin" w:hAnsi="IRNazanin" w:eastAsia="IRNazanin"/>
          <w:color w:val="111111"/>
          <w:sz w:val="28"/>
          <w:sz w:val="28"/>
          <w:szCs w:val="28"/>
          <w:rtl w:val="true"/>
          <w:lang w:bidi="fa-IR"/>
        </w:rPr>
        <w:t xml:space="preserve">وروایة أبی جمیلة بدخولها </w:t>
      </w:r>
      <w:r>
        <w:rPr>
          <w:rStyle w:val="FootnoteAnchor"/>
          <w:rtl w:val="true"/>
        </w:rPr>
        <w:footnoteReference w:id="284"/>
      </w:r>
      <w:r>
        <w:rPr>
          <w:rFonts w:ascii="IRNazanin" w:hAnsi="IRNazanin" w:eastAsia="IRNazanin"/>
          <w:color w:val="111111"/>
          <w:sz w:val="28"/>
          <w:sz w:val="28"/>
          <w:szCs w:val="28"/>
          <w:rtl w:val="true"/>
          <w:lang w:bidi="fa-IR"/>
        </w:rPr>
        <w:t xml:space="preserve">شاهد مع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وبالصُندوق أثوابُه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الموضوعة فیه، وکذا غیرها من الأموال المظروفة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وبالسفینة متاعُها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فیها عند الأکثر </w:t>
      </w:r>
      <w:r>
        <w:rPr>
          <w:rStyle w:val="FootnoteAnchor"/>
          <w:rtl w:val="true"/>
        </w:rPr>
        <w:footnoteReference w:id="285"/>
      </w:r>
      <w:r>
        <w:rPr>
          <w:rFonts w:ascii="IRNazanin" w:hAnsi="IRNazanin" w:eastAsia="IRNazanin"/>
          <w:color w:val="111111"/>
          <w:sz w:val="28"/>
          <w:sz w:val="28"/>
          <w:szCs w:val="28"/>
          <w:rtl w:val="true"/>
          <w:lang w:bidi="fa-IR"/>
        </w:rPr>
        <w:t xml:space="preserve">ومستنده روایة أبی جمیلة عن الرضا علیه السلام </w:t>
      </w:r>
      <w:r>
        <w:rPr>
          <w:rStyle w:val="FootnoteAnchor"/>
          <w:rtl w:val="true"/>
        </w:rPr>
        <w:footnoteReference w:id="286"/>
      </w:r>
      <w:r>
        <w:rPr>
          <w:rFonts w:ascii="Amiri" w:hAnsi="Amiri" w:eastAsia="Amiri" w:cs="Amiri"/>
          <w:color w:val="111111"/>
          <w:sz w:val="28"/>
          <w:sz w:val="28"/>
          <w:szCs w:val="28"/>
          <w:rtl w:val="true"/>
          <w:lang w:bidi="ar-SA"/>
        </w:rPr>
        <w:t xml:space="preserve">وغیرها ممّا لم یصحّ سنده </w:t>
      </w:r>
      <w:r>
        <w:rPr>
          <w:rStyle w:val="FootnoteAnchor"/>
          <w:rtl w:val="true"/>
        </w:rPr>
        <w:footnoteReference w:id="287"/>
      </w:r>
      <w:r>
        <w:rPr>
          <w:rFonts w:ascii="IRNazanin" w:hAnsi="IRNazanin" w:eastAsia="IRNazanin"/>
          <w:color w:val="111111"/>
          <w:sz w:val="28"/>
          <w:sz w:val="28"/>
          <w:szCs w:val="28"/>
          <w:rtl w:val="true"/>
          <w:lang w:bidi="fa-IR"/>
        </w:rPr>
        <w:t>والعرف قد یقضی بخلافه فی کثیر من الموارد، وحقیقة الموصی به مخالفة للمظروف، فعدم الدخول أقوی، إلّاأن تدلّ قرینة حالیّة أو مقالیّة علی دخول الجمیع أو بعضِه فیثبت ما دلّت علیه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اختار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یعمل بمدلول الروایة مطلقاً </w:t>
      </w:r>
      <w:r>
        <w:rPr>
          <w:rStyle w:val="FootnoteAnchor"/>
          <w:rtl w:val="true"/>
        </w:rPr>
        <w:footnoteReference w:id="288"/>
      </w:r>
      <w:r>
        <w:rPr>
          <w:rFonts w:ascii="IRNazanin" w:hAnsi="IRNazanin" w:eastAsia="IRNazanin"/>
          <w:color w:val="111111"/>
          <w:sz w:val="28"/>
          <w:sz w:val="28"/>
          <w:szCs w:val="28"/>
          <w:rtl w:val="true"/>
          <w:lang w:bidi="fa-IR"/>
        </w:rPr>
        <w:t>فکان تقیید الدخول بالقرینة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الروایات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عقّب الوصیّة بمضادّها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أوصی بعین مخصوصة لزید ثمّ أوصی بها لعمرو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ناقضة للاُولی، والوصیّة جائزة من قبله فتبطل الاُولی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أوصی بعتق رقبة مؤمنة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الوصف بحسب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أعتق من لا یعرف بنَصب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 روایة علیّ بن</w:t>
      </w:r>
    </w:p>
    <w:p>
      <w:pPr>
        <w:pStyle w:val="BookText"/>
        <w:rPr/>
      </w:pPr>
      <w:r>
        <w:rPr>
          <w:rFonts w:ascii="IRNazanin" w:hAnsi="IRNazanin" w:eastAsia="IRNazanin"/>
          <w:color w:val="111111"/>
          <w:sz w:val="28"/>
          <w:sz w:val="28"/>
          <w:szCs w:val="28"/>
          <w:rtl w:val="true"/>
          <w:lang w:bidi="fa-IR"/>
        </w:rPr>
        <w:t xml:space="preserve">أبی حمزة عن أبی الحسن علیه السلام </w:t>
      </w:r>
      <w:r>
        <w:rPr>
          <w:rStyle w:val="FootnoteAnchor"/>
          <w:rtl w:val="true"/>
        </w:rPr>
        <w:footnoteReference w:id="289"/>
      </w:r>
      <w:r>
        <w:rPr>
          <w:rFonts w:ascii="IRNazanin" w:hAnsi="IRNazanin" w:eastAsia="IRNazanin"/>
          <w:color w:val="111111"/>
          <w:sz w:val="28"/>
          <w:sz w:val="28"/>
          <w:szCs w:val="28"/>
          <w:rtl w:val="true"/>
          <w:lang w:bidi="fa-IR"/>
        </w:rPr>
        <w:t xml:space="preserve">والمستند ضعیف </w:t>
      </w:r>
      <w:r>
        <w:rPr>
          <w:rStyle w:val="FootnoteAnchor"/>
          <w:rtl w:val="true"/>
        </w:rPr>
        <w:footnoteReference w:id="290"/>
      </w:r>
      <w:r>
        <w:rPr>
          <w:rFonts w:ascii="IRNazanin" w:hAnsi="IRNazanin" w:eastAsia="IRNazanin"/>
          <w:color w:val="111111"/>
          <w:sz w:val="28"/>
          <w:sz w:val="28"/>
          <w:szCs w:val="28"/>
          <w:rtl w:val="true"/>
          <w:lang w:bidi="fa-IR"/>
        </w:rPr>
        <w:t xml:space="preserve">فالأقوی عدم الإجزاء، بل یتوقّع المکنة وفاقاً لابن إدریس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ظنّها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یجوز التعویل علیه بإخبارها أو إخبار من یُعتدّ به فأعتقها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وإن ظهر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لإتیانه بالمأمور به علی الوجه المأمور به، فیخرج عن العهدة؛ إذ لا یعتبر فی ذلک الیقین، بل ما ذُکر من وجوه الظنّ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أوصی بعتق رقبة بثمن معیَّن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تحصیلها به 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تعذّر إلّابأقلّ </w:t>
      </w:r>
      <w:r>
        <w:rPr>
          <w:rStyle w:val="FootnoteAnchor"/>
          <w:rtl w:val="true"/>
        </w:rPr>
        <w:footnoteReference w:id="292"/>
      </w:r>
      <w:r>
        <w:rPr>
          <w:rFonts w:ascii="IRNazanin" w:hAnsi="IRNazanin" w:eastAsia="IRNazanin"/>
          <w:color w:val="111111"/>
          <w:sz w:val="28"/>
          <w:sz w:val="28"/>
          <w:szCs w:val="28"/>
          <w:rtl w:val="true"/>
          <w:lang w:bidi="fa-IR"/>
        </w:rPr>
        <w:t xml:space="preserve">اشتری وعتق </w:t>
      </w:r>
      <w:r>
        <w:rPr>
          <w:rStyle w:val="FootnoteAnchor"/>
          <w:rtl w:val="true"/>
        </w:rPr>
        <w:footnoteReference w:id="293"/>
      </w:r>
      <w:r>
        <w:rPr>
          <w:rFonts w:ascii="IRNazanin" w:hAnsi="IRNazanin" w:eastAsia="IRNazanin"/>
          <w:color w:val="111111"/>
          <w:sz w:val="28"/>
          <w:sz w:val="28"/>
          <w:szCs w:val="28"/>
          <w:rtl w:val="true"/>
          <w:lang w:bidi="fa-IR"/>
        </w:rPr>
        <w:t>ودفع إلیه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المعیَّن علی المشهور بین الأصحاب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294"/>
      </w:r>
      <w:r>
        <w:rPr>
          <w:rFonts w:ascii="IRNazanin" w:hAnsi="IRNazanin" w:eastAsia="IRNazanin"/>
          <w:color w:val="111111"/>
          <w:sz w:val="28"/>
          <w:sz w:val="28"/>
          <w:szCs w:val="28"/>
          <w:rtl w:val="true"/>
          <w:lang w:bidi="fa-IR"/>
        </w:rPr>
        <w:t xml:space="preserve">ومستنده روایة سماعة عن الصادق علیه السلام </w:t>
      </w:r>
      <w:r>
        <w:rPr>
          <w:rStyle w:val="FootnoteAnchor"/>
          <w:rtl w:val="true"/>
        </w:rPr>
        <w:footnoteReference w:id="295"/>
      </w:r>
      <w:r>
        <w:rPr>
          <w:rFonts w:ascii="IRNazanin" w:hAnsi="IRNazanin" w:eastAsia="IRNazanin"/>
          <w:color w:val="111111"/>
          <w:sz w:val="28"/>
          <w:sz w:val="28"/>
          <w:szCs w:val="28"/>
          <w:rtl w:val="true"/>
          <w:lang w:bidi="fa-IR"/>
        </w:rPr>
        <w:t>ولو لم یوجد إلّابأزید تُوقّع المکنة، فإن یئس من أحد الأمرین ففی وجوب شراء بعض رقبةٍ، فإن تعذّر صُرف فی وجوه البرّ، أو بطلان الوصیّة ابتداءً، أو مع تعذّر بعض الرقبة، أوجه أوجهها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 لو کان التعذّر طارئاً علی زمن الوصیّة أو علی الموت؛ لخروج القدر عن ملک الورثة فلا یعود إلیهم</w:t>
      </w:r>
      <w:r>
        <w:rPr>
          <w:rFonts w:eastAsia="IRNazanin" w:cs="IRNazanin"/>
          <w:color w:val="111111"/>
          <w:sz w:val="28"/>
          <w:szCs w:val="28"/>
          <w:rtl w:val="true"/>
          <w:lang w:bidi="fa-IR"/>
        </w:rPr>
        <w:t>.</w:t>
      </w:r>
      <w:bookmarkStart w:id="144" w:name="pg19810_214323"/>
    </w:p>
    <w:p>
      <w:pPr>
        <w:pStyle w:val="Heading3"/>
        <w:numPr>
          <w:ilvl w:val="2"/>
          <w:numId w:val="1"/>
        </w:numPr>
        <w:rPr/>
      </w:pPr>
      <w:bookmarkStart w:id="145" w:name="__RefHeading___Toc2175357_2314609296"/>
      <w:bookmarkStart w:id="146" w:name="_Toc53"/>
      <w:bookmarkEnd w:id="144"/>
      <w:bookmarkEnd w:id="145"/>
      <w:r>
        <w:rPr>
          <w:rtl w:val="true"/>
        </w:rPr>
        <w:t>«</w:t>
      </w:r>
      <w:r>
        <w:rPr>
          <w:rtl w:val="true"/>
        </w:rPr>
        <w:t>الفصل الثالث</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الوصیّة للذمّی وإن کان أجنبیّاً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والآیة </w:t>
      </w:r>
      <w:r>
        <w:rPr>
          <w:rStyle w:val="FootnoteAnchor"/>
          <w:rtl w:val="true"/>
        </w:rPr>
        <w:footnoteReference w:id="296"/>
      </w:r>
      <w:r>
        <w:rPr>
          <w:rFonts w:ascii="IRNazanin" w:hAnsi="IRNazanin" w:eastAsia="IRNazanin"/>
          <w:color w:val="111111"/>
          <w:sz w:val="28"/>
          <w:sz w:val="28"/>
          <w:szCs w:val="28"/>
          <w:rtl w:val="true"/>
          <w:lang w:bidi="fa-IR"/>
        </w:rPr>
        <w:t xml:space="preserve">والروایة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الحربیّ وإن کان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لاستلزامها الموادّة المنهیّ عنها لهم </w:t>
      </w:r>
      <w:r>
        <w:rPr>
          <w:rStyle w:val="FootnoteAnchor"/>
          <w:rtl w:val="true"/>
        </w:rPr>
        <w:footnoteReference w:id="298"/>
      </w:r>
      <w:r>
        <w:rPr>
          <w:rFonts w:ascii="IRNazanin" w:hAnsi="IRNazanin" w:eastAsia="IRNazanin"/>
          <w:color w:val="111111"/>
          <w:sz w:val="28"/>
          <w:sz w:val="28"/>
          <w:szCs w:val="28"/>
          <w:rtl w:val="true"/>
          <w:lang w:bidi="fa-IR"/>
        </w:rPr>
        <w:t xml:space="preserve">لمنع الاستلزام، بل لأنّ صحّة الوصیّة تقتضی ترتیب أثرها الذی من جملته وجوب الوفاء بها وترتّب العقاب علی تبدیلها ومنعها، وصحّتها تقتضی کونها مالاً </w:t>
      </w:r>
      <w:r>
        <w:rPr>
          <w:rStyle w:val="FootnoteAnchor"/>
          <w:rtl w:val="true"/>
        </w:rPr>
        <w:footnoteReference w:id="299"/>
      </w:r>
      <w:r>
        <w:rPr>
          <w:rFonts w:ascii="IRNazanin" w:hAnsi="IRNazanin" w:eastAsia="IRNazanin"/>
          <w:color w:val="111111"/>
          <w:sz w:val="28"/>
          <w:sz w:val="28"/>
          <w:szCs w:val="28"/>
          <w:rtl w:val="true"/>
          <w:lang w:bidi="fa-IR"/>
        </w:rPr>
        <w:t>للحربی، وماله فیء للمسلم فی الحقیقة ولا یجب دفعه إلیه، وهو ینافی صحَّتها</w:t>
      </w:r>
    </w:p>
    <w:p>
      <w:pPr>
        <w:pStyle w:val="BookText"/>
        <w:rPr/>
      </w:pPr>
      <w:r>
        <w:rPr>
          <w:rFonts w:ascii="IRNazanin" w:hAnsi="IRNazanin" w:eastAsia="IRNazanin"/>
          <w:color w:val="111111"/>
          <w:sz w:val="28"/>
          <w:sz w:val="28"/>
          <w:szCs w:val="28"/>
          <w:rtl w:val="true"/>
          <w:lang w:bidi="fa-IR"/>
        </w:rPr>
        <w:t>بذلک المعنی، بخلاف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من الطرفین یشترک فیه الرَحِم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تمنع المنافاة، فإنّ منع الحربی منها من حیث إنّها ماله غیر منافٍ للوفاء بالوصیّة من حیث إنّها وصیّة، بل منعه من تلک الحیثیّة مترتّب علی صحّة الوصیّة وعدم تبدیلها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المسألة أقوال اُخر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الحربیّ، فلا تصحّ الوصیّة له؛ لأنّه بحکم الکافر المنهیّ عن موادّته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 ذلک فی الفطری بناءً علی أ نّه لا یملک الکسب المتجدّد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الملّی والمرأة مطلقاً فلا مانع من صحّة الوصیّة له، وهو خیرة المصنّف فی الدروس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أوصی فی سبیل اللّٰه فلکلّ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الطریق والمراد هنا ما کان طریقاً إلی ثوابه، فیتناول کلّ قربة جریاً له علی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الغزاة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فلاناً کذا ولم یبیّن ما یصنع به، دفع إلیه یصنع به ما</w:t>
      </w:r>
    </w:p>
    <w:p>
      <w:pPr>
        <w:pStyle w:val="BookText"/>
        <w:rPr/>
      </w:pP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الوصیّة بمنزلة التملیک، فتقتضی تسلّطَ الموصی له تسلّطَ المالک، ولو عیّن له المصرف 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وتستحبّ الوصیّة لذی القرابة، وارثاً کان أم غیره</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ولأنّ فیه صلة الرحم </w:t>
      </w:r>
      <w:r>
        <w:rPr>
          <w:rStyle w:val="FootnoteAnchor"/>
          <w:rtl w:val="true"/>
        </w:rPr>
        <w:footnoteReference w:id="305"/>
      </w:r>
      <w:r>
        <w:rPr>
          <w:rFonts w:ascii="IRNazanin" w:hAnsi="IRNazanin" w:eastAsia="IRNazanin"/>
          <w:color w:val="111111"/>
          <w:sz w:val="28"/>
          <w:sz w:val="28"/>
          <w:szCs w:val="28"/>
          <w:rtl w:val="true"/>
          <w:lang w:bidi="fa-IR"/>
        </w:rPr>
        <w:t>وأقلّ مراتبه الاستحباب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أوصی للأقرب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أقرب الناس إلیه نسباً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مراتب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مرتبة أقرب إلیه من التی بعدَها، لکن یتساوی المستحقّ هنا؛ لاستواء نسبتهم إلی سبب الاستحقاق وهو الوصیّة، والأصل عدم التفاضل، فللذکر مثل حظّ </w:t>
      </w:r>
      <w:r>
        <w:rPr>
          <w:rStyle w:val="FootnoteAnchor"/>
          <w:rtl w:val="true"/>
        </w:rPr>
        <w:footnoteReference w:id="306"/>
      </w:r>
      <w:r>
        <w:rPr>
          <w:rFonts w:ascii="IRNazanin" w:hAnsi="IRNazanin" w:eastAsia="IRNazanin"/>
          <w:color w:val="111111"/>
          <w:sz w:val="28"/>
          <w:sz w:val="28"/>
          <w:szCs w:val="28"/>
          <w:rtl w:val="true"/>
          <w:lang w:bidi="fa-IR"/>
        </w:rPr>
        <w:t>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وللمتقرّب بالأب مثل المتقرّب بالاُمّ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یتقدّم ابن العمّ من الأبوین علی العمّ للأب وإن قُدّم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ویتساوی الأخ من الاُمّ والأخ من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تقدیم الأخ من الأبوین علی الأخ من الأب وجه قویّ؛ لأنّ تقدّمه علیه </w:t>
      </w:r>
      <w:r>
        <w:rPr>
          <w:rStyle w:val="FootnoteAnchor"/>
          <w:rtl w:val="true"/>
        </w:rPr>
        <w:footnoteReference w:id="307"/>
      </w:r>
      <w:r>
        <w:rPr>
          <w:rFonts w:ascii="IRNazanin" w:hAnsi="IRNazanin" w:eastAsia="IRNazanin"/>
          <w:color w:val="111111"/>
          <w:sz w:val="28"/>
          <w:sz w:val="28"/>
          <w:szCs w:val="28"/>
          <w:rtl w:val="true"/>
          <w:lang w:bidi="fa-IR"/>
        </w:rPr>
        <w:t>فی المیراث یقتضی کونه أقرب شرعاً، والرجوع</w:t>
      </w:r>
    </w:p>
    <w:p>
      <w:pPr>
        <w:pStyle w:val="BookText"/>
        <w:rPr/>
      </w:pPr>
      <w:r>
        <w:rPr>
          <w:rFonts w:ascii="IRNazanin" w:hAnsi="IRNazanin" w:eastAsia="IRNazanin"/>
          <w:color w:val="111111"/>
          <w:sz w:val="28"/>
          <w:sz w:val="28"/>
          <w:szCs w:val="28"/>
          <w:rtl w:val="true"/>
          <w:lang w:bidi="fa-IR"/>
        </w:rPr>
        <w:t>إلی مراتب الإرث یرشد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یرد مثله فی ابن العمّ للأبوین؛ لاعترافهم بأنّ العمّ أقرب منه، ولهذا جعلوه مستثنی بالإجماع </w:t>
      </w:r>
      <w:r>
        <w:rPr>
          <w:rStyle w:val="FootnoteAnchor"/>
          <w:rtl w:val="true"/>
        </w:rPr>
        <w:footnoteReference w:id="308"/>
      </w:r>
      <w:r>
        <w:rPr>
          <w:rFonts w:ascii="IRNazanin" w:hAnsi="IRNazanin" w:eastAsia="IRNazanin"/>
          <w:color w:val="111111"/>
          <w:sz w:val="28"/>
          <w:sz w:val="28"/>
          <w:szCs w:val="28"/>
          <w:rtl w:val="true"/>
          <w:lang w:bidi="fa-IR"/>
        </w:rPr>
        <w:t>ویحتمل تقدیمه هنا؛ لکونه أولی بالمیراث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أوصی بمثل نصیب ابنه فالنصف إن کان له ابن واحد، والثلث إن کان له ابنان، 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یجعل کأحد الورّاث ویزاد فی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یوصی له بمثل نصیب معیَّن وغیره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زاد نصیبه علی الثلث توقّف الزائد علیه علی الإجازة، فلو کان له ابن وبنت وأوصی لأجنبیّ بمثل نصیب البنت فللموصی له ربع الترکة، وإن أوصی له بمثل نصیب الابن فقد أوصی له بخمسی الترکة، فیتوقّف الزائد عن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ثُلثُ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إجازتهما، فإن أجازا فالمسألة من خَمسة؛ لأنّ الموصی له بمنزلة ابن آخر وسهام الابنین مع البنت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ردّا فمن تسعة؛ لأنّ للموصی له ثُلث الترکة، وما یبقی لهما أثلاثاً، فتضرب ثلاثة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أجاز أحدهما وردّ الآخر ضربت مسألة الإجازة فی مسألة الردّ، فمن أجاز ضربت نصیبه من مسألة الإجازة فی مسألة الردّ، ومن ردّ ضربت نصیبه من مسألة الردّ فی مسألة الإجازة، فلها مع إجازتها تسعة من خمسة وأربعین، وله عشرون، وللموصی له ستّة عشر هی ثلث الفریضة وثلث الباقی من النصیب علی تقدیر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مع إجازته ثمانیة عشر، ولها عشرة، وللموصی له سبعة عشر، وعلی هذا القیاس</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سهم أحد وُرّاثی اُعطی مثل سهم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السهم به وأصالة البراءة من الزائد، فلو ترک ابناً وبنتاً فله الربع، ولو ترک ابناً وأربع زوجات فله سهم من ثلاثة وثلاثین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أوصی بضِعف نصیب ولده فمثلاه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بین الفقهاء </w:t>
      </w:r>
      <w:r>
        <w:rPr>
          <w:rStyle w:val="FootnoteAnchor"/>
          <w:rtl w:val="true"/>
        </w:rPr>
        <w:footnoteReference w:id="309"/>
      </w:r>
      <w:r>
        <w:rPr>
          <w:rFonts w:ascii="Amiri" w:hAnsi="Amiri" w:eastAsia="Amiri" w:cs="Amiri"/>
          <w:color w:val="111111"/>
          <w:sz w:val="28"/>
          <w:sz w:val="28"/>
          <w:szCs w:val="28"/>
          <w:rtl w:val="true"/>
          <w:lang w:bidi="ar-SA"/>
        </w:rPr>
        <w:t xml:space="preserve">وأهل اللغة </w:t>
      </w:r>
      <w:r>
        <w:rPr>
          <w:rStyle w:val="FootnoteAnchor"/>
          <w:rtl w:val="true"/>
        </w:rPr>
        <w:footnoteReference w:id="310"/>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311"/>
      </w:r>
      <w:r>
        <w:rPr>
          <w:rFonts w:ascii="Amiri" w:hAnsi="Amiri" w:eastAsia="Amiri" w:cs="Amiri"/>
          <w:color w:val="111111"/>
          <w:sz w:val="28"/>
          <w:sz w:val="28"/>
          <w:szCs w:val="28"/>
          <w:rtl w:val="true"/>
          <w:lang w:bidi="ar-SA"/>
        </w:rPr>
        <w:t xml:space="preserve">وهو قول بعض أهل اللغة </w:t>
      </w:r>
      <w:r>
        <w:rPr>
          <w:rStyle w:val="FootnoteAnchor"/>
          <w:rtl w:val="true"/>
        </w:rPr>
        <w:footnoteReference w:id="312"/>
      </w: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وبضعفَیه ثلاثة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ضعف الشیء ضمّ مثله إلیه،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 نّه ضمّ مثلیه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أمثاله </w:t>
      </w:r>
      <w:r>
        <w:rPr>
          <w:rStyle w:val="FootnoteAnchor"/>
          <w:rtl w:val="true"/>
        </w:rPr>
        <w:footnoteReference w:id="313"/>
      </w:r>
      <w:r>
        <w:rPr>
          <w:rFonts w:ascii="IRNazanin" w:hAnsi="IRNazanin" w:eastAsia="IRNazanin"/>
          <w:color w:val="111111"/>
          <w:sz w:val="28"/>
          <w:sz w:val="28"/>
          <w:szCs w:val="28"/>
          <w:rtl w:val="true"/>
          <w:lang w:bidi="fa-IR"/>
        </w:rPr>
        <w:t>لأنّ الضِعف مثلان کما سبق، فإذا ثنّی کان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القول فی ضِعف 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أوصی بثُلثه للفقراء جاز صرف کلّ ثُلث إلی فقراء بلد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فیه، وهو الأفضل؛ لیسلم من خطر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حکمه احتسابه علی غائب مع قبض وکیله فی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صرف الجمیع فی فقراء بلد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 من الوصیّة، وهو صرفه إلی الفقراء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واستشکل المصنّف جواز ذلک فی 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إن نقل المال من البلاد المتفرّقة إلی بلد الإخراج کان فیه تغریر فی المال وتأخیر للإخراج، وإن أخرج</w:t>
      </w:r>
    </w:p>
    <w:p>
      <w:pPr>
        <w:pStyle w:val="BookText"/>
        <w:rPr/>
      </w:pPr>
      <w:r>
        <w:rPr>
          <w:rFonts w:ascii="IRNazanin" w:hAnsi="IRNazanin" w:eastAsia="IRNazanin"/>
          <w:color w:val="111111"/>
          <w:sz w:val="28"/>
          <w:sz w:val="28"/>
          <w:szCs w:val="28"/>
          <w:rtl w:val="true"/>
          <w:lang w:bidi="fa-IR"/>
        </w:rPr>
        <w:t xml:space="preserve">قدر الثلث من بعض الأموال ففیه خروج عن الوصیّة؛ إذ مقتضاها الإشاعة </w:t>
      </w:r>
      <w:r>
        <w:rPr>
          <w:rStyle w:val="FootnoteAnchor"/>
          <w:rtl w:val="true"/>
        </w:rPr>
        <w:footnoteReference w:id="314"/>
      </w:r>
      <w:r>
        <w:rPr>
          <w:rFonts w:ascii="IRNazanin" w:hAnsi="IRNazanin" w:eastAsia="IRNazanin"/>
          <w:color w:val="111111"/>
          <w:sz w:val="28"/>
          <w:sz w:val="28"/>
          <w:szCs w:val="28"/>
          <w:rtl w:val="true"/>
          <w:lang w:bidi="fa-IR"/>
        </w:rPr>
        <w:t xml:space="preserve">والأوسط </w:t>
      </w:r>
      <w:r>
        <w:rPr>
          <w:rStyle w:val="FootnoteAnchor"/>
          <w:rtl w:val="true"/>
        </w:rPr>
        <w:footnoteReference w:id="315"/>
      </w:r>
      <w:r>
        <w:rPr>
          <w:rFonts w:ascii="IRNazanin" w:hAnsi="IRNazanin" w:eastAsia="IRNazanin"/>
          <w:color w:val="111111"/>
          <w:sz w:val="28"/>
          <w:sz w:val="28"/>
          <w:szCs w:val="28"/>
          <w:rtl w:val="true"/>
          <w:lang w:bidi="fa-IR"/>
        </w:rPr>
        <w:t>منها متوجّه، فإنّ تأخیر إخراج الوصیّة مع القدرة علیه غیر جائز، إلّاأن یفرض عدم وجوبه، إمّا لعدم المستحقّ فی ذلک الوقت الذی نقل فیه، أو تعیین الموصی الإخراج فی وقت مترقَّب بحیث یمکن نقله إلی غیر البلد قبلَ حضوره،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جوازه أیضاً لغرض صحیح، ککثرة الصلحاء، وشدّة الفقر، ووجود من یرجع إلیه فی أحکام ذلک، کما یجوز نقل الزکاة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التغریر فغیر لازم فی جمیع أفراد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إخراج الثُلث من بعض الأموال فالظاهر أ نّه لا مانع منه؛ إذ لیس الغرض الإخراج من جمیع أعیان الترکة، بل المراد إخراج ثلثها بالقیمة، إلّاأن یتعلّق غرض الموصی بذلک، أو تتفاوت فیه مصلحة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صرفه إلی الموجودین فی البلد، ولا یجب تتبّع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الدفع إلی ثلاثة فصاعداً، لا فی کلّ بلد، بل المجموع</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اُوصی له بأبیه فقبل وهو مریض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یُتلف علی الورثة شیئاً ممّا هو محسوب مالاً له وإنّما یعتبر من الثُلث ما یخرجه عن ملکه کذلک </w:t>
      </w:r>
      <w:r>
        <w:rPr>
          <w:rStyle w:val="FootnoteAnchor"/>
          <w:rtl w:val="true"/>
        </w:rPr>
        <w:footnoteReference w:id="316"/>
      </w:r>
      <w:r>
        <w:rPr>
          <w:rFonts w:ascii="IRNazanin" w:hAnsi="IRNazanin" w:eastAsia="IRNazanin"/>
          <w:color w:val="111111"/>
          <w:sz w:val="28"/>
          <w:sz w:val="28"/>
          <w:szCs w:val="28"/>
          <w:rtl w:val="true"/>
          <w:lang w:bidi="fa-IR"/>
        </w:rPr>
        <w:t>وإنّما ملکه هنا</w:t>
      </w:r>
    </w:p>
    <w:p>
      <w:pPr>
        <w:pStyle w:val="BookText"/>
        <w:rPr/>
      </w:pPr>
      <w:r>
        <w:rPr>
          <w:rFonts w:ascii="IRNazanin" w:hAnsi="IRNazanin" w:eastAsia="IRNazanin"/>
          <w:color w:val="111111"/>
          <w:sz w:val="28"/>
          <w:sz w:val="28"/>
          <w:szCs w:val="28"/>
          <w:rtl w:val="true"/>
          <w:lang w:bidi="fa-IR"/>
        </w:rPr>
        <w:t>بالقبول وانعتق علیه قهراً تبعاً لملکه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ملکه بالإرث أو بالاتّهاب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ملکه بالشراء فإنّه ینعتق من الثلث علی الأقوی؛ لاستناد العتق إلی حصول الملک الناشئ عن الشراء وهو مَلِکه فی مقابلة عوض، فهو بشرائه ما لا یبقی فی ملکه مضیِّع للثمن علی الوارث، کما لو اشتری ما یقطع بتلفه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اعتباره من الأصل؛ لأنّه مال متقوّم بثمن مثله؛ إذ الفرض </w:t>
      </w:r>
      <w:r>
        <w:rPr>
          <w:rStyle w:val="FootnoteAnchor"/>
          <w:rtl w:val="true"/>
        </w:rPr>
        <w:footnoteReference w:id="317"/>
      </w:r>
      <w:r>
        <w:rPr>
          <w:rFonts w:ascii="IRNazanin" w:hAnsi="IRNazanin" w:eastAsia="IRNazanin"/>
          <w:color w:val="111111"/>
          <w:sz w:val="28"/>
          <w:sz w:val="28"/>
          <w:szCs w:val="28"/>
          <w:rtl w:val="true"/>
          <w:lang w:bidi="fa-IR"/>
        </w:rPr>
        <w:t>ذلک، والعتق أمر قهریّ طرأ بسبب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واضح؛ لأنّ بذل الثمن فی مقابلة ما قطع بزوال مالیّته محض التضییع علی الوارث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زیداً والفقراء، فلزید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الوصیّة لفریقین فلا یُنظر إلی آحادهما کما لو أوصی لشخصین أو قبیلتین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أقلّ الفقراء ثلاثة من حیث الجمع وإن کان جمع کثرة؛ لما تقدّم من دلالة العرف واللغة علی اتّحاد الجمعین </w:t>
      </w:r>
      <w:r>
        <w:rPr>
          <w:rStyle w:val="FootnoteAnchor"/>
          <w:rtl w:val="true"/>
        </w:rPr>
        <w:footnoteReference w:id="318"/>
      </w:r>
      <w:r>
        <w:rPr>
          <w:rFonts w:ascii="IRNazanin" w:hAnsi="IRNazanin" w:eastAsia="IRNazanin"/>
          <w:color w:val="111111"/>
          <w:sz w:val="28"/>
          <w:sz w:val="28"/>
          <w:szCs w:val="28"/>
          <w:rtl w:val="true"/>
          <w:lang w:bidi="fa-IR"/>
        </w:rPr>
        <w:t xml:space="preserve">فإذا شرّک بین زید وبینهم بالعطف کان کأحدهم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بأنّ التشریک بین زید والفقراء، لا بینه وبین آحادهم، فیکون زید فریقاً والفقراء فریقاً آخر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المسألة وجه ثالث، وهو أن یکون زید کواحد منهم؛ لأنّهم وإن کانوا جمعاً یصدق بالثلاثة، لکنّه یقع علی ما زاد، ولا یتعیّن الدفع إلی ثلاثة بل یجوز إلی 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یتعیّن حیث یوجد فی البلد، ومقتضی التشریک أن یکون کواحد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أمتن من السابق، وإن کان الأصحّ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جمع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المرض کهبة ووقف وإبراء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ومؤخّرة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الثلث وإن تأخّرت فی اللفظ، فإن بقی من الثلث شیء بُدئ بالأوّل فالأوّل من المؤخّرة کما مرّ </w:t>
      </w:r>
      <w:r>
        <w:rPr>
          <w:rStyle w:val="FootnoteAnchor"/>
          <w:rtl w:val="true"/>
        </w:rPr>
        <w:footnoteReference w:id="320"/>
      </w:r>
      <w:r>
        <w:rPr>
          <w:rFonts w:ascii="IRNazanin" w:hAnsi="IRNazanin" w:eastAsia="IRNazanin"/>
          <w:color w:val="111111"/>
          <w:sz w:val="28"/>
          <w:sz w:val="28"/>
          <w:szCs w:val="28"/>
          <w:rtl w:val="true"/>
          <w:lang w:bidi="fa-IR"/>
        </w:rPr>
        <w:t>ولا فرق فی المؤخّرة بین أن یکون فیها واجب یخرج من الثلث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ممّا یخرج من الأصل قُدّم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المنجّزة تشارک الوصیّة فی الخروج من الثلث فی أجود القولین </w:t>
      </w:r>
      <w:r>
        <w:rPr>
          <w:rStyle w:val="FootnoteAnchor"/>
          <w:rtl w:val="true"/>
        </w:rPr>
        <w:footnoteReference w:id="321"/>
      </w:r>
      <w:r>
        <w:rPr>
          <w:rFonts w:ascii="IRNazanin" w:hAnsi="IRNazanin" w:eastAsia="IRNazanin"/>
          <w:color w:val="111111"/>
          <w:sz w:val="28"/>
          <w:sz w:val="28"/>
          <w:szCs w:val="28"/>
          <w:rtl w:val="true"/>
          <w:lang w:bidi="fa-IR"/>
        </w:rPr>
        <w:t>وأنّ خروجها من الثلث یعتبر حالَ الموت، وأ نّه یقدّم الأسبق منها فالأسبق لو قصر الثلث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وتفارقها فی تقدّمها </w:t>
      </w:r>
      <w:r>
        <w:rPr>
          <w:rStyle w:val="FootnoteAnchor"/>
          <w:rtl w:val="true"/>
        </w:rPr>
        <w:footnoteReference w:id="322"/>
      </w:r>
      <w:r>
        <w:rPr>
          <w:rFonts w:ascii="IRNazanin" w:hAnsi="IRNazanin" w:eastAsia="IRNazanin"/>
          <w:color w:val="111111"/>
          <w:sz w:val="28"/>
          <w:sz w:val="28"/>
          <w:szCs w:val="28"/>
          <w:rtl w:val="true"/>
          <w:lang w:bidi="fa-IR"/>
        </w:rPr>
        <w:t xml:space="preserve">علیها </w:t>
      </w:r>
      <w:r>
        <w:rPr>
          <w:rStyle w:val="FootnoteAnchor"/>
          <w:rtl w:val="true"/>
        </w:rPr>
        <w:footnoteReference w:id="323"/>
      </w:r>
      <w:r>
        <w:rPr>
          <w:rFonts w:ascii="IRNazanin" w:hAnsi="IRNazanin" w:eastAsia="IRNazanin"/>
          <w:color w:val="111111"/>
          <w:sz w:val="28"/>
          <w:sz w:val="28"/>
          <w:szCs w:val="28"/>
          <w:rtl w:val="true"/>
          <w:lang w:bidi="fa-IR"/>
        </w:rPr>
        <w:t>ولزومها من قِبل المعطی، وقبولها کغیرها من العقود، وشروطها شروطه، وأ نّه لو برئ من مرضه لزمت من الأصل، بخلاف الوصیّة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مثل رجعت، أو نقضت، أو أبطلت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فسخت </w:t>
      </w:r>
      <w:r>
        <w:rPr>
          <w:rStyle w:val="FootnoteAnchor"/>
          <w:rtl w:val="true"/>
        </w:rPr>
        <w:footnoteReference w:id="324"/>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لوارثی أو میراثی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الموصی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 تفعلوا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من الألفاظ الدالّة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وفعلاً، مثل بیع العین الموصی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یقبضها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الإقباض قطعاً، وبدونه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ما لو وهبها، أو أوصی بها لغیر من أوصی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له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والأقوی أنّ مجرّد العرض علی البیع والتوکیل فیه وإیجابه وإیجاب العقود الجائزة المذکورة کافٍ فی الفسخ؛ لدلالته علیه، لا تزویج العبد والأمة وإجارتهما وختانهما وتعلیمهما، ووطء الأمة بدون الإحبال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 یبطل الاسم ویدلّ علی الرجوع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طحن الطعام، أو عجن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غزل القطن أو نسج مغزوله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خلطه بالأجود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یتمیّز، وإنّما قیّد بالأجود لإفادته الزیادة فی الموصی به، بخلاف المساوی والأردأ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لم یفرّق بین خلطه بالأجود وغیره فی کونه رجوعاً </w:t>
      </w:r>
      <w:r>
        <w:rPr>
          <w:rStyle w:val="FootnoteAnchor"/>
          <w:rtl w:val="true"/>
        </w:rPr>
        <w:footnoteReference w:id="326"/>
      </w:r>
      <w:r>
        <w:rPr>
          <w:rFonts w:ascii="IRNazanin" w:hAnsi="IRNazanin" w:eastAsia="IRNazanin"/>
          <w:color w:val="111111"/>
          <w:sz w:val="28"/>
          <w:sz w:val="28"/>
          <w:szCs w:val="28"/>
          <w:rtl w:val="true"/>
          <w:lang w:bidi="fa-IR"/>
        </w:rPr>
        <w:t xml:space="preserve">وفی التحریر لم یفرّق کذلک فی عدمه </w:t>
      </w:r>
      <w:r>
        <w:rPr>
          <w:rStyle w:val="FootnoteAnchor"/>
          <w:rtl w:val="true"/>
        </w:rPr>
        <w:footnoteReference w:id="327"/>
      </w:r>
      <w:r>
        <w:rPr>
          <w:rFonts w:ascii="IRNazanin" w:hAnsi="IRNazanin" w:eastAsia="IRNazanin"/>
          <w:color w:val="111111"/>
          <w:sz w:val="28"/>
          <w:sz w:val="28"/>
          <w:szCs w:val="28"/>
          <w:rtl w:val="true"/>
          <w:lang w:bidi="fa-IR"/>
        </w:rPr>
        <w:t>والأنسب عدم الفرق وتوقّف کونه رجوعاً علی القرائن الخارجة، فإن لم یُحکم بکونه رجوعاً یکون مع خلطه بالأجود شریکاً بنسبة القیمتین</w:t>
      </w:r>
      <w:r>
        <w:rPr>
          <w:rFonts w:eastAsia="IRNazanin" w:cs="IRNazanin"/>
          <w:color w:val="111111"/>
          <w:sz w:val="28"/>
          <w:szCs w:val="28"/>
          <w:rtl w:val="true"/>
          <w:lang w:bidi="fa-IR"/>
        </w:rPr>
        <w:t>.</w:t>
      </w:r>
      <w:bookmarkStart w:id="147" w:name="pg19810_214333"/>
    </w:p>
    <w:p>
      <w:pPr>
        <w:pStyle w:val="Heading3"/>
        <w:numPr>
          <w:ilvl w:val="2"/>
          <w:numId w:val="1"/>
        </w:numPr>
        <w:rPr/>
      </w:pPr>
      <w:bookmarkStart w:id="148" w:name="__RefHeading___Toc2175359_2314609296"/>
      <w:bookmarkStart w:id="149" w:name="_Toc54"/>
      <w:bookmarkEnd w:id="147"/>
      <w:bookmarkEnd w:id="148"/>
      <w:r>
        <w:rPr>
          <w:rtl w:val="true"/>
        </w:rPr>
        <w:t>«</w:t>
      </w:r>
      <w:r>
        <w:rPr>
          <w:rtl w:val="true"/>
        </w:rPr>
        <w:t>الفصل الرابع</w:t>
      </w:r>
      <w:r>
        <w:rPr>
          <w:rtl w:val="true"/>
        </w:rPr>
        <w:t>»</w:t>
      </w:r>
      <w:bookmarkEnd w:id="149"/>
    </w:p>
    <w:p>
      <w:pPr>
        <w:pStyle w:val="Heading4"/>
        <w:numPr>
          <w:ilvl w:val="3"/>
          <w:numId w:val="1"/>
        </w:numPr>
        <w:rPr/>
      </w:pPr>
      <w:bookmarkStart w:id="150" w:name="__RefHeading___Toc2175361_2314609296"/>
      <w:bookmarkStart w:id="151" w:name="_Toc55"/>
      <w:bookmarkEnd w:id="150"/>
      <w:r>
        <w:rPr>
          <w:rtl w:val="true"/>
        </w:rPr>
        <w:t>اشارة</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بکسر الواو وفتحها، وهی استنابة الموصی غیره بعد موته فی التصرّف فیما کان له التصرّف فیه، من إخراج حقّ أو استیفائه أو ولایة علی طفل أو مجنون یملک الولایة علیه بالأصالة أو بالعرض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تصحّ الوصیّة علی الأطفال بالولایة من الأب والجدّ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المأذون له من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الإیصاء لغیره، فلو نهاه عنه لم تصحّ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أطلق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w:t>
      </w:r>
      <w:r>
        <w:rPr>
          <w:rStyle w:val="FootnoteAnchor"/>
          <w:rtl w:val="true"/>
        </w:rPr>
        <w:footnoteReference w:id="329"/>
      </w:r>
      <w:r>
        <w:rPr>
          <w:rFonts w:ascii="IRNazanin" w:hAnsi="IRNazanin" w:eastAsia="IRNazanin"/>
          <w:color w:val="111111"/>
          <w:sz w:val="28"/>
          <w:sz w:val="28"/>
          <w:szCs w:val="28"/>
          <w:rtl w:val="true"/>
          <w:lang w:bidi="fa-IR"/>
        </w:rPr>
        <w:t xml:space="preserve">لظاهر مکاتبة الصفّار </w:t>
      </w:r>
      <w:r>
        <w:rPr>
          <w:rStyle w:val="FootnoteAnchor"/>
          <w:rtl w:val="true"/>
        </w:rPr>
        <w:footnoteReference w:id="330"/>
      </w:r>
      <w:r>
        <w:rPr>
          <w:rFonts w:ascii="IRNazanin" w:hAnsi="IRNazanin" w:eastAsia="IRNazanin"/>
          <w:color w:val="111111"/>
          <w:sz w:val="28"/>
          <w:sz w:val="28"/>
          <w:szCs w:val="28"/>
          <w:rtl w:val="true"/>
          <w:lang w:bidi="fa-IR"/>
        </w:rPr>
        <w:t>ولأنّ الموصی أقامه مقام نفسه فیثبت له من الولایة ما ثبت له، ولأنّ الاستنابة من جملة التصرّفات المملوکة له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دلالة الروایة، وإقامته مقامَ نفسه فی فعله مباشرة کما هو الظاهر، ونمنع کون الاستنابة من جملة التصرّفات، فإنّ رضاه بنظره مباشرة لا یقتضی رضاه بفعل غیره؛ لاختلاف الأنظار والأغراض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المنع</w:t>
      </w:r>
      <w:r>
        <w:rPr>
          <w:rFonts w:eastAsia="IRNazanin" w:cs="IRNazanin"/>
          <w:color w:val="111111"/>
          <w:sz w:val="28"/>
          <w:szCs w:val="28"/>
          <w:rtl w:val="true"/>
          <w:lang w:bidi="fa-IR"/>
        </w:rPr>
        <w:t>.</w:t>
      </w:r>
    </w:p>
    <w:p>
      <w:pPr>
        <w:pStyle w:val="Heading4"/>
        <w:numPr>
          <w:ilvl w:val="3"/>
          <w:numId w:val="1"/>
        </w:numPr>
        <w:rPr/>
      </w:pPr>
      <w:bookmarkStart w:id="152" w:name="__RefHeading___Toc2175363_2314609296"/>
      <w:bookmarkStart w:id="153" w:name="_Toc56"/>
      <w:bookmarkEnd w:id="152"/>
      <w:r>
        <w:rPr>
          <w:rtl w:val="true"/>
        </w:rPr>
        <w:t>[</w:t>
      </w:r>
      <w:r>
        <w:rPr>
          <w:rtl w:val="true"/>
        </w:rPr>
        <w:t xml:space="preserve">شروط الوصی </w:t>
      </w:r>
      <w:r>
        <w:rPr>
          <w:rtl w:val="true"/>
        </w:rPr>
        <w:t>]</w:t>
      </w:r>
      <w:bookmarkEnd w:id="1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فی الوصیّ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 والعقل، فلا یصحّ إلی صبیّ بحیث</w:t>
      </w:r>
    </w:p>
    <w:p>
      <w:pPr>
        <w:pStyle w:val="BookText"/>
        <w:rPr/>
      </w:pPr>
      <w:r>
        <w:rPr>
          <w:rFonts w:ascii="Amiri" w:hAnsi="Amiri" w:eastAsia="Amiri" w:cs="Amiri"/>
          <w:color w:val="111111"/>
          <w:sz w:val="28"/>
          <w:sz w:val="28"/>
          <w:szCs w:val="28"/>
          <w:rtl w:val="true"/>
          <w:lang w:bidi="ar-SA"/>
        </w:rPr>
        <w:t xml:space="preserve">یتصرّف حال صباه مطلقاً </w:t>
      </w:r>
      <w:r>
        <w:rPr>
          <w:rStyle w:val="FootnoteAnchor"/>
          <w:rtl w:val="true"/>
        </w:rPr>
        <w:footnoteReference w:id="331"/>
      </w:r>
      <w:r>
        <w:rPr>
          <w:rFonts w:ascii="IRNazanin" w:hAnsi="IRNazanin" w:eastAsia="IRNazanin"/>
          <w:color w:val="111111"/>
          <w:sz w:val="28"/>
          <w:sz w:val="28"/>
          <w:szCs w:val="28"/>
          <w:rtl w:val="true"/>
          <w:lang w:bidi="fa-IR"/>
        </w:rPr>
        <w:t xml:space="preserve">ولا إلی مجنون کذلک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تصحّ الوصیّة إلی کافر وإن کان رحماً؛ لأنّه لیس من أهل الولایة علی المسلمین، ولا من أهل الأمانة، وللنهی عن الرکون إلیه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یوصی الکافر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نشترط العدالة فی الوصیّ؛ لعدم المانع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اشترطناها فهل تکفی عدالته فی دینه، أم تبطل مطلقاً؟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الکفر أعظم من فسق المسلم، ومن أنّ الغرض صیانة مال الطفل وأداء الأمانة، وهو یحصل بالعدل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المنع بالنظر إلی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اُرید صحّتها عندهم وعدمه فلا غرض لنا فی ذلک، ولو ترافعوا إلینا فإن رددناهم إلی مذهبهم، وإلّا فاللازم الحکم ببطلانها بناءً علی اشتراط العدالة؛ إذ لا وثوق بعدالته فی دینه ولا رکون إلی أفعاله؛ لمخالفتها لکثیر من أحکام الإسلام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والعدالة فی قول قویّ</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لأنّ الوصیّة استئمان والفاسق لیس أهلاً له؛ لوجوب التثبّت عند خبره، ولتضمّنها الرکون إلیه، والفاسق ظالم منهیّ عن الرکون إلیه؛ ولأ نّها استنابة علی الغیر، فیشترط فی النائب العدالة کوکیل الوکیل، بل</w:t>
      </w:r>
    </w:p>
    <w:p>
      <w:pPr>
        <w:pStyle w:val="BookText"/>
        <w:rPr/>
      </w:pPr>
      <w:r>
        <w:rPr>
          <w:rFonts w:ascii="IRNazanin" w:hAnsi="IRNazanin" w:eastAsia="IRNazanin"/>
          <w:color w:val="111111"/>
          <w:sz w:val="28"/>
          <w:sz w:val="28"/>
          <w:szCs w:val="28"/>
          <w:rtl w:val="true"/>
          <w:lang w:bidi="fa-IR"/>
        </w:rPr>
        <w:t>أولی؛ لأنّ تقصیر وکیل الوکیل مجبور بنظر الوکیل والموکّل وتفحّصهما علی مصلحتهما، بخلاف نائب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ورضاه به غیرَ عدل لا یقدح فی ذلک؛ لأنّ مقتضاها إثبات الولایة بعد الموت، وحینئذٍ فترتفع أهلیّته عن الإذن والولایة، فیصیر التصرّف متعلّقاً بحقّ غیر المستنیب من طفل ومجنون وفقیر وغیرهم، فیکون أولی باعتبار العدالة من وکیل الوکیل ووکیل الحاکم علی مثل هذه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ضعف ما احتجّ به نافی اشتراطها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نّها فی معنی الوکالة ووکالة الفاسق جائزة إجماعاً وکذا استیداعه </w:t>
      </w:r>
      <w:r>
        <w:rPr>
          <w:rStyle w:val="FootnoteAnchor"/>
          <w:rtl w:val="true"/>
        </w:rPr>
        <w:footnoteReference w:id="335"/>
      </w:r>
      <w:r>
        <w:rPr>
          <w:rFonts w:ascii="IRNazanin" w:hAnsi="IRNazanin" w:eastAsia="IRNazanin"/>
          <w:color w:val="111111"/>
          <w:sz w:val="28"/>
          <w:sz w:val="28"/>
          <w:szCs w:val="28"/>
          <w:rtl w:val="true"/>
          <w:lang w:bidi="fa-IR"/>
        </w:rPr>
        <w:t>لما عرفت من الفرق بینها وبین الوکالة والاستیداع، فإنّهما متعلّقان بحقّ الموکّل والمودع، وهو مسلَّط علی إتلاف ماله فضلاً عن تسلیط غیر العدل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والموصی إنّما سلّطه علی حقّ الغیر؛ لخروجه عن ملکه بالموت مطلقاً، مع أ نّا نمنع أنّ مطلق الوکیل والمستودَع لا یشترط فیهما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هذا الشرط إنّما اعتبر لیحصل الوثوق بفعل الوصیّ ویقبل خبره به، کما یستفاد ذلک من دلیله، لا فی صحّة الفعل فی نفسه، فلو أوصی لمن ظاهره العدالة وهو فاسق فی نفسه ففعل مقتضی الوصیّة فالظاهر نفوذ فعله وخروجه عن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کون ظاهر الفسق کذلک لو أوصی إلیه فیما بینه وبینه وفعل مقتضاه، بل لو فعله ظاهراً کذلک لم تبعد الصحّة وإن حکم ظاهراً بعدم وقوعه وضمانه ما ادّعی فعلَه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الفائدة لو فعل مقتضی الوصیّة باطّلاع عدلین أو باطّلاع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ظاهر اشتراط العدالة ینافی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یأتی فی نیابة الفاسق عن غیره فی الحجّ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المصنّف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عدالة النائب شرط فی صحّة الاستنابة، لا فی صحّة النیابة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یشترط فی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تصحّ وصایة المملوک؛ لاستلزامها التصرّف فی مال الغیر بغیر إذنه، کما لا تصحّ وکالته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یأذن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لزوال المانع، وحینئذٍ فلیس للمولی الرجوع فی الإذن بعد موت الموصی، ویصحّ قبلَه، کما إذا قَبِل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وتصحّ الوصیّة إلی الصبیّ منضمّاً إلی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یتصرّف الصبیّ حتّی یکمل، فینفرد الکامل قبله ثمّ یشترکان فیها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 عدم تصرّف الکامل إلی أن یبلغ الصبیّ اتّبع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یجوز تصرّف الکامل قبل بلوغه لا یختصّ بالضروری، بل له کمال التصرّف، وإنّما یقع الاشتراک فی المتخلّف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اعتراض للصبیّ بعد بلوغه فی نقض ما وقع من فعل الکامل موافقاً للمشروع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المرأة والخنثی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مع اجتماع الشرائط؛ لانتفاء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 الوصیّة علی القضاء واضح الفساد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تعدّد الوصیّ فیجتمعان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کانا اثنین فی التصرّف، بمعنی صدوره عن رأیهما ونظرهما وإن باشره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یشترط لهما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حینئذٍ لکلٍّ منهما التصرّف بمقتضی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أحدهما نوعاً من التصرّف ومنعه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بدّ منه، کمؤونة</w:t>
      </w:r>
    </w:p>
    <w:p>
      <w:pPr>
        <w:pStyle w:val="BookText"/>
        <w:rPr/>
      </w:pP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والدابّة وإصلاح العقار، ووَقَفَ غیرُه علی اتّفاقهما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إجبارهما علی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یستبدل بهما مع الإمکان؛ إذ لا ولایة له فیما فیه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جمعهما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 لهما بالتعذّر منزلة المعدوم؛ لاشتراکهما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أطلق الأصحاب، وهو یتمّ مع عدم اشتراط عدالة الوصیّ، أمّا معه فلا؛ لأ نّهما بتعاسرهما یفسقان؛ لوجوب المبادرة إلی إخراج الوصیّة مع الإمکان، فیخرجان بالفسق عن الوصایة ویستبدل بهما الحاکم، فلا یتصوّر إجبارهما علی هذا التقدیر، وکذا لو لم نشترطها وکانا عدلین؛ لبطلانها بالفسق حینئذٍ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نشترطها ولا کانا عدلین أمکن إجبارهما مع التشاحّ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لهما قسمة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خلاف مقتضی الوصیّة من الاجتماع فی التصرّف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لهما الانفراد ففی جواز الاجتماع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 خلاف الشرط فلا یصحّ، ومن أنّ الاتّفاق علی الاجتماع یقتضی صدوره عن رأی کلّ واحد منهما، وشرط الانفراد اقتضی الرضا برأی کلّ واحد وهو حاصل إن لم یکن هنا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شرط الانفراد رخصة لهما، لا 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حصل لهما فی حال الاجتماع نظر مخالف له حالة الانفراد توجّه المنع؛ لجواز کون المصیب هو حالة الانفراد ولم یرضَ الموصی إلّابه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نهاهما عن الاجتماع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عملاً بمقتضی الشرط الدالّ صریحاً علی النهی عن الاجتماع، فیمتنع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جوّز لهما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والانفراد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جوّزه وتصرّف کلّ منهما کیف شاء من الاجتماع والانفراد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اقتسما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بالتنصیف والتفاوت حیث لا یحصل بالقسمة ضرر؛ لأنّ مرجع القسمة حینئذٍ إلی تصرّف کلّ منهما فی البعض وهو جائز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القسمة لکلّ منهما التصرّف فی قسمة الآخر وإن کانت فی ید صاحبه؛ لأنّه وصیّ فی المجموع، فلا تزیل القسمةُ ولایتَه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 من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المتّحد والمتعدّد علی وجه یفید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ضمّ الحاکم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لأنّه بعجزه خرج عن الاستقلال المانع من ولایة الحاکم، وبقدرته علی المباشرة فی الجملة لم یخرج عن الوصایة بحیث یستقلّ الحاکم، فیجمع بینهما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لو مات أحد الوصیّین علی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المأذون لهما فی الانفراد فلیس للحاکم الضمّ إلی أحدهما بعجز الآخر؛ لبقاء وصیّ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قسم آخر، وهو ما لو شرط لأحدهما الاجتماع وسوّغ للآخر الانفراد، فیجب اتّباع شرطه، فیتصرّف المستقلّ بالاستقلال والآخر مع الاجتماع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منه ما لو شرط لهما الاجتماع موجودین وانفراد الباقی بعد موت الآخر أو عجزه، فیتّبع شرطه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یصحّ شرط مشرف علی أحدهما بحیث لا یکون للمشرف شیء من التصرّفات وإنّما تصدر عن رأیه، فلیس للوصیّ التصرّف بدون إذنه مع الإمکان، فإن 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الحاکمُ إلی الوصیّ معیناً کالمشروط له الاجتماع علی الأقوی؛ لأنّه فی معناه حیث لم یرضَ الموصی برأیه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اشتراط تصرّف أحدهما فی نوع خاصّ والآخر فی الجمیع منفردین ومجتمعین علی ما اشترکا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 المتّحد أو أحد المجتمعین </w:t>
      </w:r>
      <w:r>
        <w:rPr>
          <w:rStyle w:val="FootnoteAnchor"/>
          <w:rtl w:val="true"/>
        </w:rPr>
        <w:footnoteReference w:id="337"/>
      </w:r>
      <w:r>
        <w:rPr>
          <w:rFonts w:ascii="IRNazanin" w:hAnsi="IRNazanin" w:eastAsia="IRNazanin"/>
          <w:color w:val="111111"/>
          <w:sz w:val="28"/>
          <w:sz w:val="28"/>
          <w:szCs w:val="28"/>
          <w:rtl w:val="true"/>
          <w:lang w:bidi="fa-IR"/>
        </w:rPr>
        <w:t xml:space="preserve">أو فسق بغیر الخیانة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بل الأجود انعزاله بذلک من غیر توقّف علی عزل الحاکم؛ لخروجه عن شرط الوصایة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 مستقلّاً إن کان المعزول واحداً، أو منضمّاً إلی الباقی إن کان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للوصیّ استیفاء دینه ممّا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توقّف علی حکم الحاکم بثبوته، ولا علی حلفه علی بقائه؛ لأنّ ذلک للاستظهار ببقائه؛ لجواز إبراء صاحب الدین أو استیفائه، والمعلوم هنا خلافه، والمکلّف بالاستظهار هو الوصیّ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یجوز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دیون المیّت التی یعلم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ویتحقّق العلم بسماعه إقرارَ الموصی بها قبلَ الموت بزمانٍ لا یمکنه بعده القضاء ویکون المستحقّ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لا یمکن فی حقّه الإسقاط کالطفل والمجنون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أربابها مکلّفین یمکنهم إسقاطها فلا بدّ من إحلافهم علی بقائها وإن علم بها سابقاً، ولا یکفی إحلافه إیّاهم إلّاإذا کان مستجمعاً لشرائط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للحاکم أن یأذن له فی التحلیف استناداً إلی علمه بالدین، بل لا بدّ من ثبوته عنده؛ لأنّه تحکیم لا یجوز لغیر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بعد ثبوته عنده بالبیّنة توکیله فی الإحلاف</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ردّ ما یعلم کونه ودیعة أو عاریة أو غصباً، أو نحو ذلک من الأعیان التی لا یحتمل انتقالها عن ملک مالکها إلی الموصی، أو إلی وارثه فی ذلک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 إلی غیره عمّن أوصی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له فی الإیصاء علی أصحّ القولین </w:t>
      </w:r>
      <w:r>
        <w:rPr>
          <w:rStyle w:val="FootnoteAnchor"/>
          <w:rtl w:val="true"/>
        </w:rPr>
        <w:footnoteReference w:id="340"/>
      </w:r>
      <w:r>
        <w:rPr>
          <w:rFonts w:ascii="IRNazanin" w:hAnsi="IRNazanin" w:eastAsia="IRNazanin"/>
          <w:color w:val="111111"/>
          <w:sz w:val="28"/>
          <w:sz w:val="28"/>
          <w:szCs w:val="28"/>
          <w:rtl w:val="true"/>
          <w:lang w:bidi="fa-IR"/>
        </w:rPr>
        <w:t xml:space="preserve">وقد تقدّم وإنّما أعادها لفائدة التعمیم؛ إذ السابقة مختصّة بالوصیّ </w:t>
      </w:r>
      <w:r>
        <w:rPr>
          <w:rStyle w:val="FootnoteAnchor"/>
          <w:rtl w:val="true"/>
        </w:rPr>
        <w:footnoteReference w:id="341"/>
      </w:r>
      <w:r>
        <w:rPr>
          <w:rFonts w:ascii="IRNazanin" w:hAnsi="IRNazanin" w:eastAsia="IRNazanin"/>
          <w:color w:val="111111"/>
          <w:sz w:val="28"/>
          <w:sz w:val="28"/>
          <w:szCs w:val="28"/>
          <w:rtl w:val="true"/>
          <w:lang w:bidi="fa-IR"/>
        </w:rPr>
        <w:t>علی الطفل ومن بحکمه من أبیه وجدّه، وهنا شاملة لسائر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یأذن له فیه فیقتصر علی مدلول الإذن، فإن خصّه بشخصٍ أو وصفٍ اختصّ، وإن عمّم أوصی إلی مستجمع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ویتعدّی الحکم إلی وصیّ الوصیّ أبداً مع الإذن فیه، لا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یصرّح له بالإذن فی الإیصاء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النظر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وصیّ من لا وصیّ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ولا 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تعذّر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لفقده أو بُعده بحیث یشقّ الوصول إلیه عادةً یتولّی إنفاذ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عدول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الحسبة والمعاونة علی البرّ والتقوی المأمور بها </w:t>
      </w:r>
      <w:r>
        <w:rPr>
          <w:rStyle w:val="FootnoteAnchor"/>
          <w:rtl w:val="true"/>
        </w:rPr>
        <w:footnoteReference w:id="342"/>
      </w:r>
      <w:r>
        <w:rPr>
          <w:rFonts w:ascii="IRNazanin" w:hAnsi="IRNazanin" w:eastAsia="IRNazanin"/>
          <w:color w:val="111111"/>
          <w:sz w:val="28"/>
          <w:sz w:val="28"/>
          <w:szCs w:val="28"/>
          <w:rtl w:val="true"/>
          <w:lang w:bidi="fa-IR"/>
        </w:rPr>
        <w:t>واشتراط العدالة یدفع محذور إتلاف مال الطفل وشبهه والتصرّف فیه بدون إذن شرعیّ، فإنّ ما ذکرناه هو الإذن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الاقتصار علی القدر الضروری الذی یضطرّ إلی تقدیمه قبل مراجعة الحاکم وتأخیر غیره إلی حین التمکّن من إذنه، ولو لم یمکن لفقده لم یختصّ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یجوز ذلک یجب؛ لأنّه من فروض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منع ذلک کلّه بعض الأصحاب </w:t>
      </w:r>
      <w:r>
        <w:rPr>
          <w:rStyle w:val="FootnoteAnchor"/>
          <w:rtl w:val="true"/>
        </w:rPr>
        <w:footnoteReference w:id="343"/>
      </w:r>
      <w:r>
        <w:rPr>
          <w:rFonts w:ascii="IRNazanin" w:hAnsi="IRNazanin" w:eastAsia="IRNazanin"/>
          <w:color w:val="111111"/>
          <w:sz w:val="28"/>
          <w:sz w:val="28"/>
          <w:szCs w:val="28"/>
          <w:rtl w:val="true"/>
          <w:lang w:bidi="fa-IR"/>
        </w:rPr>
        <w:t>لعدم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من العمومات </w:t>
      </w:r>
      <w:r>
        <w:rPr>
          <w:rStyle w:val="FootnoteAnchor"/>
          <w:rtl w:val="true"/>
        </w:rPr>
        <w:footnoteReference w:id="344"/>
      </w:r>
      <w:r>
        <w:rPr>
          <w:rFonts w:ascii="IRNazanin" w:hAnsi="IRNazanin" w:eastAsia="IRNazanin"/>
          <w:color w:val="111111"/>
          <w:sz w:val="28"/>
          <w:sz w:val="28"/>
          <w:szCs w:val="28"/>
          <w:rtl w:val="true"/>
          <w:lang w:bidi="fa-IR"/>
        </w:rPr>
        <w:t>کافٍ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الأخبار ما یرشد إلیه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والصفات المعتبرة فی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البلوغ والعقل والإسلام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والحرّیّة والعدالة یشترط حصولها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الإیصاء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وقت إنشاء العقد، فإذا لم تکن مجتمعة لم یقع صحیحاً کغیره من العقود؛ ولأ نّه وقتَ الوصیّة ممنوع من التفویض إلی من لیس بالصفات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حصولها حالَ الوفاة، حتّی لو أوصی إلی من لیس بأهل فاتّفق حصول صفات الأهلیّة له قبل الموت صحّ؛ لأنّ المقصود بالتصرّف هو ما بعد الموت وهو محلّ الولایة ولا حاجة إلیها قبله </w:t>
      </w:r>
      <w:r>
        <w:rPr>
          <w:rStyle w:val="FootnoteAnchor"/>
          <w:rtl w:val="true"/>
        </w:rPr>
        <w:footnoteReference w:id="346"/>
      </w:r>
      <w:r>
        <w:rPr>
          <w:rFonts w:ascii="Amiri" w:hAnsi="Amiri" w:eastAsia="Amiri" w:cs="Amiri"/>
          <w:color w:val="111111"/>
          <w:sz w:val="28"/>
          <w:sz w:val="28"/>
          <w:szCs w:val="28"/>
          <w:rtl w:val="true"/>
          <w:lang w:bidi="ar-SA"/>
        </w:rPr>
        <w:t xml:space="preserve">ویضعّف بما مرّ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الإیصاء إلی حین الوفاة</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جمعاً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اعتبارها من حیث الإیصاء واستمراره ما دام وصیّاً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وللوصیّ اُجرة المثل عن نظره فی مال الموصی علیهم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الفقر، کما نبّه علیه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ولا یجوز مع الغناء؛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أخذ الاُجرة مطلقاً </w:t>
      </w:r>
      <w:r>
        <w:rPr>
          <w:rStyle w:val="FootnoteAnchor"/>
          <w:rtl w:val="true"/>
        </w:rPr>
        <w:footnoteReference w:id="351"/>
      </w:r>
      <w:r>
        <w:rPr>
          <w:rFonts w:ascii="IRNazanin" w:hAnsi="IRNazanin" w:eastAsia="IRNazanin"/>
          <w:color w:val="111111"/>
          <w:sz w:val="28"/>
          <w:sz w:val="28"/>
          <w:szCs w:val="28"/>
          <w:rtl w:val="true"/>
          <w:lang w:bidi="fa-IR"/>
        </w:rPr>
        <w:t>لأنّها عوض عمل محترم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قدرَ الکفایة؛ لظاهر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فإنّ المعروف ما لا إسراف فیه ولا تقتیر من القوت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الأمرین </w:t>
      </w:r>
      <w:r>
        <w:rPr>
          <w:rStyle w:val="FootnoteAnchor"/>
          <w:rtl w:val="true"/>
        </w:rPr>
        <w:footnoteReference w:id="353"/>
      </w:r>
      <w:r>
        <w:rPr>
          <w:rFonts w:ascii="IRNazanin" w:hAnsi="IRNazanin" w:eastAsia="IRNazanin"/>
          <w:color w:val="111111"/>
          <w:sz w:val="28"/>
          <w:sz w:val="28"/>
          <w:szCs w:val="28"/>
          <w:rtl w:val="true"/>
          <w:lang w:bidi="fa-IR"/>
        </w:rPr>
        <w:t>لأنّ الأقلّ إن کان اُجرةَ المثل فلا عوض لعمله شرعاً سواها، وإن کان الأقلّ الکفایة فلأ نّها هی القدر المأذون فیه بظاهر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جواز أخذ أقلّهما مع فقره خاصّة؛ لما ذکر، ولأنّ حصول قدر الکفایة یوجب الغنا فیجب الاستعفاف عن الزائد وإن کان من جملة اُجرة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بلوغه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ردّ ولمّا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بطل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یعلم بالوصیّة إلّا بعد وفاة الموصی لزمه القیام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قد سبق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القیام بها، فیسقط وجوب القیام عن المعجوز عنه قطعاً؛ للحرج</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العبارة أ نّه یسقط غیره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بجیّد، بل یجب القیام بما أمکن منها؛ لعموم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هذا الحکم المخالف للأصل من إثبات حقّ علی الموصی إلیه علی وجه قهریّ وتسلیط الموصی علی إثبات وصیّته علی من شاء أخبار کثیرة </w:t>
      </w:r>
      <w:r>
        <w:rPr>
          <w:rStyle w:val="FootnoteAnchor"/>
          <w:rtl w:val="true"/>
        </w:rPr>
        <w:footnoteReference w:id="354"/>
      </w:r>
      <w:r>
        <w:rPr>
          <w:rFonts w:ascii="IRNazanin" w:hAnsi="IRNazanin" w:eastAsia="IRNazanin"/>
          <w:color w:val="111111"/>
          <w:sz w:val="28"/>
          <w:sz w:val="28"/>
          <w:szCs w:val="28"/>
          <w:rtl w:val="true"/>
          <w:lang w:bidi="fa-IR"/>
        </w:rPr>
        <w:t>تدلّ بظاهرها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العلّامة فی المختلف والتحریر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له الردّ ما لم یقبل؛ لما ذکر </w:t>
      </w:r>
      <w:r>
        <w:rPr>
          <w:rStyle w:val="FootnoteAnchor"/>
          <w:rtl w:val="true"/>
        </w:rPr>
        <w:footnoteReference w:id="356"/>
      </w:r>
      <w:r>
        <w:rPr>
          <w:rFonts w:ascii="IRNazanin" w:hAnsi="IRNazanin" w:eastAsia="IRNazanin"/>
          <w:color w:val="111111"/>
          <w:sz w:val="28"/>
          <w:sz w:val="28"/>
          <w:szCs w:val="28"/>
          <w:rtl w:val="true"/>
          <w:lang w:bidi="fa-IR"/>
        </w:rPr>
        <w:t xml:space="preserve">ولاستلزامه الحرج العظیم والضرر فی أکثر مواردها، وهما منفیّان بالآیة </w:t>
      </w:r>
      <w:r>
        <w:rPr>
          <w:rStyle w:val="FootnoteAnchor"/>
          <w:rtl w:val="true"/>
        </w:rPr>
        <w:footnoteReference w:id="357"/>
      </w:r>
      <w:r>
        <w:rPr>
          <w:rFonts w:ascii="IRNazanin" w:hAnsi="IRNazanin" w:eastAsia="IRNazanin"/>
          <w:color w:val="111111"/>
          <w:sz w:val="28"/>
          <w:sz w:val="28"/>
          <w:szCs w:val="28"/>
          <w:rtl w:val="true"/>
          <w:lang w:bidi="fa-IR"/>
        </w:rPr>
        <w:t xml:space="preserve">والخبر </w:t>
      </w:r>
      <w:r>
        <w:rPr>
          <w:rStyle w:val="FootnoteAnchor"/>
          <w:rtl w:val="true"/>
        </w:rPr>
        <w:footnoteReference w:id="358"/>
      </w:r>
      <w:r>
        <w:rPr>
          <w:rFonts w:ascii="IRNazanin" w:hAnsi="IRNazanin" w:eastAsia="IRNazanin"/>
          <w:color w:val="111111"/>
          <w:sz w:val="28"/>
          <w:sz w:val="28"/>
          <w:szCs w:val="28"/>
          <w:rtl w:val="true"/>
          <w:lang w:bidi="fa-IR"/>
        </w:rPr>
        <w:t>والأخبار لیست صریحة الدلالة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حملها علی شدّة الاستحباب، وأمّا حملها علی سبق قبول الوصیّة فهو منافٍ لظاهرها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بین الأصحاب هو الوجوب مطلقاً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أن یستثنی من ذلک ما یستلزم الضرر والحرج،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استثناء المعجوز عنه فواضح</w:t>
      </w:r>
      <w:r>
        <w:rPr>
          <w:rFonts w:eastAsia="IRNazanin" w:cs="IRNazanin"/>
          <w:color w:val="111111"/>
          <w:sz w:val="28"/>
          <w:szCs w:val="28"/>
          <w:rtl w:val="true"/>
          <w:lang w:bidi="fa-IR"/>
        </w:rPr>
        <w:t>.</w:t>
      </w:r>
      <w:bookmarkStart w:id="154" w:name="pg19810_214345"/>
    </w:p>
    <w:p>
      <w:pPr>
        <w:pStyle w:val="Heading2"/>
        <w:numPr>
          <w:ilvl w:val="1"/>
          <w:numId w:val="1"/>
        </w:numPr>
        <w:rPr/>
      </w:pPr>
      <w:bookmarkStart w:id="155" w:name="__RefHeading___Toc2175365_2314609296"/>
      <w:bookmarkStart w:id="156" w:name="_Toc57"/>
      <w:bookmarkEnd w:id="154"/>
      <w:bookmarkEnd w:id="155"/>
      <w:r>
        <w:rPr>
          <w:rtl w:val="true"/>
        </w:rPr>
        <w:t>کتاب النکاح</w:t>
      </w:r>
      <w:bookmarkEnd w:id="15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2175367_2314609296"/>
      <w:bookmarkStart w:id="158" w:name="_Toc58"/>
      <w:bookmarkEnd w:id="157"/>
      <w:r>
        <w:rPr>
          <w:rtl w:val="true"/>
        </w:rPr>
        <w:t>اشارة</w:t>
      </w:r>
      <w:bookmarkStart w:id="159" w:name="pg19810_214347"/>
      <w:bookmarkEnd w:id="158"/>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w:t>
      </w:r>
    </w:p>
    <w:p>
      <w:pPr>
        <w:pStyle w:val="Heading3"/>
        <w:numPr>
          <w:ilvl w:val="2"/>
          <w:numId w:val="1"/>
        </w:numPr>
        <w:rPr/>
      </w:pPr>
      <w:bookmarkStart w:id="160" w:name="__RefHeading___Toc2175369_2314609296"/>
      <w:bookmarkStart w:id="161" w:name="_Toc59"/>
      <w:bookmarkEnd w:id="160"/>
      <w:r>
        <w:rPr>
          <w:rtl w:val="true"/>
        </w:rPr>
        <w:t>«</w:t>
      </w:r>
      <w:r>
        <w:rPr>
          <w:rtl w:val="true"/>
        </w:rPr>
        <w:t>الأوّل</w:t>
      </w:r>
      <w:r>
        <w:rPr>
          <w:rtl w:val="true"/>
        </w:rPr>
        <w:t>»«</w:t>
      </w:r>
      <w:r>
        <w:rPr>
          <w:rtl w:val="true"/>
        </w:rPr>
        <w:t>فی المقدّمات</w:t>
      </w:r>
      <w:r>
        <w:rPr>
          <w:rtl w:val="true"/>
        </w:rPr>
        <w:t>»</w:t>
      </w:r>
      <w:bookmarkEnd w:id="161"/>
    </w:p>
    <w:p>
      <w:pPr>
        <w:pStyle w:val="Heading4"/>
        <w:numPr>
          <w:ilvl w:val="3"/>
          <w:numId w:val="1"/>
        </w:numPr>
        <w:rPr/>
      </w:pPr>
      <w:bookmarkStart w:id="162" w:name="__RefHeading___Toc2175371_2314609296"/>
      <w:bookmarkStart w:id="163" w:name="_Toc60"/>
      <w:bookmarkEnd w:id="162"/>
      <w:r>
        <w:rPr>
          <w:rtl w:val="true"/>
        </w:rPr>
        <w:t>اشارة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النکاح مستحبّ مؤکَّد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یمکنه فعله ولا یخاف بترکه الوقوع فی محرَّم، وإلّا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وأقلّ مراتب الأمر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سنّتی فلیس منّی</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سنّتی النکاح</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2175373_2314609296"/>
      <w:bookmarkStart w:id="165" w:name="_Toc61"/>
      <w:bookmarkEnd w:id="164"/>
      <w:r>
        <w:rPr>
          <w:rtl w:val="true"/>
        </w:rPr>
        <w:t>[</w:t>
      </w:r>
      <w:r>
        <w:rPr>
          <w:rtl w:val="true"/>
        </w:rPr>
        <w:t>فضله</w:t>
      </w:r>
      <w:r>
        <w:rPr>
          <w:rtl w:val="true"/>
        </w:rPr>
        <w:t>]</w:t>
      </w:r>
      <w:bookmarkEnd w:id="1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المتزوّج یُحرِز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الکافی بإسناده إلی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تزوّج أحرز نصف دینه، فلیتّقِ اللّٰه فی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الباقی</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دینه</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وهو من أعظم الفوائد فی </w:t>
      </w:r>
      <w:r>
        <w:rPr>
          <w:rStyle w:val="FootnoteAnchor"/>
          <w:rtl w:val="true"/>
        </w:rPr>
        <w:footnoteReference w:id="365"/>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النبیّ صلی الله علیه و آله بطریق أهل البیت علیهم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استفاد امرئ مسلم فائدة بعد الإسلام أفضل من زوجة مسلمة تسرّه إذا نظر إلیها، وتطیعه إذا أمرها، وتحفظه إذا غاب عنها فی نفسها وماله</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أجمع للمسلم خیر الدنیا وخیر الآخرة جعلت له قلباً خاشعاً، ولساناً ذاکراً، وجسداً علی البلاء صابراً، وزوجة مؤمنة تسرّه إذا نظر إلیها، وتحفظه إذا غاب عنها فی نفسها وماله</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ولیتخیّر البکر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الأبکار، فإنّهنّ أطیب شیءٍ أفواهاً، وأنشفه أرحاماً، وأدرّ شیءٍ أخلافاً، وأفتح شیءٍ أرحاماً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من شأنها ذلک، بأن لا تکون یائسة ولا صغیرة ولا عقیماً،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تزوّجوا بکراً وَلوداً، ولا تزوّجوا حسناء جمیلة عاقراً، فإنّی اُباهی بکم الاُمم یوم القیامة </w:t>
      </w:r>
      <w:r>
        <w:rPr>
          <w:rStyle w:val="FootnoteAnchor"/>
          <w:rtl w:val="true"/>
        </w:rPr>
        <w:footnoteReference w:id="369"/>
      </w:r>
      <w:r>
        <w:rPr>
          <w:rFonts w:ascii="Amiri" w:hAnsi="Amiri" w:eastAsia="Amiri" w:cs="Amiri"/>
          <w:color w:val="111111"/>
          <w:sz w:val="28"/>
          <w:sz w:val="28"/>
          <w:szCs w:val="28"/>
          <w:rtl w:val="true"/>
          <w:lang w:bidi="ar-SA"/>
        </w:rPr>
        <w:t xml:space="preserve">حتّی بالسقط، یظلّ محبنطئاً </w:t>
      </w:r>
      <w:r>
        <w:rPr>
          <w:rStyle w:val="FootnoteAnchor"/>
          <w:rtl w:val="true"/>
        </w:rPr>
        <w:footnoteReference w:id="370"/>
      </w:r>
      <w:r>
        <w:rPr>
          <w:rFonts w:ascii="IRNazanin" w:hAnsi="IRNazanin" w:eastAsia="IRNazanin"/>
          <w:color w:val="111111"/>
          <w:sz w:val="28"/>
          <w:sz w:val="28"/>
          <w:szCs w:val="28"/>
          <w:rtl w:val="true"/>
          <w:lang w:bidi="fa-IR"/>
        </w:rPr>
        <w:t>علی</w:t>
      </w:r>
      <w:bookmarkStart w:id="166" w:name="pg19810_214349"/>
    </w:p>
    <w:p>
      <w:pPr>
        <w:pStyle w:val="BookText"/>
        <w:rPr/>
      </w:pPr>
      <w:bookmarkEnd w:id="166"/>
      <w:r>
        <w:rPr>
          <w:rFonts w:ascii="IRNazanin" w:hAnsi="IRNazanin" w:eastAsia="IRNazanin"/>
          <w:color w:val="111111"/>
          <w:sz w:val="28"/>
          <w:sz w:val="28"/>
          <w:szCs w:val="28"/>
          <w:rtl w:val="true"/>
          <w:lang w:bidi="fa-IR"/>
        </w:rPr>
        <w:t>باب الجنّة، 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یدخل أبوای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تبارک وتعالی لملک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بأبویه فیأمر بهما إلی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بفضل رحمتی لک</w:t>
      </w:r>
      <w:r>
        <w:rPr>
          <w:rFonts w:eastAsia="IRNazanin" w:cs="IRNazanin"/>
          <w:color w:val="111111"/>
          <w:sz w:val="28"/>
          <w:szCs w:val="28"/>
          <w:rtl w:val="true"/>
          <w:lang w:bidi="fa-IR"/>
        </w:rPr>
        <w:t>»</w:t>
      </w:r>
    </w:p>
    <w:p>
      <w:pPr>
        <w:pStyle w:val="BookText"/>
        <w:rPr/>
      </w:pP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2175375_2314609296"/>
      <w:bookmarkStart w:id="168" w:name="_Toc62"/>
      <w:bookmarkEnd w:id="167"/>
      <w:r>
        <w:rPr>
          <w:rtl w:val="true"/>
        </w:rPr>
        <w:t>[</w:t>
      </w:r>
      <w:r>
        <w:rPr>
          <w:rtl w:val="true"/>
        </w:rPr>
        <w:t>آدابه</w:t>
      </w:r>
      <w:r>
        <w:rPr>
          <w:rtl w:val="true"/>
        </w:rPr>
        <w:t>]</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أبواها صالحین مؤمنین،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أنکحوا الأکفاء وانکحوا فیهم واختاروا لنطفکم</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یقتصر علی الجمال أو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مراعاة الأصل والعفّة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فی منبت السوء</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وعن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المرأة لجمالها، أو لمالها وُکِل إلی ذلک، وإذا تزوّجها لدینها رزقه اللّٰه الجمال والمال</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التزویج قبلَ تعیین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رکعتین والاستخارة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یطلب من اللّٰه تعالی الخیرة له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بعدهما بالخیرة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اُریدُ أن أتزوّج فقدّر لی من النساء أعفّهنّ فرجاً، وأحفظهنّ لی فی نفسها ومالی، وأوسعهنّ رزقاً، وأعظمهنّ برکة، وقدّر لی ولداً طیّباً تجعله خلفاً صالحاً فی حیاتی وبعد موتی</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أو غیره من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ورکعتی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مهامّ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بعدهما بالمأثور أو بما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للتأسّی، وأقلّها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وإیقاعه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السنّة التزویج باللیل، لأنّ اللّٰه جعل اللیل سکناً، والنساء إنّما هنّ سکن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ولیجتنب إیقاعه والقمر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والقمر فی العقرب لم یرَ الحسنی</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والتزویج حقیقة 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بعدهما بعد أن یمجّد </w:t>
      </w:r>
      <w:r>
        <w:rPr>
          <w:rStyle w:val="FootnoteAnchor"/>
          <w:rtl w:val="true"/>
        </w:rPr>
        <w:footnoteReference w:id="378"/>
      </w:r>
      <w:r>
        <w:rPr>
          <w:rFonts w:ascii="IRNazanin" w:hAnsi="IRNazanin" w:eastAsia="IRNazanin"/>
          <w:color w:val="111111"/>
          <w:sz w:val="28"/>
          <w:sz w:val="28"/>
          <w:szCs w:val="28"/>
          <w:rtl w:val="true"/>
          <w:lang w:bidi="fa-IR"/>
        </w:rPr>
        <w:t>اللّٰه ویصلّی علی النبیّ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إلفَها ووُدَّها ورضاها، وأرضنی بها، واجمع بیننا بأحسن اجتماع وآنس ائتلاف، فإنّک تحبّ الحلال وتکره الحرام</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أو </w:t>
      </w:r>
      <w:r>
        <w:rPr>
          <w:rStyle w:val="FootnoteAnchor"/>
          <w:rtl w:val="true"/>
        </w:rPr>
        <w:footnoteReference w:id="380"/>
      </w:r>
      <w:r>
        <w:rPr>
          <w:rFonts w:ascii="IRNazanin" w:hAnsi="IRNazanin" w:eastAsia="IRNazanin"/>
          <w:color w:val="111111"/>
          <w:sz w:val="28"/>
          <w:sz w:val="28"/>
          <w:szCs w:val="28"/>
          <w:rtl w:val="true"/>
          <w:lang w:bidi="fa-IR"/>
        </w:rPr>
        <w:t xml:space="preserve">غیره من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فتصلّی رکعتین بعد الطهارة وتدعو اللّٰه تعالی بمعنی ما دعا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کالعقد،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زُفّوا نساءکم لیلاً، وأطعموا ضُحیً</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 یده علی ناصیتها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بین نزعتیها من مقدَّم رأسها عند دخولها علیه، ولیقل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 کتابک تزوّجتها، وفی أمانتک أخذتها، وبکلماتک استحللت فرجَها، فإن قضیت لی فی رحمها شیئاً فاجعله مسلماً سویّاً، ولا تجعله شرک شیطان</w:t>
      </w:r>
      <w:r>
        <w:rPr>
          <w:rFonts w:eastAsia="IRNazanin" w:cs="IRNazanin"/>
          <w:color w:val="111111"/>
          <w:sz w:val="28"/>
          <w:szCs w:val="28"/>
          <w:rtl w:val="true"/>
          <w:lang w:bidi="fa-IR"/>
        </w:rPr>
        <w:t xml:space="preserve">»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الجماع</w:t>
      </w:r>
    </w:p>
    <w:p>
      <w:pPr>
        <w:pStyle w:val="BookText"/>
        <w:rPr/>
      </w:pP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الدخول بها وبعده لیتباعد عنه الشیطان ویسلم من شرکه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ویسأل اللّٰه الولد الذکر السویّ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فذکر شرک الشیطان فعظَّمه حتّی أفزعنی،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المخرج من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الجماع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الذی لا إله إلّاهو بدیع السماوات والأرض، اللهمّ إن قضیت منّی فی هذه اللیلة خلیفة فلا تجعل للشیطان فیه شرکاً ولا نصیباً ولا حظّاً، واجعله مؤمناً مخلصاً صفیّاً من الشیطان ورجزه، جلّ ثناؤک</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الزفاف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أو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تأسّیاً بالنبیّ صلی الله علیه و آله فقد أولم علی جملة من نسائه، 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سنن المرسلین الإطعام عند التزویج</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الولیمة أوّل یوم حقّ، والثانی معروف، وما زاد ریاءٌ وسُمعة</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وأفضلهم الفقراء، ویُکره أن یکونوا کلّهم أغنیاء ولا بأس بالشرکة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مؤکّداً، ومن کان صائماً ندباً فالأفضل له الإفطار، خصوصاً إذا شقّ بصاحب الدعوة صیامه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أکل نثار العرس وأخذه بشاهد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شهادة الحال بالإذن فی أخذه؛ لأنّ الحال یشهد بأخذه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أخذه به فهل یملک بالأخذ، أم هو مجرّد إباحة؟ قولان </w:t>
      </w:r>
      <w:r>
        <w:rPr>
          <w:rStyle w:val="FootnoteAnchor"/>
          <w:rtl w:val="true"/>
        </w:rPr>
        <w:footnoteReference w:id="388"/>
      </w:r>
      <w:r>
        <w:rPr>
          <w:rFonts w:ascii="IRNazanin" w:hAnsi="IRNazanin" w:eastAsia="IRNazanin"/>
          <w:color w:val="111111"/>
          <w:sz w:val="28"/>
          <w:sz w:val="28"/>
          <w:szCs w:val="28"/>
          <w:rtl w:val="true"/>
          <w:lang w:bidi="fa-IR"/>
        </w:rPr>
        <w:t>أجودهما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الفائدة فی جواز</w:t>
      </w:r>
    </w:p>
    <w:p>
      <w:pPr>
        <w:pStyle w:val="BookText"/>
        <w:rPr/>
      </w:pPr>
      <w:r>
        <w:rPr>
          <w:rFonts w:ascii="IRNazanin" w:hAnsi="IRNazanin" w:eastAsia="IRNazanin"/>
          <w:color w:val="111111"/>
          <w:sz w:val="28"/>
          <w:sz w:val="28"/>
          <w:szCs w:val="28"/>
          <w:rtl w:val="true"/>
          <w:lang w:bidi="fa-IR"/>
        </w:rPr>
        <w:t>الرجوع فیه ما دامت عینه باقیة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إلّایوم الخمیس، فقد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الشیطان لا یقرب الولد الذی یتولّد حینئذٍ حتّی یشیب</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الغروب حتّی یذهب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الأحمر، ومثله ما بین طلوع الفجر إلی طلوع الشمس؛ لوروده معه فی الخبر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عنه رواه الصدوق عن أبی عبد اللّٰه علیه السلام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وعقیب الاحتلام قبل الغسل أو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أن یغشی الرجلُ المرأةَ وقد احتلم حتّی یغتسل من احتلامه الذی رأی، فإن فعل ذلک وخرج الولد مجنوناً فلا یلومنّ إلّانفسه</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ولا تکره معاودة الجماع بغیر غسل؛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والجماع عند ناظر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یری العورة،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غشی امرأته وفی البیت مستیقظ یراهما ویسمع کلامهما ونَفَسَهما ما أفلح أبداً، إن کان غلاماً کان زانیاً، وإن کانت جاریة کانت زانیة</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یجامع الرجل امرأته ولا جاریته وفی البیت صبیّ، فإنّ ذلک ممّا یورث الزنا</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یعتبر کونه ممیّزاً؟ وجه یشعر به الخبر الأوّل، وأمّا الثانی فمطلق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 إلی الفرج حال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وحال الجماع أشدّ کراهةً،</w:t>
      </w:r>
    </w:p>
    <w:p>
      <w:pPr>
        <w:pStyle w:val="BookText"/>
        <w:rPr/>
      </w:pPr>
      <w:r>
        <w:rPr>
          <w:rFonts w:ascii="IRNazanin" w:hAnsi="IRNazanin" w:eastAsia="IRNazanin"/>
          <w:color w:val="111111"/>
          <w:sz w:val="28"/>
          <w:sz w:val="28"/>
          <w:szCs w:val="28"/>
          <w:rtl w:val="true"/>
          <w:lang w:bidi="fa-IR"/>
        </w:rPr>
        <w:t xml:space="preserve">وإلی باطن الفرج أقوی شدّة، وحرّمه بعض الأصحاب </w:t>
      </w:r>
      <w:r>
        <w:rPr>
          <w:rStyle w:val="FootnoteAnchor"/>
          <w:rtl w:val="true"/>
        </w:rPr>
        <w:footnoteReference w:id="395"/>
      </w:r>
      <w:r>
        <w:rPr>
          <w:rFonts w:ascii="IRNazanin" w:hAnsi="IRNazanin" w:eastAsia="IRNazanin"/>
          <w:color w:val="111111"/>
          <w:sz w:val="28"/>
          <w:sz w:val="28"/>
          <w:szCs w:val="28"/>
          <w:rtl w:val="true"/>
          <w:lang w:bidi="fa-IR"/>
        </w:rPr>
        <w:t xml:space="preserve">وقد روی أ نّه یورث العمی فی الولد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والجماع مستقبلَ القبلة ومستدبرَها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التقاء الختانین إلّابذکر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الکلام عند ملتقی الختانین فإنّه یورث الخرس</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ومن الرجل آکد، ففی وصیّة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تتکلّم عند الجماع کثیراً، فإنّه إن قضی بینکما ولد لا یؤمن أن یکون أخرس</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ولیلةَ الخسوف ویومَ الکسوف وعند هبوب الریح الصفراء أو السوداء، أو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الباقر علیه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 محمّداً صلی الله علیه و آله بالنبوّة واختصّه بالرسالة واصطفاه بالکرامة، لا یجامع أحد منکم فی وقت من هذه الأوقات فیرزق ذرّیة فیری فیها قرّة عین</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لیلة من کلّ شهر إلّاشهر رمضان، ونصفَه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المستثنی، ففی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تجامع امرأتک فی أوّل الشهر ووسطه وآخره، فإنّ الجنون والجذام والخَبَل یُسرع إلیها وإلی ولدها</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للرجل أن یجامع فی أوّل لیلة من الشهر وفی وسطه وفی آخره، فإنّه من فعل ذلک خرج الولد مجنوناً، ألا تری أنّ المجنون أکثر ما یصرع</w:t>
      </w:r>
      <w:bookmarkStart w:id="169" w:name="pg19810_214354"/>
    </w:p>
    <w:p>
      <w:pPr>
        <w:pStyle w:val="BookText"/>
        <w:rPr/>
      </w:pPr>
      <w:bookmarkEnd w:id="169"/>
      <w:r>
        <w:rPr>
          <w:rFonts w:ascii="IRNazanin" w:hAnsi="IRNazanin" w:eastAsia="IRNazanin"/>
          <w:color w:val="111111"/>
          <w:sz w:val="28"/>
          <w:sz w:val="28"/>
          <w:szCs w:val="28"/>
          <w:rtl w:val="true"/>
          <w:lang w:bidi="fa-IR"/>
        </w:rPr>
        <w:t>فی أوّل الشهر ووسطه وآخره؟</w:t>
      </w:r>
      <w:r>
        <w:rPr>
          <w:rFonts w:eastAsia="IRNazanin" w:cs="IRNazanin"/>
          <w:color w:val="111111"/>
          <w:sz w:val="28"/>
          <w:szCs w:val="28"/>
          <w:rtl w:val="true"/>
          <w:lang w:bidi="fa-IR"/>
        </w:rPr>
        <w:t>»</w:t>
      </w:r>
    </w:p>
    <w:p>
      <w:pPr>
        <w:pStyle w:val="BookText"/>
        <w:rPr/>
      </w:pP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الصدوق عن علیّ علیه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یستحبّ للرجل أن یأتی أهله أوّل لیلة من شهر رمضان؛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 xml:space="preserve">) » </w:t>
      </w:r>
      <w:r>
        <w:rPr>
          <w:rStyle w:val="FootnoteAnchor"/>
          <w:rtl w:val="true"/>
        </w:rPr>
        <w:footnoteReference w:id="4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السفر مع عدم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عنه عن الکاظم علیه السلام </w:t>
      </w:r>
      <w:r>
        <w:rPr>
          <w:rStyle w:val="FootnoteAnchor"/>
          <w:rtl w:val="true"/>
        </w:rPr>
        <w:footnoteReference w:id="404"/>
      </w:r>
      <w:r>
        <w:rPr>
          <w:rFonts w:ascii="IRNazanin" w:hAnsi="IRNazanin" w:eastAsia="IRNazanin"/>
          <w:color w:val="111111"/>
          <w:sz w:val="28"/>
          <w:sz w:val="28"/>
          <w:szCs w:val="28"/>
          <w:rtl w:val="true"/>
          <w:lang w:bidi="fa-IR"/>
        </w:rPr>
        <w:t>مستثنیاً منه خوفه علی نفسه</w:t>
      </w:r>
      <w:r>
        <w:rPr>
          <w:rFonts w:eastAsia="IRNazanin" w:cs="IRNazanin"/>
          <w:color w:val="111111"/>
          <w:sz w:val="28"/>
          <w:szCs w:val="28"/>
          <w:rtl w:val="true"/>
          <w:lang w:bidi="fa-IR"/>
        </w:rPr>
        <w:t>.</w:t>
      </w:r>
    </w:p>
    <w:p>
      <w:pPr>
        <w:pStyle w:val="Heading4"/>
        <w:numPr>
          <w:ilvl w:val="3"/>
          <w:numId w:val="1"/>
        </w:numPr>
        <w:rPr/>
      </w:pPr>
      <w:bookmarkStart w:id="170" w:name="__RefHeading___Toc2175377_2314609296"/>
      <w:bookmarkStart w:id="171" w:name="_Toc63"/>
      <w:bookmarkEnd w:id="170"/>
      <w:r>
        <w:rPr>
          <w:rtl w:val="true"/>
        </w:rPr>
        <w:t>[</w:t>
      </w:r>
      <w:r>
        <w:rPr>
          <w:rtl w:val="true"/>
        </w:rPr>
        <w:t>احکام النظر</w:t>
      </w:r>
      <w:r>
        <w:rPr>
          <w:rtl w:val="true"/>
        </w:rPr>
        <w:t>]</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النظر إلی وجه امرأة یرید نکاحها وإن لم یستأذنها، بل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النظر لیرتفع عنه الغرر، فإنّه مستام </w:t>
      </w:r>
      <w:r>
        <w:rPr>
          <w:rStyle w:val="FootnoteAnchor"/>
          <w:rtl w:val="true"/>
        </w:rPr>
        <w:footnoteReference w:id="405"/>
      </w:r>
      <w:r>
        <w:rPr>
          <w:rFonts w:ascii="IRNazanin" w:hAnsi="IRNazanin" w:eastAsia="IRNazanin"/>
          <w:color w:val="111111"/>
          <w:sz w:val="28"/>
          <w:sz w:val="28"/>
          <w:szCs w:val="28"/>
          <w:rtl w:val="true"/>
          <w:lang w:bidi="fa-IR"/>
        </w:rPr>
        <w:t xml:space="preserve">یأخذ بأغلی ثمن کما ورد فی الخبر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ویختصّ الجواز بالوجه والکفّین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ظاهرِهما وباطِنهما إلی الزندین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وینظرها قائمة وماشیة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یجوز للمرأة نظره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الفضل مرسلاً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النظر إلی شعرها ومحاسنها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مواضع الزینة إذا لم یکن متلذّذاً </w:t>
      </w:r>
      <w:r>
        <w:rPr>
          <w:rStyle w:val="FootnoteAnchor"/>
          <w:rtl w:val="true"/>
        </w:rPr>
        <w:footnoteReference w:id="407"/>
      </w:r>
      <w:r>
        <w:rPr>
          <w:rFonts w:ascii="IRNazanin" w:hAnsi="IRNazanin" w:eastAsia="IRNazanin"/>
          <w:color w:val="111111"/>
          <w:sz w:val="28"/>
          <w:sz w:val="28"/>
          <w:szCs w:val="28"/>
          <w:rtl w:val="true"/>
          <w:lang w:bidi="fa-IR"/>
        </w:rPr>
        <w:t xml:space="preserve">وهی مردودة بالإرسال وغیره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العلم بصلاحیّتها للتزویج، بخلوّها من البعل والعدّة والتحریم، وتجویز إجابتها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ومباشرة المرید بنفسه، فلا یجوز الاستنابة فیه وإن کان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لا یکون بریبة ولا تلذّذ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بعضهم أن یستفید بالنظر فائدة، فلو کان عالماً بحالها قبله لم یصحّ </w:t>
      </w:r>
      <w:r>
        <w:rPr>
          <w:rStyle w:val="FootnoteAnchor"/>
          <w:rtl w:val="true"/>
        </w:rPr>
        <w:footnoteReference w:id="409"/>
      </w:r>
      <w:r>
        <w:rPr>
          <w:rFonts w:ascii="IRNazanin" w:hAnsi="IRNazanin" w:eastAsia="IRNazanin"/>
          <w:color w:val="111111"/>
          <w:sz w:val="28"/>
          <w:sz w:val="28"/>
          <w:szCs w:val="28"/>
          <w:rtl w:val="true"/>
          <w:lang w:bidi="fa-IR"/>
        </w:rPr>
        <w:t>وهو حسن، لکنّ النصّ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 الباعث علی النظر إرادة التزویج، دون العکس </w:t>
      </w:r>
      <w:r>
        <w:rPr>
          <w:rStyle w:val="FootnoteAnchor"/>
          <w:rtl w:val="true"/>
        </w:rPr>
        <w:footnoteReference w:id="410"/>
      </w:r>
      <w:r>
        <w:rPr>
          <w:rFonts w:ascii="IRNazanin" w:hAnsi="IRNazanin" w:eastAsia="IRNazanin"/>
          <w:color w:val="111111"/>
          <w:sz w:val="28"/>
          <w:sz w:val="28"/>
          <w:szCs w:val="28"/>
          <w:rtl w:val="true"/>
          <w:lang w:bidi="fa-IR"/>
        </w:rPr>
        <w:t>ولیس بجیّد؛ لأنّ المعتبر قصد التزویج قبل النظر کیف کان الباعث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النظر إلی وجه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الکفّار بطریق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ینظر الرجل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العورتین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شابّاً حسن الصورة، لا 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خوف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تنظر المرأة إلی مثلها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 إلی جسد الزوجة باطناً وظاهراً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أمته غیر المزوّجة والمعتدّة وبالعکس، ویُکره إلی العورة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من یحرم نکاحهنّ مؤبّداً بنسب أو رضاع أو مصاهرة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هنا القبل والدبر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الإباحة بالمحاسن </w:t>
      </w:r>
      <w:r>
        <w:rPr>
          <w:rStyle w:val="FootnoteAnchor"/>
          <w:rtl w:val="true"/>
        </w:rPr>
        <w:footnoteReference w:id="411"/>
      </w:r>
      <w:r>
        <w:rPr>
          <w:rFonts w:ascii="Amiri" w:hAnsi="Amiri" w:eastAsia="Amiri" w:cs="Amiri"/>
          <w:color w:val="111111"/>
          <w:sz w:val="28"/>
          <w:sz w:val="28"/>
          <w:szCs w:val="28"/>
          <w:rtl w:val="true"/>
          <w:lang w:bidi="ar-SA"/>
        </w:rPr>
        <w:t>جمعاً بین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غیر المحرم</w:t>
      </w:r>
    </w:p>
    <w:p>
      <w:pPr>
        <w:pStyle w:val="BookText"/>
        <w:rPr/>
      </w:pPr>
      <w:r>
        <w:rPr>
          <w:rFonts w:ascii="IRNazanin" w:hAnsi="IRNazanin" w:eastAsia="IRNazanin"/>
          <w:color w:val="111111"/>
          <w:sz w:val="28"/>
          <w:sz w:val="28"/>
          <w:szCs w:val="28"/>
          <w:rtl w:val="true"/>
          <w:lang w:bidi="fa-IR"/>
        </w:rPr>
        <w:t xml:space="preserve">والزوجة والأمة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معاودة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الواحد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إلّالضرورة کالمعاملة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إذا دُعی إلیها أو لتحقیق الوطء فی الزنا وإن لم یُدعَ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الطبیب 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یحرم علی المرأة أن تنظر إلی الأجنبیّ أو تسمع صوته إلّالضرورة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کالمعاملة والطبّ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لتناول النهی </w:t>
      </w:r>
      <w:r>
        <w:rPr>
          <w:rStyle w:val="FootnoteAnchor"/>
          <w:rtl w:val="true"/>
        </w:rPr>
        <w:footnoteReference w:id="413"/>
      </w:r>
      <w:r>
        <w:rPr>
          <w:rFonts w:ascii="IRNazanin" w:hAnsi="IRNazanin" w:eastAsia="IRNazanin"/>
          <w:color w:val="111111"/>
          <w:sz w:val="28"/>
          <w:sz w:val="28"/>
          <w:szCs w:val="28"/>
          <w:rtl w:val="true"/>
          <w:lang w:bidi="fa-IR"/>
        </w:rPr>
        <w:t>له، ولقول النبیّ صلی الله علیه و آله لاُمّ سلمة ومیمونة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أمرهما بالاحتجاب من ابن اُمّ مکتوم، وقولهما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أعَمْیاوان أنتما؟ ألستما تبصرانِه؟</w:t>
      </w:r>
      <w:r>
        <w:rPr>
          <w:rFonts w:eastAsia="IRNazanin" w:cs="IRNazanin"/>
          <w:color w:val="111111"/>
          <w:sz w:val="28"/>
          <w:szCs w:val="28"/>
          <w:rtl w:val="true"/>
          <w:lang w:bidi="fa-IR"/>
        </w:rPr>
        <w:t xml:space="preserve">» </w:t>
      </w:r>
      <w:r>
        <w:rPr>
          <w:rStyle w:val="FootnoteAnchor"/>
          <w:rtl w:val="true"/>
        </w:rPr>
        <w:footnoteReference w:id="414"/>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جواز نظر المرأة إلی الخصیّ المملوک لها أو بالعکس خلاف</w:t>
      </w:r>
      <w:r>
        <w:rPr>
          <w:rFonts w:eastAsia="IRNazanin" w:cs="IRNazanin"/>
          <w:color w:val="111111"/>
          <w:sz w:val="28"/>
          <w:szCs w:val="28"/>
          <w:rtl w:val="true"/>
          <w:lang w:bidi="fa-IR"/>
        </w:rPr>
        <w:t xml:space="preserve">» </w:t>
      </w:r>
      <w:r>
        <w:rPr>
          <w:rStyle w:val="FootnoteAnchor"/>
          <w:rtl w:val="true"/>
        </w:rPr>
        <w:footnoteReference w:id="416"/>
      </w:r>
      <w:r>
        <w:rPr>
          <w:rFonts w:ascii="Amiri" w:hAnsi="Amiri" w:eastAsia="Amiri" w:cs="Amiri"/>
          <w:color w:val="111111"/>
          <w:sz w:val="28"/>
          <w:sz w:val="28"/>
          <w:szCs w:val="28"/>
          <w:rtl w:val="true"/>
          <w:lang w:bidi="ar-SA"/>
        </w:rPr>
        <w:t>منشؤه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مَلَکَتْ أَیْمٰانُهُنَّ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المتناول بعمومه لموضع النزاع، وما قیل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اختصاصه بالإماء جمعاً بینه وبین الأمر بغضّ البصر وحفظ الفرج مطلقاً، ولا یرد دخولهن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لاختصاصهنّ بالمسلمات، وعموم ملک الیمین للکافرات، ولا یخفی أنّ هذا کلّه خلاف ظاهر الآیة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72" w:name="pg19810_214357"/>
    </w:p>
    <w:p>
      <w:pPr>
        <w:pStyle w:val="BookText"/>
        <w:rPr/>
      </w:pPr>
      <w:bookmarkEnd w:id="172"/>
      <w:r>
        <w:rPr>
          <w:rFonts w:ascii="IRNazanin" w:hAnsi="IRNazanin" w:eastAsia="IRNazanin"/>
          <w:color w:val="111111"/>
          <w:sz w:val="28"/>
          <w:sz w:val="28"/>
          <w:szCs w:val="28"/>
          <w:rtl w:val="true"/>
          <w:lang w:bidi="fa-IR"/>
        </w:rPr>
        <w:t>من غیر وجه للتخصیص ظاهرٍ</w:t>
      </w:r>
      <w:r>
        <w:rPr>
          <w:rFonts w:eastAsia="IRNazanin" w:cs="IRNazanin"/>
          <w:color w:val="111111"/>
          <w:sz w:val="28"/>
          <w:szCs w:val="28"/>
          <w:rtl w:val="true"/>
          <w:lang w:bidi="fa-IR"/>
        </w:rPr>
        <w:t>.</w:t>
      </w:r>
    </w:p>
    <w:p>
      <w:pPr>
        <w:pStyle w:val="Heading4"/>
        <w:numPr>
          <w:ilvl w:val="3"/>
          <w:numId w:val="1"/>
        </w:numPr>
        <w:rPr/>
      </w:pPr>
      <w:bookmarkStart w:id="173" w:name="__RefHeading___Toc2175379_2314609296"/>
      <w:bookmarkStart w:id="174" w:name="_Toc64"/>
      <w:bookmarkEnd w:id="173"/>
      <w:r>
        <w:rPr>
          <w:rtl w:val="true"/>
        </w:rPr>
        <w:t>[</w:t>
      </w:r>
      <w:r>
        <w:rPr>
          <w:rtl w:val="true"/>
        </w:rPr>
        <w:t>بعض احکام الاستمتاع</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استمتاع الزوج بما شاء من الزوجة، إلّاالقبل فی الحیض والنفاس</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وکذا </w:t>
      </w:r>
      <w:r>
        <w:rPr>
          <w:rStyle w:val="FootnoteAnchor"/>
          <w:rtl w:val="true"/>
        </w:rPr>
        <w:footnoteReference w:id="420"/>
      </w:r>
      <w:r>
        <w:rPr>
          <w:rFonts w:ascii="IRNazanin" w:hAnsi="IRNazanin" w:eastAsia="IRNazanin"/>
          <w:color w:val="111111"/>
          <w:sz w:val="28"/>
          <w:sz w:val="28"/>
          <w:szCs w:val="28"/>
          <w:rtl w:val="true"/>
          <w:lang w:bidi="fa-IR"/>
        </w:rPr>
        <w:t>فی الأمة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والوطء فی دبرها مکروه کراهةً مغلَّظة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تحریم علی أشهر القولین </w:t>
      </w:r>
      <w:r>
        <w:rPr>
          <w:rStyle w:val="FootnoteAnchor"/>
          <w:rtl w:val="true"/>
        </w:rPr>
        <w:footnoteReference w:id="421"/>
      </w:r>
      <w:r>
        <w:rPr>
          <w:rFonts w:ascii="IRNazanin" w:hAnsi="IRNazanin" w:eastAsia="IRNazanin"/>
          <w:color w:val="111111"/>
          <w:sz w:val="28"/>
          <w:sz w:val="28"/>
          <w:szCs w:val="28"/>
          <w:rtl w:val="true"/>
          <w:lang w:bidi="fa-IR"/>
        </w:rPr>
        <w:t xml:space="preserve">والروایتین </w:t>
      </w:r>
      <w:r>
        <w:rPr>
          <w:rStyle w:val="FootnoteAnchor"/>
          <w:rtl w:val="true"/>
        </w:rPr>
        <w:footnoteReference w:id="422"/>
      </w:r>
      <w:r>
        <w:rPr>
          <w:rFonts w:ascii="IRNazanin" w:hAnsi="IRNazanin" w:eastAsia="IRNazanin"/>
          <w:color w:val="111111"/>
          <w:sz w:val="28"/>
          <w:sz w:val="28"/>
          <w:szCs w:val="28"/>
          <w:rtl w:val="true"/>
          <w:lang w:bidi="fa-IR"/>
        </w:rPr>
        <w:t xml:space="preserve">وظاهر آیة الحرث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روی عن النبیّ صلی الله علیه و آله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محاش النساء علی اُمّتی حرام</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وهو مع سلامة سنده محمول علی شدّة الکراهة، جمعاً بینه وبین صحیحة ابن أبی یعفور </w:t>
      </w:r>
      <w:r>
        <w:rPr>
          <w:rStyle w:val="FootnoteAnchor"/>
          <w:rtl w:val="true"/>
        </w:rPr>
        <w:footnoteReference w:id="425"/>
      </w:r>
      <w:r>
        <w:rPr>
          <w:rFonts w:ascii="IRNazanin" w:hAnsi="IRNazanin" w:eastAsia="IRNazanin"/>
          <w:color w:val="111111"/>
          <w:sz w:val="28"/>
          <w:sz w:val="28"/>
          <w:szCs w:val="28"/>
          <w:rtl w:val="true"/>
          <w:lang w:bidi="fa-IR"/>
        </w:rPr>
        <w:t>الدالّة علی الجواز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الدبر، ویقال أیضاً بالسین المهملة </w:t>
      </w:r>
      <w:r>
        <w:rPr>
          <w:rStyle w:val="FootnoteAnchor"/>
          <w:rtl w:val="true"/>
        </w:rPr>
        <w:footnoteReference w:id="426"/>
      </w:r>
      <w:r>
        <w:rPr>
          <w:rFonts w:ascii="Amiri" w:hAnsi="Amiri" w:eastAsia="Amiri" w:cs="Amiri"/>
          <w:color w:val="111111"/>
          <w:sz w:val="28"/>
          <w:sz w:val="28"/>
          <w:szCs w:val="28"/>
          <w:rtl w:val="true"/>
          <w:lang w:bidi="ar-SA"/>
        </w:rPr>
        <w:t>کُنِّی بالمحاش عن الأدبار،</w:t>
      </w:r>
    </w:p>
    <w:p>
      <w:pPr>
        <w:pStyle w:val="BookText"/>
        <w:rPr/>
      </w:pPr>
      <w:r>
        <w:rPr>
          <w:rFonts w:ascii="IRNazanin" w:hAnsi="IRNazanin" w:eastAsia="IRNazanin"/>
          <w:color w:val="111111"/>
          <w:sz w:val="28"/>
          <w:sz w:val="28"/>
          <w:szCs w:val="28"/>
          <w:rtl w:val="true"/>
          <w:lang w:bidi="fa-IR"/>
        </w:rPr>
        <w:t>کما کُنِّی بالحُشوش عن مواضع الغائط، فإنّ أصلها الحشّ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الکنیف، وأصله البستان؛ لأنّهم کانوا کثیراً ما یتغوّطون فی البساتین، کذا فی نهایة ابن الأثیر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العزل عن الحرّة بغیر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حال العقد؛ لمنافاته لحکمة النکاح وهی الاستیلاد فیکون منافیاً لغرض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والأشهر الکراهة؛ لصحیحة محمّد بن مسلم عن أحدهما علیهما السلام أ نّه سأله عن العزل،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الأمة فلا بأس، وأمّا الحرّة فإنّی أکره ذلک، إلّاأن یشترط علیها حین یتزوّجها</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والکراهة ظاهرة فی المرجوح الذی لا یمنع من النقیض، بل حقیقة فیه، فلا تصلح حجّة للمنع من حیث إطلاقها علی التحریم فی بعض مواردها؛ فإنّ ذلک علی وجه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الحقیقة فاشتراکها یمنع من دلالة التحریم، فیرجع إلی 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یحکم بالتحریم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دیة النطفة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للمرأة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کرهناه فهی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بالحرّة عن الأمة فلا یحرم العزل عنها إجماعاً وإن کانت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الحرّة الدوام فلا تحریم فی المتعة، وعدمُ الإذن فلو أذنت انتفی أیضاً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یکره لها العزل بدون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یحرم لو قلنا به منه؟ مقتضی الدلیل الأوّل ذلک، والأخبار خالیة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القول فی دیة النطفة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ترک وطء الزوجة أکثر من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فی الوجوب مسمّاه وهو الموجب للغسل، ولا یشترط 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الدبر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هلالیّة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مؤبّداً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أفضاها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بالوطء، بأن صیّر مسلک البول والحیض واحداً، أو مسلک الحیض والغائط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تخرج بذلک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حبالته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 قولان </w:t>
      </w:r>
      <w:r>
        <w:rPr>
          <w:rStyle w:val="FootnoteAnchor"/>
          <w:rtl w:val="true"/>
        </w:rPr>
        <w:footnoteReference w:id="430"/>
      </w:r>
      <w:r>
        <w:rPr>
          <w:rFonts w:ascii="IRNazanin" w:hAnsi="IRNazanin" w:eastAsia="IRNazanin"/>
          <w:color w:val="111111"/>
          <w:sz w:val="28"/>
          <w:sz w:val="28"/>
          <w:szCs w:val="28"/>
          <w:rtl w:val="true"/>
          <w:lang w:bidi="fa-IR"/>
        </w:rPr>
        <w:t>أظهرهما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القولین یجب الإنفاق علیها حتّی یموت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اخترناه یحرم علیه اُختها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یحرم علیه وطؤها فی الدبر والاستمتاع بغیر الوطء؟ وجهان أجودهما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له طلاقها، ولا تسقط به النفقة وإن کان 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تزوّجت بغیره ففی سقوطها وجهان، فإن طلّقها الثانی بائناً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تعذّر إنفاقه علیها لغیبة أو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وجوبها علی المفضی مطلقاً؛ لإطلاق النصّ </w:t>
      </w:r>
      <w:r>
        <w:rPr>
          <w:rStyle w:val="FootnoteAnchor"/>
          <w:rtl w:val="true"/>
        </w:rPr>
        <w:footnoteReference w:id="431"/>
      </w:r>
      <w:r>
        <w:rPr>
          <w:rFonts w:ascii="IRNazanin" w:hAnsi="IRNazanin" w:eastAsia="IRNazanin"/>
          <w:color w:val="111111"/>
          <w:sz w:val="28"/>
          <w:sz w:val="28"/>
          <w:szCs w:val="28"/>
          <w:rtl w:val="true"/>
          <w:lang w:bidi="fa-IR"/>
        </w:rPr>
        <w:t>ولا فرق فی الحکم بین الدائم والمتمتّع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یثبت الحکم فی الأجنبیّة؟ قولان </w:t>
      </w:r>
      <w:r>
        <w:rPr>
          <w:rStyle w:val="FootnoteAnchor"/>
          <w:rtl w:val="true"/>
        </w:rPr>
        <w:footnoteReference w:id="432"/>
      </w:r>
      <w:r>
        <w:rPr>
          <w:rFonts w:ascii="IRNazanin" w:hAnsi="IRNazanin" w:eastAsia="IRNazanin"/>
          <w:color w:val="111111"/>
          <w:sz w:val="28"/>
          <w:sz w:val="28"/>
          <w:szCs w:val="28"/>
          <w:rtl w:val="true"/>
          <w:lang w:bidi="fa-IR"/>
        </w:rPr>
        <w:t>أقربهما ذلک فی التحریم المؤبّد، دون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الأمة الوجهان وأولی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 الإشکال فی الإنفاق لو أعتقها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أفضی الزوجة بعد التسع ففی تحریمها وجهان، أجودهما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w:t>
      </w:r>
    </w:p>
    <w:p>
      <w:pPr>
        <w:pStyle w:val="BookText"/>
        <w:rPr/>
      </w:pPr>
      <w:r>
        <w:rPr>
          <w:rFonts w:ascii="IRNazanin" w:hAnsi="IRNazanin" w:eastAsia="IRNazanin"/>
          <w:color w:val="111111"/>
          <w:sz w:val="28"/>
          <w:sz w:val="28"/>
          <w:szCs w:val="28"/>
          <w:rtl w:val="true"/>
          <w:lang w:bidi="fa-IR"/>
        </w:rPr>
        <w:t>بالعدم إفضاء الأجنبیّ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تعدّی الحکم إلی الإفضاء بغیر الوطء وجهان، أجودهما العدم وقوفاً فیما خالف الأصل علی مورد النصّ، وإن وجبت الدیة فی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للمسافر أن یطرق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یدخل إلیهم من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وقیّده بعض بعدم إعلامهم بالحال </w:t>
      </w:r>
      <w:r>
        <w:rPr>
          <w:rStyle w:val="FootnoteAnchor"/>
          <w:rtl w:val="true"/>
        </w:rPr>
        <w:footnoteReference w:id="433"/>
      </w:r>
      <w:r>
        <w:rPr>
          <w:rFonts w:ascii="IRNazanin" w:hAnsi="IRNazanin" w:eastAsia="IRNazanin"/>
          <w:color w:val="111111"/>
          <w:sz w:val="28"/>
          <w:sz w:val="28"/>
          <w:szCs w:val="28"/>
          <w:rtl w:val="true"/>
          <w:lang w:bidi="fa-IR"/>
        </w:rPr>
        <w:t>وإلّا لم یکره، والنصّ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عبد اللّٰه بن سنان عن الصادق علیه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للرجل إذا قدم من سفره أن یطرق أهله لیلاً حتّی یصبح</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تعلّق الحکم بمجموع اللیل أو اختصاصه بما بعد المبیت وغلق الأبواب نظر، منشؤه دلالة کلام أهل اللغة علی الأمرین، ففی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فلان طروقاً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بلیل </w:t>
      </w:r>
      <w:r>
        <w:rPr>
          <w:rStyle w:val="FootnoteAnchor"/>
          <w:rtl w:val="true"/>
        </w:rPr>
        <w:footnoteReference w:id="435"/>
      </w:r>
      <w:r>
        <w:rPr>
          <w:rFonts w:ascii="IRNazanin" w:hAnsi="IRNazanin" w:eastAsia="IRNazanin"/>
          <w:color w:val="111111"/>
          <w:sz w:val="28"/>
          <w:sz w:val="28"/>
          <w:szCs w:val="28"/>
          <w:rtl w:val="true"/>
          <w:lang w:bidi="fa-IR"/>
        </w:rPr>
        <w:t>وهو شامل لجمیعه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ابن الأثیر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الطروق من الطَرْق وهو الدقّ، وسُمّی الآتی باللیل طارقاً؛ لاحتیاجه إلی دقّ الباب </w:t>
      </w:r>
      <w:r>
        <w:rPr>
          <w:rStyle w:val="FootnoteAnchor"/>
          <w:rtl w:val="true"/>
        </w:rPr>
        <w:footnoteReference w:id="436"/>
      </w:r>
      <w:r>
        <w:rPr>
          <w:rFonts w:ascii="IRNazanin" w:hAnsi="IRNazanin" w:eastAsia="IRNazanin"/>
          <w:color w:val="111111"/>
          <w:sz w:val="28"/>
          <w:sz w:val="28"/>
          <w:szCs w:val="28"/>
          <w:rtl w:val="true"/>
          <w:lang w:bidi="fa-IR"/>
        </w:rPr>
        <w:t>وهو مشعر بالثانی، ولعلّه أجود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عدم الفرق بین کون الأهل زوجة وغیرها عملاً بإطلاق اللفظ وإن کان الحکم فیها آکد، وهو بباب النکاح أنسب</w:t>
      </w:r>
      <w:r>
        <w:rPr>
          <w:rFonts w:eastAsia="IRNazanin" w:cs="IRNazanin"/>
          <w:color w:val="111111"/>
          <w:sz w:val="28"/>
          <w:szCs w:val="28"/>
          <w:rtl w:val="true"/>
          <w:lang w:bidi="fa-IR"/>
        </w:rPr>
        <w:t>.</w:t>
      </w:r>
      <w:bookmarkStart w:id="175" w:name="pg19810_214361"/>
    </w:p>
    <w:p>
      <w:pPr>
        <w:pStyle w:val="Heading3"/>
        <w:numPr>
          <w:ilvl w:val="2"/>
          <w:numId w:val="1"/>
        </w:numPr>
        <w:rPr/>
      </w:pPr>
      <w:bookmarkStart w:id="176" w:name="__RefHeading___Toc2175381_2314609296"/>
      <w:bookmarkStart w:id="177" w:name="_Toc65"/>
      <w:bookmarkEnd w:id="175"/>
      <w:bookmarkEnd w:id="176"/>
      <w:r>
        <w:rPr>
          <w:rtl w:val="true"/>
        </w:rPr>
        <w:t>«</w:t>
      </w:r>
      <w:r>
        <w:rPr>
          <w:rtl w:val="true"/>
        </w:rPr>
        <w:t>الفصل الثانی</w:t>
      </w:r>
      <w:r>
        <w:rPr>
          <w:rtl w:val="true"/>
        </w:rPr>
        <w:t>»</w:t>
      </w:r>
      <w:bookmarkEnd w:id="177"/>
    </w:p>
    <w:p>
      <w:pPr>
        <w:pStyle w:val="Heading4"/>
        <w:numPr>
          <w:ilvl w:val="3"/>
          <w:numId w:val="1"/>
        </w:numPr>
        <w:rPr/>
      </w:pPr>
      <w:bookmarkStart w:id="178" w:name="__RefHeading___Toc2175383_2314609296"/>
      <w:bookmarkStart w:id="179" w:name="_Toc66"/>
      <w:bookmarkEnd w:id="178"/>
      <w:r>
        <w:rPr>
          <w:rtl w:val="true"/>
        </w:rPr>
        <w:t>اشارة</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اشتماله علی الإیجاب والقبول اللفظیّین کغیره من العقود اللازمة</w:t>
      </w:r>
    </w:p>
    <w:p>
      <w:pPr>
        <w:pStyle w:val="Heading4"/>
        <w:numPr>
          <w:ilvl w:val="3"/>
          <w:numId w:val="1"/>
        </w:numPr>
        <w:rPr/>
      </w:pPr>
      <w:bookmarkStart w:id="180" w:name="__RefHeading___Toc2175385_2314609296"/>
      <w:bookmarkStart w:id="181" w:name="_Toc67"/>
      <w:bookmarkEnd w:id="180"/>
      <w:r>
        <w:rPr>
          <w:rtl w:val="true"/>
        </w:rPr>
        <w:t>[</w:t>
      </w:r>
      <w:r>
        <w:rPr>
          <w:rtl w:val="true"/>
        </w:rPr>
        <w:t xml:space="preserve">الایجاب و القبول </w:t>
      </w:r>
      <w:r>
        <w:rPr>
          <w:rtl w:val="true"/>
        </w:rPr>
        <w:t>]</w:t>
      </w:r>
      <w:bookmarkEnd w:id="18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فالإیجاب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زوّجتک وأنکحتک ومتّعتک،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 فموضع وفاق، وقد ورد بهما القرآن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زَوَّجْنٰاکَهٰا </w:t>
      </w:r>
      <w:r>
        <w:rPr>
          <w:rStyle w:val="FootnoteAnchor"/>
          <w:rtl w:val="true"/>
        </w:rPr>
        <w:footnoteReference w:id="437"/>
      </w:r>
      <w:r>
        <w:rPr>
          <w:rFonts w:ascii="Amiri" w:hAnsi="Amiri" w:eastAsia="Amiri" w:cs="Amiri"/>
          <w:color w:val="111111"/>
          <w:sz w:val="28"/>
          <w:sz w:val="28"/>
          <w:szCs w:val="28"/>
          <w:rtl w:val="true"/>
          <w:lang w:bidi="ar-SA"/>
        </w:rPr>
        <w:t xml:space="preserve">وَ لاٰ تَنْکِحُوا مٰا نَکَحَ آبٰاؤُکُمْ مِنَ اَلنِّسٰاءِ </w:t>
      </w:r>
      <w:r>
        <w:rPr>
          <w:rStyle w:val="FootnoteAnchor"/>
          <w:rtl w:val="true"/>
        </w:rPr>
        <w:footnoteReference w:id="438"/>
      </w:r>
      <w:r>
        <w:rPr>
          <w:rFonts w:ascii="IRNazanin" w:hAnsi="IRNazanin" w:eastAsia="IRNazanin"/>
          <w:color w:val="111111"/>
          <w:sz w:val="28"/>
          <w:sz w:val="28"/>
          <w:szCs w:val="28"/>
          <w:rtl w:val="true"/>
          <w:lang w:bidi="fa-IR"/>
        </w:rPr>
        <w:t xml:space="preserve">وأمّا الأخیر فاکتفی به المصنّف وجماعة </w:t>
      </w:r>
      <w:r>
        <w:rPr>
          <w:rStyle w:val="FootnoteAnchor"/>
          <w:rtl w:val="true"/>
        </w:rPr>
        <w:footnoteReference w:id="439"/>
      </w:r>
      <w:r>
        <w:rPr>
          <w:rFonts w:ascii="IRNazanin" w:hAnsi="IRNazanin" w:eastAsia="IRNazanin"/>
          <w:color w:val="111111"/>
          <w:sz w:val="28"/>
          <w:sz w:val="28"/>
          <w:szCs w:val="28"/>
          <w:rtl w:val="true"/>
          <w:lang w:bidi="fa-IR"/>
        </w:rPr>
        <w:t xml:space="preserve">لأنّه من ألفاظ </w:t>
      </w:r>
      <w:r>
        <w:rPr>
          <w:rStyle w:val="FootnoteAnchor"/>
          <w:rtl w:val="true"/>
        </w:rPr>
        <w:footnoteReference w:id="440"/>
      </w:r>
      <w:r>
        <w:rPr>
          <w:rFonts w:ascii="IRNazanin" w:hAnsi="IRNazanin" w:eastAsia="IRNazanin"/>
          <w:color w:val="111111"/>
          <w:sz w:val="28"/>
          <w:sz w:val="28"/>
          <w:szCs w:val="28"/>
          <w:rtl w:val="true"/>
          <w:lang w:bidi="fa-IR"/>
        </w:rPr>
        <w:t>النکاح؛ لکونه حقیقة فی المنقطع وإن توقّف معه علی الأجل، کما لو عبّر بأحدهما فیه ومیّزه به، فأصل اللفظ صالح للنوعین، فیکون حقیقة فی القدر المشترک بینهما، ویتمیّزان بذکر الأجل وعدمه، ولحکم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للروایة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 نّه لو تزوّج متعة ونسی ذکر الأجل انقلب دائماً </w:t>
      </w:r>
      <w:r>
        <w:rPr>
          <w:rStyle w:val="FootnoteAnchor"/>
          <w:rtl w:val="true"/>
        </w:rPr>
        <w:footnoteReference w:id="442"/>
      </w:r>
      <w:r>
        <w:rPr>
          <w:rFonts w:ascii="IRNazanin" w:hAnsi="IRNazanin" w:eastAsia="IRNazanin"/>
          <w:color w:val="111111"/>
          <w:sz w:val="28"/>
          <w:sz w:val="28"/>
          <w:szCs w:val="28"/>
          <w:rtl w:val="true"/>
          <w:lang w:bidi="fa-IR"/>
        </w:rPr>
        <w:t>وذلک فرع صلاحیّة الصیغة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الأکثر إلی المنع منه </w:t>
      </w:r>
      <w:r>
        <w:rPr>
          <w:rStyle w:val="FootnoteAnchor"/>
          <w:rtl w:val="true"/>
        </w:rPr>
        <w:footnoteReference w:id="443"/>
      </w:r>
      <w:r>
        <w:rPr>
          <w:rFonts w:ascii="IRNazanin" w:hAnsi="IRNazanin" w:eastAsia="IRNazanin"/>
          <w:color w:val="111111"/>
          <w:sz w:val="28"/>
          <w:sz w:val="28"/>
          <w:szCs w:val="28"/>
          <w:rtl w:val="true"/>
          <w:lang w:bidi="fa-IR"/>
        </w:rPr>
        <w:t>لأنّه حقیقة فی المنقطع شرعاً فیکون مجازاً فی الدائم، حذراً من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ما یدلّ بالمجاز، حذراً من عدم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المحکیّ ممنوع، والروایة مردودة بما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والنکاح، أو تزوّجت، أو قبلت، مقتصراً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من غیر أن یذکر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الإیجاب والقبول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بلفظ المضیّ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المستقبل منشئاً علی الأقوی، وقوفاً علی موضع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رُوی من جواز مثله فی المتعة </w:t>
      </w:r>
      <w:r>
        <w:rPr>
          <w:rStyle w:val="FootnoteAnchor"/>
          <w:rtl w:val="true"/>
        </w:rPr>
        <w:footnoteReference w:id="445"/>
      </w:r>
      <w:r>
        <w:rPr>
          <w:rFonts w:ascii="IRNazanin" w:hAnsi="IRNazanin" w:eastAsia="IRNazanin"/>
          <w:color w:val="111111"/>
          <w:sz w:val="28"/>
          <w:sz w:val="28"/>
          <w:szCs w:val="28"/>
          <w:rtl w:val="true"/>
          <w:lang w:bidi="fa-IR"/>
        </w:rPr>
        <w:t>لیس صریحاً فیه، مع مخالفته للقواعد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تقدیم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القبول؛ لأنّ العقد هو الإیجاب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والترتیب کیف اتّفق غیر مخلّ بالمقصود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النکاح علی غیره من</w:t>
      </w:r>
    </w:p>
    <w:p>
      <w:pPr>
        <w:pStyle w:val="BookText"/>
        <w:rPr/>
      </w:pPr>
      <w:r>
        <w:rPr>
          <w:rFonts w:ascii="IRNazanin" w:hAnsi="IRNazanin" w:eastAsia="IRNazanin"/>
          <w:color w:val="111111"/>
          <w:sz w:val="28"/>
          <w:sz w:val="28"/>
          <w:szCs w:val="28"/>
          <w:rtl w:val="true"/>
          <w:lang w:bidi="fa-IR"/>
        </w:rPr>
        <w:t xml:space="preserve">العقود أنّ الإیجاب من المرأة وهی تستحی غالباً من الابتداء به، فاغتفر هنا وإن خولف فی غیره، ومن ثمّ ادّعی بعضهم </w:t>
      </w:r>
      <w:r>
        <w:rPr>
          <w:rStyle w:val="FootnoteAnchor"/>
          <w:rtl w:val="true"/>
        </w:rPr>
        <w:footnoteReference w:id="446"/>
      </w:r>
      <w:r>
        <w:rPr>
          <w:rFonts w:ascii="IRNazanin" w:hAnsi="IRNazanin" w:eastAsia="IRNazanin"/>
          <w:color w:val="111111"/>
          <w:sz w:val="28"/>
          <w:sz w:val="28"/>
          <w:szCs w:val="28"/>
          <w:rtl w:val="true"/>
          <w:lang w:bidi="fa-IR"/>
        </w:rPr>
        <w:t>الإجماع علی جواز تقدیم القبول هنا، مع احتمال عدم الصحّة کغیره؛ لأنّ القبول إنّما یکون للإیجاب، فمتی وجد قبله لم یکن 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یتقدّم یعتبر کونه بغیر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کتزوّجت ونکحت، وهو حینئذٍ فی معنی الإیجاب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بلفظ الإیجاب،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لصراحة اللفظ واشتراک الجمیع فی الدلالة علی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إیجاباً وقبولاً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العربیّة 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لأنّ ذلک هو المعهود من صاحب الشرع کغیره من العقود اللازمة، بل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مستحبّ لا واجب </w:t>
      </w:r>
      <w:r>
        <w:rPr>
          <w:rStyle w:val="FootnoteAnchor"/>
          <w:rtl w:val="true"/>
        </w:rPr>
        <w:footnoteReference w:id="447"/>
      </w:r>
      <w:r>
        <w:rPr>
          <w:rFonts w:ascii="IRNazanin" w:hAnsi="IRNazanin" w:eastAsia="IRNazanin"/>
          <w:color w:val="111111"/>
          <w:sz w:val="28"/>
          <w:sz w:val="28"/>
          <w:szCs w:val="28"/>
          <w:rtl w:val="true"/>
          <w:lang w:bidi="fa-IR"/>
        </w:rPr>
        <w:t>لأنّ غیر العربیّة من اللغات من قبیل المترادف، فیصحّ أن یقام مقامه، ولأنّ الغرض إیصال المعانی المقصودة إلی فهم المتعاقدین، فیتأدّی بأیّ لفظ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ممنوعان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ثالث کونه بالعربیّة الصحیحة </w:t>
      </w:r>
      <w:r>
        <w:rPr>
          <w:rStyle w:val="FootnoteAnchor"/>
          <w:rtl w:val="true"/>
        </w:rPr>
        <w:footnoteReference w:id="448"/>
      </w:r>
      <w:r>
        <w:rPr>
          <w:rFonts w:ascii="IRNazanin" w:hAnsi="IRNazanin" w:eastAsia="IRNazanin"/>
          <w:color w:val="111111"/>
          <w:sz w:val="28"/>
          <w:sz w:val="28"/>
          <w:szCs w:val="28"/>
          <w:rtl w:val="true"/>
          <w:lang w:bidi="fa-IR"/>
        </w:rPr>
        <w:t>فلا ینعقد بالملحون والمحرّف مع القدرة علی الصحیح، نظراً إلی الواقع من صاحب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 نّه أولی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ویسقط مع العجز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ما یشمل المشقّة الکثیرة فی التعلّم، أو فوات بعض الأغراض المقصودة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عجز أحدهما اختصّ بالرخصة ونطق القادر</w:t>
      </w:r>
      <w:bookmarkStart w:id="182" w:name="pg19810_214364"/>
    </w:p>
    <w:p>
      <w:pPr>
        <w:pStyle w:val="BookText"/>
        <w:rPr/>
      </w:pPr>
      <w:bookmarkEnd w:id="182"/>
      <w:r>
        <w:rPr>
          <w:rFonts w:ascii="IRNazanin" w:hAnsi="IRNazanin" w:eastAsia="IRNazanin"/>
          <w:color w:val="111111"/>
          <w:sz w:val="28"/>
          <w:sz w:val="28"/>
          <w:szCs w:val="28"/>
          <w:rtl w:val="true"/>
          <w:lang w:bidi="fa-IR"/>
        </w:rPr>
        <w:t>بالعربیّة بشرط أن یفهم کلّ منهما کلام الآخر ولو بمترجمین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الاکتفاء بالواحد وجه، ولا یجب علی العاجز التوکیل وإن قدر علیه؛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یعقد إیجاباً وقبولاً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المفهمة للمراد</w:t>
      </w:r>
      <w:r>
        <w:rPr>
          <w:rFonts w:eastAsia="IRNazanin" w:cs="IRNazanin"/>
          <w:color w:val="111111"/>
          <w:sz w:val="28"/>
          <w:szCs w:val="28"/>
          <w:rtl w:val="true"/>
          <w:lang w:bidi="fa-IR"/>
        </w:rPr>
        <w:t>.</w:t>
      </w:r>
    </w:p>
    <w:p>
      <w:pPr>
        <w:pStyle w:val="Heading4"/>
        <w:numPr>
          <w:ilvl w:val="3"/>
          <w:numId w:val="1"/>
        </w:numPr>
        <w:rPr/>
      </w:pPr>
      <w:bookmarkStart w:id="183" w:name="__RefHeading___Toc2175387_2314609296"/>
      <w:bookmarkStart w:id="184" w:name="_Toc68"/>
      <w:bookmarkEnd w:id="183"/>
      <w:r>
        <w:rPr>
          <w:rtl w:val="true"/>
        </w:rPr>
        <w:t>[</w:t>
      </w:r>
      <w:r>
        <w:rPr>
          <w:rtl w:val="true"/>
        </w:rPr>
        <w:t>الاحکام العقد</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فی العاقد الکمال، فالسکران باطل عقده ولو أجاز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وخصّه بالذکر تنبیهاً علی ردّ ما رُوی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السکری لو زوّجت نفسها ثمّ أفاقت فرضیت، أو دخل بها فأفاقت وأقرّته کان ماضیاً</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والروایة صحیحة، إلّاأ نّها مخالفة للاُصول الشرعیّة فأطرحها الأصحاب، إلّاالشیخ فی النهایة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تولّی المرأة العقد عنها وعن غیرها إیجاباً وقبولاً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خلاف عندنا، وإنّما نبّه علی خلاف بعض العامّة </w:t>
      </w:r>
      <w:r>
        <w:rPr>
          <w:rStyle w:val="FootnoteAnchor"/>
          <w:rtl w:val="true"/>
        </w:rPr>
        <w:footnoteReference w:id="451"/>
      </w:r>
      <w:r>
        <w:rPr>
          <w:rFonts w:ascii="IRNazanin" w:hAnsi="IRNazanin" w:eastAsia="IRNazanin"/>
          <w:color w:val="111111"/>
          <w:sz w:val="28"/>
          <w:sz w:val="28"/>
          <w:szCs w:val="28"/>
          <w:rtl w:val="true"/>
          <w:lang w:bidi="fa-IR"/>
        </w:rPr>
        <w:t>المانع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الشاهدان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النکاح الدائم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الولیّ فی نکاح الرشیدة وإن کانا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أبی عقیل حیث اشترطهما فیه </w:t>
      </w:r>
      <w:r>
        <w:rPr>
          <w:rStyle w:val="FootnoteAnchor"/>
          <w:rtl w:val="true"/>
        </w:rPr>
        <w:footnoteReference w:id="452"/>
      </w:r>
      <w:r>
        <w:rPr>
          <w:rFonts w:ascii="IRNazanin" w:hAnsi="IRNazanin" w:eastAsia="IRNazanin"/>
          <w:color w:val="111111"/>
          <w:sz w:val="28"/>
          <w:sz w:val="28"/>
          <w:szCs w:val="28"/>
          <w:rtl w:val="true"/>
          <w:lang w:bidi="fa-IR"/>
        </w:rPr>
        <w:t xml:space="preserve">استناداً إلی روایة ضعیفة </w:t>
      </w:r>
      <w:r>
        <w:rPr>
          <w:rStyle w:val="FootnoteAnchor"/>
          <w:rtl w:val="true"/>
        </w:rPr>
        <w:footnoteReference w:id="453"/>
      </w:r>
      <w:r>
        <w:rPr>
          <w:rFonts w:ascii="IRNazanin" w:hAnsi="IRNazanin" w:eastAsia="IRNazanin"/>
          <w:color w:val="111111"/>
          <w:sz w:val="28"/>
          <w:sz w:val="28"/>
          <w:szCs w:val="28"/>
          <w:rtl w:val="true"/>
          <w:lang w:bidi="fa-IR"/>
        </w:rPr>
        <w:t>تصلح سنداً للاستحباب، لا للشرطیّة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تعیین الزوجة والزوج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بالإشارة أو بالاسم أو الوصف الرافعین للاشتراک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 بنات وزوّجه واحدة ولم یُسمِّها، فإن أبهم ولم یعیّن شیئاً فی نفسه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لامتناع استحقاق الاستمتاع بغیر 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من غیر أن یُسمّیها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فاختلفا فی المعقود علیها حلف الأب إن کان الزوج رآهنّ، وإلّا بطل العقد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ومستند الحکم روایة أبی عبیدة عن الباقر علیه السلام </w:t>
      </w:r>
      <w:r>
        <w:rPr>
          <w:rStyle w:val="FootnoteAnchor"/>
          <w:rtl w:val="true"/>
        </w:rPr>
        <w:footnoteReference w:id="454"/>
      </w:r>
      <w:r>
        <w:rPr>
          <w:rFonts w:ascii="IRNazanin" w:hAnsi="IRNazanin" w:eastAsia="IRNazanin"/>
          <w:color w:val="111111"/>
          <w:sz w:val="28"/>
          <w:sz w:val="28"/>
          <w:szCs w:val="28"/>
          <w:rtl w:val="true"/>
          <w:lang w:bidi="fa-IR"/>
        </w:rPr>
        <w:t>وفیها علی تقدیر قبول قول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فیما بینه وبین اللّٰه تعالی أن یدفع إلی الزوج الجاریة التی نوی أن یزوّجها إیّاه عند عقدة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 نّه إذا لم یسمِّ للزوج واحدة منهنّ فالعقد باطل، سواء رآهنّ أم لا؛ لما تقدّم وأنّ رؤیة الزوجة غیر شرط فی صحّة النکاح، فلا مدخل لها فی الصحّة والبطلان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ونزّلها الفاضلان علی أنّ الزوج إذا کان قد رآهنّ فقد رضی بما یعقد علیه الأب منهنّ ووکل الأمر إلیه فکان کوکیله وقد نوی الأب واحدة معیّنة فصرف العقد إلیها، وإن لم یکن رآهن بطل؛ لعدم رضاء الزوج بما یسمّیه الأب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بأنّ رؤیته لهنّ أعمّ من تفویض التعیین إلی الأب، وعدمها أعمّ من عدمه، والروایة مطلقة، والرؤیة غیر شرط فی الصحّة فتخصیصها بما ذکر والحکم به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بإطلاق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صنع جماعة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ردّها مطلقاً نظراً إلی مخالفتها لاُصول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صنع ابن إدریس </w:t>
      </w:r>
      <w:r>
        <w:rPr>
          <w:rStyle w:val="FootnoteAnchor"/>
          <w:rtl w:val="true"/>
        </w:rPr>
        <w:footnoteReference w:id="457"/>
      </w:r>
      <w:r>
        <w:rPr>
          <w:rFonts w:ascii="IRNazanin" w:hAnsi="IRNazanin" w:eastAsia="IRNazanin"/>
          <w:color w:val="111111"/>
          <w:sz w:val="28"/>
          <w:sz w:val="28"/>
          <w:szCs w:val="28"/>
          <w:rtl w:val="true"/>
          <w:lang w:bidi="fa-IR"/>
        </w:rPr>
        <w:t>وهو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تفویضه إلیه التعیین ینبغی الحکم بالصحّة وقبول قول الأب مطلقاً نظراً إلی أنّ الاختلاف فی فعله وأنّ نظر الزوجة لیس بشرط فی صحّة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یفوّض إلیه التعیین بطل مطلقاً</w:t>
      </w:r>
      <w:r>
        <w:rPr>
          <w:rFonts w:eastAsia="IRNazanin" w:cs="IRNazanin"/>
          <w:color w:val="111111"/>
          <w:sz w:val="28"/>
          <w:szCs w:val="28"/>
          <w:rtl w:val="true"/>
          <w:lang w:bidi="fa-IR"/>
        </w:rPr>
        <w:t>.</w:t>
      </w:r>
      <w:bookmarkStart w:id="185" w:name="pg19810_214366"/>
    </w:p>
    <w:p>
      <w:pPr>
        <w:pStyle w:val="Heading4"/>
        <w:numPr>
          <w:ilvl w:val="3"/>
          <w:numId w:val="1"/>
        </w:numPr>
        <w:rPr/>
      </w:pPr>
      <w:bookmarkStart w:id="186" w:name="__RefHeading___Toc2175389_2314609296"/>
      <w:bookmarkStart w:id="187" w:name="_Toc69"/>
      <w:bookmarkEnd w:id="185"/>
      <w:bookmarkEnd w:id="186"/>
      <w:r>
        <w:rPr>
          <w:rtl w:val="true"/>
        </w:rPr>
        <w:t>[</w:t>
      </w:r>
      <w:r>
        <w:rPr>
          <w:rtl w:val="true"/>
        </w:rPr>
        <w:t>الولایة فی النکاح</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ولایة فی النکاح لغیر الأب والجدّ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والمولی والحاکم والوصیّ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فولایة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للأوّلین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الصغیرة أو المجنونة أو البالغة سفیهة، وکذا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المتّصف بأحد الأوصاف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الرشیدة فی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للآیة </w:t>
      </w:r>
      <w:r>
        <w:rPr>
          <w:rStyle w:val="FootnoteAnchor"/>
          <w:rtl w:val="true"/>
        </w:rPr>
        <w:footnoteReference w:id="458"/>
      </w:r>
      <w:r>
        <w:rPr>
          <w:rFonts w:ascii="IRNazanin" w:hAnsi="IRNazanin" w:eastAsia="IRNazanin"/>
          <w:color w:val="111111"/>
          <w:sz w:val="28"/>
          <w:sz w:val="28"/>
          <w:szCs w:val="28"/>
          <w:rtl w:val="true"/>
          <w:lang w:bidi="fa-IR"/>
        </w:rPr>
        <w:t xml:space="preserve">والأخبار </w:t>
      </w:r>
      <w:r>
        <w:rPr>
          <w:rStyle w:val="FootnoteAnchor"/>
          <w:rtl w:val="true"/>
        </w:rPr>
        <w:footnoteReference w:id="459"/>
      </w: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من الأخبار الدالّة علی أ نّها لا تتزوّج إلّابإذن الولیّ </w:t>
      </w:r>
      <w:r>
        <w:rPr>
          <w:rStyle w:val="FootnoteAnchor"/>
          <w:rtl w:val="true"/>
        </w:rPr>
        <w:footnoteReference w:id="460"/>
      </w:r>
      <w:r>
        <w:rPr>
          <w:rFonts w:ascii="IRNazanin" w:hAnsi="IRNazanin" w:eastAsia="IRNazanin"/>
          <w:color w:val="111111"/>
          <w:sz w:val="28"/>
          <w:sz w:val="28"/>
          <w:szCs w:val="28"/>
          <w:rtl w:val="true"/>
          <w:lang w:bidi="fa-IR"/>
        </w:rPr>
        <w:t>محمولة علی کراهة الاستبداد جمعاً؛ إذ لو عمل بها لزم إطراح ما دلّ علی انتفاء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جمع بینهما </w:t>
      </w:r>
      <w:r>
        <w:rPr>
          <w:rStyle w:val="FootnoteAnchor"/>
          <w:rtl w:val="true"/>
        </w:rPr>
        <w:footnoteReference w:id="461"/>
      </w:r>
      <w:r>
        <w:rPr>
          <w:rFonts w:ascii="IRNazanin" w:hAnsi="IRNazanin" w:eastAsia="IRNazanin"/>
          <w:color w:val="111111"/>
          <w:sz w:val="28"/>
          <w:sz w:val="28"/>
          <w:szCs w:val="28"/>
          <w:rtl w:val="true"/>
          <w:lang w:bidi="fa-IR"/>
        </w:rPr>
        <w:t xml:space="preserve">بالتشریک بینهما فی الولایة </w:t>
      </w:r>
      <w:r>
        <w:rPr>
          <w:rStyle w:val="FootnoteAnchor"/>
          <w:rtl w:val="true"/>
        </w:rPr>
        <w:footnoteReference w:id="462"/>
      </w:r>
      <w:r>
        <w:rPr>
          <w:rFonts w:ascii="IRNazanin" w:hAnsi="IRNazanin" w:eastAsia="IRNazanin"/>
          <w:color w:val="111111"/>
          <w:sz w:val="28"/>
          <w:sz w:val="28"/>
          <w:szCs w:val="28"/>
          <w:rtl w:val="true"/>
          <w:lang w:bidi="fa-IR"/>
        </w:rPr>
        <w:t xml:space="preserve">ومنهم من جمع بحمل إحداهما علی المتعة والاُخری علی الدوام </w:t>
      </w:r>
      <w:r>
        <w:rPr>
          <w:rStyle w:val="FootnoteAnchor"/>
          <w:rtl w:val="true"/>
        </w:rPr>
        <w:footnoteReference w:id="463"/>
      </w:r>
      <w:r>
        <w:rPr>
          <w:rFonts w:ascii="Amiri" w:hAnsi="Amiri" w:eastAsia="Amiri" w:cs="Amiri"/>
          <w:color w:val="111111"/>
          <w:sz w:val="28"/>
          <w:sz w:val="28"/>
          <w:szCs w:val="28"/>
          <w:rtl w:val="true"/>
          <w:lang w:bidi="ar-SA"/>
        </w:rPr>
        <w:t>وهو تحکّم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وهو أن لا یزوّجها بالکفو مع وجوده ورغبتها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بحث فی سقوط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استقلالها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حینئذٍ بین کون النکاح بمهر المثل وغیره، ولو منع من غیر الکفو لم یکن عضلاً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وللمولی تزویج </w:t>
      </w:r>
      <w:r>
        <w:rPr>
          <w:rStyle w:val="FootnoteAnchor"/>
          <w:rtl w:val="true"/>
        </w:rPr>
        <w:footnoteReference w:id="464"/>
      </w:r>
      <w:r>
        <w:rPr>
          <w:rFonts w:ascii="IRNazanin" w:hAnsi="IRNazanin" w:eastAsia="IRNazanin"/>
          <w:color w:val="111111"/>
          <w:sz w:val="28"/>
          <w:sz w:val="28"/>
          <w:szCs w:val="28"/>
          <w:rtl w:val="true"/>
          <w:lang w:bidi="fa-IR"/>
        </w:rPr>
        <w:t>رقیقه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کان أم اُنثی رشیداً کان أم غیر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خیار 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إجباره علیه مطلقاً، ولو تحرّر بعضه لم یملک إجباره حینئذٍ، کما لا یصحّ نکاحه إلّابإذنه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والحاکم والوصیّ یزوّجان من بلغ فاسدَ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النکاح صلاحاً له وخلوِّه من الأب والجدّ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ولایة لهما علی الصغیر مطلقاً فی المشهور، ولا علی من بلغ رشیداً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الحاکم الولایة علی من بلغ ورشد ثمّ تجدّد له الجنون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ثبوت ولایة الوصیّ علی الصغیرین مع المصلحة مطلقاً، أو مع تصریحه له فی الوصیّة بالنکاح أقوال اختار المصنّف هنا انتفاءها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الإرشاد اختار الجواز مع التنصیص، أو مطلقاً </w:t>
      </w:r>
      <w:r>
        <w:rPr>
          <w:rStyle w:val="FootnoteAnchor"/>
          <w:rtl w:val="true"/>
        </w:rPr>
        <w:footnoteReference w:id="466"/>
      </w:r>
      <w:r>
        <w:rPr>
          <w:rFonts w:ascii="IRNazanin" w:hAnsi="IRNazanin" w:eastAsia="IRNazanin"/>
          <w:color w:val="111111"/>
          <w:sz w:val="28"/>
          <w:sz w:val="28"/>
          <w:szCs w:val="28"/>
          <w:rtl w:val="true"/>
          <w:lang w:bidi="fa-IR"/>
        </w:rPr>
        <w:t xml:space="preserve">وقبلَه العلّامة فی المختلف </w:t>
      </w:r>
      <w:r>
        <w:rPr>
          <w:rStyle w:val="FootnoteAnchor"/>
          <w:rtl w:val="true"/>
        </w:rPr>
        <w:footnoteReference w:id="467"/>
      </w:r>
      <w:r>
        <w:rPr>
          <w:rFonts w:ascii="Amiri" w:hAnsi="Amiri" w:eastAsia="Amiri" w:cs="Amiri"/>
          <w:color w:val="111111"/>
          <w:sz w:val="28"/>
          <w:sz w:val="28"/>
          <w:szCs w:val="28"/>
          <w:rtl w:val="true"/>
          <w:lang w:bidi="ar-SA"/>
        </w:rPr>
        <w:t xml:space="preserve">وهو حسن؛ لأنّ تصرّفات الوصیّ منوطة بالغبطة وقد تتحقّق فی نکاح الصغیر،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 .) </w:t>
      </w:r>
      <w:r>
        <w:rPr>
          <w:rStyle w:val="FootnoteAnchor"/>
          <w:rtl w:val="true"/>
        </w:rPr>
        <w:footnoteReference w:id="468"/>
      </w:r>
      <w:r>
        <w:rPr>
          <w:rFonts w:ascii="IRNazanin" w:hAnsi="IRNazanin" w:eastAsia="IRNazanin"/>
          <w:color w:val="111111"/>
          <w:sz w:val="28"/>
          <w:sz w:val="28"/>
          <w:szCs w:val="28"/>
          <w:rtl w:val="true"/>
          <w:lang w:bidi="fa-IR"/>
        </w:rPr>
        <w:t>ولروایة أبی بصیر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بیده عقدة النکاح هو الأب والأخ والرجل یُوصی إلیه</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bookmarkStart w:id="188" w:name="pg19810_214368"/>
    </w:p>
    <w:p>
      <w:pPr>
        <w:pStyle w:val="BookText"/>
        <w:rPr/>
      </w:pPr>
      <w:bookmarkEnd w:id="188"/>
      <w:r>
        <w:rPr>
          <w:rFonts w:ascii="IRNazanin" w:hAnsi="IRNazanin" w:eastAsia="IRNazanin"/>
          <w:color w:val="111111"/>
          <w:sz w:val="28"/>
          <w:sz w:val="28"/>
          <w:szCs w:val="28"/>
          <w:rtl w:val="true"/>
          <w:lang w:bidi="fa-IR"/>
        </w:rPr>
        <w:t>مناف؛ لإمکان حمله علی کونه وصیّاً أیضاً؛ ولأنّ الحاجة قد تدعو إلی ذلک؛ لتعذّر تحصیل الکفو حیث یراد، خصوصاً مع التصریح بالولایة فیه</w:t>
      </w:r>
      <w:r>
        <w:rPr>
          <w:rFonts w:eastAsia="IRNazanin" w:cs="IRNazanin"/>
          <w:color w:val="111111"/>
          <w:sz w:val="28"/>
          <w:szCs w:val="28"/>
          <w:rtl w:val="true"/>
          <w:lang w:bidi="fa-IR"/>
        </w:rPr>
        <w:t>.</w:t>
      </w:r>
    </w:p>
    <w:p>
      <w:pPr>
        <w:pStyle w:val="Heading4"/>
        <w:numPr>
          <w:ilvl w:val="3"/>
          <w:numId w:val="1"/>
        </w:numPr>
        <w:rPr/>
      </w:pPr>
      <w:bookmarkStart w:id="189" w:name="__RefHeading___Toc2175391_2314609296"/>
      <w:bookmarkStart w:id="190" w:name="_Toc70"/>
      <w:bookmarkEnd w:id="189"/>
      <w:r>
        <w:rPr>
          <w:rtl w:val="true"/>
        </w:rPr>
        <w:t>[ «</w:t>
      </w:r>
      <w:r>
        <w:rPr>
          <w:rtl w:val="true"/>
        </w:rPr>
        <w:t>وهنا مسائل</w:t>
      </w:r>
      <w:r>
        <w:rPr>
          <w:rtl w:val="true"/>
        </w:rPr>
        <w:t>» ]</w:t>
      </w:r>
      <w:bookmarkEnd w:id="190"/>
    </w:p>
    <w:p>
      <w:pPr>
        <w:pStyle w:val="Heading5"/>
        <w:numPr>
          <w:ilvl w:val="4"/>
          <w:numId w:val="1"/>
        </w:numPr>
        <w:rPr/>
      </w:pPr>
      <w:bookmarkStart w:id="191" w:name="__RefHeading___Toc2175393_2314609296"/>
      <w:bookmarkStart w:id="192" w:name="_Toc71"/>
      <w:bookmarkEnd w:id="191"/>
      <w:r>
        <w:rPr>
          <w:rtl w:val="true"/>
        </w:rPr>
        <w:t>[</w:t>
      </w:r>
      <w:r>
        <w:rPr>
          <w:rtl w:val="true"/>
        </w:rPr>
        <w:t>الاولی</w:t>
      </w:r>
      <w:r>
        <w:rPr>
          <w:rtl w:val="true"/>
        </w:rPr>
        <w:t xml:space="preserve">: </w:t>
      </w:r>
      <w:r>
        <w:rPr>
          <w:rtl w:val="true"/>
        </w:rPr>
        <w:t xml:space="preserve">صحة اشتراط الخیار فی الصداق </w:t>
      </w:r>
      <w:r>
        <w:rPr>
          <w:rtl w:val="true"/>
        </w:rPr>
        <w:t>]</w:t>
      </w:r>
      <w:bookmarkEnd w:id="192"/>
    </w:p>
    <w:p>
      <w:pPr>
        <w:pStyle w:val="Heading6"/>
        <w:numPr>
          <w:ilvl w:val="5"/>
          <w:numId w:val="1"/>
        </w:numPr>
        <w:rPr/>
      </w:pPr>
      <w:bookmarkStart w:id="193" w:name="__RefHeading___Toc2175395_2314609296"/>
      <w:bookmarkStart w:id="194" w:name="_Toc72"/>
      <w:bookmarkEnd w:id="193"/>
      <w:r>
        <w:rPr>
          <w:rtl w:val="true"/>
        </w:rPr>
        <w:t>اشارة</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اشتراط الخیار فی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ذکره فی العقد غیر شرط فی صحّته، فیجوز إخلاؤه عنه واشتراط عدمه، فاشتراط الخیار فیه غیر منافٍ لمقتضی العقد، فیندرج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فإن فسخه ذو الخیار ثبت مهر المثل مع الدخول، ولو اتّفقا علی غیره قبلَه 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ملحق بضروب العبادات، لا المعاوضات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باشتراط الخیار فیه؛ لأنّ التراضی إنّما وقع بالشرط الفاسد ولم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الشرط خاصّة </w:t>
      </w:r>
      <w:r>
        <w:rPr>
          <w:rStyle w:val="FootnoteAnchor"/>
          <w:rtl w:val="true"/>
        </w:rPr>
        <w:footnoteReference w:id="472"/>
      </w:r>
      <w:r>
        <w:rPr>
          <w:rFonts w:ascii="IRNazanin" w:hAnsi="IRNazanin" w:eastAsia="IRNazanin"/>
          <w:color w:val="111111"/>
          <w:sz w:val="28"/>
          <w:sz w:val="28"/>
          <w:szCs w:val="28"/>
          <w:rtl w:val="true"/>
          <w:lang w:bidi="fa-IR"/>
        </w:rPr>
        <w:t>لأنّ الواقع شیئان فإذا بطل أحدهما بقی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بأنّ الواقع شیء واحد وهو العقد علی وجه الاشتراط فلا یتبعّض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إرادة القول الثانی من العبارة</w:t>
      </w:r>
      <w:r>
        <w:rPr>
          <w:rFonts w:eastAsia="IRNazanin" w:cs="IRNazanin"/>
          <w:color w:val="111111"/>
          <w:sz w:val="28"/>
          <w:szCs w:val="28"/>
          <w:rtl w:val="true"/>
          <w:lang w:bidi="fa-IR"/>
        </w:rPr>
        <w:t>.</w:t>
      </w:r>
    </w:p>
    <w:p>
      <w:pPr>
        <w:pStyle w:val="Heading6"/>
        <w:numPr>
          <w:ilvl w:val="5"/>
          <w:numId w:val="1"/>
        </w:numPr>
        <w:rPr/>
      </w:pPr>
      <w:bookmarkStart w:id="195" w:name="__RefHeading___Toc2175397_2314609296"/>
      <w:bookmarkStart w:id="196" w:name="_Toc73"/>
      <w:bookmarkEnd w:id="195"/>
      <w:r>
        <w:rPr>
          <w:rtl w:val="true"/>
        </w:rPr>
        <w:t>[ «</w:t>
      </w:r>
      <w:r>
        <w:rPr>
          <w:rtl w:val="true"/>
        </w:rPr>
        <w:t>ویصحّ توکیل کلّ من الزوجین فی النکاح</w:t>
      </w:r>
      <w:r>
        <w:rPr>
          <w:rtl w:val="true"/>
        </w:rPr>
        <w:t>» ]</w:t>
      </w:r>
      <w:bookmarkEnd w:id="1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ممّا یقبل النیابة ولا یختصّ غرض الشارع بإیقاعه من مباشر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المرأة</w:t>
      </w:r>
    </w:p>
    <w:p>
      <w:pPr>
        <w:pStyle w:val="BookText"/>
        <w:rPr/>
      </w:pPr>
      <w:r>
        <w:rPr>
          <w:rFonts w:ascii="IRNazanin" w:hAnsi="IRNazanin" w:eastAsia="IRNazanin"/>
          <w:color w:val="111111"/>
          <w:sz w:val="28"/>
          <w:sz w:val="28"/>
          <w:szCs w:val="28"/>
          <w:rtl w:val="true"/>
          <w:lang w:bidi="fa-IR"/>
        </w:rPr>
        <w:t>لوکیل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من موکّلک فلان، ولا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البیع ونحوه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أنّ الزوجین فی النکاح رکنان بمثابة الثمن والمثمن فی البیع، ولا بدّ من تسمیتهما فی البیع، فکذا الزوجان فی النکاح، ولأنّ البیع یرد علی المال وهو یقبل النقل من شخص إلی آخر، فلا یمتنع أن یخاطب به الوکیل وإن لم یذکر الموکّل، والنکاح یرد علی البُضع وهو لا یقبل النقل أصلاً، فلا یُخاطَب به الوکیل إلّا مع ذکر المنقول إلیه ابتداءً، ومن ثَمّ لو قبل النکاح وکالةً عن غیره فأنکر الموکّل الوکالة بطل ولم یقع للوکیل، بخلاف البیع فإنّه یقع مع الإنکار للوکیل، ولأنّ الغرض فی الأموال متعلّق بحصول الأعواض المالیّة ولا نظر غالباً إلی خصوص الأشخاص، بخلاف النکاح، فإنّه متعلّق بالأشخاص فیعتبر التصریح بالزوج، ولأنّ البیع یتعلّق بالمخاطب دون من له العقد، والنکاح بالعکس، ومن ثَمّ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زوّجتها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له وکیله صحّ، ولو حلف أن لا ینکح فقبل له وکیله حنث، ولو حلف أن لا یشتری فاشتری له وکیله لم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هذه الوجوه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الإیجاب، ولو اقتصر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ناویاً موکِّله فالأقوی الصحّة؛ لأنّ القبول عبارة عن الرضا بالإیجاب السابق، فإذا وقع بعد إیجاب النکاح للموکّل صریحاً کان القبول الواقع بعده رضاً به فیکون للموکّل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عدم الاکتفاء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النکاح نسبة فلا یتحقّق إلّابتخصیصه بمعیّن کالإیجاب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یعلم ممّا سبق، فإنّه لمّا کان رضاً بالإیجاب السابق اقتضی التخصیص بمن وقع 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یزوّجها الوکیل من نفسه إلّاإذا أذنت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ممّن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حینئذٍ علی الأقوی</w:t>
      </w:r>
      <w:r>
        <w:rPr>
          <w:rFonts w:eastAsia="IRNazanin" w:cs="IRNazanin"/>
          <w:color w:val="111111"/>
          <w:sz w:val="28"/>
          <w:szCs w:val="28"/>
          <w:rtl w:val="true"/>
          <w:lang w:bidi="fa-IR"/>
        </w:rPr>
        <w:t>.</w:t>
      </w:r>
      <w:bookmarkStart w:id="197" w:name="pg19810_214370"/>
    </w:p>
    <w:p>
      <w:pPr>
        <w:pStyle w:val="BookText"/>
        <w:rPr/>
      </w:pPr>
      <w:bookmarkEnd w:id="197"/>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المفهوم من إطلاق الإذن تزویجها من غیره؛ لأنّ المتبادر أنّ الوکیل غیر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العامّ ناصّ علی جزئیّاته، بخلاف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فلانتفاء المانع مع النصّ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ومنعُ بعض الأصحاب </w:t>
      </w:r>
      <w:r>
        <w:rPr>
          <w:rStyle w:val="FootnoteAnchor"/>
          <w:rtl w:val="true"/>
        </w:rPr>
        <w:footnoteReference w:id="474"/>
      </w:r>
      <w:r>
        <w:rPr>
          <w:rFonts w:ascii="IRNazanin" w:hAnsi="IRNazanin" w:eastAsia="IRNazanin"/>
          <w:color w:val="111111"/>
          <w:sz w:val="28"/>
          <w:sz w:val="28"/>
          <w:szCs w:val="28"/>
          <w:rtl w:val="true"/>
          <w:lang w:bidi="fa-IR"/>
        </w:rPr>
        <w:t xml:space="preserve">استناداً إلی روایة عمّار </w:t>
      </w:r>
      <w:r>
        <w:rPr>
          <w:rStyle w:val="FootnoteAnchor"/>
          <w:rtl w:val="true"/>
        </w:rPr>
        <w:footnoteReference w:id="475"/>
      </w:r>
      <w:r>
        <w:rPr>
          <w:rFonts w:ascii="IRNazanin" w:hAnsi="IRNazanin" w:eastAsia="IRNazanin"/>
          <w:color w:val="111111"/>
          <w:sz w:val="28"/>
          <w:sz w:val="28"/>
          <w:szCs w:val="28"/>
          <w:rtl w:val="true"/>
          <w:lang w:bidi="fa-IR"/>
        </w:rPr>
        <w:t>الدالّة علی المنع وأ نّه یصیر موجباً قابلاً، مردود بضعف الروایة وجواز تولّی الطرفین اکتفاءً بالمغایرة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تزویجها مع الإطلاق من والده وولده وإن کان مولّی علیه</w:t>
      </w:r>
      <w:r>
        <w:rPr>
          <w:rFonts w:eastAsia="IRNazanin" w:cs="IRNazanin"/>
          <w:color w:val="111111"/>
          <w:sz w:val="28"/>
          <w:szCs w:val="28"/>
          <w:rtl w:val="true"/>
          <w:lang w:bidi="fa-IR"/>
        </w:rPr>
        <w:t>.</w:t>
      </w:r>
    </w:p>
    <w:p>
      <w:pPr>
        <w:pStyle w:val="Heading5"/>
        <w:numPr>
          <w:ilvl w:val="4"/>
          <w:numId w:val="1"/>
        </w:numPr>
        <w:rPr/>
      </w:pPr>
      <w:bookmarkStart w:id="198" w:name="__RefHeading___Toc2175399_2314609296"/>
      <w:bookmarkStart w:id="199" w:name="_Toc74"/>
      <w:bookmarkEnd w:id="198"/>
      <w:r>
        <w:rPr>
          <w:rtl w:val="true"/>
        </w:rPr>
        <w:t>«</w:t>
      </w:r>
      <w:r>
        <w:rPr>
          <w:rtl w:val="true"/>
        </w:rPr>
        <w:t xml:space="preserve">الثانیة </w:t>
      </w:r>
      <w:r>
        <w:rPr>
          <w:rtl w:val="true"/>
        </w:rPr>
        <w:t>[</w:t>
      </w:r>
      <w:r>
        <w:rPr>
          <w:rtl w:val="true"/>
        </w:rPr>
        <w:t xml:space="preserve">لو ادّعی زوجیّة امرأة فصدّقته </w:t>
      </w:r>
      <w:r>
        <w:rPr>
          <w:rtl w:val="true"/>
        </w:rPr>
        <w:t>] » :</w:t>
      </w:r>
      <w:bookmarkEnd w:id="19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زوجیّة امرأة فصدّقته حکم بالعقد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لانحصار الحقّ فیهما، وعموم إقرار العقلاء علی أنفسهم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بالزوجیّة؛ لأنّ ذلک من لوازم ثبوتها، ولا فرق بین کونهما غریبین أو بلدیّین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اعترف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علیه به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حلف المنکر أم لا، فیمنع من التزویج إن کان امرأة ومن اُختها واُمّها وبنت أخویها </w:t>
      </w:r>
      <w:r>
        <w:rPr>
          <w:rStyle w:val="FootnoteAnchor"/>
          <w:rtl w:val="true"/>
        </w:rPr>
        <w:footnoteReference w:id="476"/>
      </w:r>
      <w:r>
        <w:rPr>
          <w:rFonts w:ascii="IRNazanin" w:hAnsi="IRNazanin" w:eastAsia="IRNazanin"/>
          <w:color w:val="111111"/>
          <w:sz w:val="28"/>
          <w:sz w:val="28"/>
          <w:szCs w:val="28"/>
          <w:rtl w:val="true"/>
          <w:lang w:bidi="fa-IR"/>
        </w:rPr>
        <w:t>بدون 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علیه ما أقرّ به من المهر، ولیس لها مطالبته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 التوصّل إلی تخلیص ذمّته إن کان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نفقة علیه؛ لعدم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أقام المدّعی بیّنة أو حلف الیمین المردودة مع نکول الآخر تثبت الزوجیّة ظاهراً، وعلیهما فیما بینهما وبین اللّٰه تعالی العمل بمقتضی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انتفت البیّنة ثبت علی المنکر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له التزویج الممتنع علی تقدیر الاعتراف قبلَ الحلف؟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حقّ الزوجیّة فی الجملة، وکون تزویجها یمنع من نفوذ إقرارها به علی تقدیر رجوعها؛ لأنّه إقرار فی حقّ الزوج الثانی، ومن عدم ثبوته، وهو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فیتوجّه الیمین متی طلبه المدّعی، کما یصحّ تصرّف المنکر فی کلّ ما یدّعیه علیه غیره قبل ثبوته، استصحاباً للحکم السابق المحکوم به ظاهراً، ولاستلزام المنع منه الحرج فی بعض الموارد کما إذا غاب المدّعی، أو أخّر الإحلاف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استمرّت الزوجة علی الإنکار فواضح، وإن رجعت إلی الاعتراف بعد تزویجها بغیره لم یسمع بالنسبة إلی حقوق الزوجیّة الثابتة علیها، وفی سماعه بالنسبة إلی حقوقها قوّة؛ إذ لا مانع منه، فیدخل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إقرار العقلاء علی أنفسهم</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وعلی هذا فإن ادّعت أ نّها کانت عالمةً بالعقد حال دخول الثانی بها فلا مهر لها علیه ظاهراً؛ لأنّها بزعمها بغیّ، وإن ادّعت الذُکر بعده فلها مهر المثل؛ للشبهة، ویرثها الزوج ولا ترثه هی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إرث الأوّل ممّا یبقی من ترکتها بعد نصیب الثانی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نفوذ الإقرار علی نفسها وهو غیر منافٍ، ومن عدم ثبوته </w:t>
      </w:r>
      <w:r>
        <w:rPr>
          <w:rStyle w:val="FootnoteAnchor"/>
          <w:rtl w:val="true"/>
        </w:rPr>
        <w:footnoteReference w:id="478"/>
      </w:r>
      <w:r>
        <w:rPr>
          <w:rFonts w:ascii="Amiri" w:hAnsi="Amiri" w:eastAsia="Amiri" w:cs="Amiri"/>
          <w:color w:val="111111"/>
          <w:sz w:val="28"/>
          <w:sz w:val="28"/>
          <w:szCs w:val="28"/>
          <w:rtl w:val="true"/>
          <w:lang w:bidi="ar-SA"/>
        </w:rPr>
        <w:t>ظاهراً، مع أ نّه إقرار فی حقّ الوارث</w:t>
      </w:r>
      <w:r>
        <w:rPr>
          <w:rFonts w:eastAsia="Amiri" w:cs="Amiri" w:ascii="Amiri" w:hAnsi="Amiri"/>
          <w:color w:val="111111"/>
          <w:sz w:val="28"/>
          <w:szCs w:val="28"/>
          <w:rtl w:val="true"/>
          <w:lang w:bidi="ar-SA"/>
        </w:rPr>
        <w:t>.</w:t>
      </w:r>
      <w:bookmarkStart w:id="200" w:name="pg19810_214372"/>
    </w:p>
    <w:p>
      <w:pPr>
        <w:pStyle w:val="Heading5"/>
        <w:numPr>
          <w:ilvl w:val="4"/>
          <w:numId w:val="1"/>
        </w:numPr>
        <w:rPr/>
      </w:pPr>
      <w:bookmarkStart w:id="201" w:name="__RefHeading___Toc2175401_2314609296"/>
      <w:bookmarkStart w:id="202" w:name="_Toc75"/>
      <w:bookmarkEnd w:id="200"/>
      <w:bookmarkEnd w:id="201"/>
      <w:r>
        <w:rPr>
          <w:rtl w:val="true"/>
        </w:rPr>
        <w:t>«</w:t>
      </w:r>
      <w:r>
        <w:rPr>
          <w:rtl w:val="true"/>
        </w:rPr>
        <w:t xml:space="preserve">الثالثة </w:t>
      </w:r>
      <w:r>
        <w:rPr>
          <w:rtl w:val="true"/>
        </w:rPr>
        <w:t>[</w:t>
      </w:r>
      <w:r>
        <w:rPr>
          <w:rtl w:val="true"/>
        </w:rPr>
        <w:t>لو ادّعی زوجیّة امرأة وادَّعت اُختها علیه الزوجیّة</w:t>
      </w:r>
      <w:r>
        <w:rPr>
          <w:rtl w:val="true"/>
        </w:rPr>
        <w:t>] » :</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زوجیّة امرأة وادَّعت اُختها علیه الزوجیّة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زوجیّة المدّعیة؛ لأنّه منکر، ودعواه زوجیّة الاُخت متعلّق بها وهو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تقدیم قوله مع دخوله بالمدّعیة؛ للنصّ علی أنّ الدخول بها مرجِّح لها </w:t>
      </w:r>
      <w:r>
        <w:rPr>
          <w:rStyle w:val="FootnoteAnchor"/>
          <w:rtl w:val="true"/>
        </w:rPr>
        <w:footnoteReference w:id="479"/>
      </w:r>
      <w:r>
        <w:rPr>
          <w:rFonts w:ascii="IRNazanin" w:hAnsi="IRNazanin" w:eastAsia="IRNazanin"/>
          <w:color w:val="111111"/>
          <w:sz w:val="28"/>
          <w:sz w:val="28"/>
          <w:szCs w:val="28"/>
          <w:rtl w:val="true"/>
          <w:lang w:bidi="fa-IR"/>
        </w:rPr>
        <w:t>فیما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تعارض الأصل والظاهر فیرجّح الأصل، وخلافه خرج بالنصّ، وهو منفیّ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لم تُقِم 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أقامت بیّنة فالعقد لها، وإن أقام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تُقِم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ویشکل أیضاً مع معارضة دخوله بالمدّعیة؛ لما سیأتی من أ نّه مرجَّح علی البیّنة، ومع ذلک فهو مکذِّب بفعله لبیّنته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خلاف الأصل ویمنع کونه تکذیباً، بل هو أعمّ منه، فیقتصر فی ترجیح الظاهر علی الأصل علی مورد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توجّه الیمین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ذو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إقامته البیّنة فیحلف معها، وإقامتها فتحلف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منافرة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w:t>
      </w:r>
      <w:r>
        <w:rPr>
          <w:rStyle w:val="FootnoteAnchor"/>
          <w:rtl w:val="true"/>
        </w:rPr>
        <w:footnoteReference w:id="480"/>
      </w:r>
      <w:r>
        <w:rPr>
          <w:rFonts w:ascii="IRNazanin" w:hAnsi="IRNazanin" w:eastAsia="IRNazanin"/>
          <w:color w:val="111111"/>
          <w:sz w:val="28"/>
          <w:sz w:val="28"/>
          <w:szCs w:val="28"/>
          <w:rtl w:val="true"/>
          <w:lang w:bidi="fa-IR"/>
        </w:rPr>
        <w:t xml:space="preserve">والمراد به آخذ الحقّ المدّعی به، وهو من حکم له ببیّنة، وهو قریب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الغرابة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حکم بالیمین مع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صدق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الشاهدة لها بالعقد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تقدّم عقده علی من ادّعاها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والبیّنة لم تطّلع علیه، فلا بدّ من تحلیفها لینتفی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حلفها علی إثبات عقدها تأکیداً للبیّنة؛ لأنّ ذلک لا یدفع</w:t>
      </w:r>
    </w:p>
    <w:p>
      <w:pPr>
        <w:pStyle w:val="BookText"/>
        <w:rPr/>
      </w:pPr>
      <w:r>
        <w:rPr>
          <w:rFonts w:ascii="Amiri" w:hAnsi="Amiri" w:eastAsia="Amiri" w:cs="Amiri"/>
          <w:color w:val="111111"/>
          <w:sz w:val="28"/>
          <w:sz w:val="28"/>
          <w:szCs w:val="28"/>
          <w:rtl w:val="true"/>
          <w:lang w:bidi="ar-SA"/>
        </w:rPr>
        <w:t>الاحتمال، وإنّما حَلْفُها علی نفی عقد اُختها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تحلف علی البتّ أو علی نفی العلم به؟ مقتضی التعلیل الأوّل؛ لأنّ بدونه لا یزول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بجواز وقوعه مع عدم اطّلاعها، فلا یمکنها القطع بعدمه، وبأنّ الیمین هنا ترجع إلی نفی فعل الغیر، فیکفی فیه حلفها علی نفی علمها بوقوع عقد اُختها سابقاً علی عقدها، عملاً بالقاعدة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حلفه مع بیّنته علی نفی عقده علی المدّعیة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بالعقد علی الاُخت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تقدّم عقده علی من ادّعته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والبیّنة لا تعلم بالحال، فیحلف علی نفیه لرفع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والحلف هنا علی القطع؛ لأنّه حلف علی نفی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والیمین فی هذین الموضعین لم ینبّه علیها أحد من الأصحاب، والنصّ خالٍ عنها، فیحتمل عدم ثبوتها لذلک، ولئلّا یلزم تأخیر البیان عن وقت الخطاب أو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أقاما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تکونا مطلقتین أو مؤرّختین أو إحداهما مطلقة والاُخری مؤرّخة، وعلی تقدیر کونهما مؤرّختین إمّا أن یتّفق التأریخان أو یتقدّم تأریخ بیّنته أو تأریخ بیّنتها، وعلی التقادیر الستّة إمّا أن یکون قد دخل بالمدّعیة أو لا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مضافة إلی ستّة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جمیع هذه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الاثنتی عشرة </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لبیّنته، إلّاأن یکون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الاُخت المدّعیة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تقدّم 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بیّنتها علی تأریخ بیّنته حیث تکونان مؤرّختین، فیقدّم قولها فی سبع صور من  الاثنتی عشرة  وهی</w:t>
      </w:r>
      <w:bookmarkStart w:id="203" w:name="pg19810_214374"/>
    </w:p>
    <w:p>
      <w:pPr>
        <w:pStyle w:val="BookText"/>
        <w:rPr/>
      </w:pPr>
      <w:bookmarkEnd w:id="203"/>
      <w:r>
        <w:rPr>
          <w:rFonts w:ascii="IRNazanin" w:hAnsi="IRNazanin" w:eastAsia="IRNazanin"/>
          <w:color w:val="111111"/>
          <w:sz w:val="28"/>
          <w:sz w:val="28"/>
          <w:szCs w:val="28"/>
          <w:rtl w:val="true"/>
          <w:lang w:bidi="fa-IR"/>
        </w:rPr>
        <w:t>الستّة المجامعة للدخول مطلقاً، وواحدة من الستّة الخالیة عنه، وهی ما لو تقدّم تأریخها، وقولُه فی الخمسة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یفتقر من قدّمت بیّنته بغیر سبق التأریخ إلی الیمین؟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منشؤهما الحکم بتساقط البیّنتین حیث تکونان متّفقتین فیحتاج من قُدّم قوله إلی الیمین، خصوصاً المرأة؛ لأنّها مدّعیة محضة، وخصوصاً إذا کان المرجّح لها الدخول، فإنّه بمجرّده لا یدلّ علی الزوجیّة، بل الاحتمال باقٍ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إطلاق النصّ </w:t>
      </w:r>
      <w:r>
        <w:rPr>
          <w:rStyle w:val="FootnoteAnchor"/>
          <w:rtl w:val="true"/>
        </w:rPr>
        <w:footnoteReference w:id="483"/>
      </w:r>
      <w:r>
        <w:rPr>
          <w:rFonts w:ascii="IRNazanin" w:hAnsi="IRNazanin" w:eastAsia="IRNazanin"/>
          <w:color w:val="111111"/>
          <w:sz w:val="28"/>
          <w:sz w:val="28"/>
          <w:szCs w:val="28"/>
          <w:rtl w:val="true"/>
          <w:lang w:bidi="fa-IR"/>
        </w:rPr>
        <w:t>بتقدیم بیّنته مع عدم الأمرین، فلو توقّف علی الیمین لزم تأخیر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الأوّل، وإطلاق النصّ غیر منافٍ لثبوت الیمین بدلیل آخر، خصوصاً مع جریان الحکم علی خلاف الأصل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تقدیم بیّنته مع أ نّه مدّعٍ، والثانی ترجیحها بالدخول وهو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ومورد النصّ الاُختان کما ذکر </w:t>
      </w:r>
      <w:r>
        <w:rPr>
          <w:rStyle w:val="FootnoteAnchor"/>
          <w:rtl w:val="true"/>
        </w:rPr>
        <w:footnoteReference w:id="484"/>
      </w:r>
      <w:r>
        <w:rPr>
          <w:rFonts w:ascii="Amiri" w:hAnsi="Amiri" w:eastAsia="Amiri" w:cs="Amiri"/>
          <w:color w:val="111111"/>
          <w:sz w:val="28"/>
          <w:sz w:val="28"/>
          <w:szCs w:val="28"/>
          <w:rtl w:val="true"/>
          <w:lang w:bidi="ar-SA"/>
        </w:rPr>
        <w:t xml:space="preserve">وفی تعدّیه </w:t>
      </w:r>
      <w:r>
        <w:rPr>
          <w:rStyle w:val="FootnoteAnchor"/>
          <w:rtl w:val="true"/>
        </w:rPr>
        <w:footnoteReference w:id="485"/>
      </w:r>
      <w:r>
        <w:rPr>
          <w:rFonts w:ascii="IRNazanin" w:hAnsi="IRNazanin" w:eastAsia="IRNazanin"/>
          <w:color w:val="111111"/>
          <w:sz w:val="28"/>
          <w:sz w:val="28"/>
          <w:szCs w:val="28"/>
          <w:rtl w:val="true"/>
          <w:lang w:bidi="fa-IR"/>
        </w:rPr>
        <w:t>إلی مثل الاُمّ والبنت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النصّ وکونه خلاف الأصل فیقتصر فیه علی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اشتراک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أقوی، فتقدَّم بیّنتها مع انفرادها أو إطلاقهما أو سبق تأریخها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عدمها یحلف هو؛ لأنّه منکر</w:t>
      </w:r>
      <w:r>
        <w:rPr>
          <w:rFonts w:eastAsia="IRNazanin" w:cs="IRNazanin"/>
          <w:color w:val="111111"/>
          <w:sz w:val="28"/>
          <w:szCs w:val="28"/>
          <w:rtl w:val="true"/>
          <w:lang w:bidi="fa-IR"/>
        </w:rPr>
        <w:t>.</w:t>
      </w:r>
    </w:p>
    <w:p>
      <w:pPr>
        <w:pStyle w:val="Heading5"/>
        <w:numPr>
          <w:ilvl w:val="4"/>
          <w:numId w:val="1"/>
        </w:numPr>
        <w:rPr/>
      </w:pPr>
      <w:bookmarkStart w:id="204" w:name="__RefHeading___Toc2175403_2314609296"/>
      <w:bookmarkStart w:id="205" w:name="_Toc76"/>
      <w:bookmarkEnd w:id="204"/>
      <w:r>
        <w:rPr>
          <w:rtl w:val="true"/>
        </w:rPr>
        <w:t>«</w:t>
      </w:r>
      <w:r>
        <w:rPr>
          <w:rtl w:val="true"/>
        </w:rPr>
        <w:t xml:space="preserve">الرابعة </w:t>
      </w:r>
      <w:r>
        <w:rPr>
          <w:rtl w:val="true"/>
        </w:rPr>
        <w:t>[</w:t>
      </w:r>
      <w:r>
        <w:rPr>
          <w:rtl w:val="true"/>
        </w:rPr>
        <w:t xml:space="preserve">لو اشتری العبد زوجته لسیّده </w:t>
      </w:r>
      <w:r>
        <w:rPr>
          <w:rtl w:val="true"/>
        </w:rPr>
        <w:t>] » :</w:t>
      </w:r>
      <w:bookmarkEnd w:id="20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العبد زوجته لسیّده فالنکاح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شراءها لسیّده</w:t>
      </w:r>
    </w:p>
    <w:p>
      <w:pPr>
        <w:pStyle w:val="BookText"/>
        <w:rPr/>
      </w:pPr>
      <w:r>
        <w:rPr>
          <w:rFonts w:ascii="IRNazanin" w:hAnsi="IRNazanin" w:eastAsia="IRNazanin"/>
          <w:color w:val="111111"/>
          <w:sz w:val="28"/>
          <w:sz w:val="28"/>
          <w:szCs w:val="28"/>
          <w:rtl w:val="true"/>
          <w:lang w:bidi="fa-IR"/>
        </w:rPr>
        <w:t xml:space="preserve">لیس مانعاً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اشتراها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بإذنه أو ملَّکه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شرائها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بعدم ملکه فکالأوّل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لبطلان الشراء والتملیک، فبقیت کما کانت أوّلاً علی ملک البائع أو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حکمنا بملکه 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اشتری الحرّ زوجته الأمة واستباح بضعها بالملک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المبعَّض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بشرائه لنفسه أو تملّکه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یبطل العقد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بجزئه الحرّ قابل للتملّک </w:t>
      </w:r>
      <w:r>
        <w:rPr>
          <w:rStyle w:val="FootnoteAnchor"/>
          <w:rtl w:val="true"/>
        </w:rPr>
        <w:footnoteReference w:id="486"/>
      </w:r>
      <w:r>
        <w:rPr>
          <w:rFonts w:ascii="IRNazanin" w:hAnsi="IRNazanin" w:eastAsia="IRNazanin"/>
          <w:color w:val="111111"/>
          <w:sz w:val="28"/>
          <w:sz w:val="28"/>
          <w:szCs w:val="28"/>
          <w:rtl w:val="true"/>
          <w:lang w:bidi="fa-IR"/>
        </w:rPr>
        <w:t>ومتی ملک ولو بعضها بطل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یزوّج الولیّ ولا الوکیل بدون مهر المثل ولا بالمجنون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یزوّج الولیّ ولا الوکیل بدون مهر المثل </w:t>
      </w:r>
      <w:r>
        <w:rPr>
          <w:rStyle w:val="FootnoteAnchor"/>
          <w:rtl w:val="true"/>
        </w:rPr>
        <w:footnoteReference w:id="487"/>
      </w:r>
      <w:r>
        <w:rPr>
          <w:rFonts w:ascii="IRNazanin" w:hAnsi="IRNazanin" w:eastAsia="IRNazanin"/>
          <w:color w:val="111111"/>
          <w:sz w:val="28"/>
          <w:sz w:val="28"/>
          <w:szCs w:val="28"/>
          <w:rtl w:val="true"/>
          <w:lang w:bidi="fa-IR"/>
        </w:rPr>
        <w:t>ولا بالمجنون ولا بالخصیّ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بغیره ممّن به أحد العیوب المجوّزة للفسخ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 بذات العیب فیتخیّر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الکمال</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لو زوّج بمن لا یقتضیه الإذن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الأوّل إن وقع العقد بدون مهر المثل علی خلاف المصلحة تخیّرت فی المهر علی أصحّ القولین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تخیّرها فی أصل العقد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التخییر </w:t>
      </w:r>
      <w:r>
        <w:rPr>
          <w:rStyle w:val="FootnoteAnchor"/>
          <w:rtl w:val="true"/>
        </w:rPr>
        <w:footnoteReference w:id="490"/>
      </w:r>
      <w:r>
        <w:rPr>
          <w:rFonts w:ascii="IRNazanin" w:hAnsi="IRNazanin" w:eastAsia="IRNazanin"/>
          <w:color w:val="111111"/>
          <w:sz w:val="28"/>
          <w:sz w:val="28"/>
          <w:szCs w:val="28"/>
          <w:rtl w:val="true"/>
          <w:lang w:bidi="fa-IR"/>
        </w:rPr>
        <w:t>لأنّ العقد الذی جری علیه التراضی هو المشتمل علی المسمّی، فمتی لم یکن ماضیاً کان لها</w:t>
      </w:r>
    </w:p>
    <w:p>
      <w:pPr>
        <w:pStyle w:val="BookText"/>
        <w:rPr/>
      </w:pPr>
      <w:r>
        <w:rPr>
          <w:rFonts w:ascii="IRNazanin" w:hAnsi="IRNazanin" w:eastAsia="IRNazanin"/>
          <w:color w:val="111111"/>
          <w:sz w:val="28"/>
          <w:sz w:val="28"/>
          <w:szCs w:val="28"/>
          <w:rtl w:val="true"/>
          <w:lang w:bidi="fa-IR"/>
        </w:rPr>
        <w:t>فسخه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عدمه </w:t>
      </w:r>
      <w:r>
        <w:rPr>
          <w:rStyle w:val="FootnoteAnchor"/>
          <w:rtl w:val="true"/>
        </w:rPr>
        <w:footnoteReference w:id="491"/>
      </w:r>
      <w:r>
        <w:rPr>
          <w:rFonts w:ascii="IRNazanin" w:hAnsi="IRNazanin" w:eastAsia="IRNazanin"/>
          <w:color w:val="111111"/>
          <w:sz w:val="28"/>
          <w:sz w:val="28"/>
          <w:szCs w:val="28"/>
          <w:rtl w:val="true"/>
          <w:lang w:bidi="fa-IR"/>
        </w:rPr>
        <w:t>لعدم مدخلیّة المهر فی صحّة العقد وفساده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مطلقاً </w:t>
      </w:r>
      <w:r>
        <w:rPr>
          <w:rStyle w:val="FootnoteAnchor"/>
          <w:rtl w:val="true"/>
        </w:rPr>
        <w:footnoteReference w:id="492"/>
      </w:r>
      <w:r>
        <w:rPr>
          <w:rFonts w:ascii="IRNazanin" w:hAnsi="IRNazanin" w:eastAsia="IRNazanin"/>
          <w:color w:val="111111"/>
          <w:sz w:val="28"/>
          <w:sz w:val="28"/>
          <w:szCs w:val="28"/>
          <w:rtl w:val="true"/>
          <w:lang w:bidi="fa-IR"/>
        </w:rPr>
        <w:t>لأنّ ما دون مهر المثل أولی من العفو، وهو جائز للذی بیده عقدة النکاح، وإذا لم یکن لها خیار فی المهر ففی العقد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بتخیّرها فی المهر یثبت لها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توقّف ثبوته علی الدخول أم یثبت بمجرّد العقد قولان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تخیّر الزوج لو فسخت المسمّی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التزامه بحکم العقد وهذا من جملة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دخوله علی المهر القلیل فلا یلزم منه الرضا بالزائد جبراً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العقد علیها بدون مهر المثل علی وجه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هذا الزوج بهذا القدر أصلح وأکمل من غیره بأضعافه، أو لاضطرارها إلی الزوج ولم یوجد إلّاهذا بهذا القدر،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تخیّرها قولان </w:t>
      </w:r>
      <w:r>
        <w:rPr>
          <w:rStyle w:val="FootnoteAnchor"/>
          <w:rtl w:val="true"/>
        </w:rPr>
        <w:footnoteReference w:id="494"/>
      </w:r>
      <w:r>
        <w:rPr>
          <w:rFonts w:ascii="IRNazanin" w:hAnsi="IRNazanin" w:eastAsia="IRNazanin"/>
          <w:color w:val="111111"/>
          <w:sz w:val="28"/>
          <w:sz w:val="28"/>
          <w:szCs w:val="28"/>
          <w:rtl w:val="true"/>
          <w:lang w:bidi="fa-IR"/>
        </w:rPr>
        <w:t>والمتّجه هنا عدم الخیار، کما أنّ المتّجه هناک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تزویجها بغیر الکفو أو المعیب، فلا شبهة فی ثبوت خیارها فی أصل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جانب الطفل، ولو اشتمل علی الأمرین ثبت الخیار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الکتاب فی إثبات أصل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مجملة تجری علی جمیع الأقوال</w:t>
      </w:r>
      <w:r>
        <w:rPr>
          <w:rFonts w:eastAsia="IRNazanin" w:cs="IRNazanin"/>
          <w:color w:val="111111"/>
          <w:sz w:val="28"/>
          <w:szCs w:val="28"/>
          <w:rtl w:val="true"/>
          <w:lang w:bidi="fa-IR"/>
        </w:rPr>
        <w:t>.</w:t>
      </w:r>
      <w:bookmarkStart w:id="206" w:name="pg19810_214377"/>
    </w:p>
    <w:p>
      <w:pPr>
        <w:pStyle w:val="Heading5"/>
        <w:numPr>
          <w:ilvl w:val="4"/>
          <w:numId w:val="1"/>
        </w:numPr>
        <w:rPr/>
      </w:pPr>
      <w:bookmarkStart w:id="207" w:name="__RefHeading___Toc2175405_2314609296"/>
      <w:bookmarkStart w:id="208" w:name="_Toc77"/>
      <w:bookmarkEnd w:id="206"/>
      <w:bookmarkEnd w:id="207"/>
      <w:r>
        <w:rPr>
          <w:rtl w:val="true"/>
        </w:rPr>
        <w:t>«</w:t>
      </w:r>
      <w:r>
        <w:rPr>
          <w:rtl w:val="true"/>
        </w:rPr>
        <w:t xml:space="preserve">السادسة </w:t>
      </w:r>
      <w:r>
        <w:rPr>
          <w:rtl w:val="true"/>
        </w:rPr>
        <w:t>[</w:t>
      </w:r>
      <w:r>
        <w:rPr>
          <w:rtl w:val="true"/>
        </w:rPr>
        <w:t xml:space="preserve">نکاح الفضولی </w:t>
      </w:r>
      <w:r>
        <w:rPr>
          <w:rtl w:val="true"/>
        </w:rPr>
        <w:t>] » :</w:t>
      </w:r>
      <w:bookmarkEnd w:id="20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 لو وقع فضولاً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الجانبین أو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علی الإجازة من المعقود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مباشرة العقد 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رُوی من أنّ جاریة بکراً أتت النبیّ صلی الله علیه و آله فذکرت أنّ أباها زوّجها وهی کارهة فخیّرها النبیّ صلی الله علیه و آله </w:t>
      </w:r>
      <w:r>
        <w:rPr>
          <w:rStyle w:val="FootnoteAnchor"/>
          <w:rtl w:val="true"/>
        </w:rPr>
        <w:footnoteReference w:id="496"/>
      </w:r>
      <w:r>
        <w:rPr>
          <w:rFonts w:ascii="IRNazanin" w:hAnsi="IRNazanin" w:eastAsia="IRNazanin"/>
          <w:color w:val="111111"/>
          <w:sz w:val="28"/>
          <w:sz w:val="28"/>
          <w:szCs w:val="28"/>
          <w:rtl w:val="true"/>
          <w:lang w:bidi="fa-IR"/>
        </w:rPr>
        <w:t>وروی محمّد بن مسلم أ نّه سأل الباقر علیه السلام عن رجل زوّجته اُمّه وهو غائب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جائز، إن شاء الزوج قَبِل، وإن شاء ترک</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وحملُ القبول علی تجدید العقد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عبیدة الحذّاء فی الصحیح أ نّه سأل الباقر علیه السلام عن غلام وجاریة زوّجهما ولیّان لهما وهما غیر مدرکین،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جائز، وأ یّهما أدرک کان له الخیار</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وحُمل الولیّ هنا علی غیر الأب والجدّ بقرینة التخییر </w:t>
      </w:r>
      <w:r>
        <w:rPr>
          <w:rStyle w:val="FootnoteAnchor"/>
          <w:rtl w:val="true"/>
        </w:rPr>
        <w:footnoteReference w:id="499"/>
      </w:r>
      <w:r>
        <w:rPr>
          <w:rFonts w:ascii="IRNazanin" w:hAnsi="IRNazanin" w:eastAsia="IRNazanin"/>
          <w:color w:val="111111"/>
          <w:sz w:val="28"/>
          <w:sz w:val="28"/>
          <w:szCs w:val="28"/>
          <w:rtl w:val="true"/>
          <w:lang w:bidi="fa-IR"/>
        </w:rPr>
        <w:t xml:space="preserve">وغیرها من الأخبار </w:t>
      </w:r>
      <w:r>
        <w:rPr>
          <w:rStyle w:val="FootnoteAnchor"/>
          <w:rtl w:val="true"/>
        </w:rPr>
        <w:footnoteReference w:id="500"/>
      </w:r>
      <w:r>
        <w:rPr>
          <w:rFonts w:ascii="IRNazanin" w:hAnsi="IRNazanin" w:eastAsia="IRNazanin"/>
          <w:color w:val="111111"/>
          <w:sz w:val="28"/>
          <w:sz w:val="28"/>
          <w:szCs w:val="28"/>
          <w:rtl w:val="true"/>
          <w:lang w:bidi="fa-IR"/>
        </w:rPr>
        <w:t>وهی دالّة علی صحّة النکاح موقوفاً وإن لم نقل به فی غیره 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جواز البیع أیضاً حدیث عروة البارقی فی شراء الشاة </w:t>
      </w:r>
      <w:r>
        <w:rPr>
          <w:rStyle w:val="FootnoteAnchor"/>
          <w:rtl w:val="true"/>
        </w:rPr>
        <w:footnoteReference w:id="501"/>
      </w:r>
      <w:r>
        <w:rPr>
          <w:rFonts w:ascii="IRNazanin" w:hAnsi="IRNazanin" w:eastAsia="IRNazanin"/>
          <w:color w:val="111111"/>
          <w:sz w:val="28"/>
          <w:sz w:val="28"/>
          <w:szCs w:val="28"/>
          <w:rtl w:val="true"/>
          <w:lang w:bidi="fa-IR"/>
        </w:rPr>
        <w:t>ولا قائل باختصاص الحکم بهما، فإذا ثبت فیهما ثبت فی سائر العقود</w:t>
      </w:r>
      <w:r>
        <w:rPr>
          <w:rFonts w:eastAsia="IRNazanin" w:cs="IRNazanin"/>
          <w:color w:val="111111"/>
          <w:sz w:val="28"/>
          <w:szCs w:val="28"/>
          <w:rtl w:val="true"/>
          <w:lang w:bidi="fa-IR"/>
        </w:rPr>
        <w:t>.</w:t>
      </w:r>
      <w:bookmarkStart w:id="209" w:name="pg19810_214378"/>
    </w:p>
    <w:p>
      <w:pPr>
        <w:pStyle w:val="BookText"/>
        <w:rPr/>
      </w:pPr>
      <w:bookmarkEnd w:id="209"/>
      <w:r>
        <w:rPr>
          <w:rFonts w:ascii="IRNazanin" w:hAnsi="IRNazanin" w:eastAsia="IRNazanin"/>
          <w:color w:val="111111"/>
          <w:sz w:val="28"/>
          <w:sz w:val="28"/>
          <w:szCs w:val="28"/>
          <w:rtl w:val="true"/>
          <w:lang w:bidi="fa-IR"/>
        </w:rPr>
        <w:t xml:space="preserve">نعم، قیل باختصاصه بالنکاح </w:t>
      </w:r>
      <w:r>
        <w:rPr>
          <w:rStyle w:val="FootnoteAnchor"/>
          <w:rtl w:val="true"/>
        </w:rPr>
        <w:footnoteReference w:id="502"/>
      </w:r>
      <w:r>
        <w:rPr>
          <w:rFonts w:ascii="IRNazanin" w:hAnsi="IRNazanin" w:eastAsia="IRNazanin"/>
          <w:color w:val="111111"/>
          <w:sz w:val="28"/>
          <w:sz w:val="28"/>
          <w:szCs w:val="28"/>
          <w:rtl w:val="true"/>
          <w:lang w:bidi="fa-IR"/>
        </w:rPr>
        <w:t>وله وجه لو نوقش فی حدیث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ببطلان عقد الفضولی مطلقاً </w:t>
      </w:r>
      <w:r>
        <w:rPr>
          <w:rStyle w:val="FootnoteAnchor"/>
          <w:rtl w:val="true"/>
        </w:rPr>
        <w:footnoteReference w:id="503"/>
      </w:r>
      <w:r>
        <w:rPr>
          <w:rFonts w:ascii="IRNazanin" w:hAnsi="IRNazanin" w:eastAsia="IRNazanin"/>
          <w:color w:val="111111"/>
          <w:sz w:val="28"/>
          <w:sz w:val="28"/>
          <w:szCs w:val="28"/>
          <w:rtl w:val="true"/>
          <w:lang w:bidi="fa-IR"/>
        </w:rPr>
        <w:t xml:space="preserve">استناداً إلی أنّ العقد سبب الإباحة </w:t>
      </w:r>
      <w:r>
        <w:rPr>
          <w:rStyle w:val="FootnoteAnchor"/>
          <w:rtl w:val="true"/>
        </w:rPr>
        <w:footnoteReference w:id="504"/>
      </w:r>
      <w:r>
        <w:rPr>
          <w:rFonts w:ascii="IRNazanin" w:hAnsi="IRNazanin" w:eastAsia="IRNazanin"/>
          <w:color w:val="111111"/>
          <w:sz w:val="28"/>
          <w:sz w:val="28"/>
          <w:szCs w:val="28"/>
          <w:rtl w:val="true"/>
          <w:lang w:bidi="fa-IR"/>
        </w:rPr>
        <w:t xml:space="preserve">فلا یصحّ صدوره من غیر معقود عنه أو ولیّه؛ لئلّا یلزم من صحّته عدم سببیّته بنفسه، وأنّ رضا المعقود عنه أو ولیّه شرط والشرط متقدّم، وما رُوی من بطلان النکاح بدون إذن الولیّ </w:t>
      </w:r>
      <w:r>
        <w:rPr>
          <w:rStyle w:val="FootnoteAnchor"/>
          <w:rtl w:val="true"/>
        </w:rPr>
        <w:footnoteReference w:id="505"/>
      </w:r>
      <w:r>
        <w:rPr>
          <w:rFonts w:ascii="IRNazanin" w:hAnsi="IRNazanin" w:eastAsia="IRNazanin"/>
          <w:color w:val="111111"/>
          <w:sz w:val="28"/>
          <w:sz w:val="28"/>
          <w:szCs w:val="28"/>
          <w:rtl w:val="true"/>
          <w:lang w:bidi="fa-IR"/>
        </w:rPr>
        <w:t>وأنّ العقود الشرعیّة تحتاج إلی الأدلّة وهی منفیّة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عین المتنازع فیه، والثانی ممنوع، والروایة عامّیّة، والدلیل موجود</w:t>
      </w:r>
      <w:r>
        <w:rPr>
          <w:rFonts w:eastAsia="IRNazanin" w:cs="IRNazanin"/>
          <w:color w:val="111111"/>
          <w:sz w:val="28"/>
          <w:szCs w:val="28"/>
          <w:rtl w:val="true"/>
          <w:lang w:bidi="fa-IR"/>
        </w:rPr>
        <w:t>.</w:t>
      </w:r>
    </w:p>
    <w:p>
      <w:pPr>
        <w:pStyle w:val="Heading5"/>
        <w:numPr>
          <w:ilvl w:val="4"/>
          <w:numId w:val="1"/>
        </w:numPr>
        <w:rPr/>
      </w:pPr>
      <w:bookmarkStart w:id="210" w:name="__RefHeading___Toc2175407_2314609296"/>
      <w:bookmarkStart w:id="211" w:name="_Toc78"/>
      <w:bookmarkEnd w:id="210"/>
      <w:r>
        <w:rPr>
          <w:rtl w:val="true"/>
        </w:rPr>
        <w:t>«</w:t>
      </w:r>
      <w:r>
        <w:rPr>
          <w:rtl w:val="true"/>
        </w:rPr>
        <w:t xml:space="preserve">السابعة </w:t>
      </w:r>
      <w:r>
        <w:rPr>
          <w:rtl w:val="true"/>
        </w:rPr>
        <w:t>[</w:t>
      </w:r>
      <w:r>
        <w:rPr>
          <w:rtl w:val="true"/>
        </w:rPr>
        <w:t xml:space="preserve">لا یجوز نکاح الأمة إلّابإذن مالکها </w:t>
      </w:r>
      <w:r>
        <w:rPr>
          <w:rtl w:val="true"/>
        </w:rPr>
        <w:t>] » :</w:t>
      </w:r>
      <w:bookmarkEnd w:id="21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نکاح الأمة إلّابإذن مالکها وإن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فی الدائم والمتعة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التصرّف فی مال الغیر بغیر إذنه،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وروایة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عمیرة عن علیّ بن المغیرة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یتمتّع بأمة المرأة من غیر إذنها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منافیة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تحریم التصرّف فی مال الغیر بغیر إذنه عقلاً وشرعاً،</w:t>
      </w:r>
      <w:bookmarkStart w:id="212" w:name="pg19810_214379"/>
    </w:p>
    <w:p>
      <w:pPr>
        <w:pStyle w:val="BookText"/>
        <w:rPr/>
      </w:pPr>
      <w:bookmarkEnd w:id="212"/>
      <w:r>
        <w:rPr>
          <w:rFonts w:ascii="IRNazanin" w:hAnsi="IRNazanin" w:eastAsia="IRNazanin"/>
          <w:color w:val="111111"/>
          <w:sz w:val="28"/>
          <w:sz w:val="28"/>
          <w:szCs w:val="28"/>
          <w:rtl w:val="true"/>
          <w:lang w:bidi="fa-IR"/>
        </w:rPr>
        <w:t xml:space="preserve">فلا یعمل بها وإن کانت صحیحة، فلذلک أطرحها الأصحاب غیر الشیخ فی النهایة </w:t>
      </w:r>
      <w:r>
        <w:rPr>
          <w:rStyle w:val="FootnoteAnchor"/>
          <w:rtl w:val="true"/>
        </w:rPr>
        <w:footnoteReference w:id="508"/>
      </w:r>
      <w:r>
        <w:rPr>
          <w:rFonts w:ascii="IRNazanin" w:hAnsi="IRNazanin" w:eastAsia="IRNazanin"/>
          <w:color w:val="111111"/>
          <w:sz w:val="28"/>
          <w:sz w:val="28"/>
          <w:szCs w:val="28"/>
          <w:rtl w:val="true"/>
          <w:lang w:bidi="fa-IR"/>
        </w:rPr>
        <w:t xml:space="preserve">جریاً علی قاعدته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أذن المولی لعبده فی التزویج فإن عیّن له مهراً تعیّن ولیس له تخطّیه، وإن أطلق انصرف إلی مهر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زاد العبد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المعیّن فی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للإذن فی أصل النکاح، وهو یقتضی مهر المثل علی المولی أو ما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الزائد فی ذمّته یتبع به بعد عتقه، ومهر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ذلک فی کسبه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الأوّل؛ لأنّ الإذن فی النکاح یقتضی الإذن فی توابعه والمهر والنفقة من جملتها، والعبد لا یملک شیئاً فلا یجب علیه شیء؛ لامتناع التکلیف بما لا یطاق، فیکون علی المولی کسائر دیونه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أطلقها تخیّر ما یلیق به، وإن عیّن تعیّنت، فلو تخطّاها کان فضولیّاً یقف علی إجازة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تحرّر بعضه لیس للمولی إجباره علی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لجانب 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للمبعَّض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لجانب الرقّیّة، بل یتوقّف نکاحه علی رضاه وإذن المولی جمعاً بین الحقّین</w:t>
      </w:r>
      <w:r>
        <w:rPr>
          <w:rFonts w:eastAsia="IRNazanin" w:cs="IRNazanin"/>
          <w:color w:val="111111"/>
          <w:sz w:val="28"/>
          <w:szCs w:val="28"/>
          <w:rtl w:val="true"/>
          <w:lang w:bidi="fa-IR"/>
        </w:rPr>
        <w:t>.</w:t>
      </w:r>
    </w:p>
    <w:p>
      <w:pPr>
        <w:pStyle w:val="Heading5"/>
        <w:numPr>
          <w:ilvl w:val="4"/>
          <w:numId w:val="1"/>
        </w:numPr>
        <w:rPr/>
      </w:pPr>
      <w:bookmarkStart w:id="213" w:name="__RefHeading___Toc2175409_2314609296"/>
      <w:bookmarkStart w:id="214" w:name="_Toc79"/>
      <w:bookmarkEnd w:id="213"/>
      <w:r>
        <w:rPr>
          <w:rtl w:val="true"/>
        </w:rPr>
        <w:t>«</w:t>
      </w:r>
      <w:r>
        <w:rPr>
          <w:rtl w:val="true"/>
        </w:rPr>
        <w:t>الثامنة</w:t>
      </w:r>
      <w:r>
        <w:rPr>
          <w:rtl w:val="true"/>
        </w:rPr>
        <w:t>» :</w:t>
      </w:r>
      <w:bookmarkEnd w:id="21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 الفضولی الصغیرین فبلغ أحدهما وأجاز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لزم من جهته، وبقی لزومه من جهة الآخر موقوفاً علی بلوغه وإجازته، فلو أجاز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بلوغ الآخر عُزل للصغیر قسطه من میراثه علی تقدیر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وفسخ فلا مهر ولا میراث؛ لبطلان العقد بالردّ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 حلف علی عدم سببیّة الإرث فی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الباعث علی الإجازة لیس هو الإرث، بل لو کان حیّاً لرضی بتزویجه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یحلف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 هذا التفصیل صحیحة أبی عبیدة الحذّاء عن الباقر علیه السلام </w:t>
      </w:r>
      <w:r>
        <w:rPr>
          <w:rStyle w:val="FootnoteAnchor"/>
          <w:rtl w:val="true"/>
        </w:rPr>
        <w:footnoteReference w:id="511"/>
      </w:r>
      <w:r>
        <w:rPr>
          <w:rFonts w:ascii="IRNazanin" w:hAnsi="IRNazanin" w:eastAsia="IRNazanin"/>
          <w:color w:val="111111"/>
          <w:sz w:val="28"/>
          <w:sz w:val="28"/>
          <w:szCs w:val="28"/>
          <w:rtl w:val="true"/>
          <w:lang w:bidi="fa-IR"/>
        </w:rPr>
        <w:t xml:space="preserve">وموردها الصغیران کما ذکر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زوّج أحدَ الصغیرین الولیُّ أو کان أحدهما بالغاً رشیداً وزوّج الآخرَ الفضولیُّ فمات الأوّل عزل للثانی نصیبه واُحلف بعد بلوغه کذلک، وإن مات قبل ذلک 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وإن لم یکن مورد النصّ، إلّاأ نّه ثابت فیه بطریق أولی؛ للزوم العقد هنا من الطرف الآخر، فهو أقرب إلی الثبوت ممّا هو جائز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کانا کبیرین وزوّجهما الفضولی، ففی تعدّی الحکم إلیهما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مساواته للمنصوص فی کونه فضولیّاً من الجانبین ولا مدخل للصغر والکبر فی ذلک، ومن ثبوت الحکم فی الصغیرین علی خلاف الأصل من حیث توقّف الإرث علی الیمین وظهور التهمة فی الإجازة، فیحکم فیما خرج عن المنصوص ببطلان العقد متی مات أحد المعقود علیهما بعد إجازته وقبل إجازة الآخر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إثبات الأولویّة فی البالغین بوجه آخر، وهو أنّ عقد الفضولی متی کان له مجیز فی الحال فلا إشکال عند القائل بصحّته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w:t>
      </w:r>
    </w:p>
    <w:p>
      <w:pPr>
        <w:pStyle w:val="BookText"/>
        <w:rPr/>
      </w:pPr>
      <w:r>
        <w:rPr>
          <w:rFonts w:ascii="IRNazanin" w:hAnsi="IRNazanin" w:eastAsia="IRNazanin"/>
          <w:color w:val="111111"/>
          <w:sz w:val="28"/>
          <w:sz w:val="28"/>
          <w:szCs w:val="28"/>
          <w:rtl w:val="true"/>
          <w:lang w:bidi="fa-IR"/>
        </w:rPr>
        <w:t xml:space="preserve">لم یکن له مجیز کذلک، فإنّ فیه خلافاً عند من یجوّز عقد الفضولی </w:t>
      </w:r>
      <w:r>
        <w:rPr>
          <w:rStyle w:val="FootnoteAnchor"/>
          <w:rtl w:val="true"/>
        </w:rPr>
        <w:footnoteReference w:id="513"/>
      </w:r>
      <w:r>
        <w:rPr>
          <w:rFonts w:ascii="IRNazanin" w:hAnsi="IRNazanin" w:eastAsia="IRNazanin"/>
          <w:color w:val="111111"/>
          <w:sz w:val="28"/>
          <w:sz w:val="28"/>
          <w:szCs w:val="28"/>
          <w:rtl w:val="true"/>
          <w:lang w:bidi="fa-IR"/>
        </w:rPr>
        <w:t>فإذا ثبت الحکم فی العقد الضعیف الذی لا مجیز له فی الحال وهو عقد الصغیرین، فتعدّیه إلی الأقوی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عرض للمجیز الثانی مانع عن الیمین کالجنون والسفر الضروری عُزل نصیبه إلی أن یحلف، ولو نکل عن الیمین فالأقوی أ نّه لا یرث؛ لأنّ ثبوته بالنصّ والفتوی موقوف علی الإجازة والیمین معاً، فینتفی بدون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یثبت علیه المهر لو کان هو الزوج بمجرّد الإجازة من دون الیمین؟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مترتّب علی ثبوت النکاح ولم یثبت بدونها، ومن أنّ إجازته کالإقرار فی حقّ نفسه بالنسبة إلی ما یتعلّق به کالمهر، وإنّما یتوقّف الإرث علی الیمین لقیام التهمة وعود النفع إلیه محضاً، فیثبت ما یعود علیه دون ما لَه، ولا بُعد فی تبعّض الحکم وإن تنافی الأصلان، وله نظائر کثیرة، وقد تقدّم منه </w:t>
      </w:r>
      <w:r>
        <w:rPr>
          <w:rStyle w:val="FootnoteAnchor"/>
          <w:rtl w:val="true"/>
        </w:rPr>
        <w:footnoteReference w:id="514"/>
      </w:r>
      <w:r>
        <w:rPr>
          <w:rFonts w:ascii="IRNazanin" w:hAnsi="IRNazanin" w:eastAsia="IRNazanin"/>
          <w:color w:val="111111"/>
          <w:sz w:val="28"/>
          <w:sz w:val="28"/>
          <w:szCs w:val="28"/>
          <w:rtl w:val="true"/>
          <w:lang w:bidi="fa-IR"/>
        </w:rPr>
        <w:t>ما لو اختلفا فی حصول النکاح، فإنّ مدّعیه یُحکم علیه بلوازم الزوجیّة دون المنکر ولا یثبت النکاح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النصّ </w:t>
      </w:r>
      <w:r>
        <w:rPr>
          <w:rStyle w:val="FootnoteAnchor"/>
          <w:rtl w:val="true"/>
        </w:rPr>
        <w:footnoteReference w:id="515"/>
      </w:r>
      <w:r>
        <w:rPr>
          <w:rFonts w:ascii="IRNazanin" w:hAnsi="IRNazanin" w:eastAsia="IRNazanin"/>
          <w:color w:val="111111"/>
          <w:sz w:val="28"/>
          <w:sz w:val="28"/>
          <w:szCs w:val="28"/>
          <w:rtl w:val="true"/>
          <w:lang w:bidi="fa-IR"/>
        </w:rPr>
        <w:t>بتوقّف الإرث علی حلفه لا ینافی ثبوت المهر علیه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متّجه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التهمة بطمعه فی المیراث لا تأتی فی جمیع الموارد؛ إذ لو کان المتأخّر هو الزوج والمهر بقدر المیراث أو أزید انتفت التهمة، وینبغی هنا عدم الیمین إن لم یتعلّق غرض بإثبات أعیان الترکة بحیث یترجّح علی ما یثبت علیه</w:t>
      </w:r>
      <w:bookmarkStart w:id="215" w:name="pg19810_214382"/>
    </w:p>
    <w:p>
      <w:pPr>
        <w:pStyle w:val="BookText"/>
        <w:rPr/>
      </w:pPr>
      <w:bookmarkEnd w:id="215"/>
      <w:r>
        <w:rPr>
          <w:rFonts w:ascii="IRNazanin" w:hAnsi="IRNazanin" w:eastAsia="IRNazanin"/>
          <w:color w:val="111111"/>
          <w:sz w:val="28"/>
          <w:sz w:val="28"/>
          <w:szCs w:val="28"/>
          <w:rtl w:val="true"/>
          <w:lang w:bidi="fa-IR"/>
        </w:rPr>
        <w:t>من الدین، أو یخاف امتناعه من أدائه أو هربه ونحو ذلک ممّا یوجب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فالموجود فی الروایة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الزوج وإجازة الزوجة وأ نّها تحلف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دعاها إلی أخذ المیراث إلّاالرضا بالتزویج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غیر منافیة لما ذکرناه </w:t>
      </w:r>
      <w:r>
        <w:rPr>
          <w:rStyle w:val="FootnoteAnchor"/>
          <w:rtl w:val="true"/>
        </w:rPr>
        <w:footnoteReference w:id="517"/>
      </w:r>
      <w:r>
        <w:rPr>
          <w:rFonts w:ascii="IRNazanin" w:hAnsi="IRNazanin" w:eastAsia="IRNazanin"/>
          <w:color w:val="111111"/>
          <w:sz w:val="28"/>
          <w:sz w:val="28"/>
          <w:szCs w:val="28"/>
          <w:rtl w:val="true"/>
          <w:lang w:bidi="fa-IR"/>
        </w:rPr>
        <w:t>ولکن فتوی الأصحاب مطلقة فی إثبات الیمین</w:t>
      </w:r>
      <w:r>
        <w:rPr>
          <w:rFonts w:eastAsia="IRNazanin" w:cs="IRNazanin"/>
          <w:color w:val="111111"/>
          <w:sz w:val="28"/>
          <w:szCs w:val="28"/>
          <w:rtl w:val="true"/>
          <w:lang w:bidi="fa-IR"/>
        </w:rPr>
        <w:t>.</w:t>
      </w:r>
    </w:p>
    <w:p>
      <w:pPr>
        <w:pStyle w:val="Heading5"/>
        <w:numPr>
          <w:ilvl w:val="4"/>
          <w:numId w:val="1"/>
        </w:numPr>
        <w:rPr/>
      </w:pPr>
      <w:bookmarkStart w:id="216" w:name="__RefHeading___Toc2175411_2314609296"/>
      <w:bookmarkStart w:id="217" w:name="_Toc80"/>
      <w:bookmarkEnd w:id="216"/>
      <w:r>
        <w:rPr>
          <w:rtl w:val="true"/>
        </w:rPr>
        <w:t>«</w:t>
      </w:r>
      <w:r>
        <w:rPr>
          <w:rtl w:val="true"/>
        </w:rPr>
        <w:t xml:space="preserve">التاسعة </w:t>
      </w:r>
      <w:r>
        <w:rPr>
          <w:rtl w:val="true"/>
        </w:rPr>
        <w:t>[</w:t>
      </w:r>
      <w:r>
        <w:rPr>
          <w:rtl w:val="true"/>
        </w:rPr>
        <w:t xml:space="preserve">لو زوّجها الأبوان او اخوان برجلین </w:t>
      </w:r>
      <w:r>
        <w:rPr>
          <w:rtl w:val="true"/>
        </w:rPr>
        <w:t>] » :</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زوّجها الأبوان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برجلین واقترنا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 بأن اتّحد زمان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عقد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فیه خلافاً، وتدلّ علیه من الأخبار روایة عبید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یرید أبوها أن یزوّجها من رجل ویرید جدّها أن یزوّجها من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أولی بذلک ما لم یکن مضارّاً إن لم یکن الأب زوّجها قبله</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وعلّل مع ذلک بأنّ ولایة الجدّ أقوی؛ لثبوت ولایته علی الأب علی تقدیر نقصه بجنون ونحوه، بخلاف العکس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العلّة لو تمّت لزم تعدّی الحکم إلی غیر النکاح ولا یقولون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قصره علی محلّ الوفاق؛ لأنّه علی خلاف الأصل حیث إنّهما مشترکان فی الولایة، ومثل هذه القوّة لا تصلح مرجّحاً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تعدّی الحکم إلی الجدّ مع جدّ الأب وهکذا صاعداً وجه، نظراً إلی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العدم؛ لخروجه عن موضع النصّ، واستوائهما فی إطلاق الجدّ حقیقة والأب کذلک، أو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صحّ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من الخبر وغیره، ولأ نّهما مشترکان فی الولایة، فإذا سبق أحدهما وقع صحیحاً فامتنع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زوّجها الأخوان برجلین فالعقد للسابق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فی عقد الأبوین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یکونا وکیلین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کما لو عقد غیرهما فضولاً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تساوی مختارهما فی الکمال أو رجحان مختار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انعکس فالأولی ترجیح الأکمل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 قبولاً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الترجیح 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کلّ منهما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بتقدیم عقد الأکبر </w:t>
      </w:r>
      <w:r>
        <w:rPr>
          <w:rStyle w:val="FootnoteAnchor"/>
          <w:rtl w:val="true"/>
        </w:rPr>
        <w:footnoteReference w:id="521"/>
      </w:r>
      <w:r>
        <w:rPr>
          <w:rFonts w:ascii="IRNazanin" w:hAnsi="IRNazanin" w:eastAsia="IRNazanin"/>
          <w:color w:val="111111"/>
          <w:sz w:val="28"/>
          <w:sz w:val="28"/>
          <w:szCs w:val="28"/>
          <w:rtl w:val="true"/>
          <w:lang w:bidi="fa-IR"/>
        </w:rPr>
        <w:t xml:space="preserve">هنا ضعیف؛ لضعف مستنده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یکونا وکیلین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عقد الوکیل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لبطلان عقد الفضولی بمعارضة العقد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کانا فضولیّین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عقدیهما اقترنا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إجازة ما شاءت منهما وإبطال الآخر أو إبطالهما</w:t>
      </w:r>
      <w:r>
        <w:rPr>
          <w:rFonts w:eastAsia="IRNazanin" w:cs="IRNazanin"/>
          <w:color w:val="111111"/>
          <w:sz w:val="28"/>
          <w:szCs w:val="28"/>
          <w:rtl w:val="true"/>
          <w:lang w:bidi="fa-IR"/>
        </w:rPr>
        <w:t>.</w:t>
      </w:r>
      <w:bookmarkStart w:id="218" w:name="pg19810_214384"/>
    </w:p>
    <w:p>
      <w:pPr>
        <w:pStyle w:val="Heading5"/>
        <w:numPr>
          <w:ilvl w:val="4"/>
          <w:numId w:val="1"/>
        </w:numPr>
        <w:rPr/>
      </w:pPr>
      <w:bookmarkStart w:id="219" w:name="__RefHeading___Toc2175413_2314609296"/>
      <w:bookmarkStart w:id="220" w:name="_Toc81"/>
      <w:bookmarkEnd w:id="218"/>
      <w:bookmarkEnd w:id="219"/>
      <w:r>
        <w:rPr>
          <w:rtl w:val="true"/>
        </w:rPr>
        <w:t>«</w:t>
      </w:r>
      <w:r>
        <w:rPr>
          <w:rtl w:val="true"/>
        </w:rPr>
        <w:t xml:space="preserve">العاشرة </w:t>
      </w:r>
      <w:r>
        <w:rPr>
          <w:rtl w:val="true"/>
        </w:rPr>
        <w:t>[</w:t>
      </w:r>
      <w:r>
        <w:rPr>
          <w:rtl w:val="true"/>
        </w:rPr>
        <w:t xml:space="preserve">عدم الولایة الام علی الولد </w:t>
      </w:r>
      <w:r>
        <w:rPr>
          <w:rtl w:val="true"/>
        </w:rPr>
        <w:t>] » :</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ولایة 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الولد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زوّجته أو زوّجتها اعتبر رضاهما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الکمال کالفضولی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ادّعت الوکالة عن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العقد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لتفویتها علیها البُضع وغرورِها بدعوی الوکالة، مع أنّ الفرقة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یلزمها جمیع المهر </w:t>
      </w:r>
      <w:r>
        <w:rPr>
          <w:rStyle w:val="FootnoteAnchor"/>
          <w:rtl w:val="true"/>
        </w:rPr>
        <w:footnoteReference w:id="523"/>
      </w:r>
      <w:r>
        <w:rPr>
          <w:rFonts w:ascii="IRNazanin" w:hAnsi="IRNazanin" w:eastAsia="IRNazanin"/>
          <w:color w:val="111111"/>
          <w:sz w:val="28"/>
          <w:sz w:val="28"/>
          <w:szCs w:val="28"/>
          <w:rtl w:val="true"/>
          <w:lang w:bidi="fa-IR"/>
        </w:rPr>
        <w:t xml:space="preserve">لما ذُکر، وإنّما ینتصف بالطلاق ولم یقع، ولروایة محمّد بن مسلم عن الباقر علیه السلام </w:t>
      </w:r>
      <w:r>
        <w:rPr>
          <w:rStyle w:val="FootnoteAnchor"/>
          <w:rtl w:val="true"/>
        </w:rPr>
        <w:footnoteReference w:id="524"/>
      </w:r>
      <w:r>
        <w:rPr>
          <w:rFonts w:ascii="IRNazanin" w:hAnsi="IRNazanin" w:eastAsia="IRNazanin"/>
          <w:color w:val="111111"/>
          <w:sz w:val="28"/>
          <w:sz w:val="28"/>
          <w:szCs w:val="28"/>
          <w:rtl w:val="true"/>
          <w:lang w:bidi="fa-IR"/>
        </w:rPr>
        <w:t xml:space="preserve">ویُشکل بأنّ البضع إنّما یضمن بالاستیفاء علی بعض الوجوه </w:t>
      </w:r>
      <w:r>
        <w:rPr>
          <w:rStyle w:val="FootnoteAnchor"/>
          <w:rtl w:val="true"/>
        </w:rPr>
        <w:footnoteReference w:id="525"/>
      </w:r>
      <w:r>
        <w:rPr>
          <w:rFonts w:ascii="IRNazanin" w:hAnsi="IRNazanin" w:eastAsia="IRNazanin"/>
          <w:color w:val="111111"/>
          <w:sz w:val="28"/>
          <w:sz w:val="28"/>
          <w:szCs w:val="28"/>
          <w:rtl w:val="true"/>
          <w:lang w:bidi="fa-IR"/>
        </w:rPr>
        <w:t>لا مطلقاً، والعقد لم یثبت فلم یثبت موجَبُه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أ نّه لا شیء علی الوکیل مطلقاً إلّامع الضمان، فیلزمه ما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یتعدّی الحکم إلی غیر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وبالَغَ القائل بلزوم المهر فحکم به علی الاُمّ وإن لم تدّعِ الوکالة، استناداً إلی ظاهر الروایة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w:t>
      </w:r>
      <w:r>
        <w:rPr>
          <w:rStyle w:val="FootnoteAnchor"/>
          <w:rtl w:val="true"/>
        </w:rPr>
        <w:footnoteReference w:id="526"/>
      </w:r>
      <w:r>
        <w:rPr>
          <w:rFonts w:ascii="IRNazanin" w:hAnsi="IRNazanin" w:eastAsia="IRNazanin"/>
          <w:color w:val="111111"/>
          <w:sz w:val="28"/>
          <w:sz w:val="28"/>
          <w:szCs w:val="28"/>
          <w:rtl w:val="true"/>
          <w:lang w:bidi="fa-IR"/>
        </w:rPr>
        <w:t>حملُها علی دعواها الوکالة، فإنّ مجرّد ذلک لا یصلح لثبوت المهر فی ذمّة الوکیل</w:t>
      </w:r>
      <w:r>
        <w:rPr>
          <w:rFonts w:eastAsia="IRNazanin" w:cs="IRNazanin"/>
          <w:color w:val="111111"/>
          <w:sz w:val="28"/>
          <w:szCs w:val="28"/>
          <w:rtl w:val="true"/>
          <w:lang w:bidi="fa-IR"/>
        </w:rPr>
        <w:t>.</w:t>
      </w:r>
      <w:bookmarkStart w:id="221" w:name="pg19810_214385"/>
    </w:p>
    <w:p>
      <w:pPr>
        <w:pStyle w:val="Heading3"/>
        <w:numPr>
          <w:ilvl w:val="2"/>
          <w:numId w:val="1"/>
        </w:numPr>
        <w:rPr/>
      </w:pPr>
      <w:bookmarkStart w:id="222" w:name="__RefHeading___Toc2175415_2314609296"/>
      <w:bookmarkStart w:id="223" w:name="_Toc82"/>
      <w:bookmarkEnd w:id="221"/>
      <w:bookmarkEnd w:id="222"/>
      <w:r>
        <w:rPr>
          <w:rtl w:val="true"/>
        </w:rPr>
        <w:t>«</w:t>
      </w:r>
      <w:r>
        <w:rPr>
          <w:rtl w:val="true"/>
        </w:rPr>
        <w:t>الفصل الثالث</w:t>
      </w:r>
      <w:r>
        <w:rPr>
          <w:rtl w:val="true"/>
        </w:rPr>
        <w:t>»</w:t>
      </w:r>
      <w:bookmarkEnd w:id="223"/>
    </w:p>
    <w:p>
      <w:pPr>
        <w:pStyle w:val="Heading4"/>
        <w:numPr>
          <w:ilvl w:val="3"/>
          <w:numId w:val="1"/>
        </w:numPr>
        <w:rPr/>
      </w:pPr>
      <w:bookmarkStart w:id="224" w:name="__RefHeading___Toc2175417_2314609296"/>
      <w:bookmarkStart w:id="225" w:name="_Toc83"/>
      <w:bookmarkEnd w:id="224"/>
      <w:r>
        <w:rPr>
          <w:rtl w:val="true"/>
        </w:rPr>
        <w:t>اشارة</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 والرضاع وغیرهما من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وتوابعها</w:t>
      </w:r>
      <w:r>
        <w:rPr>
          <w:rFonts w:eastAsia="IRNazanin" w:cs="IRNazanin"/>
          <w:color w:val="111111"/>
          <w:sz w:val="28"/>
          <w:szCs w:val="28"/>
          <w:rtl w:val="true"/>
          <w:lang w:bidi="fa-IR"/>
        </w:rPr>
        <w:t>»</w:t>
      </w:r>
    </w:p>
    <w:p>
      <w:pPr>
        <w:pStyle w:val="Heading4"/>
        <w:numPr>
          <w:ilvl w:val="3"/>
          <w:numId w:val="1"/>
        </w:numPr>
        <w:rPr/>
      </w:pPr>
      <w:bookmarkStart w:id="226" w:name="__RefHeading___Toc2175419_2314609296"/>
      <w:bookmarkStart w:id="227" w:name="_Toc84"/>
      <w:bookmarkEnd w:id="226"/>
      <w:r>
        <w:rPr>
          <w:rtl w:val="true"/>
        </w:rPr>
        <w:t>[</w:t>
      </w:r>
      <w:r>
        <w:rPr>
          <w:rtl w:val="true"/>
        </w:rPr>
        <w:t>اسباب التحریم</w:t>
      </w:r>
      <w:r>
        <w:rPr>
          <w:rtl w:val="true"/>
        </w:rPr>
        <w:t>]</w:t>
      </w:r>
      <w:bookmarkEnd w:id="227"/>
    </w:p>
    <w:p>
      <w:pPr>
        <w:pStyle w:val="Heading5"/>
        <w:numPr>
          <w:ilvl w:val="4"/>
          <w:numId w:val="1"/>
        </w:numPr>
        <w:rPr/>
      </w:pPr>
      <w:bookmarkStart w:id="228" w:name="__RefHeading___Toc2175421_2314609296"/>
      <w:bookmarkStart w:id="229" w:name="_Toc85"/>
      <w:bookmarkEnd w:id="228"/>
      <w:r>
        <w:rPr>
          <w:rtl w:val="true"/>
        </w:rPr>
        <w:t>[</w:t>
      </w:r>
      <w:r>
        <w:rPr/>
        <w:t>1</w:t>
      </w:r>
      <w:r>
        <w:rPr>
          <w:rtl w:val="true"/>
        </w:rPr>
        <w:t xml:space="preserve">- </w:t>
      </w:r>
      <w:r>
        <w:rPr>
          <w:rtl w:val="true"/>
        </w:rPr>
        <w:t xml:space="preserve">النسب </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أصناف من الإناث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 وإن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 امرأة ولّدته أو انته نسبه إلیها من العلو بالولادة لأبٍ کانت أم 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والبنت وبنتها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وبنت الابن فنازلاً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ینتهی إلیه نسبه بالتولّد ولو بوسائط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 وبنتها فنازلاً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کلّ امرأة ولّدها أبواه أو أحدهما، أو انته نسبها إلیهما أو إلی أحدهما بالتولّد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وبنت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 کانت أم لاُمٍّ أم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کلّ اُنثی هی اُخت ذکر ولّده بواسطة أو غیرها من جهة الأب أو الاُمّ أو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والخالة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وهی کلّ اُنثی هی اُخت اُنثی ولّدته بواسطة أو بغیر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من جهة الأب کاُخت اُمّ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بالصاعد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عمّة الأب والاُمّ وخالتهما، وعمّة الجدّ والجدّة وخالتهما،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عمّة العمّة وخالة الخالة، فإنّهما قد لا تکونان محرّمتین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علی المرأة ما یحرم علی الرجل بالقیاس</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وضابط المحرّمات الجامع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یحرم علی الإنسان کلّ قریب عدا أولاد العمومة والخؤولة</w:t>
      </w:r>
      <w:r>
        <w:rPr>
          <w:rFonts w:eastAsia="IRNazanin" w:cs="IRNazanin"/>
          <w:color w:val="111111"/>
          <w:sz w:val="28"/>
          <w:szCs w:val="28"/>
          <w:rtl w:val="true"/>
          <w:lang w:bidi="fa-IR"/>
        </w:rPr>
        <w:t>.</w:t>
      </w:r>
      <w:bookmarkStart w:id="230" w:name="pg19810_214386"/>
    </w:p>
    <w:p>
      <w:pPr>
        <w:pStyle w:val="Heading5"/>
        <w:numPr>
          <w:ilvl w:val="4"/>
          <w:numId w:val="1"/>
        </w:numPr>
        <w:rPr/>
      </w:pPr>
      <w:bookmarkStart w:id="231" w:name="__RefHeading___Toc2175423_2314609296"/>
      <w:bookmarkStart w:id="232" w:name="_Toc86"/>
      <w:bookmarkEnd w:id="230"/>
      <w:bookmarkEnd w:id="231"/>
      <w:r>
        <w:rPr>
          <w:rtl w:val="true"/>
        </w:rPr>
        <w:t>[</w:t>
      </w:r>
      <w:r>
        <w:rPr/>
        <w:t>2</w:t>
      </w:r>
      <w:r>
        <w:rPr>
          <w:rtl w:val="true"/>
        </w:rPr>
        <w:t xml:space="preserve">- </w:t>
      </w:r>
      <w:r>
        <w:rPr>
          <w:rtl w:val="true"/>
        </w:rPr>
        <w:t xml:space="preserve">الرضاع </w:t>
      </w:r>
      <w:r>
        <w:rPr>
          <w:rtl w:val="true"/>
        </w:rPr>
        <w:t>]</w:t>
      </w:r>
      <w:bookmarkEnd w:id="232"/>
    </w:p>
    <w:p>
      <w:pPr>
        <w:pStyle w:val="Heading6"/>
        <w:numPr>
          <w:ilvl w:val="5"/>
          <w:numId w:val="1"/>
        </w:numPr>
        <w:rPr/>
      </w:pPr>
      <w:bookmarkStart w:id="233" w:name="__RefHeading___Toc2175425_2314609296"/>
      <w:bookmarkStart w:id="234" w:name="_Toc87"/>
      <w:bookmarkEnd w:id="233"/>
      <w:r>
        <w:rPr>
          <w:rtl w:val="true"/>
        </w:rPr>
        <w:t>اشارة</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بالرضاع ما یحرم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فاُمّک من الرضاعة هی کلّ امرأة أرضعتک أو رجع نسب من أرضعتک أو صاحب اللبن إلیها، أو أرضعت من یرجع نسبک إلیه من ذکر أو اُنثی وإن علا، کمرضعة أحد أبویک أو أجدادک أو جدّاتک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واُختُها خالتک من الرضاعة، وأخوها خالک، وأبوها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ابن مرضعتک أخ، وبنتها اُخت، إلی آخر أحکام 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والبنت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اُنثی رضعت من لبنک أو لبن من وَلَدْتَه أو أرضعتها امرأة وَلَدْتَها، وکذا بناتها من النسب والرضاع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والعمّات والخالات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أخوات الفحل والمرضعة، وأخوات من ولدهما من النسب والرضاع؛ وکذا کلّ امرأة أرضعتها واحدة من جدّاتک، أو اُرضعت بلبن واحد من أجدادک من النسب والرضاع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وبنات الأخ وبنات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أولاد المرضعة والفحل من الرضاع والنسب، وکذا کلّ اُنثی أرضعتها اُختک وبنت أخیک </w:t>
      </w:r>
      <w:r>
        <w:rPr>
          <w:rStyle w:val="FootnoteAnchor"/>
          <w:rtl w:val="true"/>
        </w:rPr>
        <w:footnoteReference w:id="527"/>
      </w:r>
      <w:r>
        <w:rPr>
          <w:rFonts w:ascii="IRNazanin" w:hAnsi="IRNazanin" w:eastAsia="IRNazanin"/>
          <w:color w:val="111111"/>
          <w:sz w:val="28"/>
          <w:sz w:val="28"/>
          <w:szCs w:val="28"/>
          <w:rtl w:val="true"/>
          <w:lang w:bidi="fa-IR"/>
        </w:rPr>
        <w:t>وبنات کلّ ذکر أرضعته اُمّک أو ارتضع بلبن أبیک</w:t>
      </w:r>
      <w:r>
        <w:rPr>
          <w:rFonts w:eastAsia="IRNazanin" w:cs="IRNazanin"/>
          <w:color w:val="111111"/>
          <w:sz w:val="28"/>
          <w:szCs w:val="28"/>
          <w:rtl w:val="true"/>
          <w:lang w:bidi="fa-IR"/>
        </w:rPr>
        <w:t>.</w:t>
      </w:r>
    </w:p>
    <w:p>
      <w:pPr>
        <w:pStyle w:val="Heading6"/>
        <w:numPr>
          <w:ilvl w:val="5"/>
          <w:numId w:val="1"/>
        </w:numPr>
        <w:rPr/>
      </w:pPr>
      <w:bookmarkStart w:id="235" w:name="__RefHeading___Toc2175427_2314609296"/>
      <w:bookmarkStart w:id="236" w:name="_Toc88"/>
      <w:bookmarkEnd w:id="235"/>
      <w:r>
        <w:rPr>
          <w:rtl w:val="true"/>
        </w:rPr>
        <w:t>[</w:t>
      </w:r>
      <w:r>
        <w:rPr>
          <w:rtl w:val="true"/>
        </w:rPr>
        <w:t>شروط التحریم الرضاع</w:t>
      </w:r>
      <w:r>
        <w:rPr>
          <w:rtl w:val="true"/>
        </w:rPr>
        <w:t>]</w:t>
      </w:r>
      <w:bookmarkEnd w:id="23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یحرِّم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کونه عن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دواماً ومتعة، وملک یمین، وشبهةٍ علی أصحّ القولین </w:t>
      </w:r>
      <w:r>
        <w:rPr>
          <w:rStyle w:val="FootnoteAnchor"/>
          <w:rtl w:val="true"/>
        </w:rPr>
        <w:footnoteReference w:id="528"/>
      </w:r>
      <w:r>
        <w:rPr>
          <w:rFonts w:ascii="IRNazanin" w:hAnsi="IRNazanin" w:eastAsia="IRNazanin"/>
          <w:color w:val="111111"/>
          <w:sz w:val="28"/>
          <w:sz w:val="28"/>
          <w:szCs w:val="28"/>
          <w:rtl w:val="true"/>
          <w:lang w:bidi="fa-IR"/>
        </w:rPr>
        <w:t>مع ثبوتها من الطرفین، وإلّا ثبت الحکم فی حقّ من ثبت له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اللبن الخالی عن النکاح بین کونه من صغیرة وکبیرة، بکر وثیّب، ذات بعل وخلیّة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مع صحّة النکاح صدور اللبن عن ذات حمل أو ولد بالنکاح المذکور، فلا عبرة بلبن الخالیة منهما وإن کانت منکوحة نکاحاً صحیحاً، حتّی لو طلّق الزوج وهی حامل منه أو مرضع فأرضعت ولداً نشر الحرمة، کما لو کانت فی حباله وإن تزوّجت 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والأقوی اعتبار حیاة المرضعة، فلو ماتت فی أثناء الرضاع فاُکمل النصاب میتةً لم ینشر وإن تناوله إطلاق العبارة وصدق علیه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علی المعهود المتعارف وهو إرضاع الحیّة، ودلالة الأدلّة اللفظیّة علی الإرضاع بالاختیار،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أُمَّهٰاتُکُمُ اَللاّٰتِی أَرْضَعْنَکُمْ</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واستصحاباً لبقاء الحلّ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ینبت اللحم أو یشدّ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فیهما إلی قول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العدد والعدالة لیثبت به حکم التحریم، بخلاف خبرهم فی مثل المرض المبیح للفطر والتیمّم، فإنّ المرجع فی ذلک إلی الظنّ وهو یحصل بالواحد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والموجود فی النصوص </w:t>
      </w:r>
      <w:r>
        <w:rPr>
          <w:rStyle w:val="FootnoteAnchor"/>
          <w:rtl w:val="true"/>
        </w:rPr>
        <w:footnoteReference w:id="530"/>
      </w:r>
      <w:r>
        <w:rPr>
          <w:rFonts w:ascii="IRNazanin" w:hAnsi="IRNazanin" w:eastAsia="IRNazanin"/>
          <w:color w:val="111111"/>
          <w:sz w:val="28"/>
          <w:sz w:val="28"/>
          <w:szCs w:val="28"/>
          <w:rtl w:val="true"/>
          <w:lang w:bidi="fa-IR"/>
        </w:rPr>
        <w:t xml:space="preserve">والفتاوی </w:t>
      </w:r>
      <w:r>
        <w:rPr>
          <w:rStyle w:val="FootnoteAnchor"/>
          <w:rtl w:val="true"/>
        </w:rPr>
        <w:footnoteReference w:id="531"/>
      </w:r>
      <w:r>
        <w:rPr>
          <w:rFonts w:ascii="IRNazanin" w:hAnsi="IRNazanin" w:eastAsia="IRNazanin"/>
          <w:color w:val="111111"/>
          <w:sz w:val="28"/>
          <w:sz w:val="28"/>
          <w:szCs w:val="28"/>
          <w:rtl w:val="true"/>
          <w:lang w:bidi="fa-IR"/>
        </w:rPr>
        <w:t>اعتبار الوصفین معاً، وهنا اکتفی بأحدهما، ولعلّه للتلازم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اعتبار تحقّقهما معاً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یتمّ یوماً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ترضع کلّما تقاضاه أو احتاج إلیه عادة وإن لم یتمّ العدد ولم یحصل الوصف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الیوم الطویل وغیره؛ لانجباره باللیلة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یکفی الملفّق منهما لو ابتدأ فی أثناء أحدهما؟ نظر، من الشکّ فی صدق الشرط، وتحقّق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خمس عشرة 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متوالیة؛ لروایة زیاد بن سوقة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للرضاع حدّ یؤخذ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یُحرّم الرضاع أقلّ من یوم ولیلة، أو خمس عشرة متوالیات من امرأة واحدة من لبن فحل واحد لم یفصل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برضعة امرأة غیرها</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وفی معناها أخبار اُخر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النشر بالعشر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المعظم </w:t>
      </w:r>
      <w:r>
        <w:rPr>
          <w:rStyle w:val="FootnoteAnchor"/>
          <w:rtl w:val="true"/>
        </w:rPr>
        <w:footnoteReference w:id="535"/>
      </w:r>
      <w:r>
        <w:rPr>
          <w:rFonts w:ascii="Amiri" w:hAnsi="Amiri" w:eastAsia="Amiri" w:cs="Amiri"/>
          <w:color w:val="111111"/>
          <w:sz w:val="28"/>
          <w:sz w:val="28"/>
          <w:szCs w:val="28"/>
          <w:rtl w:val="true"/>
          <w:lang w:bidi="ar-SA"/>
        </w:rPr>
        <w:t>لعموم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أُمَّهٰاتُکُمُ اَللاّٰتِی أَرْضَعْنَکُمْ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ونظائره من العمومات </w:t>
      </w:r>
      <w:r>
        <w:rPr>
          <w:rStyle w:val="FootnoteAnchor"/>
          <w:rtl w:val="true"/>
        </w:rPr>
        <w:footnoteReference w:id="537"/>
      </w:r>
      <w:r>
        <w:rPr>
          <w:rFonts w:ascii="IRNazanin" w:hAnsi="IRNazanin" w:eastAsia="IRNazanin"/>
          <w:color w:val="111111"/>
          <w:sz w:val="28"/>
          <w:sz w:val="28"/>
          <w:szCs w:val="28"/>
          <w:rtl w:val="true"/>
          <w:lang w:bidi="fa-IR"/>
        </w:rPr>
        <w:t xml:space="preserve">المخصَّصة بما دون العشر قطعاً، فیبقی الباقی، ولصحیحة الفضیل بن یسار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5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یحرم من الرضاع إلّاالمجبور </w:t>
      </w:r>
      <w:r>
        <w:rPr>
          <w:rStyle w:val="FootnoteAnchor"/>
          <w:rtl w:val="true"/>
        </w:rPr>
        <w:footnoteReference w:id="5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المجبور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تربّی، أو ظئر</w:t>
      </w:r>
    </w:p>
    <w:p>
      <w:pPr>
        <w:pStyle w:val="BookText"/>
        <w:rPr/>
      </w:pPr>
      <w:r>
        <w:rPr>
          <w:rFonts w:ascii="IRNazanin" w:hAnsi="IRNazanin" w:eastAsia="IRNazanin"/>
          <w:color w:val="111111"/>
          <w:sz w:val="28"/>
          <w:sz w:val="28"/>
          <w:szCs w:val="28"/>
          <w:rtl w:val="true"/>
          <w:lang w:bidi="fa-IR"/>
        </w:rPr>
        <w:t>تُستأجر، أو أمة تُشتری، ثمّ ترضع عشر رضعات یروی الصبیّ وینام</w:t>
      </w:r>
      <w:r>
        <w:rPr>
          <w:rFonts w:eastAsia="IRNazanin" w:cs="IRNazanin"/>
          <w:color w:val="111111"/>
          <w:sz w:val="28"/>
          <w:szCs w:val="28"/>
          <w:rtl w:val="true"/>
          <w:lang w:bidi="fa-IR"/>
        </w:rPr>
        <w:t>»</w:t>
      </w:r>
    </w:p>
    <w:p>
      <w:pPr>
        <w:pStyle w:val="BookText"/>
        <w:rPr/>
      </w:pP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العشر تنبت اللحم؛ لصحیحة عبید بن زرارة عن الصادق علیه السلام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ینبت اللحم والدم؟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والأخبار المصرّحة بالخمس عشرة ضعیفة السند أو قریبة منه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لمنع صحّة الخبر الدالّ علی العشر فإنّ فی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علی أصحّ القولین وأشهرهما </w:t>
      </w:r>
      <w:r>
        <w:rPr>
          <w:rStyle w:val="FootnoteAnchor"/>
          <w:rtl w:val="true"/>
        </w:rPr>
        <w:footnoteReference w:id="543"/>
      </w:r>
      <w:r>
        <w:rPr>
          <w:rFonts w:ascii="IRNazanin" w:hAnsi="IRNazanin" w:eastAsia="IRNazanin"/>
          <w:color w:val="111111"/>
          <w:sz w:val="28"/>
          <w:sz w:val="28"/>
          <w:szCs w:val="28"/>
          <w:rtl w:val="true"/>
          <w:lang w:bidi="fa-IR"/>
        </w:rPr>
        <w:t>وأمّا صحیحة عبید فنسب العشر إلی غیره مشعراً بعدم اختیاره، وفی آخره ما یدلّ علی ذلک، فإنّ السائل لمّا فهم منه عدم إرادته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تحرِّم عشر رضعات؟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یحرم من النسب فهو یحرم 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حکم العشر حقّاً لما نسبه علیه السلام إلی غیره، بل کان یحکم به من غیر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وإعراضه علیه السلام ثانیاً عن الجواب إلی غیره مشعر بالتقیّة وعدم التحریم بالعشر، فسقط الاحتجاج من الجانبین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 صحیحة عبد اللّٰه بن رئاب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w:t>
      </w:r>
    </w:p>
    <w:p>
      <w:pPr>
        <w:pStyle w:val="BookText"/>
        <w:rPr/>
      </w:pPr>
      <w:r>
        <w:rPr>
          <w:rFonts w:ascii="IRNazanin" w:hAnsi="IRNazanin" w:eastAsia="IRNazanin"/>
          <w:color w:val="111111"/>
          <w:sz w:val="28"/>
          <w:sz w:val="28"/>
          <w:szCs w:val="28"/>
          <w:rtl w:val="true"/>
          <w:lang w:bidi="fa-IR"/>
        </w:rPr>
        <w:t>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عشر رضعات؟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 نّها لا تنبت اللحم ولا تشدّ العظم عشر رضعات</w:t>
      </w:r>
      <w:r>
        <w:rPr>
          <w:rFonts w:eastAsia="IRNazanin" w:cs="IRNazanin"/>
          <w:color w:val="111111"/>
          <w:sz w:val="28"/>
          <w:szCs w:val="28"/>
          <w:rtl w:val="true"/>
          <w:lang w:bidi="fa-IR"/>
        </w:rPr>
        <w:t>»</w:t>
      </w:r>
    </w:p>
    <w:p>
      <w:pPr>
        <w:pStyle w:val="BookText"/>
        <w:rPr/>
      </w:pP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فانتفت العشر بهذا الخبر، فلم یبقَ إلّاالقول بالخمس عشرة وإن لم یُذکر؛ إذ لا واسطة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یُخصّ عموم الأدلّة أیضاً، ویضعّف قول ابن الجنید بالاکتفاء بما وقع علیه اسم الرضعة نظراً إلی العموم حیث أطرح الأخبار من الجانبین </w:t>
      </w:r>
      <w:r>
        <w:rPr>
          <w:rStyle w:val="FootnoteAnchor"/>
          <w:rtl w:val="true"/>
        </w:rPr>
        <w:footnoteReference w:id="545"/>
      </w:r>
      <w:r>
        <w:rPr>
          <w:rFonts w:ascii="IRNazanin" w:hAnsi="IRNazanin" w:eastAsia="IRNazanin"/>
          <w:color w:val="111111"/>
          <w:sz w:val="28"/>
          <w:sz w:val="28"/>
          <w:szCs w:val="28"/>
          <w:rtl w:val="true"/>
          <w:lang w:bidi="fa-IR"/>
        </w:rPr>
        <w:t xml:space="preserve">وما أوردناه من الخبر الصحیح </w:t>
      </w:r>
      <w:r>
        <w:rPr>
          <w:rStyle w:val="FootnoteAnchor"/>
          <w:rtl w:val="true"/>
        </w:rPr>
        <w:footnoteReference w:id="546"/>
      </w:r>
      <w:r>
        <w:rPr>
          <w:rFonts w:ascii="IRNazanin" w:hAnsi="IRNazanin" w:eastAsia="IRNazanin"/>
          <w:color w:val="111111"/>
          <w:sz w:val="28"/>
          <w:sz w:val="28"/>
          <w:szCs w:val="28"/>
          <w:rtl w:val="true"/>
          <w:lang w:bidi="fa-IR"/>
        </w:rPr>
        <w:t>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وتبقی الأخبار المثبتة للخمس عشرة والنافیة للعشرة </w:t>
      </w:r>
      <w:r>
        <w:rPr>
          <w:rStyle w:val="FootnoteAnchor"/>
          <w:rtl w:val="true"/>
        </w:rPr>
        <w:footnoteReference w:id="547"/>
      </w:r>
      <w:r>
        <w:rPr>
          <w:rFonts w:ascii="IRNazanin" w:hAnsi="IRNazanin" w:eastAsia="IRNazanin"/>
          <w:color w:val="111111"/>
          <w:sz w:val="28"/>
          <w:sz w:val="28"/>
          <w:szCs w:val="28"/>
          <w:rtl w:val="true"/>
          <w:lang w:bidi="fa-IR"/>
        </w:rPr>
        <w:t xml:space="preserve">من غیره </w:t>
      </w:r>
      <w:r>
        <w:rPr>
          <w:rStyle w:val="FootnoteAnchor"/>
          <w:rtl w:val="true"/>
        </w:rPr>
        <w:footnoteReference w:id="548"/>
      </w:r>
      <w:r>
        <w:rPr>
          <w:rFonts w:ascii="Amiri" w:hAnsi="Amiri" w:eastAsia="Amiri" w:cs="Amiri"/>
          <w:color w:val="111111"/>
          <w:sz w:val="28"/>
          <w:sz w:val="28"/>
          <w:szCs w:val="28"/>
          <w:rtl w:val="true"/>
          <w:lang w:bidi="ar-SA"/>
        </w:rPr>
        <w:t xml:space="preserve">شاهدة وعاضدة له </w:t>
      </w:r>
      <w:r>
        <w:rPr>
          <w:rStyle w:val="FootnoteAnchor"/>
          <w:rtl w:val="true"/>
        </w:rPr>
        <w:footnoteReference w:id="549"/>
      </w:r>
      <w:r>
        <w:rPr>
          <w:rFonts w:ascii="IRNazanin" w:hAnsi="IRNazanin" w:eastAsia="IRNazanin"/>
          <w:color w:val="111111"/>
          <w:sz w:val="28"/>
          <w:sz w:val="28"/>
          <w:szCs w:val="28"/>
          <w:rtl w:val="true"/>
          <w:lang w:bidi="fa-IR"/>
        </w:rPr>
        <w:t>وهی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یکون المرتضع فی الحولین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برضاعه بعدهما وإن کان جائزاً کالشهر والشهرین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والحولان معتبران فی المرتضع دون ولد المرضعة، فلو کَمل حولاً ولدها ثمّ أرضعت بلبنه غیره نشر فی أصحّ القولین </w:t>
      </w:r>
      <w:r>
        <w:rPr>
          <w:rStyle w:val="FootnoteAnchor"/>
          <w:rtl w:val="true"/>
        </w:rPr>
        <w:footnoteReference w:id="550"/>
      </w:r>
      <w:r>
        <w:rPr>
          <w:rFonts w:ascii="IRNazanin" w:hAnsi="IRNazanin" w:eastAsia="IRNazanin"/>
          <w:color w:val="111111"/>
          <w:sz w:val="28"/>
          <w:sz w:val="28"/>
          <w:szCs w:val="28"/>
          <w:rtl w:val="true"/>
          <w:lang w:bidi="fa-IR"/>
        </w:rPr>
        <w:t>ولا فرق بین أن یفطم المرتضع قبل الرضاع فی الحولین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فی الحولین الهلالیّة، ولو انکسر الشهر الأوّل اُکمل بعد الأخیر ثلاثین کغیره من الآجال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الرضعات فی الأحوال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برضاع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رضعة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عبرة بتخلّل غیر الرضاع من المأکول والمشروب وشرب اللبن من غیر الثدی ونحوه، وإنّما یقطع اتّصالَ الرضعات إرضاعُ غیرها من الثدی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العلّامة فی القواعد بالاکتفاء فی الفصل </w:t>
      </w:r>
      <w:r>
        <w:rPr>
          <w:rStyle w:val="FootnoteAnchor"/>
          <w:rtl w:val="true"/>
        </w:rPr>
        <w:footnoteReference w:id="551"/>
      </w:r>
      <w:r>
        <w:rPr>
          <w:rFonts w:ascii="IRNazanin" w:hAnsi="IRNazanin" w:eastAsia="IRNazanin"/>
          <w:color w:val="111111"/>
          <w:sz w:val="28"/>
          <w:sz w:val="28"/>
          <w:szCs w:val="28"/>
          <w:rtl w:val="true"/>
          <w:lang w:bidi="fa-IR"/>
        </w:rPr>
        <w:t xml:space="preserve">بأقلّ من رضعة کاملة </w:t>
      </w:r>
      <w:r>
        <w:rPr>
          <w:rStyle w:val="FootnoteAnchor"/>
          <w:rtl w:val="true"/>
        </w:rPr>
        <w:footnoteReference w:id="552"/>
      </w:r>
      <w:r>
        <w:rPr>
          <w:rFonts w:ascii="IRNazanin" w:hAnsi="IRNazanin" w:eastAsia="IRNazanin"/>
          <w:color w:val="111111"/>
          <w:sz w:val="28"/>
          <w:sz w:val="28"/>
          <w:szCs w:val="28"/>
          <w:rtl w:val="true"/>
          <w:lang w:bidi="fa-IR"/>
        </w:rPr>
        <w:t xml:space="preserve">من غیر تردّد، وفی التذکرة بأنّ الفصل لا یتحقّق إلّابرضعة تامّة وأنّ الناقصة بحکم المأکول وغیره </w:t>
      </w:r>
      <w:r>
        <w:rPr>
          <w:rStyle w:val="FootnoteAnchor"/>
          <w:rtl w:val="true"/>
        </w:rPr>
        <w:footnoteReference w:id="553"/>
      </w:r>
      <w:r>
        <w:rPr>
          <w:rFonts w:ascii="IRNazanin" w:hAnsi="IRNazanin" w:eastAsia="IRNazanin"/>
          <w:color w:val="111111"/>
          <w:sz w:val="28"/>
          <w:sz w:val="28"/>
          <w:szCs w:val="28"/>
          <w:rtl w:val="true"/>
          <w:lang w:bidi="fa-IR"/>
        </w:rPr>
        <w:t>والروایة مطلقة فی اعتبار کونها من امرأة واحدة،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الرضاع أقلّ من رضاع یوم ولیلة، أو خمس عشرة رضعة متوالیات من امرأة واحدة من لبن فحل واحد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ولعلّ دلالتها علی الاکتفاء بفصل مسمّی الرضاع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اللبن لفحل واحد، فلو أرضعت المرأة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ذکوراً وإناثاً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بلبن فحلین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 بحیث لم یجتمع ذکر واُنثی منهم علی رضاع لبن فحل واحد، بأن أرضعت جماعة ذکوراً بلبن واحدٍ ثمّ جماعة إناثاً بلبن فحل آخر، أو أرضعت صبیّاً بلبن فحل ثمّ اُنثی بلبن فحل آخر ثمّ ذکراً بلبن ثالث ثمّ اُنثی بلبن رابع، وهکذا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لم یحرم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اتّحد فحل اثنین منهم تحقّق التحریم فیهما دون الباقین، کما لو أرضعت ذکراً واُنثی بلبن فحل ثمّ ذکراً آخر واُنثی بلبن فحل آخر،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فإنّه یحرم کلّ اُنثی رضعت مع ذکرها من لبن فحل واحد علیه، ولا یحرم علی الذکر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لا تفی بذلک، ولکنّ المراد منها حاصل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مع اتّحاد الفحل بین أن تتّحد المرضعة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تتعدّد بحیث</w:t>
      </w:r>
    </w:p>
    <w:p>
      <w:pPr>
        <w:pStyle w:val="BookText"/>
        <w:rPr/>
      </w:pPr>
      <w:r>
        <w:rPr>
          <w:rFonts w:ascii="IRNazanin" w:hAnsi="IRNazanin" w:eastAsia="IRNazanin"/>
          <w:color w:val="111111"/>
          <w:sz w:val="28"/>
          <w:sz w:val="28"/>
          <w:szCs w:val="28"/>
          <w:rtl w:val="true"/>
          <w:lang w:bidi="fa-IR"/>
        </w:rPr>
        <w:t>یرتضع أحدهما من إحداهما کمالَ النصاب والآخر من الاُخری کذلک وإن تعدّدن فبلغن مئة کالمنکوحات بالمتعة أو بملک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اعتبار اتّحاد الفحل معظم الأصحاب </w:t>
      </w:r>
      <w:r>
        <w:rPr>
          <w:rStyle w:val="FootnoteAnchor"/>
          <w:rtl w:val="true"/>
        </w:rPr>
        <w:footnoteReference w:id="555"/>
      </w:r>
      <w:r>
        <w:rPr>
          <w:rFonts w:ascii="Amiri" w:hAnsi="Amiri" w:eastAsia="Amiri" w:cs="Amiri"/>
          <w:color w:val="111111"/>
          <w:sz w:val="28"/>
          <w:sz w:val="28"/>
          <w:szCs w:val="28"/>
          <w:rtl w:val="true"/>
          <w:lang w:bidi="ar-SA"/>
        </w:rPr>
        <w:t>وجملة من الأخبار، وقد تقدّم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صاحب التفسیر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اتّحاد الفحل بل یکفی اتّحاد المرضعة؛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اتّحادها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تعدّد الفحل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تحرّم التناکح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 والرضاع یحرم منه ما یحرم بالنسب </w:t>
      </w:r>
      <w:r>
        <w:rPr>
          <w:rStyle w:val="FootnoteAnchor"/>
          <w:rtl w:val="true"/>
        </w:rPr>
        <w:footnoteReference w:id="556"/>
      </w:r>
      <w:r>
        <w:rPr>
          <w:rFonts w:ascii="IRNazanin" w:hAnsi="IRNazanin" w:eastAsia="IRNazanin"/>
          <w:color w:val="111111"/>
          <w:sz w:val="28"/>
          <w:sz w:val="28"/>
          <w:szCs w:val="28"/>
          <w:rtl w:val="true"/>
          <w:lang w:bidi="fa-IR"/>
        </w:rPr>
        <w:t xml:space="preserve">وهو متّجه لولا ورود النصوص عن أهل البیت علیهم السلام بخلافه </w:t>
      </w:r>
      <w:r>
        <w:rPr>
          <w:rStyle w:val="FootnoteAnchor"/>
          <w:rtl w:val="true"/>
        </w:rPr>
        <w:footnoteReference w:id="557"/>
      </w:r>
      <w:r>
        <w:rPr>
          <w:rFonts w:ascii="IRNazanin" w:hAnsi="IRNazanin" w:eastAsia="IRNazanin"/>
          <w:color w:val="111111"/>
          <w:sz w:val="28"/>
          <w:sz w:val="28"/>
          <w:szCs w:val="28"/>
          <w:rtl w:val="true"/>
          <w:lang w:bidi="fa-IR"/>
        </w:rPr>
        <w:t>وهی مخصّصة لما دلّ بعمومه علی اتّحاد الرضاع والنسب فی حکم التحریم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 المسلمة العفیفة الوضیئة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الرضاع مؤثّر فی الطباع والأخلاق والصُوَر،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أفصح العرب، بیدَ أ نّی من قریش ونشأت فی بنی سعد وارتضعت من بنی زهرة</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وکانت هذه القبائل أفصح العرب، فافتخر صلی الله علیه و آله</w:t>
      </w:r>
    </w:p>
    <w:p>
      <w:pPr>
        <w:pStyle w:val="BookText"/>
        <w:rPr/>
      </w:pPr>
      <w:r>
        <w:rPr>
          <w:rFonts w:ascii="IRNazanin" w:hAnsi="IRNazanin" w:eastAsia="IRNazanin"/>
          <w:color w:val="111111"/>
          <w:sz w:val="28"/>
          <w:sz w:val="28"/>
          <w:szCs w:val="28"/>
          <w:rtl w:val="true"/>
          <w:lang w:bidi="fa-IR"/>
        </w:rPr>
        <w:t>بالرضاع کما افتخر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یُرضع أولادکم، فإنّ اللبن یشبّ علیه</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بالوضاء من الظؤرة فإنّ اللبن یُعدی</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وقال علیه السلام لمحمّد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استرضع لولدک بلبن الحِسان، وإیّاک والقِباح، فإنّ اللبن قد یُعدی</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استرضاع الذمّیّة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کراهة، ویکره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کعبارة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من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w:t>
      </w:r>
      <w:r>
        <w:rPr>
          <w:rStyle w:val="FootnoteAnchor"/>
          <w:rtl w:val="true"/>
        </w:rPr>
        <w:footnoteReference w:id="562"/>
      </w:r>
      <w:r>
        <w:rPr>
          <w:rFonts w:ascii="Amiri" w:hAnsi="Amiri" w:eastAsia="Amiri" w:cs="Amiri"/>
          <w:color w:val="111111"/>
          <w:sz w:val="28"/>
          <w:sz w:val="28"/>
          <w:szCs w:val="28"/>
          <w:rtl w:val="true"/>
          <w:lang w:bidi="ar-SA"/>
        </w:rPr>
        <w:t>دالّة علی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الرضاعة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الخنزیر وشرب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الاستحقاق إن کانت أمته أو مستأجرته وشرط علیها ذلک، وإلّا توصّل إلیه بالرفق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تسلیم الولد إلیها لتحمله إلی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لیست مأمونة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والمجوسیّة أشدّ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تُسترضع؛ للنهی عنها فی بعض الأخبار المحمول علی الکراهة جمعاً، قال عبد اللّٰه 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مظائرة 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أهل الکتاب</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أن تُسترضع مَن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یصدر عنها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الیهودیّة والنصرانیّة والمجوسیّة أحبّ إلیّ من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ما ذکرناه؛ لأنّه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لا یری بأساً بولد الزنا إذا جعل مولی الجاریة الذی فجر بالمرأة فی حلّ</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یکره استرضاع ذات البدعة فی دینها والتشویه فی خَلقها والحمقاء،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تسترضعوا الحمقاء، فإنّ الولد یُشبّ علیه</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وقال أمیر المؤمنین 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تسترضعوا الحمقاء، فإنّ اللبن یغلب الطباع</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کملت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فی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المرضعة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وإخوتهما أعماماً وأخوالاً، وأولادهما إخوة، وآباؤهما أجداداً فلا ینکح أبو المرتضع </w:t>
      </w:r>
      <w:r>
        <w:rPr>
          <w:rStyle w:val="FootnoteAnchor"/>
          <w:rtl w:val="true"/>
        </w:rPr>
        <w:footnoteReference w:id="567"/>
      </w:r>
      <w:r>
        <w:rPr>
          <w:rFonts w:ascii="IRNazanin" w:hAnsi="IRNazanin" w:eastAsia="IRNazanin"/>
          <w:color w:val="111111"/>
          <w:sz w:val="28"/>
          <w:sz w:val="28"/>
          <w:szCs w:val="28"/>
          <w:rtl w:val="true"/>
          <w:lang w:bidi="fa-IR"/>
        </w:rPr>
        <w:t>فی أولاد صاحب اللبن ولادةً ورضاعاً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صاروا إخوة ولده، وإخوة الولد محرّمون علی الأب، ولذلک عطف المصنّف التحریم بالفاء، لیکون تفریعاً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الصحیحة مصرّحة بالتحریم هنا، وأ نّهم بمنزلة وُلده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یحرمن علیه مطلقاً؛ لأنّ اُخت الابن النسیب إذا لم تکن بنتاً إنّما حرمت لأنّها بنت الزوجة المدخول بها، فتحریمها بسبب الدخول باُمّها وهو منتفٍ هنا؛ ولأنّ النصّ إنّما ورد بأ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من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 الولد إذا لم تکن ولداً إنّما تحرم بالمصاهرة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وهو حسن لولا معارضة النصوص الصحیحة، فالقول بالتحریم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ینکح أبو المرتضع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أولاد المرضعة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عبد اللّٰه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محمّد علیه السلام أنّ امرأة أرضعت ولداً لرجل هل یحلّ لذلک الرجل أن یتزوّج ابنة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المرضعة </w:t>
      </w:r>
      <w:r>
        <w:rPr>
          <w:rFonts w:eastAsia="IRNazanin" w:cs="IRNazanin"/>
          <w:color w:val="111111"/>
          <w:sz w:val="28"/>
          <w:szCs w:val="28"/>
          <w:rtl w:val="true"/>
          <w:lang w:bidi="fa-IR"/>
        </w:rPr>
        <w:t xml:space="preserve">] </w:t>
      </w:r>
      <w:r>
        <w:rPr>
          <w:rStyle w:val="FootnoteAnchor"/>
          <w:rtl w:val="true"/>
        </w:rPr>
        <w:footnoteReference w:id="571"/>
      </w:r>
      <w:r>
        <w:rPr>
          <w:rFonts w:ascii="Amiri" w:hAnsi="Amiri" w:eastAsia="Amiri" w:cs="Amiri"/>
          <w:color w:val="111111"/>
          <w:sz w:val="28"/>
          <w:sz w:val="28"/>
          <w:szCs w:val="28"/>
          <w:rtl w:val="true"/>
          <w:lang w:bidi="ar-SA"/>
        </w:rPr>
        <w:t>أم لا؟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ومثلها صحیحة أیّوب بن نوح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وُلدها صارت بمنزلة وُلدک</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ویترتّب علی ذلک تحریم زوجة أبی المرتضع علیه لو أرضعته جدّته لاُمّه، سواء کان بلبن جدّه أم غیره؛ لأنّ الزوجة حینئذٍ من جملة أولاد صاحب اللبن إن کان جدّاً، ومن جملة أولاد المرضعة نسباً إن لم یکن، فلا یجوز لأبی المرتضع نکاحها لاحقاً کما لا یجوز سابقاً، بمعنی أ نّه یمنعه سابقاً ویبطله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أرضعت الولَدَ بعضُ نساء جدّه لاُمّه بلبنه وإن لم تکن جدّة للرضیع؛ لأنّ زوجة أب الرضیع حینئذٍ من جملة أولاد صاحب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نکاح أولادها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رضاعاً علی قول الطبرسی</w:t>
      </w:r>
      <w:r>
        <w:rPr>
          <w:rFonts w:eastAsia="IRNazanin" w:cs="IRNazanin"/>
          <w:color w:val="111111"/>
          <w:sz w:val="28"/>
          <w:szCs w:val="28"/>
          <w:rtl w:val="true"/>
          <w:lang w:bidi="fa-IR"/>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لأنّهم بمنزلة إخوة أولاده من الاُمّ وقد تقدّم ضعفه </w:t>
      </w:r>
      <w:r>
        <w:rPr>
          <w:rStyle w:val="FootnoteAnchor"/>
          <w:rtl w:val="true"/>
        </w:rPr>
        <w:footnoteReference w:id="575"/>
      </w:r>
      <w:r>
        <w:rPr>
          <w:rFonts w:ascii="IRNazanin" w:hAnsi="IRNazanin" w:eastAsia="IRNazanin"/>
          <w:color w:val="111111"/>
          <w:sz w:val="28"/>
          <w:sz w:val="28"/>
          <w:szCs w:val="28"/>
          <w:rtl w:val="true"/>
          <w:lang w:bidi="fa-IR"/>
        </w:rPr>
        <w:t>لما عرفت من أنّ التحریم مشروط باتّحاد الفحل وهو منفیّ هنا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وینکح إخوة المرتضع نسباً فی إخوته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اُخوّة بینهم وإنّما هم إخوة أخیهم وإخوة الأخ إذا لم یکونوا إخوة لا یحرمون علی إخوته، کالأخ</w:t>
      </w:r>
    </w:p>
    <w:p>
      <w:pPr>
        <w:pStyle w:val="BookText"/>
        <w:rPr/>
      </w:pPr>
      <w:r>
        <w:rPr>
          <w:rFonts w:ascii="IRNazanin" w:hAnsi="IRNazanin" w:eastAsia="IRNazanin"/>
          <w:color w:val="111111"/>
          <w:sz w:val="28"/>
          <w:sz w:val="28"/>
          <w:szCs w:val="28"/>
          <w:rtl w:val="true"/>
          <w:lang w:bidi="fa-IR"/>
        </w:rPr>
        <w:t>من الأب إذا کان له اُخت من الاُمّ، فإنّها لا تحرم علی أخیه؛ لانتفاء القرابة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لدلالة تعلیل التحریم علی أب المرتضع فی المسألة السابقة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نّهن بمنزلة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Style w:val="FootnoteAnchor"/>
          <w:rtl w:val="true"/>
        </w:rPr>
        <w:footnoteReference w:id="577"/>
      </w:r>
      <w:r>
        <w:rPr>
          <w:rFonts w:ascii="IRNazanin" w:hAnsi="IRNazanin" w:eastAsia="IRNazanin"/>
          <w:color w:val="111111"/>
          <w:sz w:val="28"/>
          <w:sz w:val="28"/>
          <w:szCs w:val="28"/>
          <w:rtl w:val="true"/>
          <w:lang w:bidi="fa-IR"/>
        </w:rPr>
        <w:t>، ولأنّ اُخت الأخ من النسب محرّمة، فکذا من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بمنع وجود العلّة هنا؛ لأنّ کونهنّ بمنزلة أولاد أب المرتضع غیر موجود هنا وإن وجد ما یجری مجراها، وقد عرفت فساد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لحق الرضاعُ العقدَ حرّم کالسابق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أرضعت اُمّه أو من یحرم النکاح بإرضاعه کاُخته وزوجةِ أبیه وابنه وأخیه بلبنهم زوجتَه فسد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أرضعت کبیرة الزوجتین صغیرتهما حُرِّمتا أبداً مع الدخول بالکبیرة، وإلّا الکبیرة، وینفسخ نکاح الجمیع مطلقاً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تقبل الشهادة به إلّامفصَّلة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تکفی الشهادة بحصول الرضاع المحرِّم مطلقاً؛ للاختلاف فی شرائطه کیفیّة وکمّیّة، وجاز </w:t>
      </w:r>
      <w:r>
        <w:rPr>
          <w:rStyle w:val="FootnoteAnchor"/>
          <w:rtl w:val="true"/>
        </w:rPr>
        <w:footnoteReference w:id="578"/>
      </w:r>
      <w:r>
        <w:rPr>
          <w:rFonts w:ascii="IRNazanin" w:hAnsi="IRNazanin" w:eastAsia="IRNazanin"/>
          <w:color w:val="111111"/>
          <w:sz w:val="28"/>
          <w:sz w:val="28"/>
          <w:szCs w:val="28"/>
          <w:rtl w:val="true"/>
          <w:lang w:bidi="fa-IR"/>
        </w:rPr>
        <w:t>أن یکون مذهب الشاهد مخالفاً لمذهب الحاکم فیشهد بتحریم ما لا یُحرِّمه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عُلم موافقة رأی الشاهد لرأی الحاکم فی جمیع الشرائط فالمتّجه الاکتفاء بالإطلاق، إلّاأنّ الأصحاب أطلقوا القول بعدم صحّتها إلّامفصّلة </w:t>
      </w:r>
      <w:r>
        <w:rPr>
          <w:rStyle w:val="FootnoteAnchor"/>
          <w:rtl w:val="true"/>
        </w:rPr>
        <w:footnoteReference w:id="579"/>
      </w:r>
      <w:r>
        <w:rPr>
          <w:rFonts w:ascii="IRNazanin" w:hAnsi="IRNazanin" w:eastAsia="IRNazanin"/>
          <w:color w:val="111111"/>
          <w:sz w:val="28"/>
          <w:sz w:val="28"/>
          <w:szCs w:val="28"/>
          <w:rtl w:val="true"/>
          <w:lang w:bidi="fa-IR"/>
        </w:rPr>
        <w:t>فیشهد الشاهدان بأنّ فلاناً</w:t>
      </w:r>
      <w:bookmarkStart w:id="237" w:name="pg19810_214397"/>
    </w:p>
    <w:p>
      <w:pPr>
        <w:pStyle w:val="BookText"/>
        <w:rPr/>
      </w:pPr>
      <w:bookmarkEnd w:id="237"/>
      <w:r>
        <w:rPr>
          <w:rFonts w:ascii="IRNazanin" w:hAnsi="IRNazanin" w:eastAsia="IRNazanin"/>
          <w:color w:val="111111"/>
          <w:sz w:val="28"/>
          <w:sz w:val="28"/>
          <w:szCs w:val="28"/>
          <w:rtl w:val="true"/>
          <w:lang w:bidi="fa-IR"/>
        </w:rPr>
        <w:t>ارتضع من فلانة من الثدی من لبن الولادة خمس عشرة رضعة تامّات فی الحولین، من غیر أن یفصل بینها برضاع امرأةٍ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فلا بدّ من التعرّض لجمیع الشرائط، ولا یشترط التعرّض لوصول اللبن إلی الجوف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صحّة شهادته به أن یعرف المرأة فی تلک الحال ذات لبن، وأن یشاهد الولد قد التقم الثدی، وأن یکون مکشوفاً؛ لئلّا یلتقم غیر الحلمة، وأن یشاهد امتصاصه له وتحریک شفتیه والتجرّع، وحرکة الحلق علی وجهٍ یحصل له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حکایة القرائن وإن کانت هی السبب فی علمه،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قد التقم الثدی وحلقه یتحرّک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لأنّ حکایة ذلک لا تعدّ شهادة وإن کان علمه مترتّباً علیها، بل لا بدّ من التلفّظ بما یقتضیه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الشهادة علی الإقرار به قبلت مطلقة؛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 استناد المقرّ إلی ما لا یحصل به التحریم عند الحاکم، بخلاف الشهادة علی عینه</w:t>
      </w:r>
      <w:r>
        <w:rPr>
          <w:rFonts w:eastAsia="IRNazanin" w:cs="IRNazanin"/>
          <w:color w:val="111111"/>
          <w:sz w:val="28"/>
          <w:szCs w:val="28"/>
          <w:rtl w:val="true"/>
          <w:lang w:bidi="fa-IR"/>
        </w:rPr>
        <w:t>.</w:t>
      </w:r>
    </w:p>
    <w:p>
      <w:pPr>
        <w:pStyle w:val="Heading5"/>
        <w:numPr>
          <w:ilvl w:val="4"/>
          <w:numId w:val="1"/>
        </w:numPr>
        <w:rPr/>
      </w:pPr>
      <w:bookmarkStart w:id="238" w:name="__RefHeading___Toc2175429_2314609296"/>
      <w:bookmarkStart w:id="239" w:name="_Toc89"/>
      <w:bookmarkEnd w:id="238"/>
      <w:r>
        <w:rPr>
          <w:rtl w:val="true"/>
        </w:rPr>
        <w:t>[</w:t>
      </w:r>
      <w:r>
        <w:rPr/>
        <w:t>3</w:t>
      </w:r>
      <w:r>
        <w:rPr>
          <w:rtl w:val="true"/>
        </w:rPr>
        <w:t xml:space="preserve">- </w:t>
      </w:r>
      <w:r>
        <w:rPr>
          <w:rtl w:val="true"/>
        </w:rPr>
        <w:t xml:space="preserve">المصاهره </w:t>
      </w:r>
      <w:r>
        <w:rPr>
          <w:rtl w:val="true"/>
        </w:rPr>
        <w:t>]</w:t>
      </w:r>
      <w:bookmarkEnd w:id="23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وتحرم بالمصاهرة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علاقة تحدث بین الزوجین وأقرباءِ کلّ منهما بسبب النکاح توجب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الوطء، والنظر، واللمس علی وجهٍ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المعروف من معناها لغةً وعرفاً، فلا یحتاج إلی إضافة وطء الأمة، والشبهة، والزنا ونحوه إلیها وإن أوجب حرمة علی بعض الوجوه؛ إذ ذاک لیس من حیث المصاهرة، بل من جهة ذلک الوطء، وإن جرت العادة بإلحاقه بها فی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کلّ من الأب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کالجدّ وإن علا من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والابن فنازلاً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واُطلق علیه الابن مجازاً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یدخل بها الزوج؛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مٰا نَکَحَ آبٰاؤُکُمْ</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أَبْنٰائِکُمُ</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والنکاح حقیقة فی العقد علی الأقوی، والحلیلة حقیقة فی المعقود علیها للابن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الموطوءة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حلالاً أو 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المعقود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جدّتها من الطرفین وإن علت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وابنة الموطوءة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ابنة ابنها وابنتها وإن لم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ابنة المعقود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دخول، فلو فارقها قبل الدخول حلّ له تزویج ابنتها، وهو موضع وفاق، والآیة الکریمة صریحة فی اشتراط الدخول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تحریم الاُمّ وإن لم یدخل بالبنت فعلیه المعظم، بل کاد یکون إجماعاً، وإطلاق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 نِسٰائِکُمْ</w:t>
      </w:r>
      <w:r>
        <w:rPr>
          <w:rFonts w:eastAsia="IRNazanin" w:cs="IRNazanin"/>
          <w:color w:val="111111"/>
          <w:sz w:val="28"/>
          <w:szCs w:val="28"/>
          <w:rtl w:val="true"/>
          <w:lang w:bidi="fa-IR"/>
        </w:rPr>
        <w:t xml:space="preserve">) </w:t>
      </w:r>
      <w:r>
        <w:rPr>
          <w:rStyle w:val="FootnoteAnchor"/>
          <w:rtl w:val="true"/>
        </w:rPr>
        <w:footnoteReference w:id="582"/>
      </w:r>
      <w:r>
        <w:rPr>
          <w:rFonts w:ascii="Amiri" w:hAnsi="Amiri" w:eastAsia="Amiri" w:cs="Amiri"/>
          <w:color w:val="111111"/>
          <w:sz w:val="28"/>
          <w:sz w:val="28"/>
          <w:szCs w:val="28"/>
          <w:rtl w:val="true"/>
          <w:lang w:bidi="ar-SA"/>
        </w:rPr>
        <w:t>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 بعده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نِسٰائِکُمُ اَللاّٰتِی دَخَلْتُمْ بِهِنَّ</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لا حجّة فیه، إمّا لوجوب عوده إلی الجملة الأخیرة کالاستثناء، أو لتعذّر حمله علیهما من جهة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مع الاُولی بیانیّة، ومع الثانیة ابتدائیّة، والمشترک لا یُستعمل فی معنییه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مع ذلک نصوص </w:t>
      </w:r>
      <w:r>
        <w:rPr>
          <w:rStyle w:val="FootnoteAnchor"/>
          <w:rtl w:val="true"/>
        </w:rPr>
        <w:footnoteReference w:id="584"/>
      </w:r>
      <w:r>
        <w:rPr>
          <w:rFonts w:ascii="Amiri" w:hAnsi="Amiri" w:eastAsia="Amiri" w:cs="Amiri"/>
          <w:color w:val="111111"/>
          <w:sz w:val="28"/>
          <w:sz w:val="28"/>
          <w:szCs w:val="28"/>
          <w:rtl w:val="true"/>
          <w:lang w:bidi="ar-SA"/>
        </w:rPr>
        <w:t xml:space="preserve">إلّاأ نّها معارضة بمثلها </w:t>
      </w:r>
      <w:r>
        <w:rPr>
          <w:rStyle w:val="FootnoteAnchor"/>
          <w:rtl w:val="true"/>
        </w:rPr>
        <w:footnoteReference w:id="585"/>
      </w:r>
      <w:r>
        <w:rPr>
          <w:rFonts w:ascii="IRNazanin" w:hAnsi="IRNazanin" w:eastAsia="IRNazanin"/>
          <w:color w:val="111111"/>
          <w:sz w:val="28"/>
          <w:sz w:val="28"/>
          <w:szCs w:val="28"/>
          <w:rtl w:val="true"/>
          <w:lang w:bidi="fa-IR"/>
        </w:rPr>
        <w:t xml:space="preserve">ومن ثَمَّ ذهب ابن أبی عقیل إلی اشتراط الدخول بالبنت فی تحریمها </w:t>
      </w:r>
      <w:r>
        <w:rPr>
          <w:rStyle w:val="FootnoteAnchor"/>
          <w:rtl w:val="true"/>
        </w:rPr>
        <w:footnoteReference w:id="586"/>
      </w:r>
      <w:r>
        <w:rPr>
          <w:rFonts w:ascii="IRNazanin" w:hAnsi="IRNazanin" w:eastAsia="IRNazanin"/>
          <w:color w:val="111111"/>
          <w:sz w:val="28"/>
          <w:sz w:val="28"/>
          <w:szCs w:val="28"/>
          <w:rtl w:val="true"/>
          <w:lang w:bidi="fa-IR"/>
        </w:rPr>
        <w:t>کالعکس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والمذهب</w:t>
      </w:r>
    </w:p>
    <w:p>
      <w:pPr>
        <w:pStyle w:val="BookText"/>
        <w:rPr/>
      </w:pP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وبینها، فمتی فارق الاُولی بموت أو فسخ أو طلاق بائن أو انقضت عدّتها حلّت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عیناً والعمّة والخالة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یجمع بینها </w:t>
      </w:r>
      <w:r>
        <w:rPr>
          <w:rStyle w:val="FootnoteAnchor"/>
          <w:rtl w:val="true"/>
        </w:rPr>
        <w:footnoteReference w:id="587"/>
      </w:r>
      <w:r>
        <w:rPr>
          <w:rFonts w:ascii="IRNazanin" w:hAnsi="IRNazanin" w:eastAsia="IRNazanin"/>
          <w:color w:val="111111"/>
          <w:sz w:val="28"/>
          <w:sz w:val="28"/>
          <w:szCs w:val="28"/>
          <w:rtl w:val="true"/>
          <w:lang w:bidi="fa-IR"/>
        </w:rPr>
        <w:t>وبین ابنة أخیها أو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نزلتا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برضاء العمّة والخالة، لا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أصحابنا، وأخبارنا متظافرة به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تقدّم عقد العمّة والخالة توقّف العقد الثانی علی إذنهما، فإن بادر بدونه ففی بطلانه أو وقوفه علی رضاهما فإن فسختاه بطل أو تخییرهما </w:t>
      </w:r>
      <w:r>
        <w:rPr>
          <w:rStyle w:val="FootnoteAnchor"/>
          <w:rtl w:val="true"/>
        </w:rPr>
        <w:footnoteReference w:id="589"/>
      </w:r>
      <w:r>
        <w:rPr>
          <w:rFonts w:ascii="IRNazanin" w:hAnsi="IRNazanin" w:eastAsia="IRNazanin"/>
          <w:color w:val="111111"/>
          <w:sz w:val="28"/>
          <w:sz w:val="28"/>
          <w:szCs w:val="28"/>
          <w:rtl w:val="true"/>
          <w:lang w:bidi="fa-IR"/>
        </w:rPr>
        <w:t>فیه وفی عقدهما، أوجه أوسطها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تقدّم عقد بنت الأخ أو الاُخت وعلمت العمّة والخالة بالحال فرضاهما بعقدهما رضاً بالجمع، وإلّا ففی تخییرهما </w:t>
      </w:r>
      <w:r>
        <w:rPr>
          <w:rStyle w:val="FootnoteAnchor"/>
          <w:rtl w:val="true"/>
        </w:rPr>
        <w:footnoteReference w:id="590"/>
      </w:r>
      <w:r>
        <w:rPr>
          <w:rFonts w:ascii="IRNazanin" w:hAnsi="IRNazanin" w:eastAsia="IRNazanin"/>
          <w:color w:val="111111"/>
          <w:sz w:val="28"/>
          <w:sz w:val="28"/>
          <w:szCs w:val="28"/>
          <w:rtl w:val="true"/>
          <w:lang w:bidi="fa-IR"/>
        </w:rPr>
        <w:t xml:space="preserve">فی فسخ عقد أنفسهما أو فیه وفی عقد السابقة أو بطلان عقدهما، أوجه أجودها </w:t>
      </w:r>
      <w:r>
        <w:rPr>
          <w:rStyle w:val="FootnoteAnchor"/>
          <w:rtl w:val="true"/>
        </w:rPr>
        <w:footnoteReference w:id="591"/>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یلحق الجمع بینهما بالوطء فی ملک الیمین بذلک؟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ملک إحداهما وعقد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شمول العبارة لاتّحاد الحکم فی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والزنا السابق علی العقد حکم الصحیح فی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الموطوءة بهما علی أبیه وابنه، وعلیه اُمّها وبنتها، إلی غیر ذلک من أحکام المصاهرة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تأخّر الوطء فیهما عن العقد أو </w:t>
      </w:r>
      <w:r>
        <w:rPr>
          <w:rStyle w:val="FootnoteAnchor"/>
          <w:rtl w:val="true"/>
        </w:rPr>
        <w:footnoteReference w:id="592"/>
      </w:r>
      <w:r>
        <w:rPr>
          <w:rFonts w:ascii="IRNazanin" w:hAnsi="IRNazanin" w:eastAsia="IRNazanin"/>
          <w:color w:val="111111"/>
          <w:sz w:val="28"/>
          <w:sz w:val="28"/>
          <w:szCs w:val="28"/>
          <w:rtl w:val="true"/>
          <w:lang w:bidi="fa-IR"/>
        </w:rPr>
        <w:t>الملک لم تحرم المعقود علیها</w:t>
      </w:r>
      <w:bookmarkStart w:id="240" w:name="pg19810_214400"/>
    </w:p>
    <w:p>
      <w:pPr>
        <w:pStyle w:val="BookText"/>
        <w:rPr/>
      </w:pPr>
      <w:bookmarkEnd w:id="240"/>
      <w:r>
        <w:rPr>
          <w:rFonts w:ascii="IRNazanin" w:hAnsi="IRNazanin" w:eastAsia="IRNazanin"/>
          <w:color w:val="111111"/>
          <w:sz w:val="28"/>
          <w:sz w:val="28"/>
          <w:szCs w:val="28"/>
          <w:rtl w:val="true"/>
          <w:lang w:bidi="fa-IR"/>
        </w:rPr>
        <w:t>والمملوکة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الأصحّ فیهما </w:t>
      </w:r>
      <w:r>
        <w:rPr>
          <w:rStyle w:val="FootnoteAnchor"/>
          <w:rtl w:val="true"/>
        </w:rPr>
        <w:footnoteReference w:id="593"/>
      </w:r>
      <w:r>
        <w:rPr>
          <w:rFonts w:ascii="IRNazanin" w:hAnsi="IRNazanin" w:eastAsia="IRNazanin"/>
          <w:color w:val="111111"/>
          <w:sz w:val="28"/>
          <w:sz w:val="28"/>
          <w:szCs w:val="28"/>
          <w:rtl w:val="true"/>
          <w:lang w:bidi="fa-IR"/>
        </w:rPr>
        <w:t xml:space="preserve">وبه یجمع بین الأخبار الدالّة علی المنع مطلقاً </w:t>
      </w:r>
      <w:r>
        <w:rPr>
          <w:rStyle w:val="FootnoteAnchor"/>
          <w:rtl w:val="true"/>
        </w:rPr>
        <w:footnoteReference w:id="594"/>
      </w:r>
      <w:r>
        <w:rPr>
          <w:rFonts w:ascii="IRNazanin" w:hAnsi="IRNazanin" w:eastAsia="IRNazanin"/>
          <w:color w:val="111111"/>
          <w:sz w:val="28"/>
          <w:sz w:val="28"/>
          <w:szCs w:val="28"/>
          <w:rtl w:val="true"/>
          <w:lang w:bidi="fa-IR"/>
        </w:rPr>
        <w:t xml:space="preserve">وعلی عدمه کذلک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2175431_2314609296"/>
      <w:bookmarkStart w:id="242" w:name="_Toc90"/>
      <w:bookmarkEnd w:id="241"/>
      <w:r>
        <w:rPr>
          <w:rtl w:val="true"/>
        </w:rPr>
        <w:t>[</w:t>
      </w:r>
      <w:r>
        <w:rPr>
          <w:rtl w:val="true"/>
        </w:rPr>
        <w:t>حکم ملموسه الابن او الاب و منظورتهما</w:t>
      </w:r>
      <w:r>
        <w:rPr>
          <w:rtl w:val="true"/>
        </w:rPr>
        <w:t>]</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وتکره ملموسة الابن ومنظورته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لا تحلّ لغیر مالک الوطء بعقد أو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منظورة الأب وملموسته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فیه جمعاً بین الأخبار التی دلّ بعضها علی التحریم کصحیحة محمّد بن بزیع </w:t>
      </w:r>
      <w:r>
        <w:rPr>
          <w:rStyle w:val="FootnoteAnchor"/>
          <w:rtl w:val="true"/>
        </w:rPr>
        <w:footnoteReference w:id="596"/>
      </w:r>
      <w:r>
        <w:rPr>
          <w:rFonts w:ascii="IRNazanin" w:hAnsi="IRNazanin" w:eastAsia="IRNazanin"/>
          <w:color w:val="111111"/>
          <w:sz w:val="28"/>
          <w:sz w:val="28"/>
          <w:szCs w:val="28"/>
          <w:rtl w:val="true"/>
          <w:lang w:bidi="fa-IR"/>
        </w:rPr>
        <w:t xml:space="preserve">وغیرها </w:t>
      </w:r>
      <w:r>
        <w:rPr>
          <w:rStyle w:val="FootnoteAnchor"/>
          <w:rtl w:val="true"/>
        </w:rPr>
        <w:footnoteReference w:id="597"/>
      </w:r>
      <w:r>
        <w:rPr>
          <w:rFonts w:ascii="IRNazanin" w:hAnsi="IRNazanin" w:eastAsia="IRNazanin"/>
          <w:color w:val="111111"/>
          <w:sz w:val="28"/>
          <w:sz w:val="28"/>
          <w:szCs w:val="28"/>
          <w:rtl w:val="true"/>
          <w:lang w:bidi="fa-IR"/>
        </w:rPr>
        <w:t xml:space="preserve">وبعضُها علی الإباحة کموثّقة علیّ بن یقطین عن الکاظم علیه السلام بنفی البأس عن ذلک </w:t>
      </w:r>
      <w:r>
        <w:rPr>
          <w:rStyle w:val="FootnoteAnchor"/>
          <w:rtl w:val="true"/>
        </w:rPr>
        <w:footnoteReference w:id="598"/>
      </w:r>
      <w:r>
        <w:rPr>
          <w:rFonts w:ascii="IRNazanin" w:hAnsi="IRNazanin" w:eastAsia="IRNazanin"/>
          <w:color w:val="111111"/>
          <w:sz w:val="28"/>
          <w:sz w:val="28"/>
          <w:szCs w:val="28"/>
          <w:rtl w:val="true"/>
          <w:lang w:bidi="fa-IR"/>
        </w:rPr>
        <w:t>بحمل النهی علی الکراهة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تحریم منظورة الأب وملموسته علی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فلصحیحة محمّد بن مسلم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جرّد الرجل الجاریة ووضع یده علیها فلا تحلّ لابنه</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ومفهومها الحلّ لأبیه، فإن عُمل بالمفهوم، وإلّا فبدلالة الأصل وما سبق </w:t>
      </w:r>
      <w:r>
        <w:rPr>
          <w:rStyle w:val="FootnoteAnchor"/>
          <w:rtl w:val="true"/>
        </w:rPr>
        <w:footnoteReference w:id="600"/>
      </w:r>
      <w:r>
        <w:rPr>
          <w:rFonts w:ascii="IRNazanin" w:hAnsi="IRNazanin" w:eastAsia="IRNazanin"/>
          <w:color w:val="111111"/>
          <w:sz w:val="28"/>
          <w:sz w:val="28"/>
          <w:szCs w:val="28"/>
          <w:rtl w:val="true"/>
          <w:lang w:bidi="fa-IR"/>
        </w:rPr>
        <w:t>وفیه نظر؛ لأنّ صحیحة ابن بزیع دلّت علی التحریم فیهما، وروایة ابن یقطین دلّت علی نفیه فیهما، فإن وجب الجمع بینهما بالکراهة فالحکم فی</w:t>
      </w:r>
    </w:p>
    <w:p>
      <w:pPr>
        <w:pStyle w:val="BookText"/>
        <w:rPr/>
      </w:pPr>
      <w:r>
        <w:rPr>
          <w:rFonts w:ascii="IRNazanin" w:hAnsi="IRNazanin" w:eastAsia="IRNazanin"/>
          <w:color w:val="111111"/>
          <w:sz w:val="28"/>
          <w:sz w:val="28"/>
          <w:szCs w:val="28"/>
          <w:rtl w:val="true"/>
          <w:lang w:bidi="fa-IR"/>
        </w:rPr>
        <w:t>صحیحة محمّد بن مسلم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هو الذی اختاره المصنّف فی شرح الإرشاد </w:t>
      </w:r>
      <w:r>
        <w:rPr>
          <w:rStyle w:val="FootnoteAnchor"/>
          <w:rtl w:val="true"/>
        </w:rPr>
        <w:footnoteReference w:id="601"/>
      </w:r>
      <w:r>
        <w:rPr>
          <w:rFonts w:ascii="Amiri" w:hAnsi="Amiri" w:eastAsia="Amiri" w:cs="Amiri"/>
          <w:color w:val="111111"/>
          <w:sz w:val="28"/>
          <w:sz w:val="28"/>
          <w:szCs w:val="28"/>
          <w:rtl w:val="true"/>
          <w:lang w:bidi="ar-SA"/>
        </w:rPr>
        <w:t xml:space="preserve">وجماعة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یُعمل بالاُولی ترجیحاً للصحیح علی الموثّق حیث یتعارضان أو مطلقاً، وتکون صحیحة محمّد بن مسلم مؤیّدة لأحد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الأظهر، فتحرم فیهما، فالتفصیل غیر متوجّه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وقیّدنا النظر واللمس بکونهما لا یحلّان لغیره؛ للاحتراز عن نظر مثل الوجه والکفّین بغیر شهوة، فإنّه لا یُحرِّم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اللمس فظاهر الأصحاب وصرّح به جماعة </w:t>
      </w:r>
      <w:r>
        <w:rPr>
          <w:rStyle w:val="FootnoteAnchor"/>
          <w:rtl w:val="true"/>
        </w:rPr>
        <w:footnoteReference w:id="603"/>
      </w:r>
      <w:r>
        <w:rPr>
          <w:rFonts w:ascii="IRNazanin" w:hAnsi="IRNazanin" w:eastAsia="IRNazanin"/>
          <w:color w:val="111111"/>
          <w:sz w:val="28"/>
          <w:sz w:val="28"/>
          <w:szCs w:val="28"/>
          <w:rtl w:val="true"/>
          <w:lang w:bidi="fa-IR"/>
        </w:rPr>
        <w:t xml:space="preserve">منهم تحریمه فیهما مطلقاً فیتعلّق به الحکم مطلقاً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یشترط کونهما بشهوة، کما ورد فی الأخبار </w:t>
      </w:r>
      <w:r>
        <w:rPr>
          <w:rStyle w:val="FootnoteAnchor"/>
          <w:rtl w:val="true"/>
        </w:rPr>
        <w:footnoteReference w:id="605"/>
      </w:r>
      <w:r>
        <w:rPr>
          <w:rFonts w:ascii="Amiri" w:hAnsi="Amiri" w:eastAsia="Amiri" w:cs="Amiri"/>
          <w:color w:val="111111"/>
          <w:sz w:val="28"/>
          <w:sz w:val="28"/>
          <w:szCs w:val="28"/>
          <w:rtl w:val="true"/>
          <w:lang w:bidi="ar-SA"/>
        </w:rPr>
        <w:t>وصرّح به</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606"/>
      </w:r>
      <w:r>
        <w:rPr>
          <w:rFonts w:ascii="IRNazanin" w:hAnsi="IRNazanin" w:eastAsia="IRNazanin"/>
          <w:color w:val="111111"/>
          <w:sz w:val="28"/>
          <w:sz w:val="28"/>
          <w:szCs w:val="28"/>
          <w:rtl w:val="true"/>
          <w:lang w:bidi="fa-IR"/>
        </w:rPr>
        <w:t>فلا عبرة بالنظر المتّفق، ولمس الطبیب، ونحوهما، وإن کانت العبارة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المنظورة والملموسة بالنسبة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یتعدّی التحریم إلی اُمّها وابنتها </w:t>
      </w:r>
      <w:r>
        <w:rPr>
          <w:rStyle w:val="FootnoteAnchor"/>
          <w:rtl w:val="true"/>
        </w:rPr>
        <w:footnoteReference w:id="607"/>
      </w:r>
      <w:r>
        <w:rPr>
          <w:rFonts w:ascii="IRNazanin" w:hAnsi="IRNazanin" w:eastAsia="IRNazanin"/>
          <w:color w:val="111111"/>
          <w:sz w:val="28"/>
          <w:sz w:val="28"/>
          <w:szCs w:val="28"/>
          <w:rtl w:val="true"/>
          <w:lang w:bidi="fa-IR"/>
        </w:rPr>
        <w:t xml:space="preserve">فی حقّ الفاعل؟ قولان </w:t>
      </w:r>
      <w:r>
        <w:rPr>
          <w:rStyle w:val="FootnoteAnchor"/>
          <w:rtl w:val="true"/>
        </w:rPr>
        <w:footnoteReference w:id="608"/>
      </w:r>
      <w:r>
        <w:rPr>
          <w:rFonts w:ascii="IRNazanin" w:hAnsi="IRNazanin" w:eastAsia="IRNazanin"/>
          <w:color w:val="111111"/>
          <w:sz w:val="28"/>
          <w:sz w:val="28"/>
          <w:szCs w:val="28"/>
          <w:rtl w:val="true"/>
          <w:lang w:bidi="fa-IR"/>
        </w:rPr>
        <w:t>مأخذهما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الحلّ واشتراط تحریم البنت بالدخول بالاُمّ فی الآیة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قائل بالفرق، وصحیحة محمّد بن مسلم عن أحدهما علیهما السلام الدالّة علی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بحمل النهی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الحکم مختصّ بنظر المملوکة علی ذلک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ذکرناه من الروایات دالّ علیها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زوجة حرمت علی الأب والابن بمجرّد العقد، وإن کانت أجنبیّة ففی تحریمها قولان </w:t>
      </w:r>
      <w:r>
        <w:rPr>
          <w:rStyle w:val="FootnoteAnchor"/>
          <w:rtl w:val="true"/>
        </w:rPr>
        <w:footnoteReference w:id="610"/>
      </w:r>
      <w:r>
        <w:rPr>
          <w:rFonts w:ascii="IRNazanin" w:hAnsi="IRNazanin" w:eastAsia="IRNazanin"/>
          <w:color w:val="111111"/>
          <w:sz w:val="28"/>
          <w:sz w:val="28"/>
          <w:szCs w:val="28"/>
          <w:rtl w:val="true"/>
          <w:lang w:bidi="fa-IR"/>
        </w:rPr>
        <w:t>ویظهر من العبارة الجزم به؛ لأنّه فرضها</w:t>
      </w:r>
      <w:bookmarkStart w:id="243" w:name="pg19810_214403"/>
    </w:p>
    <w:p>
      <w:pPr>
        <w:pStyle w:val="BookText"/>
        <w:rPr/>
      </w:pPr>
      <w:bookmarkEnd w:id="243"/>
      <w:r>
        <w:rPr>
          <w:rFonts w:ascii="IRNazanin" w:hAnsi="IRNazanin" w:eastAsia="IRNazanin"/>
          <w:color w:val="111111"/>
          <w:sz w:val="28"/>
          <w:sz w:val="28"/>
          <w:szCs w:val="28"/>
          <w:rtl w:val="true"/>
          <w:lang w:bidi="fa-IR"/>
        </w:rPr>
        <w:t>مطلقة، والأدلّة لا تساعد علیه</w:t>
      </w:r>
      <w:r>
        <w:rPr>
          <w:rFonts w:eastAsia="IRNazanin" w:cs="IRNazanin"/>
          <w:color w:val="111111"/>
          <w:sz w:val="28"/>
          <w:szCs w:val="28"/>
          <w:rtl w:val="true"/>
          <w:lang w:bidi="fa-IR"/>
        </w:rPr>
        <w:t>.</w:t>
      </w:r>
    </w:p>
    <w:p>
      <w:pPr>
        <w:pStyle w:val="Heading4"/>
        <w:numPr>
          <w:ilvl w:val="3"/>
          <w:numId w:val="1"/>
        </w:numPr>
        <w:rPr/>
      </w:pPr>
      <w:bookmarkStart w:id="244" w:name="__RefHeading___Toc2175433_2314609296"/>
      <w:bookmarkStart w:id="245" w:name="_Toc91"/>
      <w:bookmarkEnd w:id="244"/>
      <w:r>
        <w:rPr>
          <w:rtl w:val="true"/>
        </w:rPr>
        <w:t>[ «</w:t>
      </w:r>
      <w:r>
        <w:rPr>
          <w:rtl w:val="true"/>
        </w:rPr>
        <w:t>مسائل عشرون</w:t>
      </w:r>
      <w:r>
        <w:rPr>
          <w:rtl w:val="true"/>
        </w:rPr>
        <w:t>» ]</w:t>
      </w:r>
      <w:bookmarkEnd w:id="245"/>
    </w:p>
    <w:p>
      <w:pPr>
        <w:pStyle w:val="Heading5"/>
        <w:numPr>
          <w:ilvl w:val="4"/>
          <w:numId w:val="1"/>
        </w:numPr>
        <w:rPr/>
      </w:pPr>
      <w:bookmarkStart w:id="246" w:name="__RefHeading___Toc2175435_2314609296"/>
      <w:bookmarkStart w:id="247" w:name="_Toc92"/>
      <w:bookmarkEnd w:id="246"/>
      <w:r>
        <w:rPr>
          <w:rtl w:val="true"/>
        </w:rPr>
        <w:t>[</w:t>
      </w:r>
      <w:r>
        <w:rPr>
          <w:rtl w:val="true"/>
        </w:rPr>
        <w:t>الاولی</w:t>
      </w:r>
      <w:r>
        <w:rPr>
          <w:rtl w:val="true"/>
        </w:rPr>
        <w:t xml:space="preserve">: </w:t>
      </w:r>
      <w:r>
        <w:rPr>
          <w:rtl w:val="true"/>
        </w:rPr>
        <w:t xml:space="preserve">بطلان تزویج الام و ابنتها او الاختین فی عقد واحد </w:t>
      </w:r>
      <w:r>
        <w:rPr>
          <w:rtl w:val="true"/>
        </w:rPr>
        <w:t>]</w:t>
      </w:r>
      <w:bookmarkEnd w:id="247"/>
    </w:p>
    <w:p>
      <w:pPr>
        <w:pStyle w:val="Heading6"/>
        <w:numPr>
          <w:ilvl w:val="5"/>
          <w:numId w:val="1"/>
        </w:numPr>
        <w:rPr/>
      </w:pPr>
      <w:bookmarkStart w:id="248" w:name="__RefHeading___Toc2175437_2314609296"/>
      <w:bookmarkStart w:id="249" w:name="_Toc93"/>
      <w:bookmarkEnd w:id="248"/>
      <w:r>
        <w:rPr>
          <w:rtl w:val="true"/>
        </w:rPr>
        <w:t>اشارة</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الاُمّ وابنتها فی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 العقد الجامع بینهما </w:t>
      </w:r>
      <w:r>
        <w:rPr>
          <w:rStyle w:val="FootnoteAnchor"/>
          <w:rtl w:val="true"/>
        </w:rPr>
        <w:footnoteReference w:id="612"/>
      </w:r>
      <w:r>
        <w:rPr>
          <w:rFonts w:ascii="IRNazanin" w:hAnsi="IRNazanin" w:eastAsia="IRNazanin"/>
          <w:color w:val="111111"/>
          <w:sz w:val="28"/>
          <w:sz w:val="28"/>
          <w:szCs w:val="28"/>
          <w:rtl w:val="true"/>
          <w:lang w:bidi="fa-IR"/>
        </w:rPr>
        <w:t xml:space="preserve">واستحالةِ الترجیح؛ لاتّحاد نسبته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جمع بین الاُختین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لاشتراکهما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613"/>
      </w:r>
      <w:r>
        <w:rPr>
          <w:rFonts w:ascii="IRNazanin" w:hAnsi="IRNazanin" w:eastAsia="IRNazanin"/>
          <w:color w:val="111111"/>
          <w:sz w:val="28"/>
          <w:sz w:val="28"/>
          <w:szCs w:val="28"/>
          <w:rtl w:val="true"/>
          <w:lang w:bidi="fa-IR"/>
        </w:rPr>
        <w:t xml:space="preserve">وجماعة منهم العلّامة فی المختلف </w:t>
      </w:r>
      <w:r>
        <w:rPr>
          <w:rStyle w:val="FootnoteAnchor"/>
          <w:rtl w:val="true"/>
        </w:rPr>
        <w:footnoteReference w:id="6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منهما؛ لمرسلة جمیل بن درّاج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اُختین فی عقد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أن یمسک أ یّتهما شاء، ویخلّی سبیل الاُخری</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وهی مع إرسالها غیر صریحة فی ذلک؛ لإمکان إمساک إحداهما بعقد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لو جمع بین خمس فی عقد أو بین اثنتین وعنده ثلاث، أو بالعکس،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الجمع بین الاُختین فی الملک، وکذا بین الاُمّ وابنتها فیه، وإنّما یحرم الجمع بینهما فی النکاح وتوابعه من الاستمتاع</w:t>
      </w:r>
      <w:r>
        <w:rPr>
          <w:rFonts w:eastAsia="IRNazanin" w:cs="IRNazanin"/>
          <w:color w:val="111111"/>
          <w:sz w:val="28"/>
          <w:szCs w:val="28"/>
          <w:rtl w:val="true"/>
          <w:lang w:bidi="fa-IR"/>
        </w:rPr>
        <w:t>.</w:t>
      </w:r>
    </w:p>
    <w:p>
      <w:pPr>
        <w:pStyle w:val="Heading6"/>
        <w:numPr>
          <w:ilvl w:val="5"/>
          <w:numId w:val="1"/>
        </w:numPr>
        <w:rPr/>
      </w:pPr>
      <w:bookmarkStart w:id="250" w:name="__RefHeading___Toc2175439_2314609296"/>
      <w:bookmarkStart w:id="251" w:name="_Toc94"/>
      <w:bookmarkEnd w:id="250"/>
      <w:r>
        <w:rPr>
          <w:rtl w:val="true"/>
        </w:rPr>
        <w:t>[</w:t>
      </w:r>
      <w:r>
        <w:rPr>
          <w:rtl w:val="true"/>
        </w:rPr>
        <w:t xml:space="preserve">حکم وطء احد الاختین المملوکتین </w:t>
      </w:r>
      <w:r>
        <w:rPr>
          <w:rtl w:val="true"/>
        </w:rPr>
        <w:t>]</w:t>
      </w:r>
      <w:bookmarkEnd w:id="25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وطئ إحدی الاُختین المملوکتین حرمت الاُخری حتّی تخرج الاُولی</w:t>
      </w:r>
    </w:p>
    <w:p>
      <w:pPr>
        <w:pStyle w:val="BookText"/>
        <w:rPr/>
      </w:pPr>
      <w:r>
        <w:rPr>
          <w:rFonts w:ascii="IRNazanin" w:hAnsi="IRNazanin" w:eastAsia="IRNazanin"/>
          <w:color w:val="111111"/>
          <w:sz w:val="28"/>
          <w:sz w:val="28"/>
          <w:szCs w:val="28"/>
          <w:rtl w:val="true"/>
          <w:lang w:bidi="fa-IR"/>
        </w:rPr>
        <w:t>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 أو هبة،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یکفی مطلق العقد الناقل للملک أم یشترط لزومه، فلا یکفی البیع بخیار والهبة التی یجوز الرجوع فیها؟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النصّ اشتراط خروج الاُولی عن ملکه </w:t>
      </w:r>
      <w:r>
        <w:rPr>
          <w:rStyle w:val="FootnoteAnchor"/>
          <w:rtl w:val="true"/>
        </w:rPr>
        <w:footnoteReference w:id="616"/>
      </w:r>
      <w:r>
        <w:rPr>
          <w:rFonts w:ascii="IRNazanin" w:hAnsi="IRNazanin" w:eastAsia="IRNazanin"/>
          <w:color w:val="111111"/>
          <w:sz w:val="28"/>
          <w:sz w:val="28"/>
          <w:szCs w:val="28"/>
          <w:rtl w:val="true"/>
          <w:lang w:bidi="fa-IR"/>
        </w:rPr>
        <w:t>وهو حاصل بمطلقه، ومن أ نّها مع تسلّطه علی فسخه بحکم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بأنّ غایة التحریم إذا علّقت علی مطلق الخروج لم یُشترط معها أمر آخر؛ لئلّا یلزم جعل ما جعله الشارع غایة لیس بغایة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وقدرته علی ردّها إلی ملکه لا تصلح للمنع؛ لأنّه بعد الإخراج اللازم متمکّن منه دائماً علی بعض الوجوه بالشراء والاتّهاب، وغیرهما 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فالاکتفاء بمطلق الناقل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الاکتفاء بفعل ما یقتضی تحریمها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کالتزویج والرهن والکتابة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منشؤهما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الغرض وهو تحریم الوطء، وانتفاء النقل الذی هو مورد النصّ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تحریم الثانیة بین وطء الاُولی فی القبل والدبر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مقدّماته من اللمس والقُبلة والنظر بشهوة نظر من قیامها مقام الوطء کما سلف، وعدم صدق الوطء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وطئ الثانیة فعل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تحرم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الحرام لا یُحرّم الحلال، والتحریم إنّما تعلّق بوطء الثانیة فیستصحب، ولأصالة الإباحة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فمتی أخرج إحداهما عن ملکه حلّت الاُخری، سواء أخرجها</w:t>
      </w:r>
    </w:p>
    <w:p>
      <w:pPr>
        <w:pStyle w:val="BookText"/>
        <w:rPr/>
      </w:pPr>
      <w:r>
        <w:rPr>
          <w:rFonts w:ascii="IRNazanin" w:hAnsi="IRNazanin" w:eastAsia="IRNazanin"/>
          <w:color w:val="111111"/>
          <w:sz w:val="28"/>
          <w:sz w:val="28"/>
          <w:szCs w:val="28"/>
          <w:rtl w:val="true"/>
          <w:lang w:bidi="fa-IR"/>
        </w:rPr>
        <w:t>للعود إلیها أم لا، وإن لم یخرج إحداهما فالثانیة محرّمة دون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وطئ الثانیة عالماً بالتحریم حرمت علیه الاُولی أیضاً إلی أن تموت الثانیة أو یُخرجها عن ملکه لا لغرض العود إلی الاُولی، فإن اتّفق إخراجها لا لذلک حلّت له الاُولی، وإن أخرجها لیرجع إلی الاُولی فالتحریم باقٍ، وإن وطئ الثانیة جاهلاً بالتحریم لم تحرم علیه الاُولی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ومستند هذا التفصیل روایات بعضها صریح فیه وخالیة عن المعارض، فالقول به متعیّن، وبه ینتفی ما علّلوه فی الأوّل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ملک اُمّاً وبنتها ووطئ إحداهما حرمت الاُخری مؤبّداً، فإن وطئ المحرّمة عالماً حُدّ ولم تحرم الاُولی، وإن کان جاهلاً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الاُولی أیضاً مؤبّداً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ویشکل بأ نّه حینئذٍ لا یخرج عن وطء الشبهة أو الزنا وکلاهما لا یحرِّم لاحقاً کما مرّ </w:t>
      </w:r>
      <w:r>
        <w:rPr>
          <w:rStyle w:val="FootnoteAnchor"/>
          <w:rtl w:val="true"/>
        </w:rPr>
        <w:footnoteReference w:id="620"/>
      </w:r>
      <w:r>
        <w:rPr>
          <w:rFonts w:ascii="IRNazanin" w:hAnsi="IRNazanin" w:eastAsia="IRNazanin"/>
          <w:color w:val="111111"/>
          <w:sz w:val="28"/>
          <w:sz w:val="28"/>
          <w:szCs w:val="28"/>
          <w:rtl w:val="true"/>
          <w:lang w:bidi="fa-IR"/>
        </w:rPr>
        <w:t xml:space="preserve">وخروج الاُخت عن الحکم للنصّ </w:t>
      </w:r>
      <w:r>
        <w:rPr>
          <w:rStyle w:val="FootnoteAnchor"/>
          <w:rtl w:val="true"/>
        </w:rPr>
        <w:footnoteReference w:id="621"/>
      </w:r>
      <w:r>
        <w:rPr>
          <w:rFonts w:ascii="IRNazanin" w:hAnsi="IRNazanin" w:eastAsia="IRNazanin"/>
          <w:color w:val="111111"/>
          <w:sz w:val="28"/>
          <w:sz w:val="28"/>
          <w:szCs w:val="28"/>
          <w:rtl w:val="true"/>
          <w:lang w:bidi="fa-IR"/>
        </w:rPr>
        <w:t>وإلّا کان اللازم منه عدم تحریم الاُولی مطلقاً کما اختاره هنا</w:t>
      </w:r>
      <w:r>
        <w:rPr>
          <w:rFonts w:eastAsia="IRNazanin" w:cs="IRNazanin"/>
          <w:color w:val="111111"/>
          <w:sz w:val="28"/>
          <w:szCs w:val="28"/>
          <w:rtl w:val="true"/>
          <w:lang w:bidi="fa-IR"/>
        </w:rPr>
        <w:t>.</w:t>
      </w:r>
      <w:bookmarkStart w:id="252" w:name="pg19810_214406"/>
    </w:p>
    <w:p>
      <w:pPr>
        <w:pStyle w:val="Heading5"/>
        <w:numPr>
          <w:ilvl w:val="4"/>
          <w:numId w:val="1"/>
        </w:numPr>
        <w:rPr/>
      </w:pPr>
      <w:bookmarkStart w:id="253" w:name="__RefHeading___Toc2175441_2314609296"/>
      <w:bookmarkStart w:id="254" w:name="_Toc95"/>
      <w:bookmarkEnd w:id="252"/>
      <w:bookmarkEnd w:id="253"/>
      <w:r>
        <w:rPr>
          <w:rtl w:val="true"/>
        </w:rPr>
        <w:t>«</w:t>
      </w:r>
      <w:r>
        <w:rPr>
          <w:rtl w:val="true"/>
        </w:rPr>
        <w:t xml:space="preserve">الثانیة </w:t>
      </w:r>
      <w:r>
        <w:rPr>
          <w:rtl w:val="true"/>
        </w:rPr>
        <w:t>[</w:t>
      </w:r>
      <w:r>
        <w:rPr>
          <w:rtl w:val="true"/>
        </w:rPr>
        <w:t>لا یجوز نکاح الامة علی الحرةالا باذنها</w:t>
      </w:r>
      <w:r>
        <w:rPr>
          <w:rtl w:val="true"/>
        </w:rPr>
        <w:t>] » :</w:t>
      </w:r>
      <w:bookmarkEnd w:id="254"/>
    </w:p>
    <w:p>
      <w:pPr>
        <w:pStyle w:val="Heading6"/>
        <w:numPr>
          <w:ilvl w:val="5"/>
          <w:numId w:val="1"/>
        </w:numPr>
        <w:rPr/>
      </w:pPr>
      <w:bookmarkStart w:id="255" w:name="__RefHeading___Toc2175443_2314609296"/>
      <w:bookmarkStart w:id="256" w:name="_Toc96"/>
      <w:bookmarkEnd w:id="255"/>
      <w:r>
        <w:rPr>
          <w:rtl w:val="true"/>
        </w:rPr>
        <w:t>اشارة</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زوّجها الأبوان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برجلین واقترنا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إذنها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إجازتها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یقع باطلاً؛ لعموم الأمر بالوفاء بالعقد </w:t>
      </w:r>
      <w:r>
        <w:rPr>
          <w:rStyle w:val="FootnoteAnchor"/>
          <w:rtl w:val="true"/>
        </w:rPr>
        <w:footnoteReference w:id="622"/>
      </w:r>
      <w:r>
        <w:rPr>
          <w:rFonts w:ascii="IRNazanin" w:hAnsi="IRNazanin" w:eastAsia="IRNazanin"/>
          <w:color w:val="111111"/>
          <w:sz w:val="28"/>
          <w:sz w:val="28"/>
          <w:szCs w:val="28"/>
          <w:rtl w:val="true"/>
          <w:lang w:bidi="fa-IR"/>
        </w:rPr>
        <w:t xml:space="preserve">ولیس المانع هنا إلّاعدم رضاها، وهو مجبور بإیقافه علی إجازتها، کعقد الفضولی، ولروایة سماعة عن الصادق علیه السلام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w:t>
      </w:r>
      <w:r>
        <w:rPr>
          <w:rStyle w:val="FootnoteAnchor"/>
          <w:rtl w:val="true"/>
        </w:rPr>
        <w:footnoteReference w:id="624"/>
      </w:r>
      <w:r>
        <w:rPr>
          <w:rFonts w:ascii="IRNazanin" w:hAnsi="IRNazanin" w:eastAsia="IRNazanin"/>
          <w:color w:val="111111"/>
          <w:sz w:val="28"/>
          <w:sz w:val="28"/>
          <w:szCs w:val="28"/>
          <w:rtl w:val="true"/>
          <w:lang w:bidi="fa-IR"/>
        </w:rPr>
        <w:t xml:space="preserve">لحسنة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أمة علی حرّة فنکاحه باطل</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ونحوه روی حذیفة بن منصور عنه علیه السلام وزاد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یُعزّر اثنی عشر سوطاً ونصفاً ثمن حدّ الزانی وهو صاغر</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وتأویل البطلان بأ نّه آئل إلیه علی تقدیر اعتراض الحرّة خلاف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سماعة قاصرة عن معارضته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البطلان یُنزّل عقد الأمة منزلة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إیقافه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للحرّة فسخ عقدها أیضاً کالعمّة والخالة </w:t>
      </w:r>
      <w:r>
        <w:rPr>
          <w:rStyle w:val="FootnoteAnchor"/>
          <w:rtl w:val="true"/>
        </w:rPr>
        <w:footnoteReference w:id="627"/>
      </w:r>
      <w:r>
        <w:rPr>
          <w:rFonts w:ascii="IRNazanin" w:hAnsi="IRNazanin" w:eastAsia="IRNazanin"/>
          <w:color w:val="111111"/>
          <w:sz w:val="28"/>
          <w:sz w:val="28"/>
          <w:szCs w:val="28"/>
          <w:rtl w:val="true"/>
          <w:lang w:bidi="fa-IR"/>
        </w:rPr>
        <w:t>وهو ضعف فی ضعف</w:t>
      </w:r>
      <w:r>
        <w:rPr>
          <w:rFonts w:eastAsia="IRNazanin" w:cs="IRNazanin"/>
          <w:color w:val="111111"/>
          <w:sz w:val="28"/>
          <w:szCs w:val="28"/>
          <w:rtl w:val="true"/>
          <w:lang w:bidi="fa-IR"/>
        </w:rPr>
        <w:t>.</w:t>
      </w:r>
      <w:bookmarkStart w:id="257" w:name="pg19810_214407"/>
    </w:p>
    <w:p>
      <w:pPr>
        <w:pStyle w:val="BookText"/>
        <w:rPr/>
      </w:pPr>
      <w:bookmarkEnd w:id="257"/>
      <w:r>
        <w:rPr>
          <w:rFonts w:ascii="IRNazanin" w:hAnsi="IRNazanin" w:eastAsia="IRNazanin"/>
          <w:color w:val="111111"/>
          <w:sz w:val="28"/>
          <w:sz w:val="28"/>
          <w:szCs w:val="28"/>
          <w:rtl w:val="true"/>
          <w:lang w:bidi="fa-IR"/>
        </w:rPr>
        <w:t xml:space="preserve">وجواز تزویج الأمة بإذن الحرّة </w:t>
      </w:r>
      <w:r>
        <w:rPr>
          <w:rStyle w:val="FootnoteAnchor"/>
          <w:rtl w:val="true"/>
        </w:rPr>
        <w:footnoteReference w:id="628"/>
      </w:r>
      <w:r>
        <w:rPr>
          <w:rFonts w:ascii="IRNazanin" w:hAnsi="IRNazanin" w:eastAsia="IRNazanin"/>
          <w:color w:val="111111"/>
          <w:sz w:val="28"/>
          <w:sz w:val="28"/>
          <w:szCs w:val="28"/>
          <w:rtl w:val="true"/>
          <w:lang w:bidi="fa-IR"/>
        </w:rPr>
        <w:t xml:space="preserve">المستفاد من الاستثناء مختصّ بالعبد، أو بمن یعجز عن وطء الحرّة دون الأمة ویخشی العنت </w:t>
      </w:r>
      <w:r>
        <w:rPr>
          <w:rStyle w:val="FootnoteAnchor"/>
          <w:rtl w:val="true"/>
        </w:rPr>
        <w:footnoteReference w:id="629"/>
      </w:r>
      <w:r>
        <w:rPr>
          <w:rFonts w:ascii="IRNazanin" w:hAnsi="IRNazanin" w:eastAsia="IRNazanin"/>
          <w:color w:val="111111"/>
          <w:sz w:val="28"/>
          <w:sz w:val="28"/>
          <w:szCs w:val="28"/>
          <w:rtl w:val="true"/>
          <w:lang w:bidi="fa-IR"/>
        </w:rPr>
        <w:t xml:space="preserve">أو مبنیّ علی القول بجواز تزویج الأمة بدون الشرطین </w:t>
      </w:r>
      <w:r>
        <w:rPr>
          <w:rStyle w:val="FootnoteAnchor"/>
          <w:rtl w:val="true"/>
        </w:rPr>
        <w:footnoteReference w:id="630"/>
      </w:r>
      <w:r>
        <w:rPr>
          <w:rFonts w:ascii="IRNazanin" w:hAnsi="IRNazanin" w:eastAsia="IRNazanin"/>
          <w:color w:val="111111"/>
          <w:sz w:val="28"/>
          <w:sz w:val="28"/>
          <w:szCs w:val="28"/>
          <w:rtl w:val="true"/>
          <w:lang w:bidi="fa-IR"/>
        </w:rPr>
        <w:t>وإن کان الأقوی خلافه، کما نبّه علیه بقوله</w:t>
      </w:r>
      <w:r>
        <w:rPr>
          <w:rFonts w:eastAsia="IRNazanin" w:cs="IRNazanin"/>
          <w:color w:val="111111"/>
          <w:sz w:val="28"/>
          <w:szCs w:val="28"/>
          <w:rtl w:val="true"/>
          <w:lang w:bidi="fa-IR"/>
        </w:rPr>
        <w:t>:</w:t>
      </w:r>
    </w:p>
    <w:p>
      <w:pPr>
        <w:pStyle w:val="Heading6"/>
        <w:numPr>
          <w:ilvl w:val="5"/>
          <w:numId w:val="1"/>
        </w:numPr>
        <w:rPr/>
      </w:pPr>
      <w:bookmarkStart w:id="258" w:name="__RefHeading___Toc2175445_2314609296"/>
      <w:bookmarkStart w:id="259" w:name="_Toc97"/>
      <w:bookmarkEnd w:id="258"/>
      <w:r>
        <w:rPr>
          <w:rtl w:val="true"/>
        </w:rPr>
        <w:t>[</w:t>
      </w:r>
      <w:r>
        <w:rPr>
          <w:rtl w:val="true"/>
        </w:rPr>
        <w:t>لا یجوز للحر نکاح الامة مع القدرة علی تجویز الحرة</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یتزوّج الأمة مع قدرته علی تزویج </w:t>
      </w:r>
      <w:r>
        <w:rPr>
          <w:rStyle w:val="FootnoteAnchor"/>
          <w:rtl w:val="true"/>
        </w:rPr>
        <w:footnoteReference w:id="631"/>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یجد الحرّة ویقدر علی مهرها ونفقتها ویمکنه وطؤها، وهو المعبَّر عنه بالطول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عجزه إذا لم یخش 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المشقّة الشدیدة </w:t>
      </w:r>
      <w:r>
        <w:rPr>
          <w:rStyle w:val="FootnoteAnchor"/>
          <w:rtl w:val="true"/>
        </w:rPr>
        <w:footnoteReference w:id="632"/>
      </w:r>
      <w:r>
        <w:rPr>
          <w:rFonts w:ascii="IRNazanin" w:hAnsi="IRNazanin" w:eastAsia="IRNazanin"/>
          <w:color w:val="111111"/>
          <w:sz w:val="28"/>
          <w:sz w:val="28"/>
          <w:szCs w:val="28"/>
          <w:rtl w:val="true"/>
          <w:lang w:bidi="fa-IR"/>
        </w:rPr>
        <w:t>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الشدید بترکه بحیث یخاف الوقوع فی الزنا؛ لغلبة الشهوة وضعف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یکون الضرر الشدید وحده کافیاً وإن قویت التقوی؛ للحرج أو الضرر المنفیّین وأصالة عدم النقل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اعتبار الشرطین ظاهر الآیة </w:t>
      </w:r>
      <w:r>
        <w:rPr>
          <w:rStyle w:val="FootnoteAnchor"/>
          <w:rtl w:val="true"/>
        </w:rPr>
        <w:footnoteReference w:id="633"/>
      </w:r>
      <w:r>
        <w:rPr>
          <w:rFonts w:ascii="IRNazanin" w:hAnsi="IRNazanin" w:eastAsia="IRNazanin"/>
          <w:color w:val="111111"/>
          <w:sz w:val="28"/>
          <w:sz w:val="28"/>
          <w:szCs w:val="28"/>
          <w:rtl w:val="true"/>
          <w:lang w:bidi="fa-IR"/>
        </w:rPr>
        <w:t xml:space="preserve">وبمعناها روایة محمّد بن مسلم عن الباقر علیه السلام </w:t>
      </w:r>
      <w:r>
        <w:rPr>
          <w:rStyle w:val="FootnoteAnchor"/>
          <w:rtl w:val="true"/>
        </w:rPr>
        <w:footnoteReference w:id="634"/>
      </w:r>
      <w:r>
        <w:rPr>
          <w:rFonts w:ascii="IRNazanin" w:hAnsi="IRNazanin" w:eastAsia="IRNazanin"/>
          <w:color w:val="111111"/>
          <w:sz w:val="28"/>
          <w:sz w:val="28"/>
          <w:szCs w:val="28"/>
          <w:rtl w:val="true"/>
          <w:lang w:bidi="fa-IR"/>
        </w:rPr>
        <w:t xml:space="preserve">ودلالتهما بمفهوم الشرط، وهو حجّة عند المحقّقین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علی الأمة مع القدرة علی الحرّة علی کراهة </w:t>
      </w:r>
      <w:r>
        <w:rPr>
          <w:rStyle w:val="FootnoteAnchor"/>
          <w:rtl w:val="true"/>
        </w:rPr>
        <w:footnoteReference w:id="636"/>
      </w:r>
      <w:r>
        <w:rPr>
          <w:rFonts w:ascii="Amiri" w:hAnsi="Amiri" w:eastAsia="Amiri" w:cs="Amiri"/>
          <w:color w:val="111111"/>
          <w:sz w:val="28"/>
          <w:sz w:val="28"/>
          <w:szCs w:val="28"/>
          <w:rtl w:val="true"/>
          <w:lang w:bidi="ar-SA"/>
        </w:rPr>
        <w:t xml:space="preserve">للأصل، وعمومات الکتاب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عَلیٰ أَزْوٰاجِهِمْ أَوْ مٰا مَلَکَتْ أَیْمٰانُهُمْ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لَأَمَةٌ مُؤْمِنَةٌ خَیْرٌ مِنْ مُشْرِکَةٍ </w:t>
      </w:r>
      <w:r>
        <w:rPr>
          <w:rStyle w:val="FootnoteAnchor"/>
          <w:rtl w:val="true"/>
        </w:rPr>
        <w:footnoteReference w:id="638"/>
      </w:r>
      <w:r>
        <w:rPr>
          <w:rFonts w:ascii="Amiri" w:hAnsi="Amiri" w:eastAsia="Amiri" w:cs="Amiri"/>
          <w:color w:val="111111"/>
          <w:sz w:val="28"/>
          <w:sz w:val="28"/>
          <w:szCs w:val="28"/>
          <w:rtl w:val="true"/>
          <w:lang w:bidi="ar-SA"/>
        </w:rPr>
        <w:t xml:space="preserve">وَ أُحِلَّ لَکُمْ مٰا وَرٰاءَ ذٰلِکُمْ </w:t>
      </w:r>
      <w:r>
        <w:rPr>
          <w:rStyle w:val="FootnoteAnchor"/>
          <w:rtl w:val="true"/>
        </w:rPr>
        <w:footnoteReference w:id="639"/>
      </w:r>
      <w:r>
        <w:rPr>
          <w:rFonts w:ascii="Amiri" w:hAnsi="Amiri" w:eastAsia="Amiri" w:cs="Amiri"/>
          <w:color w:val="111111"/>
          <w:sz w:val="28"/>
          <w:sz w:val="28"/>
          <w:szCs w:val="28"/>
          <w:rtl w:val="true"/>
          <w:lang w:bidi="ar-SA"/>
        </w:rPr>
        <w:t xml:space="preserve">وَ أَنْکِحُوا اَلْأَیٰامیٰ مِنْکُمْ وَ اَلصّٰالِحِینَ مِنْ عِبٰادِکُمْ وَ إِمٰائِکُمْ </w:t>
      </w:r>
      <w:r>
        <w:rPr>
          <w:rStyle w:val="FootnoteAnchor"/>
          <w:rtl w:val="true"/>
        </w:rPr>
        <w:footnoteReference w:id="640"/>
      </w:r>
      <w:r>
        <w:rPr>
          <w:rFonts w:ascii="IRNazanin" w:hAnsi="IRNazanin" w:eastAsia="IRNazanin"/>
          <w:color w:val="111111"/>
          <w:sz w:val="28"/>
          <w:sz w:val="28"/>
          <w:szCs w:val="28"/>
          <w:rtl w:val="true"/>
          <w:lang w:bidi="fa-IR"/>
        </w:rPr>
        <w:t xml:space="preserve">ولروایة ابن بکیر المرسلة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وهو ظاهر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بأنّ الاشتراط المذکور مخصِّص لما ذکر من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مع إرسالها ضعیفة </w:t>
      </w:r>
      <w:r>
        <w:rPr>
          <w:rStyle w:val="FootnoteAnchor"/>
          <w:rtl w:val="true"/>
        </w:rPr>
        <w:footnoteReference w:id="642"/>
      </w:r>
      <w:r>
        <w:rPr>
          <w:rFonts w:ascii="IRNazanin" w:hAnsi="IRNazanin" w:eastAsia="IRNazanin"/>
          <w:color w:val="111111"/>
          <w:sz w:val="28"/>
          <w:sz w:val="28"/>
          <w:szCs w:val="28"/>
          <w:rtl w:val="true"/>
          <w:lang w:bidi="fa-IR"/>
        </w:rPr>
        <w:t>وضعف مطلق المفهوم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وتنزیل الشرط علی الأغلب خلاف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القول بالجواز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الأصحاب، إلّاأنّ دلیله غیر ناهض علیه، فلذا نسبه إلی 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لا یباح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إلّابعدم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لغةً الزیادة والفضل، والمراد به هنا الزیادة فی المال وسعته بحیث یتمکّن معها من نکاح الحرّة، فیقوم بما لا بدّ منه من مهرها ونفقتها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للنفقة وجوده بالقوّة، کغلّة الملک وکسبِ ذی الحرفة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وخوف 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وأصله انکسار العظم بعد الجبر، فاستعیر لکلّ</w:t>
      </w:r>
      <w:bookmarkStart w:id="260" w:name="pg19810_214409"/>
    </w:p>
    <w:p>
      <w:pPr>
        <w:pStyle w:val="BookText"/>
        <w:rPr/>
      </w:pPr>
      <w:bookmarkEnd w:id="260"/>
      <w:r>
        <w:rPr>
          <w:rFonts w:ascii="Amiri" w:hAnsi="Amiri" w:eastAsia="Amiri" w:cs="Amiri"/>
          <w:color w:val="111111"/>
          <w:sz w:val="28"/>
          <w:sz w:val="28"/>
          <w:szCs w:val="28"/>
          <w:rtl w:val="true"/>
          <w:lang w:bidi="ar-SA"/>
        </w:rPr>
        <w:t>مشقّة وضرر، ولا ضرر أعظم من مواقعة المأثم، والصبر عنها مع الشرطین أفضل؛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تَصْبِرُوا خَیْرٌ لَکُمْ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وتکفی الأمة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لاندفاع العنت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الشرطین فی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الجواز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یباح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أزید کما سیأتی</w:t>
      </w:r>
      <w:r>
        <w:rPr>
          <w:rFonts w:eastAsia="IRNazanin" w:cs="IRNazanin"/>
          <w:color w:val="111111"/>
          <w:sz w:val="28"/>
          <w:szCs w:val="28"/>
          <w:rtl w:val="true"/>
          <w:lang w:bidi="fa-IR"/>
        </w:rPr>
        <w:t>.</w:t>
      </w:r>
    </w:p>
    <w:p>
      <w:pPr>
        <w:pStyle w:val="Heading5"/>
        <w:numPr>
          <w:ilvl w:val="4"/>
          <w:numId w:val="1"/>
        </w:numPr>
        <w:rPr/>
      </w:pPr>
      <w:bookmarkStart w:id="261" w:name="__RefHeading___Toc2175447_2314609296"/>
      <w:bookmarkStart w:id="262" w:name="_Toc98"/>
      <w:bookmarkEnd w:id="261"/>
      <w:r>
        <w:rPr>
          <w:rtl w:val="true"/>
        </w:rPr>
        <w:t>«</w:t>
      </w:r>
      <w:r>
        <w:rPr>
          <w:rtl w:val="true"/>
        </w:rPr>
        <w:t xml:space="preserve">الثالثة </w:t>
      </w:r>
      <w:r>
        <w:rPr>
          <w:rtl w:val="true"/>
        </w:rPr>
        <w:t>[</w:t>
      </w:r>
      <w:r>
        <w:rPr>
          <w:rtl w:val="true"/>
        </w:rPr>
        <w:t>حکم الزواج المرأة فی عدتها</w:t>
      </w:r>
      <w:r>
        <w:rPr>
          <w:rtl w:val="true"/>
        </w:rPr>
        <w:t>] » :</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امرأة فی عدّتها بائنة کانت أو 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عدّة وفاة أو عدّة شبهة ولعلّه غلب علیهما اسم البائنة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بالعدّة والتحریم بطل العقد وحرمت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العقد الدائم والمنقطع فیهما؛ لإطلاق النصوص </w:t>
      </w:r>
      <w:r>
        <w:rPr>
          <w:rStyle w:val="FootnoteAnchor"/>
          <w:rtl w:val="true"/>
        </w:rPr>
        <w:footnoteReference w:id="644"/>
      </w:r>
      <w:r>
        <w:rPr>
          <w:rFonts w:ascii="IRNazanin" w:hAnsi="IRNazanin" w:eastAsia="IRNazanin"/>
          <w:color w:val="111111"/>
          <w:sz w:val="28"/>
          <w:sz w:val="28"/>
          <w:szCs w:val="28"/>
          <w:rtl w:val="true"/>
          <w:lang w:bidi="fa-IR"/>
        </w:rPr>
        <w:t xml:space="preserve">الشامل لجمیع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جهل أحدهما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أو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جهلهما حرمت إن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قبلاً أو دبراً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اختصّ العلم بأحدهما دون الآخر اختصّ به حکمه، وإن حرم علی الآخر التزوّج </w:t>
      </w:r>
      <w:r>
        <w:rPr>
          <w:rStyle w:val="FootnoteAnchor"/>
          <w:rtl w:val="true"/>
        </w:rPr>
        <w:footnoteReference w:id="645"/>
      </w:r>
      <w:r>
        <w:rPr>
          <w:rFonts w:ascii="IRNazanin" w:hAnsi="IRNazanin" w:eastAsia="IRNazanin"/>
          <w:color w:val="111111"/>
          <w:sz w:val="28"/>
          <w:sz w:val="28"/>
          <w:szCs w:val="28"/>
          <w:rtl w:val="true"/>
          <w:lang w:bidi="fa-IR"/>
        </w:rPr>
        <w:t>به من حیث المساعدة علی الإثم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سلامته من ذلک بجهله التحریم، أو بأن یخفی علیه عین الشخص المحرَّم مع علم الآخر،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الحکم بصحّة العقد علی هذا التقدیر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ویتعدّی التحریم علی تقدیر الدخول إلی أبیه وابنه، کالموطوءة بشبهة مع الجهل والمزنیّ بها مع العلم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إلحاق مدّة الاستبراء بالعدّة فتحرم بوطئها فیها وجهان، أجودهما</w:t>
      </w:r>
      <w:bookmarkStart w:id="263" w:name="pg19810_214410"/>
    </w:p>
    <w:p>
      <w:pPr>
        <w:pStyle w:val="BookText"/>
        <w:rPr/>
      </w:pPr>
      <w:bookmarkEnd w:id="263"/>
      <w:r>
        <w:rPr>
          <w:rFonts w:ascii="IRNazanin" w:hAnsi="IRNazanin" w:eastAsia="IRNazanin"/>
          <w:color w:val="111111"/>
          <w:sz w:val="28"/>
          <w:sz w:val="28"/>
          <w:szCs w:val="28"/>
          <w:rtl w:val="true"/>
          <w:lang w:bidi="fa-IR"/>
        </w:rPr>
        <w:t>العدم؛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الوجهان فی العقد علیها مع الوفاة المجهولة ظاهراً قبل العدّة مع وقوعه بعد الوفاة فی نفس الأمر، أو الدخول </w:t>
      </w:r>
      <w:r>
        <w:rPr>
          <w:rStyle w:val="FootnoteAnchor"/>
          <w:rtl w:val="true"/>
        </w:rPr>
        <w:footnoteReference w:id="646"/>
      </w:r>
      <w:r>
        <w:rPr>
          <w:rFonts w:ascii="IRNazanin" w:hAnsi="IRNazanin" w:eastAsia="IRNazanin"/>
          <w:color w:val="111111"/>
          <w:sz w:val="28"/>
          <w:sz w:val="28"/>
          <w:szCs w:val="28"/>
          <w:rtl w:val="true"/>
          <w:lang w:bidi="fa-IR"/>
        </w:rPr>
        <w:t>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عدم التحریم؛ لانتفاء المقتضی له، وهو کونها معتدّة أو مزوّجة، سواء کانت المدّة المتخلّلة بین الوفاة والعدّة بقدرها، أم أزید أم أنقص، وسواء وقع العقد أو الدخول فی المدّة الزائدة عنها أم لا؛ لأنّ العدّة إنّما تکون بعد العلم بالوفاة، أو ما فی معناه وإن طال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ذات البعل بالمعتدّة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علاقة الزوجیّة فیها أقوی، وانتفاء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أ نّه مع الجهل وعدم الدخول لا تحرم، کما أ نّه لو دخل بها عالماً حرمت؛ لأنّه زانٍ بذات البعل، والإشکال فیها واهٍ، وإنّما یقع الاشتباه مع الجهل والدخول أو العلم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النصّ علیه بخصوصه، وکونِ الحکم بالتحریم هنا أولی للعلاقة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لا یحکم بالتحریم یجدّد العقد بعد العدّة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الولد مع الدخول والجهل بالجاهل منهما إن وُلد فی وقت إمکانه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مهر المثل مع جهلها بالتحریم، وتعتدّ منه بعد إکمال الاُولی</w:t>
      </w:r>
      <w:r>
        <w:rPr>
          <w:rFonts w:eastAsia="IRNazanin" w:cs="IRNazanin"/>
          <w:color w:val="111111"/>
          <w:sz w:val="28"/>
          <w:szCs w:val="28"/>
          <w:rtl w:val="true"/>
          <w:lang w:bidi="fa-IR"/>
        </w:rPr>
        <w:t>.</w:t>
      </w:r>
    </w:p>
    <w:p>
      <w:pPr>
        <w:pStyle w:val="Heading5"/>
        <w:numPr>
          <w:ilvl w:val="4"/>
          <w:numId w:val="1"/>
        </w:numPr>
        <w:rPr/>
      </w:pPr>
      <w:bookmarkStart w:id="264" w:name="__RefHeading___Toc2175449_2314609296"/>
      <w:bookmarkStart w:id="265" w:name="_Toc99"/>
      <w:bookmarkEnd w:id="264"/>
      <w:r>
        <w:rPr>
          <w:rtl w:val="true"/>
        </w:rPr>
        <w:t>«</w:t>
      </w:r>
      <w:r>
        <w:rPr>
          <w:rtl w:val="true"/>
        </w:rPr>
        <w:t xml:space="preserve">الرابعة </w:t>
      </w:r>
      <w:r>
        <w:rPr>
          <w:rtl w:val="true"/>
        </w:rPr>
        <w:t>[</w:t>
      </w:r>
      <w:r>
        <w:rPr>
          <w:rtl w:val="true"/>
        </w:rPr>
        <w:t>نکاح الزانی او الزانیة</w:t>
      </w:r>
      <w:r>
        <w:rPr>
          <w:rtl w:val="true"/>
        </w:rPr>
        <w:t>] » :</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 المزنیّ بها علی الزانی، إلّاأن تکون ذات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دواماً ومتعة، والمعتدّة رجعیّةً بحکمها، دون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موضع وفاق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إلحاق الموطوءة بالملک بذات البعل وجهان، مأخذهما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مساواتها لها</w:t>
      </w:r>
    </w:p>
    <w:p>
      <w:pPr>
        <w:pStyle w:val="BookText"/>
        <w:rPr/>
      </w:pPr>
      <w:r>
        <w:rPr>
          <w:rFonts w:ascii="IRNazanin" w:hAnsi="IRNazanin" w:eastAsia="IRNazanin"/>
          <w:color w:val="111111"/>
          <w:sz w:val="28"/>
          <w:sz w:val="28"/>
          <w:szCs w:val="28"/>
          <w:rtl w:val="true"/>
          <w:lang w:bidi="fa-IR"/>
        </w:rPr>
        <w:t xml:space="preserve">فی کثیر من الأحکام خصوصاً المصاهرة، واشتراکهما فی المعنی المقتضی للتحریم وهو صیانة الأنساب عن الاختلاط، وأنّ ذلک کلّه لا یوجب اللحاق مطلقاً </w:t>
      </w:r>
      <w:r>
        <w:rPr>
          <w:rStyle w:val="FootnoteAnchor"/>
          <w:rtl w:val="true"/>
        </w:rPr>
        <w:footnoteReference w:id="647"/>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تحرم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الزانی ولا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یکره تزویجها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لجماعة </w:t>
      </w:r>
      <w:r>
        <w:rPr>
          <w:rStyle w:val="FootnoteAnchor"/>
          <w:rtl w:val="true"/>
        </w:rPr>
        <w:footnoteReference w:id="648"/>
      </w:r>
      <w:r>
        <w:rPr>
          <w:rFonts w:ascii="IRNazanin" w:hAnsi="IRNazanin" w:eastAsia="IRNazanin"/>
          <w:color w:val="111111"/>
          <w:sz w:val="28"/>
          <w:sz w:val="28"/>
          <w:szCs w:val="28"/>
          <w:rtl w:val="true"/>
          <w:lang w:bidi="fa-IR"/>
        </w:rPr>
        <w:t>حیث حرّموه علی الزانی ما لم تظهر منها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الجواز الأصل، وصحیحة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یّما رجل فجر بامرأة ثمّ بدا له أن یتزوّجها حلالاً، أوّله سفاح وآخره نکاح، فمثله کمثل النخلة أصاب الرجل من ثمرها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حراماً </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ثمّ اشتراها فکانت له حلالاً</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ولکن تکره للنهی عن تزویجها مطلقاً </w:t>
      </w:r>
      <w:r>
        <w:rPr>
          <w:rStyle w:val="FootnoteAnchor"/>
          <w:rtl w:val="true"/>
        </w:rPr>
        <w:footnoteReference w:id="651"/>
      </w:r>
      <w:r>
        <w:rPr>
          <w:rFonts w:ascii="IRNazanin" w:hAnsi="IRNazanin" w:eastAsia="IRNazanin"/>
          <w:color w:val="111111"/>
          <w:sz w:val="28"/>
          <w:sz w:val="28"/>
          <w:szCs w:val="28"/>
          <w:rtl w:val="true"/>
          <w:lang w:bidi="fa-IR"/>
        </w:rPr>
        <w:t xml:space="preserve">فی عدّة أخبار </w:t>
      </w:r>
      <w:r>
        <w:rPr>
          <w:rStyle w:val="FootnoteAnchor"/>
          <w:rtl w:val="true"/>
        </w:rPr>
        <w:footnoteReference w:id="652"/>
      </w:r>
      <w:r>
        <w:rPr>
          <w:rFonts w:ascii="IRNazanin" w:hAnsi="IRNazanin" w:eastAsia="IRNazanin"/>
          <w:color w:val="111111"/>
          <w:sz w:val="28"/>
          <w:sz w:val="28"/>
          <w:szCs w:val="28"/>
          <w:rtl w:val="true"/>
          <w:lang w:bidi="fa-IR"/>
        </w:rPr>
        <w:t>المحمول علی الکراهة جمعاً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المانع </w:t>
      </w:r>
      <w:r>
        <w:rPr>
          <w:rStyle w:val="FootnoteAnchor"/>
          <w:rtl w:val="true"/>
        </w:rPr>
        <w:footnoteReference w:id="653"/>
      </w:r>
      <w:r>
        <w:rPr>
          <w:rFonts w:ascii="IRNazanin" w:hAnsi="IRNazanin" w:eastAsia="IRNazanin"/>
          <w:color w:val="111111"/>
          <w:sz w:val="28"/>
          <w:sz w:val="28"/>
          <w:szCs w:val="28"/>
          <w:rtl w:val="true"/>
          <w:lang w:bidi="fa-IR"/>
        </w:rPr>
        <w:t>بروایة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فجر بامرأة ثمّ</w:t>
      </w:r>
      <w:bookmarkStart w:id="266" w:name="pg19810_214412"/>
    </w:p>
    <w:p>
      <w:pPr>
        <w:pStyle w:val="BookText"/>
        <w:rPr/>
      </w:pPr>
      <w:bookmarkEnd w:id="266"/>
      <w:r>
        <w:rPr>
          <w:rFonts w:ascii="IRNazanin" w:hAnsi="IRNazanin" w:eastAsia="IRNazanin"/>
          <w:color w:val="111111"/>
          <w:sz w:val="28"/>
          <w:sz w:val="28"/>
          <w:szCs w:val="28"/>
          <w:rtl w:val="true"/>
          <w:lang w:bidi="fa-IR"/>
        </w:rPr>
        <w:t>أراد بعدُ أن یتزوّجها،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تابت حلّ له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یعرف توبتها؟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یدعوها إلی ما کانت علیه من الحرام، فإن امتنعت واستغفرت ربّها عرف توبتها</w:t>
      </w:r>
      <w:r>
        <w:rPr>
          <w:rFonts w:eastAsia="IRNazanin" w:cs="IRNazanin"/>
          <w:color w:val="111111"/>
          <w:sz w:val="28"/>
          <w:szCs w:val="28"/>
          <w:rtl w:val="true"/>
          <w:lang w:bidi="fa-IR"/>
        </w:rPr>
        <w:t>»</w:t>
      </w:r>
    </w:p>
    <w:p>
      <w:pPr>
        <w:pStyle w:val="BookText"/>
        <w:rPr/>
      </w:pP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ما روی عمّار عن الصادق علیه السلام </w:t>
      </w:r>
      <w:r>
        <w:rPr>
          <w:rStyle w:val="FootnoteAnchor"/>
          <w:rtl w:val="true"/>
        </w:rPr>
        <w:footnoteReference w:id="655"/>
      </w:r>
      <w:r>
        <w:rPr>
          <w:rFonts w:ascii="IRNazanin" w:hAnsi="IRNazanin" w:eastAsia="IRNazanin"/>
          <w:color w:val="111111"/>
          <w:sz w:val="28"/>
          <w:sz w:val="28"/>
          <w:szCs w:val="28"/>
          <w:rtl w:val="true"/>
          <w:lang w:bidi="fa-IR"/>
        </w:rPr>
        <w:t xml:space="preserve">والسند فیهما ضعیف </w:t>
      </w:r>
      <w:r>
        <w:rPr>
          <w:rStyle w:val="FootnoteAnchor"/>
          <w:rtl w:val="true"/>
        </w:rPr>
        <w:footnoteReference w:id="656"/>
      </w:r>
      <w:r>
        <w:rPr>
          <w:rFonts w:ascii="IRNazanin" w:hAnsi="IRNazanin" w:eastAsia="IRNazanin"/>
          <w:color w:val="111111"/>
          <w:sz w:val="28"/>
          <w:sz w:val="28"/>
          <w:szCs w:val="28"/>
          <w:rtl w:val="true"/>
          <w:lang w:bidi="fa-IR"/>
        </w:rPr>
        <w:t>وفی الاُولی قطع، ولو صحّتا لوجب حملهما علی الکراهة جمعاً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زنت امرأته لم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 وإن أصرّت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الزنا؛ للأصل والنصّ </w:t>
      </w:r>
      <w:r>
        <w:rPr>
          <w:rStyle w:val="FootnoteAnchor"/>
          <w:rtl w:val="true"/>
        </w:rPr>
        <w:footnoteReference w:id="657"/>
      </w:r>
      <w:r>
        <w:rPr>
          <w:rFonts w:ascii="Amiri" w:hAnsi="Amiri" w:eastAsia="Amiri" w:cs="Amiri"/>
          <w:color w:val="111111"/>
          <w:sz w:val="28"/>
          <w:sz w:val="28"/>
          <w:szCs w:val="28"/>
          <w:rtl w:val="true"/>
          <w:lang w:bidi="ar-SA"/>
        </w:rPr>
        <w:t xml:space="preserve">خلافاً للمفید وسلّار </w:t>
      </w:r>
      <w:r>
        <w:rPr>
          <w:rStyle w:val="FootnoteAnchor"/>
          <w:rtl w:val="true"/>
        </w:rPr>
        <w:footnoteReference w:id="658"/>
      </w:r>
      <w:r>
        <w:rPr>
          <w:rFonts w:ascii="IRNazanin" w:hAnsi="IRNazanin" w:eastAsia="IRNazanin"/>
          <w:color w:val="111111"/>
          <w:sz w:val="28"/>
          <w:sz w:val="28"/>
          <w:szCs w:val="28"/>
          <w:rtl w:val="true"/>
          <w:lang w:bidi="fa-IR"/>
        </w:rPr>
        <w:t>حیث ذهبا إلی تحریمها مع الإصرار، استناداً إلی فوات أعظم فوائد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التناسل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لاختلاط النسب حینئذٍ، والغرض من شرعیّة الحدّ والرجم للزانی حفظه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بأنّ الزانی لا نسب له ولا حرمة</w:t>
      </w:r>
      <w:r>
        <w:rPr>
          <w:rFonts w:eastAsia="IRNazanin" w:cs="IRNazanin"/>
          <w:color w:val="111111"/>
          <w:sz w:val="28"/>
          <w:szCs w:val="28"/>
          <w:rtl w:val="true"/>
          <w:lang w:bidi="fa-IR"/>
        </w:rPr>
        <w:t>.</w:t>
      </w:r>
    </w:p>
    <w:p>
      <w:pPr>
        <w:pStyle w:val="Heading5"/>
        <w:numPr>
          <w:ilvl w:val="4"/>
          <w:numId w:val="1"/>
        </w:numPr>
        <w:rPr/>
      </w:pPr>
      <w:bookmarkStart w:id="267" w:name="__RefHeading___Toc2175451_2314609296"/>
      <w:bookmarkStart w:id="268" w:name="_Toc100"/>
      <w:bookmarkEnd w:id="267"/>
      <w:r>
        <w:rPr>
          <w:rtl w:val="true"/>
        </w:rPr>
        <w:t>«</w:t>
      </w:r>
      <w:r>
        <w:rPr>
          <w:rtl w:val="true"/>
        </w:rPr>
        <w:t xml:space="preserve">الخامسة </w:t>
      </w:r>
      <w:r>
        <w:rPr>
          <w:rtl w:val="true"/>
        </w:rPr>
        <w:t>[</w:t>
      </w:r>
      <w:r>
        <w:rPr>
          <w:rtl w:val="true"/>
        </w:rPr>
        <w:t>من اوقب غلاما او رجلا حرمت علیه ام الموطوء و اخته</w:t>
      </w:r>
      <w:r>
        <w:rPr>
          <w:rtl w:val="true"/>
        </w:rPr>
        <w:t>] » :</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أوقب غلاماً أو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أدخل به بعضَ الحشفة وإن لم یجب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 الموقب اُمّ الموطوء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بناتها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نزلت من ذکر واُنثی من النسب اتّفاقاً، ومن الرضاع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المفعول بین الحیّ والمیّت علی الأقوی، عملاً بالإطلاق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تحرم المذکورات مع سبقه علی العقد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سبق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bookmarkStart w:id="269" w:name="pg19810_214413"/>
    </w:p>
    <w:p>
      <w:pPr>
        <w:pStyle w:val="BookText"/>
        <w:rPr/>
      </w:pPr>
      <w:bookmarkEnd w:id="269"/>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ولقولهم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الحرام الحلال</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الفرق بین مفارقة من سبق عقدها بعد الفعل، وعدمه، فیجوز له تجدید نکاحها بعده مع احتمال عدمه؛ لصدق سبق الفعل بالنسبة إلی العقد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فیهما بین الصغیر والکبیر علی الأقوی؛ للعموم، فیتعلّق التحریم قبلَ البلوغ بالولیّ وبعده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یحرم علی المفعول بسببه شیء عندنا </w:t>
      </w:r>
      <w:r>
        <w:rPr>
          <w:rStyle w:val="FootnoteAnchor"/>
          <w:rtl w:val="true"/>
        </w:rPr>
        <w:footnoteReference w:id="661"/>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نقل عن بعض الأصحاب تعلّق التحریم به کالفاعل </w:t>
      </w:r>
      <w:r>
        <w:rPr>
          <w:rStyle w:val="FootnoteAnchor"/>
          <w:rtl w:val="true"/>
        </w:rPr>
        <w:footnoteReference w:id="662"/>
      </w:r>
      <w:r>
        <w:rPr>
          <w:rFonts w:ascii="IRNazanin" w:hAnsi="IRNazanin" w:eastAsia="IRNazanin"/>
          <w:color w:val="111111"/>
          <w:sz w:val="28"/>
          <w:sz w:val="28"/>
          <w:szCs w:val="28"/>
          <w:rtl w:val="true"/>
          <w:lang w:bidi="fa-IR"/>
        </w:rPr>
        <w:t xml:space="preserve">وفی کثیر من الأخبار إطلاق التحریم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یمکن تعلّقه بکلّ منهما، ولکنّ المذهب الأوّل</w:t>
      </w:r>
      <w:r>
        <w:rPr>
          <w:rFonts w:eastAsia="IRNazanin" w:cs="IRNazanin"/>
          <w:color w:val="111111"/>
          <w:sz w:val="28"/>
          <w:szCs w:val="28"/>
          <w:rtl w:val="true"/>
          <w:lang w:bidi="fa-IR"/>
        </w:rPr>
        <w:t>.</w:t>
      </w:r>
    </w:p>
    <w:p>
      <w:pPr>
        <w:pStyle w:val="Heading5"/>
        <w:numPr>
          <w:ilvl w:val="4"/>
          <w:numId w:val="1"/>
        </w:numPr>
        <w:rPr/>
      </w:pPr>
      <w:bookmarkStart w:id="270" w:name="__RefHeading___Toc2175453_2314609296"/>
      <w:bookmarkStart w:id="271" w:name="_Toc101"/>
      <w:bookmarkEnd w:id="270"/>
      <w:r>
        <w:rPr>
          <w:rtl w:val="true"/>
        </w:rPr>
        <w:t>«</w:t>
      </w:r>
      <w:r>
        <w:rPr>
          <w:rtl w:val="true"/>
        </w:rPr>
        <w:t xml:space="preserve">السادسة </w:t>
      </w:r>
      <w:r>
        <w:rPr>
          <w:rtl w:val="true"/>
        </w:rPr>
        <w:t>[</w:t>
      </w:r>
      <w:r>
        <w:rPr>
          <w:rtl w:val="true"/>
        </w:rPr>
        <w:t>عقد المحرم</w:t>
      </w:r>
      <w:r>
        <w:rPr>
          <w:rtl w:val="true"/>
        </w:rPr>
        <w:t>] » :</w:t>
      </w:r>
      <w:bookmarkEnd w:id="27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عقد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أو نفل بحجّ أو عمرة بعد إفساده وقبله علی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بالتحریم حَرُمت أبداً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تحرم وإن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یقع عقده فاسداً، فله العود إلیه بعد الإحلال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ومستنده روایة زرارة عن أبی عبد اللّٰه علیه السلام </w:t>
      </w:r>
      <w:r>
        <w:rPr>
          <w:rStyle w:val="FootnoteAnchor"/>
          <w:rtl w:val="true"/>
        </w:rPr>
        <w:footnoteReference w:id="663"/>
      </w:r>
      <w:r>
        <w:rPr>
          <w:rFonts w:ascii="IRNazanin" w:hAnsi="IRNazanin" w:eastAsia="IRNazanin"/>
          <w:color w:val="111111"/>
          <w:sz w:val="28"/>
          <w:sz w:val="28"/>
          <w:szCs w:val="28"/>
          <w:rtl w:val="true"/>
          <w:lang w:bidi="fa-IR"/>
        </w:rPr>
        <w:t>الدالّة بمنطوقها علی حکم العلم، وبمفهومها علی غیره، وهو معتضد بالأصل، فلا یضرّ ضعف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تحرم الزوجة بوطئها فی الإحرام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للحر ان یجمع زیادة علی اربع</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للحرّ أن یجمع زیادة علی أربع حرائر، أو حرّتین وأمتین، أو ثلاث حرائر وأمة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جواز نکاح الأمة بالعقد بدون الشرطین، وإلّا لم تجز الزیادة علی الواحدة؛ لانتفاء العنت معها، وقد تقدّم من المصنّف اختیار المنع </w:t>
      </w:r>
      <w:r>
        <w:rPr>
          <w:rStyle w:val="FootnoteAnchor"/>
          <w:rtl w:val="true"/>
        </w:rPr>
        <w:footnoteReference w:id="664"/>
      </w:r>
      <w:r>
        <w:rPr>
          <w:rFonts w:ascii="IRNazanin" w:hAnsi="IRNazanin" w:eastAsia="IRNazanin"/>
          <w:color w:val="111111"/>
          <w:sz w:val="28"/>
          <w:sz w:val="28"/>
          <w:szCs w:val="28"/>
          <w:rtl w:val="true"/>
          <w:lang w:bidi="fa-IR"/>
        </w:rPr>
        <w:t>ویبعد فرض بقاء الحاجة إلی الزائد عن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الأمة بین القنّة والمدبّرة والمکاتبة بقسمیها حیث لم تؤدّ شیئاً، واُمّ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للعبد أن یجمع أکثر من أربع إماء أو حرّتین أو حرّة وأمتین، ولا یباح له ثلاث إماء وحرّة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 الجمیع إجماعیّ، والمعتَقُ بعضه کالحرّ فی حقّ الإماء وکالعبد فی حقّ الحرائر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والمعتَقُ بعضها کالحرّة فی حقّ العبد، وکالأمة فی حقّ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بالدوام</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المتعة فلا حصر له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من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شئت</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وسأل أبو بصیر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المتعة أهی من الأربع؟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من السبعین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زرارة عن</w:t>
      </w:r>
    </w:p>
    <w:p>
      <w:pPr>
        <w:pStyle w:val="BookText"/>
        <w:rPr/>
      </w:pPr>
      <w:r>
        <w:rPr>
          <w:rFonts w:ascii="IRNazanin" w:hAnsi="IRNazanin" w:eastAsia="IRNazanin"/>
          <w:color w:val="111111"/>
          <w:sz w:val="28"/>
          <w:sz w:val="28"/>
          <w:szCs w:val="28"/>
          <w:rtl w:val="true"/>
          <w:lang w:bidi="fa-IR"/>
        </w:rPr>
        <w:t>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له المتعة أهی من الأربع؟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منهنّ ألفاً، فإنّهنّ مستأجرات</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الأصل قد عُدل عنه بالدلیل الآتی، والأخبار المذکورة وغیرها فی هذا الباب ضعیفة أو مجهولة السند أو مقطوعة </w:t>
      </w:r>
      <w:r>
        <w:rPr>
          <w:rStyle w:val="FootnoteAnchor"/>
          <w:rtl w:val="true"/>
        </w:rPr>
        <w:footnoteReference w:id="667"/>
      </w:r>
      <w:r>
        <w:rPr>
          <w:rFonts w:ascii="IRNazanin" w:hAnsi="IRNazanin" w:eastAsia="IRNazanin"/>
          <w:color w:val="111111"/>
          <w:sz w:val="28"/>
          <w:sz w:val="28"/>
          <w:szCs w:val="28"/>
          <w:rtl w:val="true"/>
          <w:lang w:bidi="fa-IR"/>
        </w:rPr>
        <w:t xml:space="preserve">فإثبات مثل هذا الحکم المخالف للآیة الشریفة </w:t>
      </w:r>
      <w:r>
        <w:rPr>
          <w:rStyle w:val="FootnoteAnchor"/>
          <w:rtl w:val="true"/>
        </w:rPr>
        <w:footnoteReference w:id="668"/>
      </w:r>
      <w:r>
        <w:rPr>
          <w:rFonts w:ascii="IRNazanin" w:hAnsi="IRNazanin" w:eastAsia="IRNazanin"/>
          <w:color w:val="111111"/>
          <w:sz w:val="28"/>
          <w:sz w:val="28"/>
          <w:szCs w:val="28"/>
          <w:rtl w:val="true"/>
          <w:lang w:bidi="fa-IR"/>
        </w:rPr>
        <w:t>وإجماع باقی علماء الإسلام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مشهور، حتّی أنّ کثیراً من الأصحاب لم ینقل فیه خلافاً، فإن ثبت الإجماع کما ادّعاه ابن إدریس </w:t>
      </w:r>
      <w:r>
        <w:rPr>
          <w:rStyle w:val="FootnoteAnchor"/>
          <w:rtl w:val="true"/>
        </w:rPr>
        <w:footnoteReference w:id="669"/>
      </w:r>
      <w:r>
        <w:rPr>
          <w:rFonts w:ascii="IRNazanin" w:hAnsi="IRNazanin" w:eastAsia="IRNazanin"/>
          <w:color w:val="111111"/>
          <w:sz w:val="28"/>
          <w:sz w:val="28"/>
          <w:szCs w:val="28"/>
          <w:rtl w:val="true"/>
          <w:lang w:bidi="fa-IR"/>
        </w:rPr>
        <w:t>وإلّا فالأمر کما تری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ونبّه بالأصحّ علی خلاف ابن البرّاج حیث منع فی کتابیه </w:t>
      </w:r>
      <w:r>
        <w:rPr>
          <w:rStyle w:val="FootnoteAnchor"/>
          <w:rtl w:val="true"/>
        </w:rPr>
        <w:footnoteReference w:id="670"/>
      </w:r>
      <w:r>
        <w:rPr>
          <w:rFonts w:ascii="IRNazanin" w:hAnsi="IRNazanin" w:eastAsia="IRNazanin"/>
          <w:color w:val="111111"/>
          <w:sz w:val="28"/>
          <w:sz w:val="28"/>
          <w:szCs w:val="28"/>
          <w:rtl w:val="true"/>
          <w:lang w:bidi="fa-IR"/>
        </w:rPr>
        <w:t xml:space="preserve">من الزیادة فیها علی أربع، محتجّاً بعموم الآیة وبصحیحة أحمد بن أبی نصر 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تکون عنده المرأة، أیحلّ له أن یتزوّج باُختها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زرارة عن أبی جعفر علیه السلام إنّما هی مثل الإماء</w:t>
      </w:r>
    </w:p>
    <w:p>
      <w:pPr>
        <w:pStyle w:val="BookText"/>
        <w:rPr/>
      </w:pPr>
      <w:r>
        <w:rPr>
          <w:rFonts w:ascii="IRNazanin" w:hAnsi="IRNazanin" w:eastAsia="IRNazanin"/>
          <w:color w:val="111111"/>
          <w:sz w:val="28"/>
          <w:sz w:val="28"/>
          <w:szCs w:val="28"/>
          <w:rtl w:val="true"/>
          <w:lang w:bidi="fa-IR"/>
        </w:rPr>
        <w:t>یتزوّج ما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هی </w:t>
      </w:r>
      <w:r>
        <w:rPr>
          <w:rStyle w:val="FootnoteAnchor"/>
          <w:rtl w:val="true"/>
        </w:rPr>
        <w:footnoteReference w:id="672"/>
      </w:r>
      <w:r>
        <w:rPr>
          <w:rFonts w:ascii="IRNazanin" w:hAnsi="IRNazanin" w:eastAsia="IRNazanin"/>
          <w:color w:val="111111"/>
          <w:sz w:val="28"/>
          <w:sz w:val="28"/>
          <w:szCs w:val="28"/>
          <w:rtl w:val="true"/>
          <w:lang w:bidi="fa-IR"/>
        </w:rPr>
        <w:t>من الأربع</w:t>
      </w:r>
      <w:r>
        <w:rPr>
          <w:rFonts w:eastAsia="IRNazanin" w:cs="IRNazanin"/>
          <w:color w:val="111111"/>
          <w:sz w:val="28"/>
          <w:szCs w:val="28"/>
          <w:rtl w:val="true"/>
          <w:lang w:bidi="fa-IR"/>
        </w:rPr>
        <w:t>»</w:t>
      </w:r>
    </w:p>
    <w:p>
      <w:pPr>
        <w:pStyle w:val="BookText"/>
        <w:rPr/>
      </w:pP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674"/>
      </w:r>
      <w:r>
        <w:rPr>
          <w:rFonts w:ascii="IRNazanin" w:hAnsi="IRNazanin" w:eastAsia="IRNazanin"/>
          <w:color w:val="111111"/>
          <w:sz w:val="28"/>
          <w:sz w:val="28"/>
          <w:szCs w:val="28"/>
          <w:rtl w:val="true"/>
          <w:lang w:bidi="fa-IR"/>
        </w:rPr>
        <w:t>روی عمّار عن أبی عبد اللّٰه علیه السلام فی المتعة،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إحدی الأربع</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واُجیب بأ نّه محمول علی الأفضل والأحوط </w:t>
      </w:r>
      <w:r>
        <w:rPr>
          <w:rStyle w:val="FootnoteAnchor"/>
          <w:rtl w:val="true"/>
        </w:rPr>
        <w:footnoteReference w:id="676"/>
      </w:r>
      <w:r>
        <w:rPr>
          <w:rFonts w:ascii="IRNazanin" w:hAnsi="IRNazanin" w:eastAsia="IRNazanin"/>
          <w:color w:val="111111"/>
          <w:sz w:val="28"/>
          <w:sz w:val="28"/>
          <w:szCs w:val="28"/>
          <w:rtl w:val="true"/>
          <w:lang w:bidi="fa-IR"/>
        </w:rPr>
        <w:t>جمعاً بینهما وبین ما سبق ولصحیحة أحمد بن أبی نصر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اجعلوهنّ من الأربع، فقال له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الاحتیاط؟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هذا الحمل یحسن لو صحّ شیء من أخبار الجواز لا مع عدمه، والخبر الأخیر لیس بصریح فی جواز مخالفة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المختلف اقتصر من نقل الحکم علی مجرّد الشهرة </w:t>
      </w:r>
      <w:r>
        <w:rPr>
          <w:rStyle w:val="FootnoteAnchor"/>
          <w:rtl w:val="true"/>
        </w:rPr>
        <w:footnoteReference w:id="678"/>
      </w:r>
      <w:r>
        <w:rPr>
          <w:rFonts w:ascii="IRNazanin" w:hAnsi="IRNazanin" w:eastAsia="IRNazanin"/>
          <w:color w:val="111111"/>
          <w:sz w:val="28"/>
          <w:sz w:val="28"/>
          <w:szCs w:val="28"/>
          <w:rtl w:val="true"/>
          <w:lang w:bidi="fa-IR"/>
        </w:rPr>
        <w:t>ولم یصرّح بالفتوی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لما ذکرناه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حصر للعدد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بملک الیمین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عَلیٰ أَزْوٰاجِهِمْ أَوْ مٰا مَلَکَتْ أَیْمٰانُهُمْ </w:t>
      </w:r>
      <w:r>
        <w:rPr>
          <w:rStyle w:val="FootnoteAnchor"/>
          <w:rtl w:val="true"/>
        </w:rPr>
        <w:footnoteReference w:id="67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ملک العین، أمّا ملک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إلحاقه به نظر، من الشکّ فی إطلاق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والشکّ فی کونه عقداً أو 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إلحاقه به، وبه جزم فی التحریر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bookmarkStart w:id="272" w:name="pg19810_214417"/>
    </w:p>
    <w:p>
      <w:pPr>
        <w:pStyle w:val="Heading5"/>
        <w:numPr>
          <w:ilvl w:val="4"/>
          <w:numId w:val="1"/>
        </w:numPr>
        <w:rPr/>
      </w:pPr>
      <w:bookmarkStart w:id="273" w:name="__RefHeading___Toc2175455_2314609296"/>
      <w:bookmarkStart w:id="274" w:name="_Toc102"/>
      <w:bookmarkEnd w:id="272"/>
      <w:bookmarkEnd w:id="273"/>
      <w:r>
        <w:rPr>
          <w:rtl w:val="true"/>
        </w:rPr>
        <w:t>«</w:t>
      </w:r>
      <w:r>
        <w:rPr>
          <w:rtl w:val="true"/>
        </w:rPr>
        <w:t xml:space="preserve">الثامنة </w:t>
      </w:r>
      <w:r>
        <w:rPr>
          <w:rtl w:val="true"/>
        </w:rPr>
        <w:t>[</w:t>
      </w:r>
      <w:r>
        <w:rPr>
          <w:rtl w:val="true"/>
        </w:rPr>
        <w:t>لذا اطلق ذو النصاب رجعیا لم یجز له التزویج دائما حتی تخرج العدة</w:t>
      </w:r>
      <w:r>
        <w:rPr>
          <w:rtl w:val="true"/>
        </w:rPr>
        <w:t>] » :</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ذو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یجوز تجاوزه واحدةً أو أکثر، طلاقاً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رجعیّاً لم یجز له التزویج دائماً حتّی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المطلّقة رجعیّاً بمنزلة الزوجة، فالنکاح الدائم زمن العدّة بمنزلة الجمع زائداً علی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له 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 المطلّقة رجعیّاً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ومتعةً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المطلّقة واحدة؛ لأنّه یکون جامعاً بین الاُختین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الزائدة عن </w:t>
      </w:r>
      <w:r>
        <w:rPr>
          <w:rStyle w:val="FootnoteAnchor"/>
          <w:rtl w:val="true"/>
        </w:rPr>
        <w:footnoteReference w:id="681"/>
      </w:r>
      <w:r>
        <w:rPr>
          <w:rFonts w:ascii="IRNazanin" w:hAnsi="IRNazanin" w:eastAsia="IRNazanin"/>
          <w:color w:val="111111"/>
          <w:sz w:val="28"/>
          <w:sz w:val="28"/>
          <w:szCs w:val="28"/>
          <w:rtl w:val="true"/>
          <w:lang w:bidi="fa-IR"/>
        </w:rPr>
        <w:t>النصاب والاُخت؛ لانقطاع العصمة بالبائن وصیرورتِها کالأجنبیّة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کراهیّة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لتحرّمها بحرمة الزوجیّة، وللنهی عن تزویجها مطلقاً فی صحیحة زرارة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الرجل أربعاً فطلّق إحداهنّ فلا یتزوّج الخامسة حتّی تنقضی عدّة المرأة التی 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ماءه فی خمس</w:t>
      </w:r>
      <w:r>
        <w:rPr>
          <w:rFonts w:eastAsia="IRNazanin" w:cs="IRNazanin"/>
          <w:color w:val="111111"/>
          <w:sz w:val="28"/>
          <w:szCs w:val="28"/>
          <w:rtl w:val="true"/>
          <w:lang w:bidi="fa-IR"/>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وحُمِل </w:t>
      </w:r>
      <w:r>
        <w:rPr>
          <w:rStyle w:val="FootnoteAnchor"/>
          <w:rtl w:val="true"/>
        </w:rPr>
        <w:footnoteReference w:id="683"/>
      </w:r>
      <w:r>
        <w:rPr>
          <w:rFonts w:ascii="IRNazanin" w:hAnsi="IRNazanin" w:eastAsia="IRNazanin"/>
          <w:color w:val="111111"/>
          <w:sz w:val="28"/>
          <w:sz w:val="28"/>
          <w:szCs w:val="28"/>
          <w:rtl w:val="true"/>
          <w:lang w:bidi="fa-IR"/>
        </w:rPr>
        <w:t>النهی علی الکراهة جمعاً</w:t>
      </w:r>
      <w:r>
        <w:rPr>
          <w:rFonts w:eastAsia="IRNazanin" w:cs="IRNazanin"/>
          <w:color w:val="111111"/>
          <w:sz w:val="28"/>
          <w:szCs w:val="28"/>
          <w:rtl w:val="true"/>
          <w:lang w:bidi="fa-IR"/>
        </w:rPr>
        <w:t>.</w:t>
      </w:r>
    </w:p>
    <w:p>
      <w:pPr>
        <w:pStyle w:val="Heading5"/>
        <w:numPr>
          <w:ilvl w:val="4"/>
          <w:numId w:val="1"/>
        </w:numPr>
        <w:rPr/>
      </w:pPr>
      <w:bookmarkStart w:id="275" w:name="__RefHeading___Toc2175457_2314609296"/>
      <w:bookmarkStart w:id="276" w:name="_Toc103"/>
      <w:bookmarkEnd w:id="275"/>
      <w:r>
        <w:rPr>
          <w:rtl w:val="true"/>
        </w:rPr>
        <w:t>«</w:t>
      </w:r>
      <w:r>
        <w:rPr>
          <w:rtl w:val="true"/>
        </w:rPr>
        <w:t xml:space="preserve">التاسعة </w:t>
      </w:r>
      <w:r>
        <w:rPr>
          <w:rtl w:val="true"/>
        </w:rPr>
        <w:t>[</w:t>
      </w:r>
      <w:r>
        <w:rPr>
          <w:rtl w:val="true"/>
        </w:rPr>
        <w:t>حکم المطلقة ثلاثا او تسعا</w:t>
      </w:r>
      <w:r>
        <w:rPr>
          <w:rtl w:val="true"/>
        </w:rPr>
        <w:t>] » :</w:t>
      </w:r>
      <w:bookmarkEnd w:id="27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الحرّة علی المطلِّق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یتخلّلها رجعتان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أنواع الطلاق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إلّابالمحلّل، وإن کان المطلّق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الاعتبار فی عدد الطلقات عندنا بالزوجة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تحلّ الأمة المطلّقة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إلّابالمحلّل، ولو کان</w:t>
      </w:r>
    </w:p>
    <w:p>
      <w:pPr>
        <w:pStyle w:val="BookText"/>
        <w:rPr/>
      </w:pPr>
      <w:r>
        <w:rPr>
          <w:rFonts w:ascii="Amiri" w:hAnsi="Amiri" w:eastAsia="Amiri" w:cs="Amiri"/>
          <w:color w:val="111111"/>
          <w:sz w:val="28"/>
          <w:sz w:val="28"/>
          <w:szCs w:val="28"/>
          <w:rtl w:val="true"/>
          <w:lang w:bidi="ar-SA"/>
        </w:rPr>
        <w:t>المطلّق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للآیة والروایة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المطلَّقة تسعاً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یطلّقها علی الشرائط ثمّ یراجع فی العدّة ویطأ ثمّ یطلّق فی طهر آخر ثمّ یراجع فی العدّة ویطأ ثمّ یطلّق </w:t>
      </w:r>
      <w:r>
        <w:rPr>
          <w:rStyle w:val="FootnoteAnchor"/>
          <w:rtl w:val="true"/>
        </w:rPr>
        <w:footnoteReference w:id="685"/>
      </w:r>
      <w:r>
        <w:rPr>
          <w:rFonts w:ascii="IRNazanin" w:hAnsi="IRNazanin" w:eastAsia="IRNazanin"/>
          <w:color w:val="111111"/>
          <w:sz w:val="28"/>
          <w:sz w:val="28"/>
          <w:szCs w:val="28"/>
          <w:rtl w:val="true"/>
          <w:lang w:bidi="fa-IR"/>
        </w:rPr>
        <w:t xml:space="preserve">الثالثة، فینکحها بعد عدّتها زوج آخر ثمّ یفارقها بعد أن یطأها، فیتزوّجها الأوّل بعد العدّة ویفعل کما فعل أوّلاً إلی أن یکمل لها تسعاً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ینکحها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الثالثة والسادسة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تحرم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التسع للعدّة مجاز؛ لأنّ الثالثة من کلّ ثلاث لیست للعدّة، فإطلاقه علیها إمّا إطلاقاً </w:t>
      </w:r>
      <w:r>
        <w:rPr>
          <w:rStyle w:val="FootnoteAnchor"/>
          <w:rtl w:val="true"/>
        </w:rPr>
        <w:footnoteReference w:id="686"/>
      </w:r>
      <w:r>
        <w:rPr>
          <w:rFonts w:ascii="IRNazanin" w:hAnsi="IRNazanin" w:eastAsia="IRNazanin"/>
          <w:color w:val="111111"/>
          <w:sz w:val="28"/>
          <w:sz w:val="28"/>
          <w:szCs w:val="28"/>
          <w:rtl w:val="true"/>
          <w:lang w:bidi="fa-IR"/>
        </w:rPr>
        <w:t>لاسم الأکثر علی الأقلّ أو باعتبار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کانت النصوص والفتاوی مطلقة فی اعتبار التسع للعدّة فی التحریم المؤبَّد کان أعمّ من کونها متوالیة ومتفرّقة، فلو اتّفق فی کلّ ثلاث واحدة للعدّة اعتبر فیه إکمال التسع کذلک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هل یغتفر منها الثالثة من کلّ ثلاث لاغتفارها لو جامعت الاثنتین</w:t>
      </w:r>
    </w:p>
    <w:p>
      <w:pPr>
        <w:pStyle w:val="BookText"/>
        <w:rPr/>
      </w:pPr>
      <w:r>
        <w:rPr>
          <w:rFonts w:ascii="IRNazanin" w:hAnsi="IRNazanin" w:eastAsia="IRNazanin"/>
          <w:color w:val="111111"/>
          <w:sz w:val="28"/>
          <w:sz w:val="28"/>
          <w:szCs w:val="28"/>
          <w:rtl w:val="true"/>
          <w:lang w:bidi="fa-IR"/>
        </w:rPr>
        <w:t xml:space="preserve">للعدّة، فیکفی وقوع ستّ للعدّة، أو یعتبر إکمال التسع للعدّة حقیقة؟ یحتمل الأوّل؛ لأ نّه المعتبر عند التوالی، ولأنّ الثالثة لم یتحقّق اعتبار کونها للعدّة، وإنّما استفید من النصّ </w:t>
      </w:r>
      <w:r>
        <w:rPr>
          <w:rStyle w:val="FootnoteAnchor"/>
          <w:rtl w:val="true"/>
        </w:rPr>
        <w:footnoteReference w:id="687"/>
      </w:r>
      <w:r>
        <w:rPr>
          <w:rFonts w:ascii="IRNazanin" w:hAnsi="IRNazanin" w:eastAsia="IRNazanin"/>
          <w:color w:val="111111"/>
          <w:sz w:val="28"/>
          <w:sz w:val="28"/>
          <w:szCs w:val="28"/>
          <w:rtl w:val="true"/>
          <w:lang w:bidi="fa-IR"/>
        </w:rPr>
        <w:t>التحریم بالستّ الواقعة لها، فیستصحب الحکم مع عدم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لأنّ اغتفار الثالثة ثبت مع التوالی علی خلاف الأصل، فإذا لم یحصل اعتبرت الحقیقة، خصوصاً مع کون طلقة العدّة هی الاُولی خاصّة، فإنّ علاقتی المجاز منتفیتان عن الثالثة؛ إذ لا مجاورة لها للعدّیّة، ولا أکثریّة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کانت العدّیة هی الثانیة، فإنّ علاقة المجاورة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أقوی، فإن کانت العدّیّة هی الاُولی تعلّق التحریم بالخامسة والعشرین، وإن کانت الثانیة فبالسادسة والعشرین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فیه إشکال آخر، وهو أنّ طلاق العدّة حینئذٍ لا یتحقّق إلّابالرجعة بعده والوطء، فإذا توقّف التحریم علی تحقّق التسع کذلک لزم تحریمها بعد الدخول فی الأخیرة بغیر طلاق،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توقّف علی طلاق آخر بعده ولم یکن ثالثاً لزم جعل ما لیس بمحرِّم محرِّماً، والحکم بالتحریم بدون طلاقٍ موقوفٍ علی التحلیل، وکلاهما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المسألة شیء یعتمد علیه، فللتوقّف فیما خالف النصّ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حکم الحرّة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الأمة فقد عرفت أ نّها تحرم بعد کلّ طلقتین، فلا یجتمع لها طلاق تسع للعدّة مع نکاح رجلین، وهما معتبران فی التحریم نصّاً وفتویً، فیحتمل تحریمها بستّ؛ لأنّها قائمة مقام التسع للحرّة وینکحها بینها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اعتبار التسع کالحرّة، استصحاباً للحلّ إلی أن یثبت المحرِّم، ولا یقدح نکاح أزید من رجلین؛ لصدقهما مع الزائد</w:t>
      </w:r>
      <w:r>
        <w:rPr>
          <w:rFonts w:eastAsia="IRNazanin" w:cs="IRNazanin"/>
          <w:color w:val="111111"/>
          <w:sz w:val="28"/>
          <w:szCs w:val="28"/>
          <w:rtl w:val="true"/>
          <w:lang w:bidi="fa-IR"/>
        </w:rPr>
        <w:t>.</w:t>
      </w:r>
      <w:bookmarkStart w:id="277" w:name="pg19810_214420"/>
    </w:p>
    <w:p>
      <w:pPr>
        <w:pStyle w:val="BookText"/>
        <w:rPr/>
      </w:pPr>
      <w:bookmarkEnd w:id="277"/>
      <w:r>
        <w:rPr>
          <w:rFonts w:ascii="IRNazanin" w:hAnsi="IRNazanin" w:eastAsia="IRNazanin"/>
          <w:color w:val="111111"/>
          <w:sz w:val="28"/>
          <w:sz w:val="28"/>
          <w:szCs w:val="28"/>
          <w:rtl w:val="true"/>
          <w:lang w:bidi="fa-IR"/>
        </w:rPr>
        <w:t>وعلی التقدیرین فیحتمل اعتبار العدد کلّه للعدّة اقتصاراً فی المجاز علی المتحقّق، والاکتفاء فی کلّ اثنتین بواحدة للعدّة، وهی الاُولی؛ لقیامها مقام الاثنتین، ولصدق المجاز فی إطلاق العدّیّة علی الجمیع بعلاقة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یعتبر اثنتا عشرة تطلیقة إذا وقعت الاُولی من کلّ اثنتین للعدّة، وعلی التسع ثمانی عشرة، ویبقی الکلام فی الثانیة عشرة والثامنة عشرة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یُکتفی بالستّ أو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فی الأمة عدم تحریمها مؤبّداً مطلقاً؛ لأنّ ظاهر النصّ أنّ مورده الحرّة بقرینة نکاح الرجلین من التسع، فیتمسّک فی الأمة بأصالة بقاء الحلّ، ولعدم اجتماع الشرطین </w:t>
      </w:r>
      <w:r>
        <w:rPr>
          <w:rStyle w:val="FootnoteAnchor"/>
          <w:rtl w:val="true"/>
        </w:rPr>
        <w:footnoteReference w:id="688"/>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وللتوقّف مجال</w:t>
      </w:r>
      <w:r>
        <w:rPr>
          <w:rFonts w:eastAsia="IRNazanin" w:cs="IRNazanin"/>
          <w:color w:val="111111"/>
          <w:sz w:val="28"/>
          <w:szCs w:val="28"/>
          <w:rtl w:val="true"/>
          <w:lang w:bidi="fa-IR"/>
        </w:rPr>
        <w:t>.</w:t>
      </w:r>
    </w:p>
    <w:p>
      <w:pPr>
        <w:pStyle w:val="Heading5"/>
        <w:numPr>
          <w:ilvl w:val="4"/>
          <w:numId w:val="1"/>
        </w:numPr>
        <w:rPr/>
      </w:pPr>
      <w:bookmarkStart w:id="278" w:name="__RefHeading___Toc2175459_2314609296"/>
      <w:bookmarkStart w:id="279" w:name="_Toc104"/>
      <w:bookmarkEnd w:id="278"/>
      <w:r>
        <w:rPr>
          <w:rtl w:val="true"/>
        </w:rPr>
        <w:t>«</w:t>
      </w:r>
      <w:r>
        <w:rPr>
          <w:rtl w:val="true"/>
        </w:rPr>
        <w:t xml:space="preserve">العاشرة </w:t>
      </w:r>
      <w:r>
        <w:rPr>
          <w:rtl w:val="true"/>
        </w:rPr>
        <w:t>[</w:t>
      </w:r>
      <w:r>
        <w:rPr>
          <w:rtl w:val="true"/>
        </w:rPr>
        <w:t>حرمة الملاعنة ابدا</w:t>
      </w:r>
      <w:r>
        <w:rPr>
          <w:rtl w:val="true"/>
        </w:rPr>
        <w:t>] » :</w:t>
      </w:r>
      <w:bookmarkEnd w:id="27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الملاعنة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الکلام فی تحقیق حکمها وشرائطها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الصمّاء والخرساء إذا قذفها زوجها بما یوجب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الآفة، بأن یرمیها بالزنا مع دعوی المشاهدة وعدم البیّنة، فلو لم یدّع المشاهدة حُدّ ولم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أقام بیّنة بما قذفها به سقط الحدّ عنه والتحریم کما یسقط اللعان؛ لأنّ ذلک هو مقتضی حکم القذف فی إیجاب اللعان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یسقط الحدّ بتحریمها علیه، بل یجمع بینهما إن ثبت القذف عند الحاکم، وإلّا حرمت فیما بینه وبین اللّٰه تعالی وبقی الحدّ فی ذمّته علی ما دلّت علیه روایة</w:t>
      </w:r>
    </w:p>
    <w:p>
      <w:pPr>
        <w:pStyle w:val="BookText"/>
        <w:rPr/>
      </w:pPr>
      <w:r>
        <w:rPr>
          <w:rFonts w:ascii="IRNazanin" w:hAnsi="IRNazanin" w:eastAsia="IRNazanin"/>
          <w:color w:val="111111"/>
          <w:sz w:val="28"/>
          <w:sz w:val="28"/>
          <w:szCs w:val="28"/>
          <w:rtl w:val="true"/>
          <w:lang w:bidi="fa-IR"/>
        </w:rPr>
        <w:t xml:space="preserve">أبی بصیر </w:t>
      </w:r>
      <w:r>
        <w:rPr>
          <w:rStyle w:val="FootnoteAnchor"/>
          <w:rtl w:val="true"/>
        </w:rPr>
        <w:footnoteReference w:id="690"/>
      </w:r>
      <w:r>
        <w:rPr>
          <w:rFonts w:ascii="IRNazanin" w:hAnsi="IRNazanin" w:eastAsia="IRNazanin"/>
          <w:color w:val="111111"/>
          <w:sz w:val="28"/>
          <w:sz w:val="28"/>
          <w:szCs w:val="28"/>
          <w:rtl w:val="true"/>
          <w:lang w:bidi="fa-IR"/>
        </w:rPr>
        <w:t xml:space="preserve">التی هی الأصل فی الحکم، وإن کان المستند الآن الإجماع علیه کما ادّعاه الشیخ رحمه الله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ودلّت الروایة أیضاً علی اعتبار الصمم والخرس معاً، فلو اتّصفت بأحدهما خاصّة، فمقتضی الروایة ودلیل الأصل عدم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أکثر الأصحاب </w:t>
      </w:r>
      <w:r>
        <w:rPr>
          <w:rStyle w:val="FootnoteAnchor"/>
          <w:rtl w:val="true"/>
        </w:rPr>
        <w:footnoteReference w:id="692"/>
      </w:r>
      <w:r>
        <w:rPr>
          <w:rFonts w:ascii="IRNazanin" w:hAnsi="IRNazanin" w:eastAsia="IRNazanin"/>
          <w:color w:val="111111"/>
          <w:sz w:val="28"/>
          <w:sz w:val="28"/>
          <w:szCs w:val="28"/>
          <w:rtl w:val="true"/>
          <w:lang w:bidi="fa-IR"/>
        </w:rPr>
        <w:t xml:space="preserve">عطفوا أحد الوصفین علی الآخر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للاکتفاء بأحدهما، والمصنّف عطف بالواو وهو یدلّ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ورد الخرس وحده فی روایتین </w:t>
      </w:r>
      <w:r>
        <w:rPr>
          <w:rStyle w:val="FootnoteAnchor"/>
          <w:rtl w:val="true"/>
        </w:rPr>
        <w:footnoteReference w:id="693"/>
      </w:r>
      <w:r>
        <w:rPr>
          <w:rFonts w:ascii="IRNazanin" w:hAnsi="IRNazanin" w:eastAsia="IRNazanin"/>
          <w:color w:val="111111"/>
          <w:sz w:val="28"/>
          <w:sz w:val="28"/>
          <w:szCs w:val="28"/>
          <w:rtl w:val="true"/>
          <w:lang w:bidi="fa-IR"/>
        </w:rPr>
        <w:t>فالاکتفاء به وحده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الصمم وحده، فلا نصّ علیه بخصوصه یُعتدّ به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التحریر استشکل حکم الصمّاء خاصّة بعد أن استقرب التحریم </w:t>
      </w:r>
      <w:r>
        <w:rPr>
          <w:rStyle w:val="FootnoteAnchor"/>
          <w:rtl w:val="true"/>
        </w:rPr>
        <w:footnoteReference w:id="694"/>
      </w:r>
      <w:r>
        <w:rPr>
          <w:rFonts w:ascii="IRNazanin" w:hAnsi="IRNazanin" w:eastAsia="IRNazanin"/>
          <w:color w:val="111111"/>
          <w:sz w:val="28"/>
          <w:sz w:val="28"/>
          <w:szCs w:val="28"/>
          <w:rtl w:val="true"/>
          <w:lang w:bidi="fa-IR"/>
        </w:rPr>
        <w:t>ولو نفی ولدها علی وجهٍ یثبت اللعان به لو کانت غیر مؤفة، ففی ثبوت اللعان أو تحریمها به کالقذف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مساواته للقذف فی التحریم المؤبّد باللعان فیساویه فی المعلول الآخر، ودعوی الشیخ فی الخلاف الإجماع علی أ نّه لا لعان</w:t>
      </w:r>
      <w:bookmarkStart w:id="280" w:name="pg19810_214422"/>
    </w:p>
    <w:p>
      <w:pPr>
        <w:pStyle w:val="BookText"/>
        <w:rPr/>
      </w:pPr>
      <w:bookmarkEnd w:id="280"/>
      <w:r>
        <w:rPr>
          <w:rFonts w:ascii="IRNazanin" w:hAnsi="IRNazanin" w:eastAsia="IRNazanin"/>
          <w:color w:val="111111"/>
          <w:sz w:val="28"/>
          <w:sz w:val="28"/>
          <w:szCs w:val="28"/>
          <w:rtl w:val="true"/>
          <w:lang w:bidi="fa-IR"/>
        </w:rPr>
        <w:t xml:space="preserve">للصمّاء والخرساء </w:t>
      </w:r>
      <w:r>
        <w:rPr>
          <w:rStyle w:val="FootnoteAnchor"/>
          <w:rtl w:val="true"/>
        </w:rPr>
        <w:footnoteReference w:id="695"/>
      </w:r>
      <w:r>
        <w:rPr>
          <w:rFonts w:ascii="IRNazanin" w:hAnsi="IRNazanin" w:eastAsia="IRNazanin"/>
          <w:color w:val="111111"/>
          <w:sz w:val="28"/>
          <w:sz w:val="28"/>
          <w:szCs w:val="28"/>
          <w:rtl w:val="true"/>
          <w:lang w:bidi="fa-IR"/>
        </w:rPr>
        <w:t xml:space="preserve">ومن عموم الآیة </w:t>
      </w:r>
      <w:r>
        <w:rPr>
          <w:rStyle w:val="FootnoteAnchor"/>
          <w:rtl w:val="true"/>
        </w:rPr>
        <w:footnoteReference w:id="696"/>
      </w:r>
      <w:r>
        <w:rPr>
          <w:rFonts w:ascii="IRNazanin" w:hAnsi="IRNazanin" w:eastAsia="IRNazanin"/>
          <w:color w:val="111111"/>
          <w:sz w:val="28"/>
          <w:sz w:val="28"/>
          <w:szCs w:val="28"/>
          <w:rtl w:val="true"/>
          <w:lang w:bidi="fa-IR"/>
        </w:rPr>
        <w:t xml:space="preserve">المتناول لکلّ زوجة، خرج منه قذفهما بالنصّ </w:t>
      </w:r>
      <w:r>
        <w:rPr>
          <w:rStyle w:val="FootnoteAnchor"/>
          <w:rtl w:val="true"/>
        </w:rPr>
        <w:footnoteReference w:id="697"/>
      </w:r>
      <w:r>
        <w:rPr>
          <w:rFonts w:ascii="IRNazanin" w:hAnsi="IRNazanin" w:eastAsia="IRNazanin"/>
          <w:color w:val="111111"/>
          <w:sz w:val="28"/>
          <w:sz w:val="28"/>
          <w:szCs w:val="28"/>
          <w:rtl w:val="true"/>
          <w:lang w:bidi="fa-IR"/>
        </w:rPr>
        <w:t xml:space="preserve">أو الإجماع </w:t>
      </w:r>
      <w:r>
        <w:rPr>
          <w:rStyle w:val="FootnoteAnchor"/>
          <w:rtl w:val="true"/>
        </w:rPr>
        <w:footnoteReference w:id="698"/>
      </w:r>
      <w:r>
        <w:rPr>
          <w:rFonts w:ascii="IRNazanin" w:hAnsi="IRNazanin" w:eastAsia="IRNazanin"/>
          <w:color w:val="111111"/>
          <w:sz w:val="28"/>
          <w:sz w:val="28"/>
          <w:szCs w:val="28"/>
          <w:rtl w:val="true"/>
          <w:lang w:bidi="fa-IR"/>
        </w:rPr>
        <w:t>فیبقی الباقی داخلاً فی عموم الحکم باللعان، وتوقّف التحریم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من مساواة النفی القذف فی حکمٍ مساواته فی غیره؛ لأنّ الأسباب متوقّفة علی النصّ، والإجماع إنّما نُقل علی عدم لعانهما مع القذف کما صرّح به الشیخ، فلا یلحق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 نّه لا فرق هنا مع القذف بین دخوله بهما وعدمه عملاً بالإطلاق، أمّا نفی الولد فاشتراطه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حرمت قبل الدخول فالأجود ثبوت جمیع المهر؛ لثبوته بالعقد فیستصحب، وتنصّفه فی بعض الموارد لا یوجب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الصدوق فی الفقیه </w:t>
      </w:r>
      <w:r>
        <w:rPr>
          <w:rStyle w:val="FootnoteAnchor"/>
          <w:rtl w:val="true"/>
        </w:rPr>
        <w:footnoteReference w:id="699"/>
      </w:r>
      <w:r>
        <w:rPr>
          <w:rFonts w:ascii="IRNazanin" w:hAnsi="IRNazanin" w:eastAsia="IRNazanin"/>
          <w:color w:val="111111"/>
          <w:sz w:val="28"/>
          <w:sz w:val="28"/>
          <w:szCs w:val="28"/>
          <w:rtl w:val="true"/>
          <w:lang w:bidi="fa-IR"/>
        </w:rPr>
        <w:t>بذلک قذف المرأة زوجها الأصمّ فحکم بتحریمها علیه مؤبّداً حملاً علی قذفه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غرابته قیاس لا نقول به</w:t>
      </w:r>
      <w:r>
        <w:rPr>
          <w:rFonts w:eastAsia="IRNazanin" w:cs="IRNazanin"/>
          <w:color w:val="111111"/>
          <w:sz w:val="28"/>
          <w:szCs w:val="28"/>
          <w:rtl w:val="true"/>
          <w:lang w:bidi="fa-IR"/>
        </w:rPr>
        <w:t>.</w:t>
      </w:r>
    </w:p>
    <w:p>
      <w:pPr>
        <w:pStyle w:val="Heading5"/>
        <w:numPr>
          <w:ilvl w:val="4"/>
          <w:numId w:val="1"/>
        </w:numPr>
        <w:rPr/>
      </w:pPr>
      <w:bookmarkStart w:id="281" w:name="__RefHeading___Toc2175461_2314609296"/>
      <w:bookmarkStart w:id="282" w:name="_Toc105"/>
      <w:bookmarkEnd w:id="281"/>
      <w:r>
        <w:rPr>
          <w:rtl w:val="true"/>
        </w:rPr>
        <w:t>«</w:t>
      </w:r>
      <w:r>
        <w:rPr>
          <w:rtl w:val="true"/>
        </w:rPr>
        <w:t xml:space="preserve">الحادیة عشرة </w:t>
      </w:r>
      <w:r>
        <w:rPr>
          <w:rtl w:val="true"/>
        </w:rPr>
        <w:t>[</w:t>
      </w:r>
      <w:r>
        <w:rPr>
          <w:rtl w:val="true"/>
        </w:rPr>
        <w:t xml:space="preserve">حرمة نکاح غیر الکتابیة و کذا الکتابیة دواما </w:t>
      </w:r>
      <w:r>
        <w:rPr>
          <w:rtl w:val="true"/>
        </w:rPr>
        <w:t>] » :</w:t>
      </w:r>
      <w:bookmarkEnd w:id="282"/>
    </w:p>
    <w:p>
      <w:pPr>
        <w:pStyle w:val="Heading6"/>
        <w:numPr>
          <w:ilvl w:val="5"/>
          <w:numId w:val="1"/>
        </w:numPr>
        <w:rPr/>
      </w:pPr>
      <w:bookmarkStart w:id="283" w:name="__RefHeading___Toc2175463_2314609296"/>
      <w:bookmarkStart w:id="284" w:name="_Toc106"/>
      <w:bookmarkEnd w:id="283"/>
      <w:r>
        <w:rPr>
          <w:rtl w:val="true"/>
        </w:rPr>
        <w:t>اشارة</w:t>
      </w:r>
      <w:bookmarkEnd w:id="28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الکافرة غیر الکتابیّة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الیهودیّة و </w:t>
      </w:r>
      <w:r>
        <w:rPr>
          <w:rStyle w:val="FootnoteAnchor"/>
          <w:rtl w:val="true"/>
        </w:rPr>
        <w:footnoteReference w:id="700"/>
      </w:r>
      <w:r>
        <w:rPr>
          <w:rFonts w:ascii="IRNazanin" w:hAnsi="IRNazanin" w:eastAsia="IRNazanin"/>
          <w:color w:val="111111"/>
          <w:sz w:val="28"/>
          <w:sz w:val="28"/>
          <w:szCs w:val="28"/>
          <w:rtl w:val="true"/>
          <w:lang w:bidi="fa-IR"/>
        </w:rPr>
        <w:t xml:space="preserve">النصرانیّة،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المجوسیّة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 إجماعاً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دواماً</w:t>
      </w:r>
      <w:bookmarkStart w:id="285" w:name="pg19810_214423"/>
    </w:p>
    <w:p>
      <w:pPr>
        <w:pStyle w:val="BookText"/>
        <w:rPr/>
      </w:pPr>
      <w:bookmarkEnd w:id="285"/>
      <w:r>
        <w:rPr>
          <w:rFonts w:ascii="IRNazanin" w:hAnsi="IRNazanin" w:eastAsia="IRNazanin"/>
          <w:color w:val="111111"/>
          <w:sz w:val="28"/>
          <w:sz w:val="28"/>
          <w:szCs w:val="28"/>
          <w:rtl w:val="true"/>
          <w:lang w:bidi="fa-IR"/>
        </w:rPr>
        <w:t>لا متعة وملکَ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أشهر الأقوال </w:t>
      </w:r>
      <w:r>
        <w:rPr>
          <w:rStyle w:val="FootnoteAnchor"/>
          <w:rtl w:val="true"/>
        </w:rPr>
        <w:footnoteReference w:id="702"/>
      </w:r>
      <w:r>
        <w:rPr>
          <w:rFonts w:ascii="IRNazanin" w:hAnsi="IRNazanin" w:eastAsia="IRNazanin"/>
          <w:color w:val="111111"/>
          <w:sz w:val="28"/>
          <w:sz w:val="28"/>
          <w:szCs w:val="28"/>
          <w:rtl w:val="true"/>
          <w:lang w:bidi="fa-IR"/>
        </w:rPr>
        <w:t xml:space="preserve">والقول الآخر الجواز مطلقاً </w:t>
      </w:r>
      <w:r>
        <w:rPr>
          <w:rStyle w:val="FootnoteAnchor"/>
          <w:rtl w:val="true"/>
        </w:rPr>
        <w:footnoteReference w:id="703"/>
      </w:r>
      <w:r>
        <w:rPr>
          <w:rFonts w:ascii="IRNazanin" w:hAnsi="IRNazanin" w:eastAsia="IRNazanin"/>
          <w:color w:val="111111"/>
          <w:sz w:val="28"/>
          <w:sz w:val="28"/>
          <w:szCs w:val="28"/>
          <w:rtl w:val="true"/>
          <w:lang w:bidi="fa-IR"/>
        </w:rPr>
        <w:t xml:space="preserve">والثالث المنع مطلقاً </w:t>
      </w:r>
      <w:r>
        <w:rPr>
          <w:rStyle w:val="FootnoteAnchor"/>
          <w:rtl w:val="true"/>
        </w:rPr>
        <w:footnoteReference w:id="704"/>
      </w:r>
      <w:r>
        <w:rPr>
          <w:rFonts w:ascii="IRNazanin" w:hAnsi="IRNazanin" w:eastAsia="IRNazanin"/>
          <w:color w:val="111111"/>
          <w:sz w:val="28"/>
          <w:sz w:val="28"/>
          <w:szCs w:val="28"/>
          <w:rtl w:val="true"/>
          <w:lang w:bidi="fa-IR"/>
        </w:rPr>
        <w:t>وإنّما جعلنا المجوسیّة من أقسام الکتابیّة مع أ نّها مغایرة لها وإن اُلحقت بها فی الحکم؛ لدعواه الإجماع علی تحریم نکاح من عداها مع وقوع الخلاف فی المجوسیّة، فلولا تغلیبه الاسم علیها لدخلت فی المجمع علی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إطلاقه علیها أنّ لها شبهة کتاب صحّ بسببه 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بین المتأخّرین أنّ حکمها حکمها فناسب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یمنع من نکاح الکتابیّة ابتداءً لا استدامة؛ لما سیأتی من أ نّه لو أسلم زوج الکتابیّة فالنکاح بحاله</w:t>
      </w:r>
      <w:r>
        <w:rPr>
          <w:rFonts w:eastAsia="IRNazanin" w:cs="IRNazanin"/>
          <w:color w:val="111111"/>
          <w:sz w:val="28"/>
          <w:szCs w:val="28"/>
          <w:rtl w:val="true"/>
          <w:lang w:bidi="fa-IR"/>
        </w:rPr>
        <w:t>.</w:t>
      </w:r>
    </w:p>
    <w:p>
      <w:pPr>
        <w:pStyle w:val="Heading6"/>
        <w:numPr>
          <w:ilvl w:val="5"/>
          <w:numId w:val="1"/>
        </w:numPr>
        <w:rPr/>
      </w:pPr>
      <w:bookmarkStart w:id="286" w:name="__RefHeading___Toc2175465_2314609296"/>
      <w:bookmarkStart w:id="287" w:name="_Toc107"/>
      <w:bookmarkEnd w:id="286"/>
      <w:r>
        <w:rPr>
          <w:rtl w:val="true"/>
        </w:rPr>
        <w:t>[</w:t>
      </w:r>
      <w:r>
        <w:rPr>
          <w:rtl w:val="true"/>
        </w:rPr>
        <w:t xml:space="preserve">حکم ارتداد احد الزوجین </w:t>
      </w:r>
      <w:r>
        <w:rPr>
          <w:rtl w:val="true"/>
        </w:rPr>
        <w:t>]</w:t>
      </w:r>
      <w:bookmarkEnd w:id="28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ارتدّ أحد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بطل النکاح</w:t>
      </w:r>
      <w:r>
        <w:rPr>
          <w:rFonts w:eastAsia="IRNazanin" w:cs="IRNazanin"/>
          <w:color w:val="111111"/>
          <w:sz w:val="28"/>
          <w:szCs w:val="28"/>
          <w:rtl w:val="true"/>
          <w:lang w:bidi="fa-IR"/>
        </w:rPr>
        <w:t>»</w:t>
      </w:r>
      <w:bookmarkStart w:id="288" w:name="pg19810_214424"/>
    </w:p>
    <w:p>
      <w:pPr>
        <w:pStyle w:val="BookText"/>
        <w:rPr/>
      </w:pPr>
      <w:bookmarkEnd w:id="288"/>
      <w:r>
        <w:rPr>
          <w:rFonts w:ascii="IRNazanin" w:hAnsi="IRNazanin" w:eastAsia="IRNazanin"/>
          <w:color w:val="111111"/>
          <w:sz w:val="28"/>
          <w:sz w:val="28"/>
          <w:szCs w:val="28"/>
          <w:rtl w:val="true"/>
          <w:lang w:bidi="fa-IR"/>
        </w:rPr>
        <w:t xml:space="preserve">سواء کان الارتداد فطریّاً أم ملّیّاً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المهر إن کان الارتداد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الفسخ جاء من جهته فأشبه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کانت التسمیة صحیحة فنصف المسمّی، وإلّا فنصف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جمیع المهر؛ لوجوبه بالعقد ولم یثبت تشطیره إلّابالطلاق </w:t>
      </w:r>
      <w:r>
        <w:rPr>
          <w:rStyle w:val="FootnoteAnchor"/>
          <w:rtl w:val="true"/>
        </w:rPr>
        <w:footnoteReference w:id="705"/>
      </w:r>
      <w:r>
        <w:rPr>
          <w:rFonts w:ascii="IRNazanin" w:hAnsi="IRNazanin" w:eastAsia="IRNazanin"/>
          <w:color w:val="111111"/>
          <w:sz w:val="28"/>
          <w:sz w:val="28"/>
          <w:szCs w:val="28"/>
          <w:rtl w:val="true"/>
          <w:lang w:bidi="fa-IR"/>
        </w:rPr>
        <w:t xml:space="preserve">وهو الأقوی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کان الارتداد منها فلا مهر لها؛ لأنّ الفسخ جاء من قبلها قبل الدخول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انفساخ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الارتداد من الزوجة مطلقاً، أو من الزوج عن غیر فطرة، فإن رجع المرتدّ قبل انقضائها ثبت النکاح، وإلّا انفسخ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یسقط شیء من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لاستقراره بالدخول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فطرة 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تقبل توبته بل یقتل وتخرج عنه أمواله بنفس الارتداد وتبین منه زوجته وتعتدّ عدّة الوفاة</w:t>
      </w:r>
      <w:r>
        <w:rPr>
          <w:rFonts w:eastAsia="IRNazanin" w:cs="IRNazanin"/>
          <w:color w:val="111111"/>
          <w:sz w:val="28"/>
          <w:szCs w:val="28"/>
          <w:rtl w:val="true"/>
          <w:lang w:bidi="fa-IR"/>
        </w:rPr>
        <w:t>.</w:t>
      </w:r>
    </w:p>
    <w:p>
      <w:pPr>
        <w:pStyle w:val="Heading6"/>
        <w:numPr>
          <w:ilvl w:val="5"/>
          <w:numId w:val="1"/>
        </w:numPr>
        <w:rPr/>
      </w:pPr>
      <w:bookmarkStart w:id="289" w:name="__RefHeading___Toc2175467_2314609296"/>
      <w:bookmarkStart w:id="290" w:name="_Toc108"/>
      <w:bookmarkEnd w:id="289"/>
      <w:r>
        <w:rPr>
          <w:rtl w:val="true"/>
        </w:rPr>
        <w:t>[</w:t>
      </w:r>
      <w:r>
        <w:rPr>
          <w:rtl w:val="true"/>
        </w:rPr>
        <w:t xml:space="preserve">لو اسلم احد الزوجین او الزوجة الکتابیین </w:t>
      </w:r>
      <w:r>
        <w:rPr>
          <w:rtl w:val="true"/>
        </w:rPr>
        <w:t>]</w:t>
      </w:r>
      <w:bookmarkEnd w:id="29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أسلم زوج الکتابیّة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فالنکاح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الدخول وبعدَه، دائماً ومنقطعاً، کتابیّاً کان الزوج أم وثنیّاً، جوّزنا نکاحها للمسلم ابتداءً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أسلمت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عدّة الطلاق من حین إسلامها، فإن انقضت ولم یسلم تبیّن أ نّها بانت منه حین إسلامها، وإن أسلم قبل انقضائها تبیّن بقاء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بین الأصحاب، وعلیه الفتوی</w:t>
      </w:r>
      <w:r>
        <w:rPr>
          <w:rFonts w:eastAsia="IRNazanin" w:cs="IRNazanin"/>
          <w:color w:val="111111"/>
          <w:sz w:val="28"/>
          <w:szCs w:val="28"/>
          <w:rtl w:val="true"/>
          <w:lang w:bidi="fa-IR"/>
        </w:rPr>
        <w:t>.</w:t>
      </w:r>
      <w:bookmarkStart w:id="291" w:name="pg19810_214425"/>
    </w:p>
    <w:p>
      <w:pPr>
        <w:pStyle w:val="BookText"/>
        <w:rPr/>
      </w:pPr>
      <w:bookmarkEnd w:id="291"/>
      <w:r>
        <w:rPr>
          <w:rFonts w:ascii="IRNazanin" w:hAnsi="IRNazanin" w:eastAsia="IRNazanin"/>
          <w:color w:val="111111"/>
          <w:sz w:val="28"/>
          <w:sz w:val="28"/>
          <w:szCs w:val="28"/>
          <w:rtl w:val="true"/>
          <w:lang w:bidi="fa-IR"/>
        </w:rPr>
        <w:t xml:space="preserve">وللشیخ رحمه الله قول بأنّ النکاح لا ینفسخ بانقضاء العدّة إذا کان الزوج ذمّیّاً، لکن لا یمکَّن من الدخول علیها لیلاً، ولا من الخلوة بها ولا من إخراجها إلی دار الحرب ما دام قائماً بشرائط الذمّة </w:t>
      </w:r>
      <w:r>
        <w:rPr>
          <w:rStyle w:val="FootnoteAnchor"/>
          <w:rtl w:val="true"/>
        </w:rPr>
        <w:footnoteReference w:id="708"/>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709"/>
      </w:r>
      <w:r>
        <w:rPr>
          <w:rFonts w:ascii="IRNazanin" w:hAnsi="IRNazanin" w:eastAsia="IRNazanin"/>
          <w:color w:val="111111"/>
          <w:sz w:val="28"/>
          <w:sz w:val="28"/>
          <w:szCs w:val="28"/>
          <w:rtl w:val="true"/>
          <w:lang w:bidi="fa-IR"/>
        </w:rPr>
        <w:t xml:space="preserve">ضعیفة </w:t>
      </w:r>
      <w:r>
        <w:rPr>
          <w:rStyle w:val="FootnoteAnchor"/>
          <w:rtl w:val="true"/>
        </w:rPr>
        <w:footnoteReference w:id="710"/>
      </w:r>
      <w:r>
        <w:rPr>
          <w:rFonts w:ascii="IRNazanin" w:hAnsi="IRNazanin" w:eastAsia="IRNazanin"/>
          <w:color w:val="111111"/>
          <w:sz w:val="28"/>
          <w:sz w:val="28"/>
          <w:szCs w:val="28"/>
          <w:rtl w:val="true"/>
          <w:lang w:bidi="fa-IR"/>
        </w:rPr>
        <w:t xml:space="preserve">مرسلة أو معارَضة بما هو أقوی منها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وأسلمت الزوجة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ولا مهر لها؛ لأنّ الفُرقة جاءت من قبلها، وإن أسلم الزوج بقی النکاح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أسلما معاً ثبت النکاح؛ لانتفاء المقتضی للفسخ</w:t>
      </w:r>
      <w:r>
        <w:rPr>
          <w:rFonts w:eastAsia="IRNazanin" w:cs="IRNazanin"/>
          <w:color w:val="111111"/>
          <w:sz w:val="28"/>
          <w:szCs w:val="28"/>
          <w:rtl w:val="true"/>
          <w:lang w:bidi="fa-IR"/>
        </w:rPr>
        <w:t>.</w:t>
      </w:r>
    </w:p>
    <w:p>
      <w:pPr>
        <w:pStyle w:val="Heading5"/>
        <w:numPr>
          <w:ilvl w:val="4"/>
          <w:numId w:val="1"/>
        </w:numPr>
        <w:rPr/>
      </w:pPr>
      <w:bookmarkStart w:id="292" w:name="__RefHeading___Toc2175469_2314609296"/>
      <w:bookmarkStart w:id="293" w:name="_Toc109"/>
      <w:bookmarkEnd w:id="292"/>
      <w:r>
        <w:rPr>
          <w:rtl w:val="true"/>
        </w:rPr>
        <w:t>«</w:t>
      </w:r>
      <w:r>
        <w:rPr>
          <w:rtl w:val="true"/>
        </w:rPr>
        <w:t xml:space="preserve">الثانیة عشرة </w:t>
      </w:r>
      <w:r>
        <w:rPr>
          <w:rtl w:val="true"/>
        </w:rPr>
        <w:t>[</w:t>
      </w:r>
      <w:r>
        <w:rPr>
          <w:rtl w:val="true"/>
        </w:rPr>
        <w:t>لو اسلم احد الزوجین الوثنیین او اسلما معا</w:t>
      </w:r>
      <w:r>
        <w:rPr>
          <w:rtl w:val="true"/>
        </w:rPr>
        <w:t>] » :</w:t>
      </w:r>
      <w:bookmarkEnd w:id="29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أسلم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المنسوبین إلی عبادة الوَثَن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من بحکمهما من الکفّار غیر الفرق الثلاثة، وکان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مطلقاً؛ لأنّ المسلم إن کان هو الزوج استحال بقاؤه علی نکاح الکافرة غیر الکتابیّة؛ لتحریمه ابتداءً واستدامةً، وإن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الزوجة فأظهر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نصف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بإسلام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p>
    <w:p>
      <w:pPr>
        <w:pStyle w:val="BookText"/>
        <w:rPr/>
      </w:pPr>
      <w:r>
        <w:rPr>
          <w:rFonts w:ascii="Amiri" w:hAnsi="Amiri" w:eastAsia="Amiri" w:cs="Amiri"/>
          <w:color w:val="111111"/>
          <w:sz w:val="28"/>
          <w:sz w:val="28"/>
          <w:szCs w:val="28"/>
          <w:rtl w:val="true"/>
          <w:lang w:bidi="ar-SA"/>
        </w:rPr>
        <w:t xml:space="preserve">ما تقدّم </w:t>
      </w:r>
      <w:r>
        <w:rPr>
          <w:rStyle w:val="FootnoteAnchor"/>
          <w:rtl w:val="true"/>
        </w:rPr>
        <w:footnoteReference w:id="713"/>
      </w:r>
      <w:r>
        <w:rPr>
          <w:rFonts w:ascii="IRNazanin" w:hAnsi="IRNazanin" w:eastAsia="IRNazanin"/>
          <w:color w:val="111111"/>
          <w:sz w:val="28"/>
          <w:sz w:val="28"/>
          <w:szCs w:val="28"/>
          <w:rtl w:val="true"/>
          <w:lang w:bidi="fa-IR"/>
        </w:rPr>
        <w:t>فالجمیع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ویسقط بإسلامها؛ لما ذکر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انقضت ولم یسلم الآخر تبیّن انفساخه من حین الإسلام، وإن أسلم فیها استمرّ النکاح، وعلی الزوج نفقة العدّة مع الدخول إن کانت هی المسلمة، وکذا فی السابق </w:t>
      </w:r>
      <w:r>
        <w:rPr>
          <w:rStyle w:val="FootnoteAnchor"/>
          <w:rtl w:val="true"/>
        </w:rPr>
        <w:footnoteReference w:id="715"/>
      </w:r>
      <w:r>
        <w:rPr>
          <w:rFonts w:ascii="IRNazanin" w:hAnsi="IRNazanin" w:eastAsia="IRNazanin"/>
          <w:color w:val="111111"/>
          <w:sz w:val="28"/>
          <w:sz w:val="28"/>
          <w:szCs w:val="28"/>
          <w:rtl w:val="true"/>
          <w:lang w:bidi="fa-IR"/>
        </w:rPr>
        <w:t xml:space="preserve">ولو کان المسلم هو فلا نفقة لها عن زمن الکفر مطلقاً </w:t>
      </w:r>
      <w:r>
        <w:rPr>
          <w:rStyle w:val="FootnoteAnchor"/>
          <w:rtl w:val="true"/>
        </w:rPr>
        <w:footnoteReference w:id="716"/>
      </w:r>
      <w:r>
        <w:rPr>
          <w:rFonts w:ascii="IRNazanin" w:hAnsi="IRNazanin" w:eastAsia="IRNazanin"/>
          <w:color w:val="111111"/>
          <w:sz w:val="28"/>
          <w:sz w:val="28"/>
          <w:szCs w:val="28"/>
          <w:rtl w:val="true"/>
          <w:lang w:bidi="fa-IR"/>
        </w:rPr>
        <w:t>لأنّ المانع منها مع قدرتها علی زواله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أسلما معاً فالنکاح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المقتضی للفسخ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فی ترتّب الإسلام ومعیّته بآخر کلمة الإسلام، لا بأوّلها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کانا صغیرین قد أنکحهما الولیّ فالمعتبر إسلام أحد الأبوین فی إسلام ولده، ولا اعتبار بمجلس الإسلام عندنا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أسلم الوثنیّ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فی حکمه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الکتابی علی أکثر من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نسوة بالعقد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فأسلمن، أو کنّ کتابیّات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یسلمن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منهنّ وفارق سائرهنّ إن کان حرّاً وهنّ حرائر، وإلّا اختار ما عیّن له سابقاً من حرّتین وأمتین، أو ثلاث حرائر وأمة، والعبد یختار حرّتین، أو أربع إماء، أو حرّة وأمتین، ثمّ تتخیّر الحرّة فی فسخ عقد الأمة وإجازته کما مرّ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bookmarkStart w:id="294" w:name="pg19810_214427"/>
    </w:p>
    <w:p>
      <w:pPr>
        <w:pStyle w:val="BookText"/>
        <w:rPr/>
      </w:pPr>
      <w:bookmarkEnd w:id="294"/>
      <w:r>
        <w:rPr>
          <w:rFonts w:ascii="IRNazanin" w:hAnsi="IRNazanin" w:eastAsia="IRNazanin"/>
          <w:color w:val="111111"/>
          <w:sz w:val="28"/>
          <w:sz w:val="28"/>
          <w:szCs w:val="28"/>
          <w:rtl w:val="true"/>
          <w:lang w:bidi="fa-IR"/>
        </w:rPr>
        <w:t>ولو شرطنا فی نکاح الأمة الشرطین توجّه انفساخ نکاحها هنا إذا جامعت حرّة؛ لقدرته علیها المنافیة لنکاح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تعدّدت الحرائر اعتبر رضاهنّ جُمَع ما لم یزدن علی أربع، فیعتبر رضاء من یختارهنّ من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التخییر بین من ترتّب عقدهنّ واقترن، ولا بین اختیار الأوائل والأواخر، ولا بین من دخل بهنّ وغیرهنّ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 معه أربع وبقی أربع کتابیّات فالأقوی بقاء التخییر</w:t>
      </w:r>
      <w:r>
        <w:rPr>
          <w:rFonts w:eastAsia="IRNazanin" w:cs="IRNazanin"/>
          <w:color w:val="111111"/>
          <w:sz w:val="28"/>
          <w:szCs w:val="28"/>
          <w:rtl w:val="true"/>
          <w:lang w:bidi="fa-IR"/>
        </w:rPr>
        <w:t>.</w:t>
      </w:r>
    </w:p>
    <w:p>
      <w:pPr>
        <w:pStyle w:val="Heading5"/>
        <w:numPr>
          <w:ilvl w:val="4"/>
          <w:numId w:val="1"/>
        </w:numPr>
        <w:rPr/>
      </w:pPr>
      <w:bookmarkStart w:id="295" w:name="__RefHeading___Toc2175471_2314609296"/>
      <w:bookmarkStart w:id="296" w:name="_Toc110"/>
      <w:bookmarkEnd w:id="295"/>
      <w:r>
        <w:rPr>
          <w:rtl w:val="true"/>
        </w:rPr>
        <w:t>«</w:t>
      </w:r>
      <w:r>
        <w:rPr>
          <w:rtl w:val="true"/>
        </w:rPr>
        <w:t xml:space="preserve">الثالثة عشرة </w:t>
      </w:r>
      <w:r>
        <w:rPr>
          <w:rtl w:val="true"/>
        </w:rPr>
        <w:t>[</w:t>
      </w:r>
      <w:r>
        <w:rPr>
          <w:rtl w:val="true"/>
        </w:rPr>
        <w:t>لا یحکم بفسخ نکاح العبد باباقه</w:t>
      </w:r>
      <w:r>
        <w:rPr>
          <w:rtl w:val="true"/>
        </w:rPr>
        <w:t>] » :</w:t>
      </w:r>
      <w:bookmarkEnd w:id="2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بفسخ نکاح العبد بإباقه وإن لم یَعُد فی العدّة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بقاء الزوجیّة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الساباطی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أذن لعبده فی تزویج امرأة فتزوّجها، ثمّ إنّ العبد أبق؟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علی مولاه نفقة، وقد بانت عصمتها منه، فإنّ إباق العبد طلاق امرأته، وهو بمنزلة المرتدّ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إلی مولاه ترجع امرأته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قد انقضت عدّتها ثمّ تزوّجت غیره فلا سبیل له علیها، وإن لم تتزوّج ولم تنقض العدّة فهی امرأته علی النکاح الأوّل</w:t>
      </w:r>
      <w:r>
        <w:rPr>
          <w:rFonts w:eastAsia="IRNazanin" w:cs="IRNazanin"/>
          <w:color w:val="111111"/>
          <w:sz w:val="28"/>
          <w:szCs w:val="28"/>
          <w:rtl w:val="true"/>
          <w:lang w:bidi="fa-IR"/>
        </w:rPr>
        <w:t xml:space="preserve">»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فإنّ عمّاراً وإن کان ثقةً إلّاأ نّه فطحیٌّ لا یُعتمد علی ما ینفرد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بالأقوی علی خلاف الشیخ فی النهایة </w:t>
      </w:r>
      <w:r>
        <w:rPr>
          <w:rStyle w:val="FootnoteAnchor"/>
          <w:rtl w:val="true"/>
        </w:rPr>
        <w:footnoteReference w:id="720"/>
      </w:r>
      <w:r>
        <w:rPr>
          <w:rFonts w:ascii="IRNazanin" w:hAnsi="IRNazanin" w:eastAsia="IRNazanin"/>
          <w:color w:val="111111"/>
          <w:sz w:val="28"/>
          <w:sz w:val="28"/>
          <w:szCs w:val="28"/>
          <w:rtl w:val="true"/>
          <w:lang w:bidi="fa-IR"/>
        </w:rPr>
        <w:t xml:space="preserve">حیث عمل بمضمونها، وتبعه ابن حمزة </w:t>
      </w:r>
      <w:r>
        <w:rPr>
          <w:rStyle w:val="FootnoteAnchor"/>
          <w:rtl w:val="true"/>
        </w:rPr>
        <w:footnoteReference w:id="721"/>
      </w:r>
      <w:r>
        <w:rPr>
          <w:rFonts w:ascii="Amiri" w:hAnsi="Amiri" w:eastAsia="Amiri" w:cs="Amiri"/>
          <w:color w:val="111111"/>
          <w:sz w:val="28"/>
          <w:sz w:val="28"/>
          <w:szCs w:val="28"/>
          <w:rtl w:val="true"/>
          <w:lang w:bidi="ar-SA"/>
        </w:rPr>
        <w:t>إلّاأ نّه خصّ الحکم بکون العبد زوجاً لأمة غیر سیّده، وقد تزوّجها بإذن السیّدین</w:t>
      </w:r>
      <w:r>
        <w:rPr>
          <w:rFonts w:eastAsia="Amiri" w:cs="Amiri" w:ascii="Amiri" w:hAnsi="Amiri"/>
          <w:color w:val="111111"/>
          <w:sz w:val="28"/>
          <w:szCs w:val="28"/>
          <w:rtl w:val="true"/>
          <w:lang w:bidi="ar-SA"/>
        </w:rPr>
        <w:t>.</w:t>
      </w:r>
      <w:bookmarkStart w:id="297" w:name="pg19810_214428"/>
    </w:p>
    <w:p>
      <w:pPr>
        <w:pStyle w:val="BookText"/>
        <w:rPr/>
      </w:pPr>
      <w:bookmarkEnd w:id="297"/>
      <w:r>
        <w:rPr>
          <w:rFonts w:ascii="IRNazanin" w:hAnsi="IRNazanin" w:eastAsia="IRNazanin"/>
          <w:color w:val="111111"/>
          <w:sz w:val="28"/>
          <w:sz w:val="28"/>
          <w:szCs w:val="28"/>
          <w:rtl w:val="true"/>
          <w:lang w:bidi="fa-IR"/>
        </w:rPr>
        <w:t>والحقّ المنع مطلقاً ووجوب النفقة علی السیّد، ولا تبین المرأة إلّابالطلاق</w:t>
      </w:r>
      <w:r>
        <w:rPr>
          <w:rFonts w:eastAsia="IRNazanin" w:cs="IRNazanin"/>
          <w:color w:val="111111"/>
          <w:sz w:val="28"/>
          <w:szCs w:val="28"/>
          <w:rtl w:val="true"/>
          <w:lang w:bidi="fa-IR"/>
        </w:rPr>
        <w:t>.</w:t>
      </w:r>
    </w:p>
    <w:p>
      <w:pPr>
        <w:pStyle w:val="Heading5"/>
        <w:numPr>
          <w:ilvl w:val="4"/>
          <w:numId w:val="1"/>
        </w:numPr>
        <w:rPr/>
      </w:pPr>
      <w:bookmarkStart w:id="298" w:name="__RefHeading___Toc2175473_2314609296"/>
      <w:bookmarkStart w:id="299" w:name="_Toc111"/>
      <w:bookmarkEnd w:id="298"/>
      <w:r>
        <w:rPr>
          <w:rtl w:val="true"/>
        </w:rPr>
        <w:t>«</w:t>
      </w:r>
      <w:r>
        <w:rPr>
          <w:rtl w:val="true"/>
        </w:rPr>
        <w:t xml:space="preserve">الرابعة عشرة </w:t>
      </w:r>
      <w:r>
        <w:rPr>
          <w:rtl w:val="true"/>
        </w:rPr>
        <w:t>[</w:t>
      </w:r>
      <w:r>
        <w:rPr>
          <w:rtl w:val="true"/>
        </w:rPr>
        <w:t>الکفاءة معتبرة فی النکاح</w:t>
      </w:r>
      <w:r>
        <w:rPr>
          <w:rtl w:val="true"/>
        </w:rPr>
        <w:t>] » :</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بالفتح والمدّة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تساوی الزوجین فی الإسلام والإیمان، إلّاأن یکون المؤمن هو الزوج والزوجة مسلمة من غیر الفِرَق المحکوم بکفرها مطلقاً، أو کتابیّة فی غیر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مع ذلک یسار الزوج بالنفقة قوّةً أو فعلاً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یُکتفی بالإسلام </w:t>
      </w:r>
      <w:r>
        <w:rPr>
          <w:rStyle w:val="FootnoteAnchor"/>
          <w:rtl w:val="true"/>
        </w:rPr>
        <w:footnoteReference w:id="723"/>
      </w:r>
      <w:r>
        <w:rPr>
          <w:rFonts w:ascii="IRNazanin" w:hAnsi="IRNazanin" w:eastAsia="IRNazanin"/>
          <w:color w:val="111111"/>
          <w:sz w:val="28"/>
          <w:sz w:val="28"/>
          <w:szCs w:val="28"/>
          <w:rtl w:val="true"/>
          <w:lang w:bidi="fa-IR"/>
        </w:rPr>
        <w:t>والأشهر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فُسّرت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فی النکاح، فلا یجوز للمسلمة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التزویج </w:t>
      </w:r>
      <w:r>
        <w:rPr>
          <w:rStyle w:val="FootnoteAnchor"/>
          <w:rtl w:val="true"/>
        </w:rPr>
        <w:footnoteReference w:id="724"/>
      </w:r>
      <w:r>
        <w:rPr>
          <w:rFonts w:ascii="IRNazanin" w:hAnsi="IRNazanin" w:eastAsia="IRNazanin"/>
          <w:color w:val="111111"/>
          <w:sz w:val="28"/>
          <w:sz w:val="28"/>
          <w:szCs w:val="28"/>
          <w:rtl w:val="true"/>
          <w:lang w:bidi="fa-IR"/>
        </w:rPr>
        <w:t>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وفاق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للناصب التزویج بالمؤمنة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الناصبی شرّ </w:t>
      </w:r>
      <w:r>
        <w:rPr>
          <w:rStyle w:val="FootnoteAnchor"/>
          <w:rtl w:val="true"/>
        </w:rPr>
        <w:footnoteReference w:id="725"/>
      </w:r>
      <w:r>
        <w:rPr>
          <w:rFonts w:ascii="IRNazanin" w:hAnsi="IRNazanin" w:eastAsia="IRNazanin"/>
          <w:color w:val="111111"/>
          <w:sz w:val="28"/>
          <w:sz w:val="28"/>
          <w:szCs w:val="28"/>
          <w:rtl w:val="true"/>
          <w:lang w:bidi="fa-IR"/>
        </w:rPr>
        <w:t xml:space="preserve">من الیهودی والنصرانی علی ما رُوی فی أخبار أهل البیت علیهم السلام </w:t>
      </w:r>
      <w:r>
        <w:rPr>
          <w:rStyle w:val="FootnoteAnchor"/>
          <w:rtl w:val="true"/>
        </w:rPr>
        <w:footnoteReference w:id="726"/>
      </w:r>
      <w:r>
        <w:rPr>
          <w:rFonts w:ascii="IRNazanin" w:hAnsi="IRNazanin" w:eastAsia="IRNazanin"/>
          <w:color w:val="111111"/>
          <w:sz w:val="28"/>
          <w:sz w:val="28"/>
          <w:szCs w:val="28"/>
          <w:rtl w:val="true"/>
          <w:lang w:bidi="fa-IR"/>
        </w:rPr>
        <w:t>وکذا العکس، سواء الدائم والمتعة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للمسلم التزویج متعة أو 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للنکاح علی تقدیر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w:t>
      </w:r>
      <w:r>
        <w:rPr>
          <w:rStyle w:val="FootnoteAnchor"/>
          <w:rtl w:val="true"/>
        </w:rPr>
        <w:footnoteReference w:id="727"/>
      </w:r>
      <w:r>
        <w:rPr>
          <w:rFonts w:ascii="IRNazanin" w:hAnsi="IRNazanin" w:eastAsia="IRNazanin"/>
          <w:color w:val="111111"/>
          <w:sz w:val="28"/>
          <w:sz w:val="28"/>
          <w:szCs w:val="28"/>
          <w:rtl w:val="true"/>
          <w:lang w:bidi="fa-IR"/>
        </w:rPr>
        <w:t>بالکافرة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الکتابیّة ومنها المجوسیّة، وکان علیه أن یقیّدها، ولعلّه اکتفی بالتشبیه بما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یجوز للمؤمنة التزویج بالمخالف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فِرَق الإسلام کان ولو من الشیعة غیر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w:t>
      </w:r>
      <w:r>
        <w:rPr>
          <w:rStyle w:val="FootnoteAnchor"/>
          <w:rtl w:val="true"/>
        </w:rPr>
        <w:footnoteReference w:id="728"/>
      </w:r>
      <w:r>
        <w:rPr>
          <w:rFonts w:ascii="IRNazanin" w:hAnsi="IRNazanin" w:eastAsia="IRNazanin"/>
          <w:color w:val="111111"/>
          <w:sz w:val="28"/>
          <w:sz w:val="28"/>
          <w:szCs w:val="28"/>
          <w:rtl w:val="true"/>
          <w:lang w:bidi="fa-IR"/>
        </w:rPr>
        <w:t>لقول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بعضهم أکفاء بعض</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دلّ بمفهومه علی أنّ غیر المؤمن لا یکون کفواً للمؤمنة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من ترضون خُلقه ودینه فزوّجوه، إن لا تفعلوه تکن فتنة فی الأرض وفساد کبیر</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والمؤمن لا یرضی دین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الصادق 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العارفة لا توضع إلّاعند عارف</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وفی معناها أخبار کثیرة </w:t>
      </w:r>
      <w:r>
        <w:rPr>
          <w:rStyle w:val="FootnoteAnchor"/>
          <w:rtl w:val="true"/>
        </w:rPr>
        <w:footnoteReference w:id="732"/>
      </w:r>
      <w:r>
        <w:rPr>
          <w:rFonts w:ascii="IRNazanin" w:hAnsi="IRNazanin" w:eastAsia="IRNazanin"/>
          <w:color w:val="111111"/>
          <w:sz w:val="28"/>
          <w:sz w:val="28"/>
          <w:szCs w:val="28"/>
          <w:rtl w:val="true"/>
          <w:lang w:bidi="fa-IR"/>
        </w:rPr>
        <w:t xml:space="preserve">واضحة الدلالة علی المنع لو صحّ سندها، وفی بعضها تعلیل ذلک بأنّ المرأة تأخذ من أدب زوجها ویقهرها علی دینه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علی کراهیة، اختاره المفید </w:t>
      </w:r>
      <w:r>
        <w:rPr>
          <w:rStyle w:val="FootnoteAnchor"/>
          <w:rtl w:val="true"/>
        </w:rPr>
        <w:footnoteReference w:id="734"/>
      </w:r>
      <w:r>
        <w:rPr>
          <w:rFonts w:ascii="IRNazanin" w:hAnsi="IRNazanin" w:eastAsia="IRNazanin"/>
          <w:color w:val="111111"/>
          <w:sz w:val="28"/>
          <w:sz w:val="28"/>
          <w:szCs w:val="28"/>
          <w:rtl w:val="true"/>
          <w:lang w:bidi="fa-IR"/>
        </w:rPr>
        <w:t xml:space="preserve">والمحقّق ابن سعید </w:t>
      </w:r>
      <w:r>
        <w:rPr>
          <w:rStyle w:val="FootnoteAnchor"/>
          <w:rtl w:val="true"/>
        </w:rPr>
        <w:footnoteReference w:id="735"/>
      </w:r>
      <w:r>
        <w:rPr>
          <w:rFonts w:ascii="Amiri" w:hAnsi="Amiri" w:eastAsia="Amiri" w:cs="Amiri"/>
          <w:color w:val="111111"/>
          <w:sz w:val="28"/>
          <w:sz w:val="28"/>
          <w:szCs w:val="28"/>
          <w:rtl w:val="true"/>
          <w:lang w:bidi="ar-SA"/>
        </w:rPr>
        <w:t>إمّا لأنّ</w:t>
      </w:r>
      <w:bookmarkStart w:id="300" w:name="pg19810_214430"/>
    </w:p>
    <w:p>
      <w:pPr>
        <w:pStyle w:val="BookText"/>
        <w:rPr/>
      </w:pPr>
      <w:bookmarkEnd w:id="300"/>
      <w:r>
        <w:rPr>
          <w:rFonts w:ascii="IRNazanin" w:hAnsi="IRNazanin" w:eastAsia="IRNazanin"/>
          <w:color w:val="111111"/>
          <w:sz w:val="28"/>
          <w:sz w:val="28"/>
          <w:szCs w:val="28"/>
          <w:rtl w:val="true"/>
          <w:lang w:bidi="fa-IR"/>
        </w:rPr>
        <w:t xml:space="preserve">الإیمان هو الإسلام، أو لضعف الدلیل الدالّ علی اشتراط الإیمان، فإنّ الأخبار بین مرسل وضعیف ومجهول </w:t>
      </w:r>
      <w:r>
        <w:rPr>
          <w:rStyle w:val="FootnoteAnchor"/>
          <w:rtl w:val="true"/>
        </w:rPr>
        <w:footnoteReference w:id="736"/>
      </w:r>
      <w:r>
        <w:rPr>
          <w:rFonts w:ascii="IRNazanin" w:hAnsi="IRNazanin" w:eastAsia="IRNazanin"/>
          <w:color w:val="111111"/>
          <w:sz w:val="28"/>
          <w:sz w:val="28"/>
          <w:szCs w:val="28"/>
          <w:rtl w:val="true"/>
          <w:lang w:bidi="fa-IR"/>
        </w:rPr>
        <w:t>ولا شکّ أنّ الاحتیاط المطلوب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المترتّب علیه مهامّ الدین مع تظافر الأخبار بالنهی وذهاب المعظم إلیه حتّی ادّعی بعضهم الإجماع علیه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یرجّح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واقتصار المصنّف علی حکایة القولین مشعر بما نبّهنا علیه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العکس فجائز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المرأة تأخذ من دین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فیقودها إلی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والإذن فیه من الأخبار </w:t>
      </w:r>
      <w:r>
        <w:rPr>
          <w:rStyle w:val="FootnoteAnchor"/>
          <w:rtl w:val="true"/>
        </w:rPr>
        <w:footnoteReference w:id="739"/>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p>
    <w:p>
      <w:pPr>
        <w:pStyle w:val="Heading5"/>
        <w:numPr>
          <w:ilvl w:val="4"/>
          <w:numId w:val="1"/>
        </w:numPr>
        <w:rPr/>
      </w:pPr>
      <w:bookmarkStart w:id="301" w:name="__RefHeading___Toc2175475_2314609296"/>
      <w:bookmarkStart w:id="302" w:name="_Toc112"/>
      <w:bookmarkEnd w:id="301"/>
      <w:r>
        <w:rPr>
          <w:rtl w:val="true"/>
        </w:rPr>
        <w:t>«</w:t>
      </w:r>
      <w:r>
        <w:rPr>
          <w:rtl w:val="true"/>
        </w:rPr>
        <w:t xml:space="preserve">الخامسة عشرة </w:t>
      </w:r>
      <w:r>
        <w:rPr>
          <w:rtl w:val="true"/>
        </w:rPr>
        <w:t>[</w:t>
      </w:r>
      <w:r>
        <w:rPr>
          <w:rtl w:val="true"/>
        </w:rPr>
        <w:t xml:space="preserve">عدم شرطیة التمکن من النفقة فی الصحة العقد </w:t>
      </w:r>
      <w:r>
        <w:rPr>
          <w:rtl w:val="true"/>
        </w:rPr>
        <w:t>] » :</w:t>
      </w:r>
      <w:bookmarkEnd w:id="30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التمکّن من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أو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فی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وللخبرین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کانت عالمة بفقره لزم العقد، وإلّا ففی تسلّطها علی الفسخ إذا علمت قولان </w:t>
      </w:r>
      <w:r>
        <w:rPr>
          <w:rStyle w:val="FootnoteAnchor"/>
          <w:rtl w:val="true"/>
        </w:rPr>
        <w:footnoteReference w:id="741"/>
      </w:r>
      <w:r>
        <w:rPr>
          <w:rFonts w:ascii="IRNazanin" w:hAnsi="IRNazanin" w:eastAsia="IRNazanin"/>
          <w:color w:val="111111"/>
          <w:sz w:val="28"/>
          <w:sz w:val="28"/>
          <w:szCs w:val="28"/>
          <w:rtl w:val="true"/>
          <w:lang w:bidi="fa-IR"/>
        </w:rPr>
        <w:t>مأخذهما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التضرّر ببقائها معه کذلک المنفیّ بالآیة </w:t>
      </w:r>
      <w:r>
        <w:rPr>
          <w:rStyle w:val="FootnoteAnchor"/>
          <w:rtl w:val="true"/>
        </w:rPr>
        <w:footnoteReference w:id="742"/>
      </w:r>
      <w:r>
        <w:rPr>
          <w:rFonts w:ascii="IRNazanin" w:hAnsi="IRNazanin" w:eastAsia="IRNazanin"/>
          <w:color w:val="111111"/>
          <w:sz w:val="28"/>
          <w:sz w:val="28"/>
          <w:szCs w:val="28"/>
          <w:rtl w:val="true"/>
          <w:lang w:bidi="fa-IR"/>
        </w:rPr>
        <w:t xml:space="preserve">والروایة </w:t>
      </w:r>
      <w:r>
        <w:rPr>
          <w:rStyle w:val="FootnoteAnchor"/>
          <w:rtl w:val="true"/>
        </w:rPr>
        <w:footnoteReference w:id="743"/>
      </w:r>
      <w:r>
        <w:rPr>
          <w:rFonts w:ascii="Amiri" w:hAnsi="Amiri" w:eastAsia="Amiri" w:cs="Amiri"/>
          <w:color w:val="111111"/>
          <w:sz w:val="28"/>
          <w:sz w:val="28"/>
          <w:szCs w:val="28"/>
          <w:rtl w:val="true"/>
          <w:lang w:bidi="ar-SA"/>
        </w:rPr>
        <w:t>وأنّ النکاح عقد لازم والأصل البقاء، ولقوله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إِلیٰ مَیْسَرَةٍ </w:t>
      </w:r>
      <w:r>
        <w:rPr>
          <w:rStyle w:val="FootnoteAnchor"/>
          <w:rtl w:val="true"/>
        </w:rPr>
        <w:footnoteReference w:id="744"/>
      </w:r>
      <w:r>
        <w:rPr>
          <w:rFonts w:ascii="IRNazanin" w:hAnsi="IRNazanin" w:eastAsia="IRNazanin"/>
          <w:color w:val="111111"/>
          <w:sz w:val="28"/>
          <w:sz w:val="28"/>
          <w:szCs w:val="28"/>
          <w:rtl w:val="true"/>
          <w:lang w:bidi="fa-IR"/>
        </w:rPr>
        <w:t>وهو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والوجهان آتیان فیما إذا تجدّد 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شرط فی صحّة النکاح کالإسلام، وأنّ الکفاءة مرکّبة منهما أو منهما ومن الإیمان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عدم شرطیّته مطلقاً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شرط فی وجوب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أو من ولیّها؛ لأنّ الصبر علی الفقر ضرر عظیم فی الجملة، فینبغی جبره بعدم وجوب إجابته، وإن جازت أو رجحت مع تمام خُلْقه وکمال دینه، کما أمر به النبیّ صلی الله علیه و آله فی إنکاح جویبر </w:t>
      </w:r>
      <w:r>
        <w:rPr>
          <w:rStyle w:val="FootnoteAnchor"/>
          <w:rtl w:val="true"/>
        </w:rPr>
        <w:footnoteReference w:id="747"/>
      </w:r>
      <w:r>
        <w:rPr>
          <w:rFonts w:ascii="IRNazanin" w:hAnsi="IRNazanin" w:eastAsia="IRNazanin"/>
          <w:color w:val="111111"/>
          <w:sz w:val="28"/>
          <w:sz w:val="28"/>
          <w:szCs w:val="28"/>
          <w:rtl w:val="true"/>
          <w:lang w:bidi="fa-IR"/>
        </w:rPr>
        <w:t xml:space="preserve">وغیره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bookmarkStart w:id="303" w:name="pg19810_214432"/>
    </w:p>
    <w:p>
      <w:pPr>
        <w:pStyle w:val="BookText"/>
        <w:rPr/>
      </w:pPr>
      <w:bookmarkEnd w:id="303"/>
      <w:r>
        <w:rPr>
          <w:rFonts w:ascii="IRNazanin" w:hAnsi="IRNazanin" w:eastAsia="IRNazanin"/>
          <w:color w:val="111111"/>
          <w:sz w:val="28"/>
          <w:sz w:val="28"/>
          <w:szCs w:val="28"/>
          <w:rtl w:val="true"/>
          <w:lang w:bidi="fa-IR"/>
        </w:rPr>
        <w:t>وملاحظة المال مع تمام الدین لیس محطَّ نظر ذوی الهمم العوالی</w:t>
      </w:r>
      <w:r>
        <w:rPr>
          <w:rFonts w:eastAsia="IRNazanin" w:cs="IRNazanin"/>
          <w:color w:val="111111"/>
          <w:sz w:val="28"/>
          <w:szCs w:val="28"/>
          <w:rtl w:val="true"/>
          <w:lang w:bidi="fa-IR"/>
        </w:rPr>
        <w:t>.</w:t>
      </w:r>
    </w:p>
    <w:p>
      <w:pPr>
        <w:pStyle w:val="Heading5"/>
        <w:numPr>
          <w:ilvl w:val="4"/>
          <w:numId w:val="1"/>
        </w:numPr>
        <w:rPr/>
      </w:pPr>
      <w:bookmarkStart w:id="304" w:name="__RefHeading___Toc2175477_2314609296"/>
      <w:bookmarkStart w:id="305" w:name="_Toc113"/>
      <w:bookmarkEnd w:id="304"/>
      <w:r>
        <w:rPr>
          <w:rtl w:val="true"/>
        </w:rPr>
        <w:t>«</w:t>
      </w:r>
      <w:r>
        <w:rPr>
          <w:rtl w:val="true"/>
        </w:rPr>
        <w:t xml:space="preserve">السادسة عشرة </w:t>
      </w:r>
      <w:r>
        <w:rPr>
          <w:rtl w:val="true"/>
        </w:rPr>
        <w:t>[</w:t>
      </w:r>
      <w:r>
        <w:rPr>
          <w:rtl w:val="true"/>
        </w:rPr>
        <w:t xml:space="preserve">کراهیة تزویج الفاسق </w:t>
      </w:r>
      <w:r>
        <w:rPr>
          <w:rtl w:val="true"/>
        </w:rPr>
        <w:t>] » :</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تزویج الفاسق خصوصاً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 کریمته من شارب الخمر فقد قطع رحمها</w:t>
      </w:r>
      <w:r>
        <w:rPr>
          <w:rFonts w:eastAsia="IRNazanin" w:cs="IRNazanin"/>
          <w:color w:val="111111"/>
          <w:sz w:val="28"/>
          <w:szCs w:val="28"/>
          <w:rtl w:val="true"/>
          <w:lang w:bidi="fa-IR"/>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وذهب بعض العامّة </w:t>
      </w:r>
      <w:r>
        <w:rPr>
          <w:rStyle w:val="FootnoteAnchor"/>
          <w:rtl w:val="true"/>
        </w:rPr>
        <w:footnoteReference w:id="750"/>
      </w:r>
      <w:r>
        <w:rPr>
          <w:rFonts w:ascii="IRNazanin" w:hAnsi="IRNazanin" w:eastAsia="IRNazanin"/>
          <w:color w:val="111111"/>
          <w:sz w:val="28"/>
          <w:sz w:val="28"/>
          <w:szCs w:val="28"/>
          <w:rtl w:val="true"/>
          <w:lang w:bidi="fa-IR"/>
        </w:rPr>
        <w:t xml:space="preserve">إلی عدم جواز تزویج الفاسق مطلقاً </w:t>
      </w:r>
      <w:r>
        <w:rPr>
          <w:rStyle w:val="FootnoteAnchor"/>
          <w:rtl w:val="true"/>
        </w:rPr>
        <w:footnoteReference w:id="751"/>
      </w:r>
      <w:r>
        <w:rPr>
          <w:rFonts w:ascii="Amiri" w:hAnsi="Amiri" w:eastAsia="Amiri" w:cs="Amiri"/>
          <w:color w:val="111111"/>
          <w:sz w:val="28"/>
          <w:sz w:val="28"/>
          <w:szCs w:val="28"/>
          <w:rtl w:val="true"/>
          <w:lang w:bidi="ar-SA"/>
        </w:rPr>
        <w:t>إلّالمثله؛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2175479_2314609296"/>
      <w:bookmarkStart w:id="307" w:name="_Toc114"/>
      <w:bookmarkEnd w:id="306"/>
      <w:r>
        <w:rPr>
          <w:rtl w:val="true"/>
        </w:rPr>
        <w:t>«</w:t>
      </w:r>
      <w:r>
        <w:rPr>
          <w:rtl w:val="true"/>
        </w:rPr>
        <w:t xml:space="preserve">السابعة عشرة </w:t>
      </w:r>
      <w:r>
        <w:rPr>
          <w:rtl w:val="true"/>
        </w:rPr>
        <w:t>[</w:t>
      </w:r>
      <w:r>
        <w:rPr>
          <w:rtl w:val="true"/>
        </w:rPr>
        <w:t xml:space="preserve">حکم التعریض بالعقد </w:t>
      </w:r>
      <w:r>
        <w:rPr>
          <w:rtl w:val="true"/>
        </w:rPr>
        <w:t>] » :</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التعریض بالعقد لذات 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ولما فیه من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للمعتدّة 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فی حکم المزوّجة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بلفظٍ یحتمل الرغبة فی النکاح وغیرها مع ظهور إرادتها،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راغب فیک وحریص علیک، أو إنّی راغب فیک، أو أنت علیَّ کریمة أو عزیزة، أو إنّ اللّٰه لسائق إلیک خیراً أو رزقاً،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حرم التعریض لهما فالتصریح أولی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فی المعتدّة 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کالمختلعة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التعریض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تحلّ له فی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 والتصریح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الإتیان بلفظٍ لا یحتمل</w:t>
      </w:r>
      <w:bookmarkStart w:id="308" w:name="pg19810_214433"/>
    </w:p>
    <w:p>
      <w:pPr>
        <w:pStyle w:val="BookText"/>
        <w:rPr/>
      </w:pPr>
      <w:bookmarkEnd w:id="308"/>
      <w:r>
        <w:rPr>
          <w:rFonts w:ascii="IRNazanin" w:hAnsi="IRNazanin" w:eastAsia="IRNazanin"/>
          <w:color w:val="111111"/>
          <w:sz w:val="28"/>
          <w:sz w:val="28"/>
          <w:szCs w:val="28"/>
          <w:rtl w:val="true"/>
          <w:lang w:bidi="fa-IR"/>
        </w:rPr>
        <w:t xml:space="preserve">غیر إرادة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حلّت له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تکون علی طلقة أو طلقتین، وإن توقّف الحلّ علی رجوعها فی البذل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یحرم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توقّف حلّها للزوج علی محلّل أم لا، وکذا منه بعد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التعریض للمطلّقة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نکاحه لها والملاعنة ونحوها من المحرّمات علی التأبید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التعریض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 من المطلّقات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الإجابة تابعة للخطبة فی الجواز والتحریم، ولو فعل الممنوع تصریحاً أو تعریضاً لم تحرم بذلک، فیجوز له بعد انقضاء العدّة تزویجها، کما لو نظر إلیها فی وقت تحریمه ثمّ أراد نکاحها</w:t>
      </w:r>
      <w:r>
        <w:rPr>
          <w:rFonts w:eastAsia="IRNazanin" w:cs="IRNazanin"/>
          <w:color w:val="111111"/>
          <w:sz w:val="28"/>
          <w:szCs w:val="28"/>
          <w:rtl w:val="true"/>
          <w:lang w:bidi="fa-IR"/>
        </w:rPr>
        <w:t>.</w:t>
      </w:r>
    </w:p>
    <w:p>
      <w:pPr>
        <w:pStyle w:val="Heading5"/>
        <w:numPr>
          <w:ilvl w:val="4"/>
          <w:numId w:val="1"/>
        </w:numPr>
        <w:rPr/>
      </w:pPr>
      <w:bookmarkStart w:id="309" w:name="__RefHeading___Toc2175481_2314609296"/>
      <w:bookmarkStart w:id="310" w:name="_Toc115"/>
      <w:bookmarkEnd w:id="309"/>
      <w:r>
        <w:rPr>
          <w:rtl w:val="true"/>
        </w:rPr>
        <w:t>«</w:t>
      </w:r>
      <w:r>
        <w:rPr>
          <w:rtl w:val="true"/>
        </w:rPr>
        <w:t xml:space="preserve">الثامنة عشرة </w:t>
      </w:r>
      <w:r>
        <w:rPr>
          <w:rtl w:val="true"/>
        </w:rPr>
        <w:t>[</w:t>
      </w:r>
      <w:r>
        <w:rPr>
          <w:rtl w:val="true"/>
        </w:rPr>
        <w:t xml:space="preserve">الکلام فی حکم الخطبة بعد اجابة الغیر </w:t>
      </w:r>
      <w:r>
        <w:rPr>
          <w:rtl w:val="true"/>
        </w:rPr>
        <w:t>] » :</w:t>
      </w:r>
      <w:bookmarkEnd w:id="31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الخطبة بعد إجابة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أو من وکیلها أو ولیّها؛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یخطب أحدکم علی خطبة أخیه</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فإنّ النهی ظاهر فی التحریم، ولما فیه من إیذاء المؤمن وإثارة الشحناء المحرّم، فیحرم ما کان وسیلة إلیه، ولو رُدّ لم تحرم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انتفی الأمران </w:t>
      </w:r>
      <w:r>
        <w:rPr>
          <w:rStyle w:val="FootnoteAnchor"/>
          <w:rtl w:val="true"/>
        </w:rPr>
        <w:footnoteReference w:id="754"/>
      </w:r>
      <w:r>
        <w:rPr>
          <w:rFonts w:ascii="IRNazanin" w:hAnsi="IRNazanin" w:eastAsia="IRNazanin"/>
          <w:color w:val="111111"/>
          <w:sz w:val="28"/>
          <w:sz w:val="28"/>
          <w:szCs w:val="28"/>
          <w:rtl w:val="true"/>
          <w:lang w:bidi="fa-IR"/>
        </w:rPr>
        <w:t>فظاهر الحدیث التحریم أیضاً، لکن لم نقف علی قائل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وخطب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فعل محرَّماً؛ إذ لا منافاة بین تحریم الخطبة وصحّة العقد</w:t>
      </w:r>
      <w:r>
        <w:rPr>
          <w:rFonts w:eastAsia="IRNazanin" w:cs="IRNazanin"/>
          <w:color w:val="111111"/>
          <w:sz w:val="28"/>
          <w:szCs w:val="28"/>
          <w:rtl w:val="true"/>
          <w:lang w:bidi="fa-IR"/>
        </w:rPr>
        <w:t>.</w:t>
      </w:r>
      <w:bookmarkStart w:id="311" w:name="pg19810_214434"/>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إجابة الغیر من غیر تحریم </w:t>
      </w:r>
      <w:r>
        <w:rPr>
          <w:rStyle w:val="FootnoteAnchor"/>
          <w:rtl w:val="true"/>
        </w:rPr>
        <w:footnoteReference w:id="755"/>
      </w:r>
      <w:r>
        <w:rPr>
          <w:rFonts w:ascii="IRNazanin" w:hAnsi="IRNazanin" w:eastAsia="IRNazanin"/>
          <w:color w:val="111111"/>
          <w:sz w:val="28"/>
          <w:sz w:val="28"/>
          <w:szCs w:val="28"/>
          <w:rtl w:val="true"/>
          <w:lang w:bidi="fa-IR"/>
        </w:rPr>
        <w:t xml:space="preserve">لأصالة الإباحة وعدم صیرورتها بالإجابة زوجة، ولعدم ثبوت الحدیث، کحدیث النهی عن الدخول فی سومه </w:t>
      </w:r>
      <w:r>
        <w:rPr>
          <w:rStyle w:val="FootnoteAnchor"/>
          <w:rtl w:val="true"/>
        </w:rPr>
        <w:footnoteReference w:id="756"/>
      </w:r>
      <w:r>
        <w:rPr>
          <w:rFonts w:ascii="IRNazanin" w:hAnsi="IRNazanin" w:eastAsia="IRNazanin"/>
          <w:color w:val="111111"/>
          <w:sz w:val="28"/>
          <w:sz w:val="28"/>
          <w:szCs w:val="28"/>
          <w:rtl w:val="true"/>
          <w:lang w:bidi="fa-IR"/>
        </w:rPr>
        <w:t>وهذا أقوی، وإن کان الاجتناب طریق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الخاطب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الذمّی إذا خطب الذمّیة لم تحرم خطبة المسلم لها قطعاً؛ للأصل وعدم دخوله فی النهی؛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خطبة أخیه</w:t>
      </w:r>
      <w:r>
        <w:rPr>
          <w:rFonts w:eastAsia="IRNazanin" w:cs="IRNazanin"/>
          <w:color w:val="111111"/>
          <w:sz w:val="28"/>
          <w:szCs w:val="28"/>
          <w:rtl w:val="true"/>
          <w:lang w:bidi="fa-IR"/>
        </w:rPr>
        <w:t>» .</w:t>
      </w:r>
    </w:p>
    <w:p>
      <w:pPr>
        <w:pStyle w:val="Heading5"/>
        <w:numPr>
          <w:ilvl w:val="4"/>
          <w:numId w:val="1"/>
        </w:numPr>
        <w:rPr/>
      </w:pPr>
      <w:bookmarkStart w:id="312" w:name="__RefHeading___Toc2175483_2314609296"/>
      <w:bookmarkStart w:id="313" w:name="_Toc116"/>
      <w:bookmarkEnd w:id="312"/>
      <w:r>
        <w:rPr>
          <w:rtl w:val="true"/>
        </w:rPr>
        <w:t>«</w:t>
      </w:r>
      <w:r>
        <w:rPr>
          <w:rtl w:val="true"/>
        </w:rPr>
        <w:t xml:space="preserve">التاسعة عشرة </w:t>
      </w:r>
      <w:r>
        <w:rPr>
          <w:rtl w:val="true"/>
        </w:rPr>
        <w:t>[</w:t>
      </w:r>
      <w:r>
        <w:rPr>
          <w:rtl w:val="true"/>
        </w:rPr>
        <w:t>کراهیة العقد علی القابلة المربیة و بنتها</w:t>
      </w:r>
      <w:r>
        <w:rPr>
          <w:rtl w:val="true"/>
        </w:rPr>
        <w:t>] » :</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العقد علی القابلة المربّیة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عنه فی عدّة أخبار </w:t>
      </w:r>
      <w:r>
        <w:rPr>
          <w:rStyle w:val="FootnoteAnchor"/>
          <w:rtl w:val="true"/>
        </w:rPr>
        <w:footnoteReference w:id="757"/>
      </w:r>
      <w:r>
        <w:rPr>
          <w:rFonts w:ascii="IRNazanin" w:hAnsi="IRNazanin" w:eastAsia="IRNazanin"/>
          <w:color w:val="111111"/>
          <w:sz w:val="28"/>
          <w:sz w:val="28"/>
          <w:szCs w:val="28"/>
          <w:rtl w:val="true"/>
          <w:lang w:bidi="fa-IR"/>
        </w:rPr>
        <w:t xml:space="preserve">المحمول علی الکراهة جمعاً بینها وبین ما دلّ صریحاً علی الحِلّ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w:t>
      </w:r>
      <w:r>
        <w:rPr>
          <w:rStyle w:val="FootnoteAnchor"/>
          <w:rtl w:val="true"/>
        </w:rPr>
        <w:footnoteReference w:id="759"/>
      </w:r>
      <w:r>
        <w:rPr>
          <w:rFonts w:ascii="IRNazanin" w:hAnsi="IRNazanin" w:eastAsia="IRNazanin"/>
          <w:color w:val="111111"/>
          <w:sz w:val="28"/>
          <w:sz w:val="28"/>
          <w:szCs w:val="28"/>
          <w:rtl w:val="true"/>
          <w:lang w:bidi="fa-IR"/>
        </w:rPr>
        <w:t>عملاً بظاهر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قبلت ولم تربّ، أو بالعکس لم تحرم ولم تکره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فی التربیة مسمّاها، عملاً بالإطلاق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یُکره العقد علی بنتها؛ لأنّها بمنزلة اُخته، کما أنّ القابلة بمنزلة اُمّه؛ لورودها معها فی بعض الأخبار </w:t>
      </w:r>
      <w:r>
        <w:rPr>
          <w:rStyle w:val="FootnoteAnchor"/>
          <w:rtl w:val="true"/>
        </w:rPr>
        <w:footnoteReference w:id="760"/>
      </w:r>
      <w:r>
        <w:rPr>
          <w:rFonts w:ascii="IRNazanin" w:hAnsi="IRNazanin" w:eastAsia="IRNazanin"/>
          <w:color w:val="111111"/>
          <w:sz w:val="28"/>
          <w:sz w:val="28"/>
          <w:szCs w:val="28"/>
          <w:rtl w:val="true"/>
          <w:lang w:bidi="fa-IR"/>
        </w:rPr>
        <w:t>وکان علیه أن یذکرها، إلّاأ نّه لا قائل هنا بالمنع</w:t>
      </w:r>
      <w:r>
        <w:rPr>
          <w:rFonts w:eastAsia="IRNazanin" w:cs="IRNazanin"/>
          <w:color w:val="111111"/>
          <w:sz w:val="28"/>
          <w:szCs w:val="28"/>
          <w:rtl w:val="true"/>
          <w:lang w:bidi="fa-IR"/>
        </w:rPr>
        <w:t>.</w:t>
      </w:r>
      <w:bookmarkStart w:id="314" w:name="pg19810_214435"/>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یزوّج ابنه بنت زوجته المولودة بعد مفارقته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ابنة أمته کذلک؛ للنهی عنه عن الباقر علیه السلام معلّلاً بأنّ أباه لها بمنزلة الأب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یُکره تزویج ابنته لابنها کذلک، والروایة شاملة لهما؛ لأنّه فرضها فی تزویج ولده لولدها، فلو فرضها المصنّف کذلک کان أشمل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ولدتها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تزویجه فلا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النهی وانتفاء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یتزوّج بضرّة الاُمّ مع غیر الأب لو فارقها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زرارة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 للرجل المسلم أن یتزوّج ضرّة کانت لاُمّه مع غیر أبیه</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وهو شامل لما إذا کان تزوّج ذلک الغیر قبل أبیه وبعده</w:t>
      </w:r>
      <w:r>
        <w:rPr>
          <w:rFonts w:eastAsia="IRNazanin" w:cs="IRNazanin"/>
          <w:color w:val="111111"/>
          <w:sz w:val="28"/>
          <w:szCs w:val="28"/>
          <w:rtl w:val="true"/>
          <w:lang w:bidi="fa-IR"/>
        </w:rPr>
        <w:t>.</w:t>
      </w:r>
    </w:p>
    <w:p>
      <w:pPr>
        <w:pStyle w:val="Heading5"/>
        <w:numPr>
          <w:ilvl w:val="4"/>
          <w:numId w:val="1"/>
        </w:numPr>
        <w:rPr/>
      </w:pPr>
      <w:bookmarkStart w:id="315" w:name="__RefHeading___Toc2175485_2314609296"/>
      <w:bookmarkStart w:id="316" w:name="_Toc117"/>
      <w:bookmarkEnd w:id="315"/>
      <w:r>
        <w:rPr>
          <w:rtl w:val="true"/>
        </w:rPr>
        <w:t>«</w:t>
      </w:r>
      <w:r>
        <w:rPr>
          <w:rtl w:val="true"/>
        </w:rPr>
        <w:t xml:space="preserve">العشرون </w:t>
      </w:r>
      <w:r>
        <w:rPr>
          <w:rtl w:val="true"/>
        </w:rPr>
        <w:t>[</w:t>
      </w:r>
      <w:r>
        <w:rPr>
          <w:rtl w:val="true"/>
        </w:rPr>
        <w:t>بطلان نکاح الشغار</w:t>
      </w:r>
      <w:r>
        <w:rPr>
          <w:rtl w:val="true"/>
        </w:rPr>
        <w:t>] » :</w:t>
      </w:r>
      <w:bookmarkEnd w:id="31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الشغار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Style w:val="FootnoteAnchor"/>
          <w:rtl w:val="true"/>
        </w:rPr>
        <w:footnoteReference w:id="763"/>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یزوّج کلّ من الولیّین الآخر علی أن یکون بُضع کلّ واحدة مهراً للاُخری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نکاح کان فی الجاهلیّة، مأخوذ من الشغر وهو رفع إحدی الرِجلین، إمّا لأنّ النکاح یُفضی إلی ذلک ومنه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أشغراً وفخراً؟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لأنّه یتضمّن رفع المهر، أو من قبیل شغر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خلا من القاضی والسلطان؛ لخلوّه من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تحریمه ما رُوی من النهی عنه عن النبیّ صلی الله علیه و آله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خلا المهر من أحد الجانبین بطل خاصّة، ولو شرط کلّ منهما تزویج </w:t>
      </w:r>
      <w:r>
        <w:rPr>
          <w:rStyle w:val="FootnoteAnchor"/>
          <w:rtl w:val="true"/>
        </w:rPr>
        <w:footnoteReference w:id="766"/>
      </w:r>
      <w:r>
        <w:rPr>
          <w:rFonts w:ascii="IRNazanin" w:hAnsi="IRNazanin" w:eastAsia="IRNazanin"/>
          <w:color w:val="111111"/>
          <w:sz w:val="28"/>
          <w:sz w:val="28"/>
          <w:szCs w:val="28"/>
          <w:rtl w:val="true"/>
          <w:lang w:bidi="fa-IR"/>
        </w:rPr>
        <w:t>الاُخری بمهر معلوم صحّ العقدان وبطل المسمّی؛ لأنّه شرط معه تزویج وهو غیر لازم، والنکاح لا یقبل الخیار، فیثبت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زوّجه بمهر وشرط أن یزوّجه ولم یذکر مهراً</w:t>
      </w:r>
      <w:r>
        <w:rPr>
          <w:rFonts w:eastAsia="IRNazanin" w:cs="IRNazanin"/>
          <w:color w:val="111111"/>
          <w:sz w:val="28"/>
          <w:szCs w:val="28"/>
          <w:rtl w:val="true"/>
          <w:lang w:bidi="fa-IR"/>
        </w:rPr>
        <w:t>.</w:t>
      </w:r>
      <w:bookmarkStart w:id="317" w:name="pg19810_214437"/>
    </w:p>
    <w:p>
      <w:pPr>
        <w:pStyle w:val="Heading3"/>
        <w:numPr>
          <w:ilvl w:val="2"/>
          <w:numId w:val="1"/>
        </w:numPr>
        <w:rPr/>
      </w:pPr>
      <w:bookmarkStart w:id="318" w:name="__RefHeading___Toc2175487_2314609296"/>
      <w:bookmarkStart w:id="319" w:name="_Toc118"/>
      <w:bookmarkEnd w:id="317"/>
      <w:bookmarkEnd w:id="318"/>
      <w:r>
        <w:rPr>
          <w:rtl w:val="true"/>
        </w:rPr>
        <w:t>«</w:t>
      </w:r>
      <w:r>
        <w:rPr>
          <w:rtl w:val="true"/>
        </w:rPr>
        <w:t>الفصل الرابع</w:t>
      </w:r>
      <w:r>
        <w:rPr>
          <w:rtl w:val="true"/>
        </w:rPr>
        <w:t>»</w:t>
      </w:r>
      <w:bookmarkEnd w:id="319"/>
    </w:p>
    <w:p>
      <w:pPr>
        <w:pStyle w:val="Heading4"/>
        <w:numPr>
          <w:ilvl w:val="3"/>
          <w:numId w:val="1"/>
        </w:numPr>
        <w:rPr/>
      </w:pPr>
      <w:bookmarkStart w:id="320" w:name="__RefHeading___Toc2175489_2314609296"/>
      <w:bookmarkStart w:id="321" w:name="_Toc119"/>
      <w:bookmarkEnd w:id="320"/>
      <w:r>
        <w:rPr>
          <w:rtl w:val="true"/>
        </w:rPr>
        <w:t>اشارة</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المتعة</w:t>
      </w:r>
      <w:r>
        <w:rPr>
          <w:rFonts w:eastAsia="IRNazanin" w:cs="IRNazanin"/>
          <w:color w:val="111111"/>
          <w:sz w:val="28"/>
          <w:szCs w:val="28"/>
          <w:rtl w:val="true"/>
          <w:lang w:bidi="fa-IR"/>
        </w:rPr>
        <w:t>»</w:t>
      </w:r>
    </w:p>
    <w:p>
      <w:pPr>
        <w:pStyle w:val="Heading4"/>
        <w:numPr>
          <w:ilvl w:val="3"/>
          <w:numId w:val="1"/>
        </w:numPr>
        <w:rPr/>
      </w:pPr>
      <w:bookmarkStart w:id="322" w:name="__RefHeading___Toc2175491_2314609296"/>
      <w:bookmarkStart w:id="323" w:name="_Toc120"/>
      <w:bookmarkEnd w:id="322"/>
      <w:r>
        <w:rPr>
          <w:rtl w:val="true"/>
        </w:rPr>
        <w:t>[</w:t>
      </w:r>
      <w:r>
        <w:rPr>
          <w:rtl w:val="true"/>
        </w:rPr>
        <w:t>شرعیة نکاح المتعة</w:t>
      </w:r>
      <w:r>
        <w:rPr>
          <w:rtl w:val="true"/>
        </w:rPr>
        <w:t>]</w:t>
      </w:r>
      <w:bookmarkEnd w:id="323"/>
    </w:p>
    <w:p>
      <w:pPr>
        <w:pStyle w:val="BookText"/>
        <w:rPr/>
      </w:pPr>
      <w:r>
        <w:rPr>
          <w:rFonts w:ascii="IRNazanin" w:hAnsi="IRNazanin" w:eastAsia="IRNazanin"/>
          <w:color w:val="111111"/>
          <w:sz w:val="28"/>
          <w:sz w:val="28"/>
          <w:szCs w:val="28"/>
          <w:rtl w:val="true"/>
          <w:lang w:bidi="fa-IR"/>
        </w:rPr>
        <w:t xml:space="preserve">وهو النکاح المنقطع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مستمرّاً إلی الآن، أو </w:t>
      </w:r>
      <w:r>
        <w:rPr>
          <w:rStyle w:val="FootnoteAnchor"/>
          <w:rtl w:val="true"/>
        </w:rPr>
        <w:footnoteReference w:id="767"/>
      </w:r>
      <w:r>
        <w:rPr>
          <w:rFonts w:ascii="Amiri" w:hAnsi="Amiri" w:eastAsia="Amiri" w:cs="Amiri"/>
          <w:color w:val="111111"/>
          <w:sz w:val="28"/>
          <w:sz w:val="28"/>
          <w:szCs w:val="28"/>
          <w:rtl w:val="true"/>
          <w:lang w:bidi="ar-SA"/>
        </w:rPr>
        <w:t xml:space="preserve">لا خلاف بین المسلمین قاطبةً فی أصل شرعیّته، وإن اختلفوا بعد ذلک فی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اتّفق جمهور المفسّرین علی أنّ المراد به نکاح المتعة، وأجمع أهل البیت علیهم السلام علی ذلک، وروی عن 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اُبیّ بن کعب وابن عبّاس وابن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نّهم قرأوا فَمَا اِسْتَمْتَعْتُمْ بِهِ مِنْهُنَّ إِلیٰ أَجَلٍ مُسَمًّی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نسخ جوازه من الجمهور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لتناقض روایاتهم بنسخه، فإنّهم رووا عن علیّ علیه السلام أنّ رسول اللّٰه صلی الله علیه و آله نهی عن متعة النساء</w:t>
      </w:r>
    </w:p>
    <w:p>
      <w:pPr>
        <w:pStyle w:val="BookText"/>
        <w:rPr/>
      </w:pPr>
      <w:r>
        <w:rPr>
          <w:rFonts w:ascii="IRNazanin" w:hAnsi="IRNazanin" w:eastAsia="IRNazanin"/>
          <w:color w:val="111111"/>
          <w:sz w:val="28"/>
          <w:sz w:val="28"/>
          <w:szCs w:val="28"/>
          <w:rtl w:val="true"/>
          <w:lang w:bidi="fa-IR"/>
        </w:rPr>
        <w:t xml:space="preserve">یوم خیبر </w:t>
      </w:r>
      <w:r>
        <w:rPr>
          <w:rStyle w:val="FootnoteAnchor"/>
          <w:rtl w:val="true"/>
        </w:rPr>
        <w:footnoteReference w:id="771"/>
      </w:r>
      <w:r>
        <w:rPr>
          <w:rFonts w:ascii="IRNazanin" w:hAnsi="IRNazanin" w:eastAsia="IRNazanin"/>
          <w:color w:val="111111"/>
          <w:sz w:val="28"/>
          <w:sz w:val="28"/>
          <w:szCs w:val="28"/>
          <w:rtl w:val="true"/>
          <w:lang w:bidi="fa-IR"/>
        </w:rPr>
        <w:t>ورووا عن ربیع بن سبرة عن أبیه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شکونا العُزبة فی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استمتعوا من هذه النساء، فتزوّجت امرأة ثمّ غدوت علی رسول اللّٰه صلی الله علیه و آله وهو قائم بین الرکن والباب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قد أذنت لکم فی الاستمتاع، ألا وإنّ اللّٰه قد حرّمها إلی یوم القیامة</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ضرورةً من مذهب علیّ وأولاده علیهم الصلاة والسلام حلّها وإنکار تحریمها بالغایة، فالروایة عن علیّ علیه السلام بخلافه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اللازم من الروایتین أن تکون قد نسخت مرّتین؛ لأنّ إباحتها فی حجّة الوداع أولاً ناسخة لتحریمها یوم خیبر، ولا قائل به، ومع ذلک فیتوجّه إلی خبر سبرة الطعن فی سنده واختلاف ألفاظه ومعارضته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جماعة من الصحابة منهم جابر بن عبد اللّٰه وعبد اللّٰه بن عبّاس وابن مسعود وسلمة بن الأکوع وعمران بن حصین وأنس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نّها لم تُنسخ </w:t>
      </w:r>
      <w:r>
        <w:rPr>
          <w:rStyle w:val="FootnoteAnchor"/>
          <w:rtl w:val="true"/>
        </w:rPr>
        <w:footnoteReference w:id="773"/>
      </w:r>
      <w:r>
        <w:rPr>
          <w:rFonts w:ascii="IRNazanin" w:hAnsi="IRNazanin" w:eastAsia="IRNazanin"/>
          <w:color w:val="111111"/>
          <w:sz w:val="28"/>
          <w:sz w:val="28"/>
          <w:szCs w:val="28"/>
          <w:rtl w:val="true"/>
          <w:lang w:bidi="fa-IR"/>
        </w:rPr>
        <w:t>وفی صحیح مسلم بإسناده إلی عطاء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جابر بن عبد اللّٰه معتمراً فجئناه فی منزله، فسأله القوم عن أشیاء ثمّ ذکروا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استمتعنا علی عهد رسول اللّٰه صلی الله علیه و آله وأبی بکر وعمر</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وهو صریح فی بقاء شرعیّتها بعد موت النبیّ صلی الله علیه و آله من غیر نسخ</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وتحریم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لأنّه إن کان بطریق الاجتهاد فهو باطل فی مقابلة النصّ</w:t>
      </w:r>
    </w:p>
    <w:p>
      <w:pPr>
        <w:pStyle w:val="BookText"/>
        <w:rPr/>
      </w:pPr>
      <w:r>
        <w:rPr>
          <w:rFonts w:ascii="IRNazanin" w:hAnsi="IRNazanin" w:eastAsia="IRNazanin"/>
          <w:color w:val="111111"/>
          <w:sz w:val="28"/>
          <w:sz w:val="28"/>
          <w:szCs w:val="28"/>
          <w:rtl w:val="true"/>
          <w:lang w:bidi="fa-IR"/>
        </w:rPr>
        <w:t>إجماعاً، وإن کان بطریق الروایة فکیف خفی ذلک علی الصحابة أجمع فی بقیّة زمن النبیّ وجمیع خلافة أبی بکر وبعض خلافة المحرِّم؟</w:t>
      </w:r>
    </w:p>
    <w:p>
      <w:pPr>
        <w:pStyle w:val="BookText"/>
        <w:rPr/>
      </w:pPr>
      <w:r>
        <w:rPr>
          <w:rFonts w:ascii="IRNazanin" w:hAnsi="IRNazanin" w:eastAsia="IRNazanin"/>
          <w:color w:val="111111"/>
          <w:sz w:val="28"/>
          <w:sz w:val="28"/>
          <w:szCs w:val="28"/>
          <w:rtl w:val="true"/>
          <w:lang w:bidi="fa-IR"/>
        </w:rPr>
        <w:t>ثمّ یدلّ علی أنّ تحریمه من عنده لا بطریق الروایة قوله فی الروایة المشهورة عنه بین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فی عهد رسول اللّٰه صلی الله علیه و آله حلالاً أنا أنهی عنهما واُعاقِب علیهما</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ولو کان النبیّ صلی الله علیه و آله قد نهی عنهما فی وقت من الأوقات لکان إسناده إلیه صلی الله علیه و آله أولی وأدخل فی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شعبة عن الحکم بن عتیبة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أکابرهم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أمنسوخة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قال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عمر نهی عن المتعة ما زنی إلّاشقیّ</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وفی صحیح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أهل الشام سأل ابن عمر عن متعة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قد نهی عنها،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أبی نهی عنها وصنعها </w:t>
      </w:r>
      <w:r>
        <w:rPr>
          <w:rStyle w:val="FootnoteAnchor"/>
          <w:rtl w:val="true"/>
        </w:rPr>
        <w:footnoteReference w:id="778"/>
      </w:r>
      <w:r>
        <w:rPr>
          <w:rFonts w:ascii="IRNazanin" w:hAnsi="IRNazanin" w:eastAsia="IRNazanin"/>
          <w:color w:val="111111"/>
          <w:sz w:val="28"/>
          <w:sz w:val="28"/>
          <w:szCs w:val="28"/>
          <w:rtl w:val="true"/>
          <w:lang w:bidi="fa-IR"/>
        </w:rPr>
        <w:t>رسول اللّٰه صلی الله علیه و آله أتترک السنّة وتتبع قول أبی</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بشرعیّتها </w:t>
      </w:r>
      <w:r>
        <w:rPr>
          <w:rStyle w:val="FootnoteAnchor"/>
          <w:rtl w:val="true"/>
        </w:rPr>
        <w:footnoteReference w:id="780"/>
      </w:r>
      <w:r>
        <w:rPr>
          <w:rFonts w:ascii="IRNazanin" w:hAnsi="IRNazanin" w:eastAsia="IRNazanin"/>
          <w:color w:val="111111"/>
          <w:sz w:val="28"/>
          <w:sz w:val="28"/>
          <w:szCs w:val="28"/>
          <w:rtl w:val="true"/>
          <w:lang w:bidi="fa-IR"/>
        </w:rPr>
        <w:t>من طریق أهل البیت علیهم السلام فبالغة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کادت أن تبلغ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التواتر؛ لکثرتها، حتّی أ نّه مع کثرة اختلاف أخبارنا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أکثره بسبب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وکثرة مخالفینا فیه لم یوجد خبر واحد منها یدلّ علی منعه، وذلک عجیب</w:t>
      </w:r>
      <w:r>
        <w:rPr>
          <w:rFonts w:eastAsia="IRNazanin" w:cs="IRNazanin"/>
          <w:color w:val="111111"/>
          <w:sz w:val="28"/>
          <w:szCs w:val="28"/>
          <w:rtl w:val="true"/>
          <w:lang w:bidi="fa-IR"/>
        </w:rPr>
        <w:t>!</w:t>
      </w:r>
      <w:bookmarkStart w:id="324" w:name="pg19810_214440"/>
    </w:p>
    <w:p>
      <w:pPr>
        <w:pStyle w:val="Heading4"/>
        <w:numPr>
          <w:ilvl w:val="3"/>
          <w:numId w:val="1"/>
        </w:numPr>
        <w:rPr/>
      </w:pPr>
      <w:bookmarkStart w:id="325" w:name="__RefHeading___Toc2175493_2314609296"/>
      <w:bookmarkStart w:id="326" w:name="_Toc121"/>
      <w:bookmarkEnd w:id="324"/>
      <w:bookmarkEnd w:id="325"/>
      <w:r>
        <w:rPr>
          <w:rtl w:val="true"/>
        </w:rPr>
        <w:t>[</w:t>
      </w:r>
      <w:r>
        <w:rPr>
          <w:rtl w:val="true"/>
        </w:rPr>
        <w:t>احکامه</w:t>
      </w:r>
      <w:r>
        <w:rPr>
          <w:rtl w:val="true"/>
        </w:rPr>
        <w:t>]</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وإیجابه کالدائم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الألفاظ الثلاثة ولا إشکال هنا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وقبوله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المضبوط المحروس عن الزیادة والنقصان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المضبوط کذلک بالکیل أو الوزن أو العدد مع المشاهدة أو الوصف الرافع للجهالة، ولو أخلّ به بطل العقد، بخلاف الدائم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وحکمه کالدائم فی جمیع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الأحکام شرطاً وولایةً، وتحریماً بنوعیه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المتعة لا تنحصر فی عدد </w:t>
      </w:r>
      <w:r>
        <w:rPr>
          <w:rStyle w:val="FootnoteAnchor"/>
          <w:rtl w:val="true"/>
        </w:rPr>
        <w:footnoteReference w:id="782"/>
      </w:r>
      <w:r>
        <w:rPr>
          <w:rFonts w:ascii="Amiri" w:hAnsi="Amiri" w:eastAsia="Amiri" w:cs="Amiri"/>
          <w:color w:val="111111"/>
          <w:sz w:val="28"/>
          <w:sz w:val="28"/>
          <w:szCs w:val="28"/>
          <w:rtl w:val="true"/>
          <w:lang w:bidi="ar-SA"/>
        </w:rPr>
        <w:t>وأ نّها تصحّ بالکتابیّة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تقدیر فی المهر قلّة ولا 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ما تراضیا علیه ممّا یُتموَّل ولو بکفٍّ من بُرٍّ، وقدّره الصدوق بدرهم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وکثرة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قول بعض الأصحاب بتقدیره قلّة بما بین طلوع الشمس والزوال </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وهبها المدّة قبل الدخول فعلیه نصف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طلّق فی الدوام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إلحاق هبة بعض المدّة قبلَه بالجمیع نظر، والأصل یقتضی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الهبة بعد الدخول للجمیع أو البعض لم یسقط منه شیء قطعاً؛ لاستقراره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هذه الهبة إسقاط بمنزلة الإبراء فلا یفتقر إلی القبول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أخلّت بشیء من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 قبل الدخول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المهر بنسبة ما أخلّت به من المدّة بأن یبسط المهر علی جمیع المدّة ویسقط منه</w:t>
      </w:r>
    </w:p>
    <w:p>
      <w:pPr>
        <w:pStyle w:val="BookText"/>
        <w:rPr/>
      </w:pPr>
      <w:r>
        <w:rPr>
          <w:rFonts w:ascii="IRNazanin" w:hAnsi="IRNazanin" w:eastAsia="IRNazanin"/>
          <w:color w:val="111111"/>
          <w:sz w:val="28"/>
          <w:sz w:val="28"/>
          <w:szCs w:val="28"/>
          <w:rtl w:val="true"/>
          <w:lang w:bidi="fa-IR"/>
        </w:rPr>
        <w:t>بحسابه، حتّی لو أخلّت بها أجمع سقط عنه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المنع 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کالحیض والمرض والخوف من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یسقط باعتباره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ضعیفاً السقوط بالنسبة کالاختیاری، نظراً إلی أ نّه فی مقابلة الاستمتاع بقرینة المنع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مشترک بین الاختیاری والاضطراری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عمر بن حنظلة عن الصادق علیه السلام </w:t>
      </w:r>
      <w:r>
        <w:rPr>
          <w:rStyle w:val="FootnoteAnchor"/>
          <w:rtl w:val="true"/>
        </w:rPr>
        <w:footnoteReference w:id="785"/>
      </w:r>
      <w:r>
        <w:rPr>
          <w:rFonts w:ascii="IRNazanin" w:hAnsi="IRNazanin" w:eastAsia="IRNazanin"/>
          <w:color w:val="111111"/>
          <w:sz w:val="28"/>
          <w:sz w:val="28"/>
          <w:szCs w:val="28"/>
          <w:rtl w:val="true"/>
          <w:lang w:bidi="fa-IR"/>
        </w:rPr>
        <w:t xml:space="preserve">ما یدلّ علی الحکمین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المقاصّة علی ذلک الوجه مجاز؛ لأنّ مجرّد إخلالها بالمدّة یوجب سقوط مقابلها من العوض الآخر، ومثل هذا لا یُعدّ مقاصّة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ماتت فی أثناء المدّة أو قبل الدخول فأولی بعدم سقوط شیءٍ کالدائم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أخلّ بالأجل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انقلب دائماً، أو بطل علی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منشؤه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صلاحیّة أصل العقد لکلّ منهما، وإنّما یتمحّض للمتعة بذکر الأجل وللدوام بعدمه، فإذا انتفی الأوّل ثبت الثانی؛ لأنّ الأصل فی العقد الصحّة، وموثّقة ابن بکیر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سُمّی الأجل فهو متعة، وإن لم یُسمَّ الأجل فهو نکاح باقٍ</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وعلی هذا عمل الشیخ </w:t>
      </w:r>
      <w:r>
        <w:rPr>
          <w:rStyle w:val="FootnoteAnchor"/>
          <w:rtl w:val="true"/>
        </w:rPr>
        <w:footnoteReference w:id="788"/>
      </w:r>
      <w:r>
        <w:rPr>
          <w:rFonts w:ascii="IRNazanin" w:hAnsi="IRNazanin" w:eastAsia="IRNazanin"/>
          <w:color w:val="111111"/>
          <w:sz w:val="28"/>
          <w:sz w:val="28"/>
          <w:szCs w:val="28"/>
          <w:rtl w:val="true"/>
          <w:lang w:bidi="fa-IR"/>
        </w:rPr>
        <w:t xml:space="preserve">والأکثر </w:t>
      </w:r>
      <w:r>
        <w:rPr>
          <w:rStyle w:val="FootnoteAnchor"/>
          <w:rtl w:val="true"/>
        </w:rPr>
        <w:footnoteReference w:id="789"/>
      </w:r>
      <w:r>
        <w:rPr>
          <w:rFonts w:ascii="IRNazanin" w:hAnsi="IRNazanin" w:eastAsia="IRNazanin"/>
          <w:color w:val="111111"/>
          <w:sz w:val="28"/>
          <w:sz w:val="28"/>
          <w:szCs w:val="28"/>
          <w:rtl w:val="true"/>
          <w:lang w:bidi="fa-IR"/>
        </w:rPr>
        <w:t>ومنهم المصنّف</w:t>
      </w:r>
    </w:p>
    <w:p>
      <w:pPr>
        <w:pStyle w:val="BookText"/>
        <w:rPr/>
      </w:pPr>
      <w:r>
        <w:rPr>
          <w:rFonts w:ascii="IRNazanin" w:hAnsi="IRNazanin" w:eastAsia="IRNazanin"/>
          <w:color w:val="111111"/>
          <w:sz w:val="28"/>
          <w:sz w:val="28"/>
          <w:szCs w:val="28"/>
          <w:rtl w:val="true"/>
          <w:lang w:bidi="fa-IR"/>
        </w:rPr>
        <w:t xml:space="preserve">فی شرح الإرشاد </w:t>
      </w:r>
      <w:r>
        <w:rPr>
          <w:rStyle w:val="FootnoteAnchor"/>
          <w:rtl w:val="true"/>
        </w:rPr>
        <w:footnoteReference w:id="790"/>
      </w:r>
      <w:r>
        <w:rPr>
          <w:rFonts w:ascii="IRNazanin" w:hAnsi="IRNazanin" w:eastAsia="IRNazanin"/>
          <w:color w:val="111111"/>
          <w:sz w:val="28"/>
          <w:sz w:val="28"/>
          <w:szCs w:val="28"/>
          <w:rtl w:val="true"/>
          <w:lang w:bidi="fa-IR"/>
        </w:rPr>
        <w:t>ومن أنّ المتعة شرطها الأجل إجماعاً والمشروط عدمٌ عند عدم شرطه، ولصحیحة زرارة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متعة إلّابأمرین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بأجل مسمّی، وأجرٍ مسمّی</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وأنّ الدوام لم یُقصد والعقود تابعة للقصود، وصلاحیّة الإیجاب لهما لا یوجب حمل المشترک علی أحد معنییه مع إرادة المعنی </w:t>
      </w:r>
      <w:r>
        <w:rPr>
          <w:rStyle w:val="FootnoteAnchor"/>
          <w:rtl w:val="true"/>
        </w:rPr>
        <w:footnoteReference w:id="792"/>
      </w:r>
      <w:r>
        <w:rPr>
          <w:rFonts w:ascii="IRNazanin" w:hAnsi="IRNazanin" w:eastAsia="IRNazanin"/>
          <w:color w:val="111111"/>
          <w:sz w:val="28"/>
          <w:sz w:val="28"/>
          <w:szCs w:val="28"/>
          <w:rtl w:val="true"/>
          <w:lang w:bidi="fa-IR"/>
        </w:rPr>
        <w:t>الآخر المباین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الأقوی، والروایة لیس فیها تصریح بأ نّهما أرادا المتعة وأخلّا بالأجل، بل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النکاح مع الأجل متعة وبدونه دائم، ولا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بأنّ العقد إن وقع بلفظ التزویج أو النکاح انقلب دائماً، أو بلفظ التمتّع بطل </w:t>
      </w:r>
      <w:r>
        <w:rPr>
          <w:rStyle w:val="FootnoteAnchor"/>
          <w:rtl w:val="true"/>
        </w:rPr>
        <w:footnoteReference w:id="793"/>
      </w:r>
      <w:r>
        <w:rPr>
          <w:rFonts w:ascii="IRNazanin" w:hAnsi="IRNazanin" w:eastAsia="IRNazanin"/>
          <w:color w:val="111111"/>
          <w:sz w:val="28"/>
          <w:sz w:val="28"/>
          <w:szCs w:val="28"/>
          <w:rtl w:val="true"/>
          <w:lang w:bidi="fa-IR"/>
        </w:rPr>
        <w:t xml:space="preserve">أو بأنّ ترک الأجل إن کان جهلاً منهما أو من أحدهما أو نسیاناً کذلک بطل، وإن کان عمداً انقلب دائماً </w:t>
      </w:r>
      <w:r>
        <w:rPr>
          <w:rStyle w:val="FootnoteAnchor"/>
          <w:rtl w:val="true"/>
        </w:rPr>
        <w:footnoteReference w:id="794"/>
      </w:r>
      <w:r>
        <w:rPr>
          <w:rFonts w:ascii="IRNazanin" w:hAnsi="IRNazanin" w:eastAsia="IRNazanin"/>
          <w:color w:val="111111"/>
          <w:sz w:val="28"/>
          <w:sz w:val="28"/>
          <w:szCs w:val="28"/>
          <w:rtl w:val="true"/>
          <w:lang w:bidi="fa-IR"/>
        </w:rPr>
        <w:t>فقد ظهر ضعفه ممّا ذکرناه، فالقول بالبطلان مطلقاً مع قصد التمتّع الذی هو موضع النزاع أوجه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تبیّن فساد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بظهور زوجٍ أو عدّة، أو کونها محرَّمة علیه جمعاً أو عیناً أو غیر ذلک من المفسدات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فمهر المثل مع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وجهلها حالةَ الوطء؛ لأنّه وطء محترم، فلا بدّ له من عوض وقد بطل المسمّی، فیثبت مهر مثلها فی المتعة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ما قبضته ولا یُسلّم الباقی </w:t>
      </w:r>
      <w:r>
        <w:rPr>
          <w:rStyle w:val="FootnoteAnchor"/>
          <w:rtl w:val="true"/>
        </w:rPr>
        <w:footnoteReference w:id="795"/>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796"/>
      </w:r>
      <w:r>
        <w:rPr>
          <w:rFonts w:ascii="IRNazanin" w:hAnsi="IRNazanin" w:eastAsia="IRNazanin"/>
          <w:color w:val="111111"/>
          <w:sz w:val="28"/>
          <w:sz w:val="28"/>
          <w:szCs w:val="28"/>
          <w:rtl w:val="true"/>
          <w:lang w:bidi="fa-IR"/>
        </w:rPr>
        <w:t>حمْلها علی کون المقبوض بقدر مهر المثل أولی من إطلاقها المخالف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الدخول لا شیء لها؛ لبطلان العقد المقتضی لبطلان المسمّی، فإن کانت قد قبضته استعاده، وإن تلف فی یدها ضمنته مطلقاً، وکذا لو دخل وهی عالمة بالفساد؛ لأنّها بغیّ ولا مهر لبغیٍّ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العزل عنها وإن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متن العقد، وهو هنا موضع وفاق، وهو منصوص بخصوصه </w:t>
      </w:r>
      <w:r>
        <w:rPr>
          <w:rStyle w:val="FootnoteAnchor"/>
          <w:rtl w:val="true"/>
        </w:rPr>
        <w:footnoteReference w:id="797"/>
      </w:r>
      <w:r>
        <w:rPr>
          <w:rFonts w:ascii="IRNazanin" w:hAnsi="IRNazanin" w:eastAsia="IRNazanin"/>
          <w:color w:val="111111"/>
          <w:sz w:val="28"/>
          <w:sz w:val="28"/>
          <w:szCs w:val="28"/>
          <w:rtl w:val="true"/>
          <w:lang w:bidi="fa-IR"/>
        </w:rPr>
        <w:t>ولأنّ الغرض الأصلی منه الاستمتاع دون النسل، بخلاف الدوام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ولادتها بعد وطئه بحیث یمکن کونه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فراش والولد للفراش، وهو مرویّ أیضاً </w:t>
      </w:r>
      <w:r>
        <w:rPr>
          <w:rStyle w:val="FootnoteAnchor"/>
          <w:rtl w:val="true"/>
        </w:rPr>
        <w:footnoteReference w:id="798"/>
      </w:r>
      <w:r>
        <w:rPr>
          <w:rFonts w:ascii="IRNazanin" w:hAnsi="IRNazanin" w:eastAsia="IRNazanin"/>
          <w:color w:val="111111"/>
          <w:sz w:val="28"/>
          <w:sz w:val="28"/>
          <w:szCs w:val="28"/>
          <w:rtl w:val="true"/>
          <w:lang w:bidi="fa-IR"/>
        </w:rPr>
        <w:t>لکن لو نفاه انتفی ظاهراً بغیر لعان، بخلاف ولد الدوام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اشتراط السائغ فی العقد، کاشتراط الإتیان لیلاً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شرط لا ینافی مقتضی العقد؛ لجواز تعلّق الغرض بالاستمتاع فی وقت دون آخر، إمّا طلباً للاستبداد أو توفیراً لما سواه علی غیره من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إتیانها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أو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مضبوطة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الزمان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یعیّن الوقت بل أطلق المرّة والمرّات بطل؛ للجهالة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یقع بها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تبین بانقضاء المدّة أو بهبته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محمّد بن إسماعیل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بغیر 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800"/>
      </w:r>
      <w:r>
        <w:rPr>
          <w:rFonts w:ascii="Amiri" w:hAnsi="Amiri" w:eastAsia="Amiri" w:cs="Amiri"/>
          <w:color w:val="111111"/>
          <w:sz w:val="28"/>
          <w:sz w:val="28"/>
          <w:szCs w:val="28"/>
          <w:rtl w:val="true"/>
          <w:lang w:bidi="ar-SA"/>
        </w:rPr>
        <w:t>لقوله تعالی فی قصّة الإیلاء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عَزَمُوا اَلطَّلاٰقَ </w:t>
      </w:r>
      <w:r>
        <w:rPr>
          <w:rStyle w:val="FootnoteAnchor"/>
          <w:rtl w:val="true"/>
        </w:rPr>
        <w:footnoteReference w:id="801"/>
      </w:r>
      <w:r>
        <w:rPr>
          <w:rFonts w:ascii="IRNazanin" w:hAnsi="IRNazanin" w:eastAsia="IRNazanin"/>
          <w:color w:val="111111"/>
          <w:sz w:val="28"/>
          <w:sz w:val="28"/>
          <w:szCs w:val="28"/>
          <w:rtl w:val="true"/>
          <w:lang w:bidi="fa-IR"/>
        </w:rPr>
        <w:t>ولیس فی المتعة طلاق، ولأنّ من لوازم الإیلاء المطالبة بالوطء وهو منتفٍ فی المتعة وبانتفاء اللازم ینتفی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وللمرتضی رحمه الله قول بوقوعه بها </w:t>
      </w:r>
      <w:r>
        <w:rPr>
          <w:rStyle w:val="FootnoteAnchor"/>
          <w:rtl w:val="true"/>
        </w:rPr>
        <w:footnoteReference w:id="802"/>
      </w:r>
      <w:r>
        <w:rPr>
          <w:rFonts w:ascii="IRNazanin" w:hAnsi="IRNazanin" w:eastAsia="IRNazanin"/>
          <w:color w:val="111111"/>
          <w:sz w:val="28"/>
          <w:sz w:val="28"/>
          <w:szCs w:val="28"/>
          <w:rtl w:val="true"/>
          <w:lang w:bidi="fa-IR"/>
        </w:rPr>
        <w:t xml:space="preserve">لعموم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ودُفع </w:t>
      </w:r>
      <w:r>
        <w:rPr>
          <w:rStyle w:val="FootnoteAnchor"/>
          <w:rtl w:val="true"/>
        </w:rPr>
        <w:footnoteReference w:id="804"/>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عَزَمُوا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عود الضمیر إلی بعض العامّ یخصّصه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لعان إلّافی القذف بالزنا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والمفید </w:t>
      </w:r>
      <w:r>
        <w:rPr>
          <w:rStyle w:val="FootnoteAnchor"/>
          <w:rtl w:val="true"/>
        </w:rPr>
        <w:footnoteReference w:id="805"/>
      </w:r>
      <w:r>
        <w:rPr>
          <w:rFonts w:ascii="Amiri" w:hAnsi="Amiri" w:eastAsia="Amiri" w:cs="Amiri"/>
          <w:color w:val="111111"/>
          <w:sz w:val="28"/>
          <w:sz w:val="28"/>
          <w:szCs w:val="28"/>
          <w:rtl w:val="true"/>
          <w:lang w:bidi="ar-SA"/>
        </w:rPr>
        <w:t>استناداً إلی أ نّها زوجة فیقع بها اللعان؛ لعموم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أَزْوٰاجَهُمْ</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فإنّ الجمع المضاف یعمّ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واُجیب </w:t>
      </w:r>
      <w:r>
        <w:rPr>
          <w:rStyle w:val="FootnoteAnchor"/>
          <w:rtl w:val="true"/>
        </w:rPr>
        <w:footnoteReference w:id="807"/>
      </w:r>
      <w:r>
        <w:rPr>
          <w:rFonts w:ascii="IRNazanin" w:hAnsi="IRNazanin" w:eastAsia="IRNazanin"/>
          <w:color w:val="111111"/>
          <w:sz w:val="28"/>
          <w:sz w:val="28"/>
          <w:szCs w:val="28"/>
          <w:rtl w:val="true"/>
          <w:lang w:bidi="fa-IR"/>
        </w:rPr>
        <w:t xml:space="preserve">بأ نّه مخصوص بالسنّة؛ لصحیحة ابن سنان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یلاعن الحرّ الأمة ولا الذمّیّة، ولا التی یتمتّع بها</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ومثله</w:t>
      </w:r>
    </w:p>
    <w:p>
      <w:pPr>
        <w:pStyle w:val="BookText"/>
        <w:rPr/>
      </w:pPr>
      <w:r>
        <w:rPr>
          <w:rFonts w:ascii="IRNazanin" w:hAnsi="IRNazanin" w:eastAsia="IRNazanin"/>
          <w:color w:val="111111"/>
          <w:sz w:val="28"/>
          <w:sz w:val="28"/>
          <w:szCs w:val="28"/>
          <w:rtl w:val="true"/>
          <w:lang w:bidi="fa-IR"/>
        </w:rPr>
        <w:t xml:space="preserve">روایة علیّ بن جعفر علیه السلام عن أخیه موسی علیه السلام </w:t>
      </w:r>
      <w:r>
        <w:rPr>
          <w:rStyle w:val="FootnoteAnchor"/>
          <w:rtl w:val="true"/>
        </w:rPr>
        <w:footnoteReference w:id="809"/>
      </w:r>
      <w:r>
        <w:rPr>
          <w:rFonts w:ascii="IRNazanin" w:hAnsi="IRNazanin" w:eastAsia="IRNazanin"/>
          <w:color w:val="111111"/>
          <w:sz w:val="28"/>
          <w:sz w:val="28"/>
          <w:szCs w:val="28"/>
          <w:rtl w:val="true"/>
          <w:lang w:bidi="fa-IR"/>
        </w:rPr>
        <w:t>ولا قائل بالفرق بین الحرّ والعبد، فالقول بعدم وقوعه مطلقاً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لعانها لنفی الولد فمنفیّ إجماعاً، ولانتفائه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 فیثبت علی حسب ما یشترطانه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انتفاؤه بدون الشرط فللأصل، ولأنّ الإرث حکم شرعیٌّ فیتوقّف ثبوته علی توظیف الشارع ولم یثبت هنا، بل الثابت خلافه، کقول الصادق علیه السلام </w:t>
      </w:r>
      <w:r>
        <w:rPr>
          <w:rStyle w:val="FootnoteAnchor"/>
          <w:rtl w:val="true"/>
        </w:rPr>
        <w:footnoteReference w:id="8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ترثک، ولا ترثها</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وأمّا ثبوته معه فلعموم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وقول الصادق علیه الصلاة والسلام 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اشترطت </w:t>
      </w:r>
      <w:r>
        <w:rPr>
          <w:rStyle w:val="FootnoteAnchor"/>
          <w:rtl w:val="true"/>
        </w:rPr>
        <w:footnoteReference w:id="813"/>
      </w:r>
      <w:r>
        <w:rPr>
          <w:rFonts w:ascii="IRNazanin" w:hAnsi="IRNazanin" w:eastAsia="IRNazanin"/>
          <w:color w:val="111111"/>
          <w:sz w:val="28"/>
          <w:sz w:val="28"/>
          <w:szCs w:val="28"/>
          <w:rtl w:val="true"/>
          <w:lang w:bidi="fa-IR"/>
        </w:rPr>
        <w:t>المیراث فهما علی شرطهما</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وقول الرضا علیه الصلاة والسلام فی حسنة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اشترطت المیراث کان، وإن لم تشترط لم یکن</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المسألة أقوال اُخر، مأخذها أخبار أو إطلاق لا تقاوم هذه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التوارث مطلقاً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مطلقاً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مع عدم شرط عدمه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مختار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شرطاه لهما فعلی ما شرطاه، أو لأحدهما خاصّة احتمل کونه کذلک عملاً بالشرط، وبطلانه؛ لمخالفته مقتضاه؛ لأنّ الزوجیّة إن اقتضت الإرث وانتفت موانعه ثبت من الجانبین، وإلّا انتفی منهما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ویقع بها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819"/>
      </w:r>
      <w:r>
        <w:rPr>
          <w:rFonts w:ascii="IRNazanin" w:hAnsi="IRNazanin" w:eastAsia="IRNazanin"/>
          <w:color w:val="111111"/>
          <w:sz w:val="28"/>
          <w:sz w:val="28"/>
          <w:szCs w:val="28"/>
          <w:rtl w:val="true"/>
          <w:lang w:bidi="fa-IR"/>
        </w:rPr>
        <w:t xml:space="preserve">لعموم الآیة </w:t>
      </w:r>
      <w:r>
        <w:rPr>
          <w:rStyle w:val="FootnoteAnchor"/>
          <w:rtl w:val="true"/>
        </w:rPr>
        <w:footnoteReference w:id="820"/>
      </w:r>
      <w:r>
        <w:rPr>
          <w:rFonts w:ascii="IRNazanin" w:hAnsi="IRNazanin" w:eastAsia="IRNazanin"/>
          <w:color w:val="111111"/>
          <w:sz w:val="28"/>
          <w:sz w:val="28"/>
          <w:szCs w:val="28"/>
          <w:rtl w:val="true"/>
          <w:lang w:bidi="fa-IR"/>
        </w:rPr>
        <w:t>فإنّ المستمتع بها زوجة ولم تخصّ، بخلاف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جماعة إلی عدم وقوعه بها </w:t>
      </w:r>
      <w:r>
        <w:rPr>
          <w:rStyle w:val="FootnoteAnchor"/>
          <w:rtl w:val="true"/>
        </w:rPr>
        <w:footnoteReference w:id="821"/>
      </w:r>
      <w:r>
        <w:rPr>
          <w:rFonts w:ascii="IRNazanin" w:hAnsi="IRNazanin" w:eastAsia="IRNazanin"/>
          <w:color w:val="111111"/>
          <w:sz w:val="28"/>
          <w:sz w:val="28"/>
          <w:szCs w:val="28"/>
          <w:rtl w:val="true"/>
          <w:lang w:bidi="fa-IR"/>
        </w:rPr>
        <w:t>لقول الصادق 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مثل الطلاق</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والمتبادر من المماثلة أن یکون فی جمیع الأحکام، ولأنّ المُظاهِر یُلزم بالفئة أو الطلاق، وهو هنا متعذّر،</w:t>
      </w:r>
    </w:p>
    <w:p>
      <w:pPr>
        <w:pStyle w:val="BookText"/>
        <w:rPr/>
      </w:pPr>
      <w:r>
        <w:rPr>
          <w:rFonts w:ascii="IRNazanin" w:hAnsi="IRNazanin" w:eastAsia="IRNazanin"/>
          <w:color w:val="111111"/>
          <w:sz w:val="28"/>
          <w:sz w:val="28"/>
          <w:szCs w:val="28"/>
          <w:rtl w:val="true"/>
          <w:lang w:bidi="fa-IR"/>
        </w:rPr>
        <w:t>والإلزام بالفئة وحدها بعید، وبهبة المدّة بدل الطلاق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بضعف الروایة </w:t>
      </w:r>
      <w:r>
        <w:rPr>
          <w:rStyle w:val="FootnoteAnchor"/>
          <w:rtl w:val="true"/>
        </w:rPr>
        <w:footnoteReference w:id="823"/>
      </w:r>
      <w:r>
        <w:rPr>
          <w:rFonts w:ascii="IRNazanin" w:hAnsi="IRNazanin" w:eastAsia="IRNazanin"/>
          <w:color w:val="111111"/>
          <w:sz w:val="28"/>
          <w:sz w:val="28"/>
          <w:szCs w:val="28"/>
          <w:rtl w:val="true"/>
          <w:lang w:bidi="fa-IR"/>
        </w:rPr>
        <w:t xml:space="preserve">وإرسالها، والمماثلة لا تقتضی العموم والإلزام </w:t>
      </w:r>
      <w:r>
        <w:rPr>
          <w:rStyle w:val="FootnoteAnchor"/>
          <w:rtl w:val="true"/>
        </w:rPr>
        <w:footnoteReference w:id="824"/>
      </w:r>
      <w:r>
        <w:rPr>
          <w:rFonts w:ascii="IRNazanin" w:hAnsi="IRNazanin" w:eastAsia="IRNazanin"/>
          <w:color w:val="111111"/>
          <w:sz w:val="28"/>
          <w:sz w:val="28"/>
          <w:szCs w:val="28"/>
          <w:rtl w:val="true"/>
          <w:lang w:bidi="fa-IR"/>
        </w:rPr>
        <w:t>بأحد الأمرین جاز أن یختصّ بالدائم، ویکون أثر الظهار هنا وجوب اعتزالها کالمملوکة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الدخول إذا انقضت مدّتها أو وهبها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ممّن تحیض؛ لروایة محمّد بن الفضیل عن أبی الحسن الماضی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الأمة تطلیقتان وعدّتها حیضتان</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وروی زرارة فی الصحیح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 المتمتّعة ما علی الأمة</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قُرءان </w:t>
      </w:r>
      <w:r>
        <w:rPr>
          <w:rStyle w:val="FootnoteAnchor"/>
          <w:rtl w:val="true"/>
        </w:rPr>
        <w:footnoteReference w:id="827"/>
      </w:r>
      <w:r>
        <w:rPr>
          <w:rFonts w:ascii="IRNazanin" w:hAnsi="IRNazanin" w:eastAsia="IRNazanin"/>
          <w:color w:val="111111"/>
          <w:sz w:val="28"/>
          <w:sz w:val="28"/>
          <w:szCs w:val="28"/>
          <w:rtl w:val="true"/>
          <w:lang w:bidi="fa-IR"/>
        </w:rPr>
        <w:t>وهما طهران؛ لحسنة زرارة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حرّ تحته أمة فطلاقها تطلیقتان وعدّتها قرءان</w:t>
      </w:r>
      <w:r>
        <w:rPr>
          <w:rFonts w:eastAsia="IRNazanin" w:cs="IRNazanin"/>
          <w:color w:val="111111"/>
          <w:sz w:val="28"/>
          <w:szCs w:val="28"/>
          <w:rtl w:val="true"/>
          <w:lang w:bidi="fa-IR"/>
        </w:rPr>
        <w:t xml:space="preserve">»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w:t>
      </w:r>
      <w:r>
        <w:rPr>
          <w:rFonts w:eastAsia="Amiri" w:cs="Amiri" w:ascii="Amiri" w:hAnsi="Amiri"/>
          <w:color w:val="111111"/>
          <w:sz w:val="28"/>
          <w:szCs w:val="28"/>
          <w:rtl w:val="true"/>
          <w:lang w:bidi="ar-SA"/>
        </w:rPr>
        <w:t xml:space="preserve">] </w:t>
      </w:r>
      <w:r>
        <w:rPr>
          <w:rStyle w:val="FootnoteAnchor"/>
          <w:rtl w:val="true"/>
        </w:rPr>
        <w:footnoteReference w:id="829"/>
      </w:r>
      <w:r>
        <w:rPr>
          <w:rFonts w:ascii="IRNazanin" w:hAnsi="IRNazanin" w:eastAsia="IRNazanin"/>
          <w:color w:val="111111"/>
          <w:sz w:val="28"/>
          <w:sz w:val="28"/>
          <w:szCs w:val="28"/>
          <w:rtl w:val="true"/>
          <w:lang w:bidi="fa-IR"/>
        </w:rPr>
        <w:t>إلی صحیحة زرارة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 أحوط، وعلیه لو انقضت أیّامها أووهبها فی أثناء الحیض لم یُحسب ما بقی منه؛ لأنّ الحیضة لا تصدق علی بعضها، وإن احتسب ما بقی من الطهر طهراً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تحض وهی فی سنّ من تحیض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فخمسة وأربعون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فیهما بین الحرّة والأمة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الوفاة بشهرین وخمسة أیّام إن کانت أمة، وبضعفها إن کانت حرّة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ومستند ذلک الأخبار الکثیرة الدالّة علی أنّ عدّة الأمة من وفاة زوجها شهران وخمسة أیّام </w:t>
      </w:r>
      <w:r>
        <w:rPr>
          <w:rStyle w:val="FootnoteAnchor"/>
          <w:rtl w:val="true"/>
        </w:rPr>
        <w:footnoteReference w:id="830"/>
      </w:r>
      <w:r>
        <w:rPr>
          <w:rFonts w:ascii="Amiri" w:hAnsi="Amiri" w:eastAsia="Amiri" w:cs="Amiri"/>
          <w:color w:val="111111"/>
          <w:sz w:val="28"/>
          <w:sz w:val="28"/>
          <w:szCs w:val="28"/>
          <w:rtl w:val="true"/>
          <w:lang w:bidi="ar-SA"/>
        </w:rPr>
        <w:t xml:space="preserve">والحرّة ضِعفُها </w:t>
      </w:r>
      <w:r>
        <w:rPr>
          <w:rStyle w:val="FootnoteAnchor"/>
          <w:rtl w:val="true"/>
        </w:rPr>
        <w:footnoteReference w:id="831"/>
      </w:r>
      <w:r>
        <w:rPr>
          <w:rFonts w:ascii="IRNazanin" w:hAnsi="IRNazanin" w:eastAsia="IRNazanin"/>
          <w:color w:val="111111"/>
          <w:sz w:val="28"/>
          <w:sz w:val="28"/>
          <w:szCs w:val="28"/>
          <w:rtl w:val="true"/>
          <w:lang w:bidi="fa-IR"/>
        </w:rPr>
        <w:t>من غیر فرق بین الدوام والمتعة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وتزید الأمة هنا بخصوصها مرسلة علیّ بن أبی شعبة 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تزوّج امرأة متعة ثمّ مات عنها، ما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وستّون یوماً</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بحملها علی الأمة جمعاً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عدّتها أربعة أشهر وعشراً مطلقاً </w:t>
      </w:r>
      <w:r>
        <w:rPr>
          <w:rStyle w:val="FootnoteAnchor"/>
          <w:rtl w:val="true"/>
        </w:rPr>
        <w:footnoteReference w:id="833"/>
      </w:r>
      <w:r>
        <w:rPr>
          <w:rFonts w:ascii="IRNazanin" w:hAnsi="IRNazanin" w:eastAsia="IRNazanin"/>
          <w:color w:val="111111"/>
          <w:sz w:val="28"/>
          <w:sz w:val="28"/>
          <w:szCs w:val="28"/>
          <w:rtl w:val="true"/>
          <w:lang w:bidi="fa-IR"/>
        </w:rPr>
        <w:t>لصحیحة زرارة عن الباقر علیه الصلاة والسلام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ما عدّة المتمتّعة إذا مات عنها زوجها </w:t>
      </w:r>
      <w:r>
        <w:rPr>
          <w:rStyle w:val="FootnoteAnchor"/>
          <w:rtl w:val="true"/>
        </w:rPr>
        <w:footnoteReference w:id="8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وعشراً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کلّ النکاح إذا مات الزوج فعلی المرأة حرّةً کانت، أو أمة وعلی أیّ وجه کان النکاح منه متعة أو تزویجاً أو ملک یمین فالعدّة أربعة أشهر وعشراً</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وصحیحة عبد الرحمن بن الحجّاج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یتزوّجها الرجل متعة ثمّ یتوفّی عنها، هل علیها العدّة؟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تعتدّ أربعة أشهر وعشرة أیّام</w:t>
      </w:r>
      <w:r>
        <w:rPr>
          <w:rFonts w:eastAsia="IRNazanin" w:cs="IRNazanin"/>
          <w:color w:val="111111"/>
          <w:sz w:val="28"/>
          <w:szCs w:val="28"/>
          <w:rtl w:val="true"/>
          <w:lang w:bidi="fa-IR"/>
        </w:rPr>
        <w:t>»</w:t>
      </w:r>
    </w:p>
    <w:p>
      <w:pPr>
        <w:pStyle w:val="BookText"/>
        <w:rPr/>
      </w:pP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بأنّ هذه مطلقة، فیمکن حملها علی الحرّة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زرارة تضمّنت أنّ عدّة الأمة فی الدوام کالحرّة ولا قائل به، ومع ذلک معارضة بمطلق الأخبار الکثیرة الدالّة علی أنّ عدّة الأمة فی الوفاة علی نصف الحرّة، وبأنّ کونها علی النصف فی الدوام یقتضی أولویّته فی المتعة؛ لأنّ عدّتها أضعف فی کثیر من أفرادها، ونکاحها أضعف، فلا یناسبها أن تکون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مخالفة اُخری فی صحیحة زرارة للاُصول، وإن کان العمل بها أحوط</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حاملاً فبأبعد الأجلین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أربعة أشهر وعشرة أو شهرین وخمسة، ومن وضع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الحرّة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کانت الأشهر أبعد فظاهرٌ؛ للتحدید بها فی الآیة </w:t>
      </w:r>
      <w:r>
        <w:rPr>
          <w:rStyle w:val="FootnoteAnchor"/>
          <w:rtl w:val="true"/>
        </w:rPr>
        <w:footnoteReference w:id="837"/>
      </w:r>
      <w:r>
        <w:rPr>
          <w:rFonts w:ascii="IRNazanin" w:hAnsi="IRNazanin" w:eastAsia="IRNazanin"/>
          <w:color w:val="111111"/>
          <w:sz w:val="28"/>
          <w:sz w:val="28"/>
          <w:szCs w:val="28"/>
          <w:rtl w:val="true"/>
          <w:lang w:bidi="fa-IR"/>
        </w:rPr>
        <w:t xml:space="preserve">والروایة </w:t>
      </w:r>
      <w:r>
        <w:rPr>
          <w:rStyle w:val="FootnoteAnchor"/>
          <w:rtl w:val="true"/>
        </w:rPr>
        <w:footnoteReference w:id="838"/>
      </w:r>
      <w:r>
        <w:rPr>
          <w:rFonts w:ascii="IRNazanin" w:hAnsi="IRNazanin" w:eastAsia="IRNazanin"/>
          <w:color w:val="111111"/>
          <w:sz w:val="28"/>
          <w:sz w:val="28"/>
          <w:szCs w:val="28"/>
          <w:rtl w:val="true"/>
          <w:lang w:bidi="fa-IR"/>
        </w:rPr>
        <w:t>وأمّا إذا کان الوضع أبعد فلامتناع الخروج من العدّة مع بقاء الحمل</w:t>
      </w:r>
      <w:r>
        <w:rPr>
          <w:rFonts w:eastAsia="IRNazanin" w:cs="IRNazanin"/>
          <w:color w:val="111111"/>
          <w:sz w:val="28"/>
          <w:szCs w:val="28"/>
          <w:rtl w:val="true"/>
          <w:lang w:bidi="fa-IR"/>
        </w:rPr>
        <w:t>.</w:t>
      </w:r>
      <w:bookmarkStart w:id="327" w:name="pg19810_214451"/>
    </w:p>
    <w:p>
      <w:pPr>
        <w:pStyle w:val="Heading3"/>
        <w:numPr>
          <w:ilvl w:val="2"/>
          <w:numId w:val="1"/>
        </w:numPr>
        <w:rPr/>
      </w:pPr>
      <w:bookmarkStart w:id="328" w:name="__RefHeading___Toc2175495_2314609296"/>
      <w:bookmarkStart w:id="329" w:name="_Toc122"/>
      <w:bookmarkEnd w:id="327"/>
      <w:bookmarkEnd w:id="328"/>
      <w:r>
        <w:rPr>
          <w:rtl w:val="true"/>
        </w:rPr>
        <w:t>«</w:t>
      </w:r>
      <w:r>
        <w:rPr>
          <w:rtl w:val="true"/>
        </w:rPr>
        <w:t>الفصل الخامس</w:t>
      </w:r>
      <w:r>
        <w:rPr>
          <w:rtl w:val="true"/>
        </w:rPr>
        <w:t>»</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بکسر الهمزة مع المدّ جمع أمة بفتحها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للعبد ولا للأمة أن یعقدا لأنفسهما نکاحاً إلّابإذن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ملک له فلا یتصرّفان فی ملکه بغیر إذنه؛ لقبحه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لعقدهما لو وقع بغیر إذنه علی أشهر القولین </w:t>
      </w:r>
      <w:r>
        <w:rPr>
          <w:rStyle w:val="FootnoteAnchor"/>
          <w:rtl w:val="true"/>
        </w:rPr>
        <w:footnoteReference w:id="839"/>
      </w:r>
      <w:r>
        <w:rPr>
          <w:rFonts w:ascii="IRNazanin" w:hAnsi="IRNazanin" w:eastAsia="IRNazanin"/>
          <w:color w:val="111111"/>
          <w:sz w:val="28"/>
          <w:sz w:val="28"/>
          <w:szCs w:val="28"/>
          <w:rtl w:val="true"/>
          <w:lang w:bidi="fa-IR"/>
        </w:rPr>
        <w:t>لحسنة زرارة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مملوک تزوّج بغیر إذن سیّده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السیّد إن شاء أجاز، وإن شاء فرّق بینهما</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فتکون الإجازة کاشفة عن صحّته من حین إیقاعه کغیره من العقود الفضولیّة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یکون کالعقد المستأنف </w:t>
      </w:r>
      <w:r>
        <w:rPr>
          <w:rStyle w:val="FootnoteAnchor"/>
          <w:rtl w:val="true"/>
        </w:rPr>
        <w:footnoteReference w:id="841"/>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باطلاً إمّا بناءً علی بطلان العقد الفضولی مطلقاً </w:t>
      </w:r>
      <w:r>
        <w:rPr>
          <w:rStyle w:val="FootnoteAnchor"/>
          <w:rtl w:val="true"/>
        </w:rPr>
        <w:footnoteReference w:id="842"/>
      </w:r>
      <w:r>
        <w:rPr>
          <w:rFonts w:ascii="IRNazanin" w:hAnsi="IRNazanin" w:eastAsia="IRNazanin"/>
          <w:color w:val="111111"/>
          <w:sz w:val="28"/>
          <w:sz w:val="28"/>
          <w:szCs w:val="28"/>
          <w:rtl w:val="true"/>
          <w:lang w:bidi="fa-IR"/>
        </w:rPr>
        <w:t>أو بطلان نکاح الفضولی</w:t>
      </w:r>
    </w:p>
    <w:p>
      <w:pPr>
        <w:pStyle w:val="BookText"/>
        <w:rPr/>
      </w:pPr>
      <w:r>
        <w:rPr>
          <w:rFonts w:ascii="Amiri" w:hAnsi="Amiri" w:eastAsia="Amiri" w:cs="Amiri"/>
          <w:color w:val="111111"/>
          <w:sz w:val="28"/>
          <w:sz w:val="28"/>
          <w:szCs w:val="28"/>
          <w:rtl w:val="true"/>
          <w:lang w:bidi="ar-SA"/>
        </w:rPr>
        <w:t xml:space="preserve">مطلقاً </w:t>
      </w:r>
      <w:r>
        <w:rPr>
          <w:rStyle w:val="FootnoteAnchor"/>
          <w:rtl w:val="true"/>
        </w:rPr>
        <w:footnoteReference w:id="843"/>
      </w:r>
      <w:r>
        <w:rPr>
          <w:rFonts w:ascii="IRNazanin" w:hAnsi="IRNazanin" w:eastAsia="IRNazanin"/>
          <w:color w:val="111111"/>
          <w:sz w:val="28"/>
          <w:sz w:val="28"/>
          <w:szCs w:val="28"/>
          <w:rtl w:val="true"/>
          <w:lang w:bidi="fa-IR"/>
        </w:rPr>
        <w:t xml:space="preserve">أو بطلان هذا بخصوصه، نظراً إلی أ نّه منهیّ عنه </w:t>
      </w:r>
      <w:r>
        <w:rPr>
          <w:rStyle w:val="FootnoteAnchor"/>
          <w:rtl w:val="true"/>
        </w:rPr>
        <w:footnoteReference w:id="844"/>
      </w:r>
      <w:r>
        <w:rPr>
          <w:rFonts w:ascii="IRNazanin" w:hAnsi="IRNazanin" w:eastAsia="IRNazanin"/>
          <w:color w:val="111111"/>
          <w:sz w:val="28"/>
          <w:sz w:val="28"/>
          <w:szCs w:val="28"/>
          <w:rtl w:val="true"/>
          <w:lang w:bidi="fa-IR"/>
        </w:rPr>
        <w:t>لقبح التصرّف فی ملک الغیر فیکون فاسداً، ولما رُوی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یّما مملوک تزوّج بغیر إذن مولاه فنکاحه باطل</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وکلّیة الکبری والسند ممنوعان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الإجازة بعقد العبد دون الأمة </w:t>
      </w:r>
      <w:r>
        <w:rPr>
          <w:rStyle w:val="FootnoteAnchor"/>
          <w:rtl w:val="true"/>
        </w:rPr>
        <w:footnoteReference w:id="846"/>
      </w:r>
      <w:r>
        <w:rPr>
          <w:rFonts w:ascii="IRNazanin" w:hAnsi="IRNazanin" w:eastAsia="IRNazanin"/>
          <w:color w:val="111111"/>
          <w:sz w:val="28"/>
          <w:sz w:val="28"/>
          <w:szCs w:val="28"/>
          <w:rtl w:val="true"/>
          <w:lang w:bidi="fa-IR"/>
        </w:rPr>
        <w:t>عملاً بظاهر النصّ السابق، ورجوعاً فی غیره إلی النهی المفید للبطلان، وکلاهما ممنوعان، فإنّ المملوک یصلح لهما، والنهی لا یقتضیه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یأذن المولی أو یجیز عقد العبد فالمهر ونفقة الزوجة علیه، سواء فی ذلک کسب العبد وغیره من سائر أمواله علی أصحّ الأقوال </w:t>
      </w:r>
      <w:r>
        <w:rPr>
          <w:rStyle w:val="FootnoteAnchor"/>
          <w:rtl w:val="true"/>
        </w:rPr>
        <w:footnoteReference w:id="847"/>
      </w:r>
      <w:r>
        <w:rPr>
          <w:rFonts w:ascii="IRNazanin" w:hAnsi="IRNazanin" w:eastAsia="IRNazanin"/>
          <w:color w:val="111111"/>
          <w:sz w:val="28"/>
          <w:sz w:val="28"/>
          <w:szCs w:val="28"/>
          <w:rtl w:val="true"/>
          <w:lang w:bidi="fa-IR"/>
        </w:rPr>
        <w:t>وله مهر أمته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الأبوان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 فالولد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فرعهما وتابع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ویملکه المولی إن اتّحد، وإن کان کلّ منهما لمالک </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یملکه المولیان إن أذنا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یأذن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واحد منهما؛ لأنّه نماء ملکهما، فلا مزیّة لأحدهما علی الآخر، والنسب لاحق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باقی الحیوانات، فإنّ</w:t>
      </w:r>
    </w:p>
    <w:p>
      <w:pPr>
        <w:pStyle w:val="BookText"/>
        <w:rPr/>
      </w:pPr>
      <w:r>
        <w:rPr>
          <w:rFonts w:ascii="Amiri" w:hAnsi="Amiri" w:eastAsia="Amiri" w:cs="Amiri"/>
          <w:color w:val="111111"/>
          <w:sz w:val="28"/>
          <w:sz w:val="28"/>
          <w:szCs w:val="28"/>
          <w:rtl w:val="true"/>
          <w:lang w:bidi="ar-SA"/>
        </w:rPr>
        <w:t xml:space="preserve">النسب غیر معتبر، والنموّ والتبعیّة فیه لاحق بالاُمّ خاصّة، والنصّ </w:t>
      </w:r>
      <w:r>
        <w:rPr>
          <w:rStyle w:val="FootnoteAnchor"/>
          <w:rtl w:val="true"/>
        </w:rPr>
        <w:footnoteReference w:id="849"/>
      </w:r>
      <w:r>
        <w:rPr>
          <w:rFonts w:ascii="IRNazanin" w:hAnsi="IRNazanin" w:eastAsia="IRNazanin"/>
          <w:color w:val="111111"/>
          <w:sz w:val="28"/>
          <w:sz w:val="28"/>
          <w:szCs w:val="28"/>
          <w:rtl w:val="true"/>
          <w:lang w:bidi="fa-IR"/>
        </w:rPr>
        <w:t>دالّ علیه أیضاً، والفرق به أوضح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أذن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فالولد لمن لم یأذن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مولی الأب أم مولی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مع النصّ </w:t>
      </w:r>
      <w:r>
        <w:rPr>
          <w:rStyle w:val="FootnoteAnchor"/>
          <w:rtl w:val="true"/>
        </w:rPr>
        <w:footnoteReference w:id="850"/>
      </w:r>
      <w:r>
        <w:rPr>
          <w:rFonts w:ascii="IRNazanin" w:hAnsi="IRNazanin" w:eastAsia="IRNazanin"/>
          <w:color w:val="111111"/>
          <w:sz w:val="28"/>
          <w:sz w:val="28"/>
          <w:szCs w:val="28"/>
          <w:rtl w:val="true"/>
          <w:lang w:bidi="fa-IR"/>
        </w:rPr>
        <w:t xml:space="preserve">بأنّ الآذن قد أقدم علی فوات الولد منه، فإنّه قد یتزوّج من لیس برقّ فینعقد الولد حرّاً، بخلاف من لم یأذن فیکون الولد له خاصّة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الفرق فیما لو انحصر إذن الآذن فی وطء المملوکة، فإنّه لم یضیّع الولد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الحکم فیما لو اشترک أحدهما بین اثنین، فأذن مولی المختصّ وأحد المشترکین دون الآخر، أو تعدّد مولی کلّ منهما، فإنّه خارج عن موضع النصّ والفتوی، فیحتمل کونه کذلک فیختصّ الولد بمن لم یأذن اتّحد أم تعدّد، واشتراکُه </w:t>
      </w:r>
      <w:r>
        <w:rPr>
          <w:rStyle w:val="FootnoteAnchor"/>
          <w:rtl w:val="true"/>
        </w:rPr>
        <w:footnoteReference w:id="852"/>
      </w:r>
      <w:r>
        <w:rPr>
          <w:rFonts w:ascii="IRNazanin" w:hAnsi="IRNazanin" w:eastAsia="IRNazanin"/>
          <w:color w:val="111111"/>
          <w:sz w:val="28"/>
          <w:sz w:val="28"/>
          <w:szCs w:val="28"/>
          <w:rtl w:val="true"/>
          <w:lang w:bidi="fa-IR"/>
        </w:rPr>
        <w:t>بین الجمیع علی الأصل حیث لا 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أحد المولیین انفراده بالولد، أو بأکثره صحّ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ولأ نّه شرط لا ینافی النکاح</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أحد الزوجین حرّاً فالولد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للأخبار الکثیرة الدالّة علیه </w:t>
      </w:r>
      <w:r>
        <w:rPr>
          <w:rStyle w:val="FootnoteAnchor"/>
          <w:rtl w:val="true"/>
        </w:rPr>
        <w:footnoteReference w:id="854"/>
      </w:r>
      <w:r>
        <w:rPr>
          <w:rFonts w:ascii="Amiri" w:hAnsi="Amiri" w:eastAsia="Amiri" w:cs="Amiri"/>
          <w:color w:val="111111"/>
          <w:sz w:val="28"/>
          <w:sz w:val="28"/>
          <w:szCs w:val="28"/>
          <w:rtl w:val="true"/>
          <w:lang w:bidi="ar-SA"/>
        </w:rPr>
        <w:t>سواء فی ذلک الأب والاُمّ؛ ولأ نّه نماء الحرّ فی الجملة وحقّ الحرّیّة مقدّم؛</w:t>
      </w:r>
    </w:p>
    <w:p>
      <w:pPr>
        <w:pStyle w:val="BookText"/>
        <w:rPr/>
      </w:pPr>
      <w:r>
        <w:rPr>
          <w:rFonts w:ascii="IRNazanin" w:hAnsi="IRNazanin" w:eastAsia="IRNazanin"/>
          <w:color w:val="111111"/>
          <w:sz w:val="28"/>
          <w:sz w:val="28"/>
          <w:szCs w:val="28"/>
          <w:rtl w:val="true"/>
          <w:lang w:bidi="fa-IR"/>
        </w:rPr>
        <w:t>لأ نّها أقوی، ولهذا بُنی العتق علی التغلیب والسرایة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لسیّد المملوک منهما إلّامع اشتراط حرّیته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تغلیباً لحقّ الآدمی علی حقّ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الرقّ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روایة مقطوعة </w:t>
      </w:r>
      <w:r>
        <w:rPr>
          <w:rStyle w:val="FootnoteAnchor"/>
          <w:rtl w:val="true"/>
        </w:rPr>
        <w:footnoteReference w:id="856"/>
      </w:r>
      <w:r>
        <w:rPr>
          <w:rFonts w:ascii="IRNazanin" w:hAnsi="IRNazanin" w:eastAsia="IRNazanin"/>
          <w:color w:val="111111"/>
          <w:sz w:val="28"/>
          <w:sz w:val="28"/>
          <w:szCs w:val="28"/>
          <w:rtl w:val="true"/>
          <w:lang w:bidi="fa-IR"/>
        </w:rPr>
        <w:t>دلّت علی أنّ ولد الحرّ من مملوکة مملوک، حملوها علی ما إذا شرط المولی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الروایة لا تصلحُ مؤسّسة لهذا الحکم المخالف للأصل، فإنّ الولد إذا کان مع الإطلاق ینعقد حرّاً فلا تأثیر فی رقّیته للشرط؛ لأنّه لیس ملکاً لأبیه حتّی یؤثّر شرطه، کما لا یصحّ اشتراط رقّیّة مَن وُلد حرّاً، سیّما مع ورود الأخبار الکثیرة </w:t>
      </w:r>
      <w:r>
        <w:rPr>
          <w:rStyle w:val="FootnoteAnchor"/>
          <w:rtl w:val="true"/>
        </w:rPr>
        <w:footnoteReference w:id="857"/>
      </w:r>
      <w:r>
        <w:rPr>
          <w:rFonts w:ascii="Amiri" w:hAnsi="Amiri" w:eastAsia="Amiri" w:cs="Amiri"/>
          <w:color w:val="111111"/>
          <w:sz w:val="28"/>
          <w:sz w:val="28"/>
          <w:szCs w:val="28"/>
          <w:rtl w:val="true"/>
          <w:lang w:bidi="ar-SA"/>
        </w:rPr>
        <w:t>بحرّیّة من أحد أبویه حرّ، وفی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 ولد حرٍّ</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علی تقدیر اشتراط رقّیّته فی العقد أو التحلیل وقلنا بعدم صحّة الشرط، هل یحکم بفساد العقد؛ لعدم وقوع التراضی بدون الشرط الفاسد کما فی غیره من العقود المشتملة علی شرط فاسد، أم یصحّ ویبطل الشرط خاصّة؟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الأوّل؛ لأنّ العقد یتبع القصد ولم یحصل إلّابالشرط والشرط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لأنّ عقد النکاح کثیراً ما یصحّ بدون الشرط الفاسد وإن لم یصحّ غیره 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الأوّل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وصحّته فی بعض الموارد لدلیل خارج لا یقتضی عمومه فی جمیع موارده، وأولی بعدم الصحّة لو کان تحلیلاً؛ لأنّه متردّد بین العقد والإذن،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من ثبوت الحکم فی العقد ثبوته فی الإذن</w:t>
      </w:r>
    </w:p>
    <w:p>
      <w:pPr>
        <w:pStyle w:val="BookText"/>
        <w:rPr/>
      </w:pPr>
      <w:r>
        <w:rPr>
          <w:rFonts w:ascii="IRNazanin" w:hAnsi="IRNazanin" w:eastAsia="IRNazanin"/>
          <w:color w:val="111111"/>
          <w:sz w:val="28"/>
          <w:sz w:val="28"/>
          <w:szCs w:val="28"/>
          <w:rtl w:val="true"/>
          <w:lang w:bidi="fa-IR"/>
        </w:rPr>
        <w:t>المجرّد، بل یبقی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لو دخل مع فساد الشرط وحکمنا بفساد العقد کان زانیاً مع علمه بالفساد وانعقد الولد رقّاً کنظائره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جهل الفساد کان حرّاً؛ للشبهة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بصحّته لزم بالشرط ولم یسقط بالإسقاط بعد العقد؛ لأنّ ذلک مقتضی الوفاء به، مع احتماله تغلیباً للحرّیّة، کما لو أسقط حقَّ التحجیر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إذا زوّج عبده أمته أن یعطیها شیئاً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بصورة المهر جبراً لقلبها، ورفعاً لمنزلة العبد عندها، ولصحیحة محمّد بن مسلم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کیف یُنکح عبده أمته؟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أنکحتک فلانة ویعطیها شیئاً من قبله أو من قبل مولاه ولو بمدّ من طعام أو درهم، أو نحو ذلک</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الإعطاء </w:t>
      </w:r>
      <w:r>
        <w:rPr>
          <w:rStyle w:val="FootnoteAnchor"/>
          <w:rtl w:val="true"/>
        </w:rPr>
        <w:footnoteReference w:id="860"/>
      </w:r>
      <w:r>
        <w:rPr>
          <w:rFonts w:ascii="IRNazanin" w:hAnsi="IRNazanin" w:eastAsia="IRNazanin"/>
          <w:color w:val="111111"/>
          <w:sz w:val="28"/>
          <w:sz w:val="28"/>
          <w:szCs w:val="28"/>
          <w:rtl w:val="true"/>
          <w:lang w:bidi="fa-IR"/>
        </w:rPr>
        <w:t>عملاً بظاهر الأمر، ولئلّا یلزم خلوّ النکاح عن المهر فی العقد والدخول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بأنّ المهر یستحقّه المولی؛ إذ هو عوض البُضع المملوک له، ولا یُعقل استحقاقه شیئاً علی نفسه وإن کان الدفع من العبد کما تضمّنته الروایة؛ لأنّ ما بیده ملک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الاستحباب فلا حرج فیه؛ لما ذکر وإن لم یخرج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فیه کونه إباحة بعض ماله للأمة تنتفع به بإذنه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النفقة اللازمة للمولی والمهر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فی مقابلة شیء هو ملک المولی، بخلافها فإنّها مجرّد نفع، ودفعُ ضرورة لا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 نّه یکفی فی إنکاح عبده لأمته مجرّد اللفظ الدالّ علی الإذن فیه کما یظهر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قبول العبد ولا المولی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تسمیته فیها نکاحاً وهو متوقّف علی العقد، وإیجابُه إعطاءَ شیء وهو ینافی الإباحة؛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ظاهر فی الاکتفاء بالإیجاب والإعطاء علی وجه الاستحباب، ولأنّ رفعه بید المولی والنکاح الحقیقی لیس کذلک، ولأنّ العبد لیس له أهلیّة الملک فلا وجه لقبوله، والمولی بیده الإیجاب والجهتان ملکه، فلا ثمرة لتعلیقه ملکاً بملک، نعم یعتبر رضاه بالفعل وهو یحصل بالإباحة الحاصلة بالإیجاب المدلول علیه بالروایة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القبول من العبد </w:t>
      </w:r>
      <w:r>
        <w:rPr>
          <w:rStyle w:val="FootnoteAnchor"/>
          <w:rtl w:val="true"/>
        </w:rPr>
        <w:footnoteReference w:id="863"/>
      </w:r>
      <w:r>
        <w:rPr>
          <w:rFonts w:ascii="IRNazanin" w:hAnsi="IRNazanin" w:eastAsia="IRNazanin"/>
          <w:color w:val="111111"/>
          <w:sz w:val="28"/>
          <w:sz w:val="28"/>
          <w:szCs w:val="28"/>
          <w:rtl w:val="true"/>
          <w:lang w:bidi="fa-IR"/>
        </w:rPr>
        <w:t>إمّا لأنّه عقد، أو لأنّ الإباحة منحصرة فی العقد أو التملیک، وکلاهما یتوقّف علی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قبول المولی؛ لأنّه الولیّ کما یعتبر منه الإیجاب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تزویج الأمة بین الشریکین لأجنبیّ باتّفاقهما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لانحصار الحقّ فیهما واتّحاد سبب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عقد أحدهما وحلّلها الآخر لم یصحّ؛ لتبعّض البُضع مع احتمال الجواز لو جعلنا التحلیل عقداً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اتّحد العقد منهما فلا إشکال فی الصحّة، وإن أوقع کلّ منهما عقداً علی المجموع صحّ أیضاً، وإن أوقعه علی ملکه لم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تزویجها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تبعّض البُضع من حیث استباحته بالملک والعقد والبُضع لا یتبعّض؛ ولأنّ الحِلّ منحصر فی الأزواج وملکِ الأیمان، والمستباح بهما خارج عن القسمة؛ لأنّ التفصیل یقطع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ودوران الحکم بین منع الخلوّ ومنع الجمع یوجب الشکّ فی الإباحة، فیرجع إلی أصل المنع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حلّل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الإباحة بمنزلة الملک؛ لأنّها تملیک للمنفعة فیکون حلّ جمیعها بالملک، ولروایة محمّد بن مسلم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جاریة بین رجلین دبّراها جمیعاً ثمّ أحلَّ أحدهما فرجها لصاحبه،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له حلال</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بالمنع أیضاً بناءً علی تبعّض السبب </w:t>
      </w:r>
      <w:r>
        <w:rPr>
          <w:rStyle w:val="FootnoteAnchor"/>
          <w:rtl w:val="true"/>
        </w:rPr>
        <w:footnoteReference w:id="867"/>
      </w:r>
      <w:r>
        <w:rPr>
          <w:rFonts w:ascii="IRNazanin" w:hAnsi="IRNazanin" w:eastAsia="IRNazanin"/>
          <w:color w:val="111111"/>
          <w:sz w:val="28"/>
          <w:sz w:val="28"/>
          <w:szCs w:val="28"/>
          <w:rtl w:val="true"/>
          <w:lang w:bidi="fa-IR"/>
        </w:rPr>
        <w:t xml:space="preserve">حیث إنّ بعضها مستباح بالملک والبعض بالتحلیل، وهو مغایر لملک الرقبة فی الجملة، أو لأنّه عقد أو إباحة، والکلّ مغایر لملکه، کمغایرة الإباحة بالعقد لها بالملک مع اشتراکهما فی أصل الإباحة، والروایة ضعیفة السند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تعلیل الجواز بأ نّها قبل التحلیل محرَّمة وإنّما حلّت به، فالسبب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حینئذٍ یکون تمام السبب، لا السبب التامّ فی الإباحة، ضرورة أنّ التحلیل مختصّ بحصّة الشریک، لا بالجمیع، وتحقّق المسبَّب عند تمام السبب لا یوجب کون الجزء الأخیر منه سبباً تامّاً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اُعتقت 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قد زوّجها مولاها قبلَ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لخبر بریرة وغیره </w:t>
      </w:r>
      <w:r>
        <w:rPr>
          <w:rStyle w:val="FootnoteAnchor"/>
          <w:rtl w:val="true"/>
        </w:rPr>
        <w:footnoteReference w:id="869"/>
      </w:r>
      <w:r>
        <w:rPr>
          <w:rFonts w:ascii="IRNazanin" w:hAnsi="IRNazanin" w:eastAsia="IRNazanin"/>
          <w:color w:val="111111"/>
          <w:sz w:val="28"/>
          <w:sz w:val="28"/>
          <w:szCs w:val="28"/>
          <w:rtl w:val="true"/>
          <w:lang w:bidi="fa-IR"/>
        </w:rPr>
        <w:t>ولما فیه من حدوث الکمال وزوال 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حدوث العتق قبل الدخول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فی فسخ العقد اللازم علی موضع الیقین، والضرورة تندفع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وتُعذر مع جهلها بالعتق أو فوریّةِ الخیار أو أصلِه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صحیحة الکنانی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یّما امرأة اُعتقت فأمرها بیدها إن شاءت أقامت وإن شاءت فارقته</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وغیرها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الخیار بزوجة العبد </w:t>
      </w:r>
      <w:r>
        <w:rPr>
          <w:rStyle w:val="FootnoteAnchor"/>
          <w:rtl w:val="true"/>
        </w:rPr>
        <w:footnoteReference w:id="872"/>
      </w:r>
      <w:r>
        <w:rPr>
          <w:rFonts w:ascii="IRNazanin" w:hAnsi="IRNazanin" w:eastAsia="IRNazanin"/>
          <w:color w:val="111111"/>
          <w:sz w:val="28"/>
          <w:sz w:val="28"/>
          <w:szCs w:val="28"/>
          <w:rtl w:val="true"/>
          <w:lang w:bidi="fa-IR"/>
        </w:rPr>
        <w:t xml:space="preserve">لما روی من أنّ بریرة کانت تحت عبد وهو مغیث </w:t>
      </w:r>
      <w:r>
        <w:rPr>
          <w:rStyle w:val="FootnoteAnchor"/>
          <w:rtl w:val="true"/>
        </w:rPr>
        <w:footnoteReference w:id="873"/>
      </w:r>
      <w:r>
        <w:rPr>
          <w:rFonts w:ascii="IRNazanin" w:hAnsi="IRNazanin" w:eastAsia="IRNazanin"/>
          <w:color w:val="111111"/>
          <w:sz w:val="28"/>
          <w:sz w:val="28"/>
          <w:szCs w:val="28"/>
          <w:rtl w:val="true"/>
          <w:lang w:bidi="fa-IR"/>
        </w:rPr>
        <w:t xml:space="preserve">ولا دلالة فیه علی التخصیص لو تمّ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العبد، فإنّه لا خیار</w:t>
      </w:r>
    </w:p>
    <w:p>
      <w:pPr>
        <w:pStyle w:val="BookText"/>
        <w:rPr/>
      </w:pPr>
      <w:r>
        <w:rPr>
          <w:rFonts w:ascii="IRNazanin" w:hAnsi="IRNazanin" w:eastAsia="IRNazanin"/>
          <w:color w:val="111111"/>
          <w:sz w:val="28"/>
          <w:sz w:val="28"/>
          <w:szCs w:val="28"/>
          <w:rtl w:val="true"/>
          <w:lang w:bidi="fa-IR"/>
        </w:rPr>
        <w:t>له بالعتق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ولانجبار کماله بکون الطلاق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خیار لسیّده ولا لزوجته حرّة کانت أم أمة؛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جعل عتق أمته 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تزوّجتک وأعتقتک وجعلت مهرک عتقک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من العتق والتزویج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الصیغة أجمع جملة واحدة لا یتمّ إلّابآخرها، فلا فرق بین المتقدّم منها والمتأخّر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تقدیم العتق </w:t>
      </w:r>
      <w:r>
        <w:rPr>
          <w:rStyle w:val="FootnoteAnchor"/>
          <w:rtl w:val="true"/>
        </w:rPr>
        <w:footnoteReference w:id="875"/>
      </w:r>
      <w:r>
        <w:rPr>
          <w:rFonts w:ascii="IRNazanin" w:hAnsi="IRNazanin" w:eastAsia="IRNazanin"/>
          <w:color w:val="111111"/>
          <w:sz w:val="28"/>
          <w:sz w:val="28"/>
          <w:szCs w:val="28"/>
          <w:rtl w:val="true"/>
          <w:lang w:bidi="fa-IR"/>
        </w:rPr>
        <w:t>لأنّ تزویج المولی أمته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ویُضعَّف بما مرّ </w:t>
      </w:r>
      <w:r>
        <w:rPr>
          <w:rStyle w:val="FootnoteAnchor"/>
          <w:rtl w:val="true"/>
        </w:rPr>
        <w:footnoteReference w:id="876"/>
      </w:r>
      <w:r>
        <w:rPr>
          <w:rFonts w:ascii="IRNazanin" w:hAnsi="IRNazanin" w:eastAsia="IRNazanin"/>
          <w:color w:val="111111"/>
          <w:sz w:val="28"/>
          <w:sz w:val="28"/>
          <w:szCs w:val="28"/>
          <w:rtl w:val="true"/>
          <w:lang w:bidi="fa-IR"/>
        </w:rPr>
        <w:t>وبأ نّه یستلزم عدم جواز جعل العتق مهراً؛ لأنّه لو حکم بوقوعه بأوّل الصیغة امتنع اعتباره فی التزویج المتعقّب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یُقدّم التزویج </w:t>
      </w:r>
      <w:r>
        <w:rPr>
          <w:rStyle w:val="FootnoteAnchor"/>
          <w:rtl w:val="true"/>
        </w:rPr>
        <w:footnoteReference w:id="877"/>
      </w:r>
      <w:r>
        <w:rPr>
          <w:rFonts w:ascii="IRNazanin" w:hAnsi="IRNazanin" w:eastAsia="IRNazanin"/>
          <w:color w:val="111111"/>
          <w:sz w:val="28"/>
          <w:sz w:val="28"/>
          <w:szCs w:val="28"/>
          <w:rtl w:val="true"/>
          <w:lang w:bidi="fa-IR"/>
        </w:rPr>
        <w:t>لئلّا تعتق فلا تصلح لجعل عتقها مهراً، ولأ نّها تملک أمرها فلا یصحّ تزویجها بدون رضاها، ولروایة علیّ بن جعفر علیه السلام عن أخیه موسی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قال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أعتقتکِ وجعلت مهرکِ عتقکِ؟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عُتقت وهی بالخیار إن شاءت تزوّجته، وإن شاءت فلا، فإن تزوّجته فلیعطها شیئاً</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ونحوه رُوی عن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وفیه نظر؛ لما ذکر، ولأنّ المانع فی الخبر </w:t>
      </w:r>
      <w:r>
        <w:rPr>
          <w:rStyle w:val="FootnoteAnchor"/>
          <w:rtl w:val="true"/>
        </w:rPr>
        <w:footnoteReference w:id="879"/>
      </w:r>
      <w:r>
        <w:rPr>
          <w:rFonts w:ascii="IRNazanin" w:hAnsi="IRNazanin" w:eastAsia="IRNazanin"/>
          <w:color w:val="111111"/>
          <w:sz w:val="28"/>
          <w:sz w:val="28"/>
          <w:szCs w:val="28"/>
          <w:rtl w:val="true"/>
          <w:lang w:bidi="fa-IR"/>
        </w:rPr>
        <w:t xml:space="preserve">عدم التصریح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تقدیم العتق، وهو غیر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 نّهما صیغة واحدة لا یترتّب شیء من مقتضاها إلّابتمامها، فیقع مدلولها وهو العتق وکونه مهراً وکونها 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قبولها علی قول</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لاشتمال الصیغة علی عقد النکاح، وهو مرکَّب شرعاً من الإیجاب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منه کونها حال الصیغة رقیقة؛ لأ نّها بمنزلة الحرّة حیث تصیر حرّة بتمامه، فرقّیّتها غیر مستقرّة، ولولا ذلک امتنع تزویجها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مستند شرعیّة هذه الصیغة هو النقل المستفیض عن النبیّ صلی الله علیه و آله </w:t>
      </w:r>
      <w:r>
        <w:rPr>
          <w:rStyle w:val="FootnoteAnchor"/>
          <w:rtl w:val="true"/>
        </w:rPr>
        <w:footnoteReference w:id="881"/>
      </w:r>
      <w:r>
        <w:rPr>
          <w:rFonts w:ascii="Amiri" w:hAnsi="Amiri" w:eastAsia="Amiri" w:cs="Amiri"/>
          <w:color w:val="111111"/>
          <w:sz w:val="28"/>
          <w:sz w:val="28"/>
          <w:szCs w:val="28"/>
          <w:rtl w:val="true"/>
          <w:lang w:bidi="ar-SA"/>
        </w:rPr>
        <w:t xml:space="preserve">والأئمّة علیهم صلوات اللّٰه </w:t>
      </w:r>
      <w:r>
        <w:rPr>
          <w:rStyle w:val="FootnoteAnchor"/>
          <w:rtl w:val="true"/>
        </w:rPr>
        <w:footnoteReference w:id="882"/>
      </w:r>
      <w:r>
        <w:rPr>
          <w:rFonts w:ascii="IRNazanin" w:hAnsi="IRNazanin" w:eastAsia="IRNazanin"/>
          <w:color w:val="111111"/>
          <w:sz w:val="28"/>
          <w:sz w:val="28"/>
          <w:szCs w:val="28"/>
          <w:rtl w:val="true"/>
          <w:lang w:bidi="fa-IR"/>
        </w:rPr>
        <w:t>ولیس فی شیء منه ما یدلّ علی اعتبار القبول، ولو وقع لنقل؛ لأنّه ممّا تعمّ به البلوی، وأنّ حِلَّ الوطء مملوک له، فهو بمنزلة التزویج، فإذا أعتقها علی هذا الوجه کان فی معنی استثناء بقاء الحلّ من مقتضیات العتق، ولأنّ القبول إنّما یُعتبر من الزوج، لا من المرأة، وإنّما وظیفتها الإیجاب ولم یقع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أنّ عدم اعتبار قبولها أقوی، وإن کان القول به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أیضاً جواب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 یتزوّج جاریته، وکیف</w:t>
      </w:r>
    </w:p>
    <w:p>
      <w:pPr>
        <w:pStyle w:val="BookText"/>
        <w:rPr/>
      </w:pPr>
      <w:r>
        <w:rPr>
          <w:rFonts w:ascii="IRNazanin" w:hAnsi="IRNazanin" w:eastAsia="IRNazanin"/>
          <w:color w:val="111111"/>
          <w:sz w:val="28"/>
          <w:sz w:val="28"/>
          <w:szCs w:val="28"/>
          <w:rtl w:val="true"/>
          <w:lang w:bidi="fa-IR"/>
        </w:rPr>
        <w:t xml:space="preserve">یتحقّق الإیجاب والقبول وهی مملوکة؟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المهر یجب أن یکون متحقّقاً قبل العقد ومع تقدیم التزویج لا یکون متحقّقاً وأ نّه یلوح منه الدور، فإنّ العقد لا یتحقّق إلّابالمهر الذی هو العتق، والعتق لا یتحقّق إلّابعد العقد </w:t>
      </w:r>
      <w:r>
        <w:rPr>
          <w:rStyle w:val="FootnoteAnchor"/>
          <w:rtl w:val="true"/>
        </w:rPr>
        <w:footnoteReference w:id="884"/>
      </w:r>
      <w:r>
        <w:rPr>
          <w:rFonts w:ascii="IRNazanin" w:hAnsi="IRNazanin" w:eastAsia="IRNazanin"/>
          <w:color w:val="111111"/>
          <w:sz w:val="28"/>
          <w:sz w:val="28"/>
          <w:szCs w:val="28"/>
          <w:rtl w:val="true"/>
          <w:lang w:bidi="fa-IR"/>
        </w:rPr>
        <w:t xml:space="preserve">مندفعٌ بمنع اعتبار تقدّمه، بل یکفی مقارنته للعقد وهو هنا کذلک، وبمنع توقّف العقد علی المهر وإن استلزمه، وإذا جاز العقد علی الأمة وهی صالحة لأن تکون مهراً لغیرها جاز جعلها أو جعل فکّ ملکها مهراً لنفسها، مع أنّ ذلک کلّه فی مقابلة النصّ الصحیح المستفیض </w:t>
      </w:r>
      <w:r>
        <w:rPr>
          <w:rStyle w:val="FootnoteAnchor"/>
          <w:rtl w:val="true"/>
        </w:rPr>
        <w:footnoteReference w:id="885"/>
      </w:r>
      <w:r>
        <w:rPr>
          <w:rFonts w:ascii="Amiri" w:hAnsi="Amiri" w:eastAsia="Amiri" w:cs="Amiri"/>
          <w:color w:val="111111"/>
          <w:sz w:val="28"/>
          <w:sz w:val="28"/>
          <w:szCs w:val="28"/>
          <w:rtl w:val="true"/>
          <w:lang w:bidi="ar-SA"/>
        </w:rPr>
        <w:t>فلا یُسمع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بیع أحد الزوجین فللمشتری والبائع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فسخ النکاح وإمضائه، سواء دخل أم لا، وسواء کان الآخر حرّاً أم لا، وسواء کانا لمالکٍ أم کلّ واحد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الخیار علی الفور کخیار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ویُعذر جاهله وجاهل الفوریّة 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انتقل إلیه الملک بأیّ سبب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هبة وصلح وإصداق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اختلف المولیان فی الفسخ والإلزام </w:t>
      </w:r>
      <w:r>
        <w:rPr>
          <w:rStyle w:val="FootnoteAnchor"/>
          <w:rtl w:val="true"/>
        </w:rPr>
        <w:footnoteReference w:id="886"/>
      </w:r>
      <w:r>
        <w:rPr>
          <w:rFonts w:ascii="IRNazanin" w:hAnsi="IRNazanin" w:eastAsia="IRNazanin"/>
          <w:color w:val="111111"/>
          <w:sz w:val="28"/>
          <w:sz w:val="28"/>
          <w:szCs w:val="28"/>
          <w:rtl w:val="true"/>
          <w:lang w:bidi="fa-IR"/>
        </w:rPr>
        <w:t xml:space="preserve">قدّم الفاسخ کغیره من الخیار المشترک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بیع الزوجان معاً علی واحد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لقیام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بیع کلّ منهما علی واحد تخیّرا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باعهما المالک من اثنین علی جهة الاشتراک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للعبد طلاق أمة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متزوّجاً بها بعقد یلزمه جواز</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تزویجه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نصّ </w:t>
      </w:r>
      <w:r>
        <w:rPr>
          <w:rStyle w:val="FootnoteAnchor"/>
          <w:rtl w:val="true"/>
        </w:rPr>
        <w:footnoteReference w:id="887"/>
      </w:r>
      <w:r>
        <w:rPr>
          <w:rFonts w:ascii="IRNazanin" w:hAnsi="IRNazanin" w:eastAsia="IRNazanin"/>
          <w:color w:val="111111"/>
          <w:sz w:val="28"/>
          <w:sz w:val="28"/>
          <w:szCs w:val="28"/>
          <w:rtl w:val="true"/>
          <w:lang w:bidi="fa-IR"/>
        </w:rPr>
        <w:t xml:space="preserve">وإجماع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أمة سیّده وإن کان قد زوّجه بها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حرّة، أذن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لعموم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Style w:val="FootnoteAnchor"/>
          <w:rtl w:val="true"/>
        </w:rPr>
        <w:footnoteReference w:id="889"/>
      </w:r>
      <w:r>
        <w:rPr>
          <w:rFonts w:ascii="Amiri" w:hAnsi="Amiri" w:eastAsia="Amiri" w:cs="Amiri"/>
          <w:color w:val="111111"/>
          <w:sz w:val="28"/>
          <w:sz w:val="28"/>
          <w:szCs w:val="28"/>
          <w:rtl w:val="true"/>
          <w:lang w:bidi="ar-SA"/>
        </w:rPr>
        <w:t>وروی لیث المرادی عن الصادق علیه السلام وقد سأله عن جواز طلاق العبد،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أمتک فلا،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 xml:space="preserve">) </w:t>
      </w:r>
      <w:r>
        <w:rPr>
          <w:rStyle w:val="FootnoteAnchor"/>
          <w:rtl w:val="true"/>
        </w:rPr>
        <w:footnoteReference w:id="890"/>
      </w:r>
      <w:r>
        <w:rPr>
          <w:rFonts w:ascii="IRNazanin" w:hAnsi="IRNazanin" w:eastAsia="IRNazanin"/>
          <w:color w:val="111111"/>
          <w:sz w:val="28"/>
          <w:sz w:val="28"/>
          <w:szCs w:val="28"/>
          <w:rtl w:val="true"/>
          <w:lang w:bidi="fa-IR"/>
        </w:rPr>
        <w:t>وإن کانت أمة قوم آخرین جاز طلاقه</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الاستبداد به کالأوّل </w:t>
      </w:r>
      <w:r>
        <w:rPr>
          <w:rStyle w:val="FootnoteAnchor"/>
          <w:rtl w:val="true"/>
        </w:rPr>
        <w:footnoteReference w:id="892"/>
      </w:r>
      <w:r>
        <w:rPr>
          <w:rFonts w:ascii="IRNazanin" w:hAnsi="IRNazanin" w:eastAsia="IRNazanin"/>
          <w:color w:val="111111"/>
          <w:sz w:val="28"/>
          <w:sz w:val="28"/>
          <w:szCs w:val="28"/>
          <w:rtl w:val="true"/>
          <w:lang w:bidi="fa-IR"/>
        </w:rPr>
        <w:t xml:space="preserve">استناداً إلی أخبار مطلقة </w:t>
      </w:r>
      <w:r>
        <w:rPr>
          <w:rStyle w:val="FootnoteAnchor"/>
          <w:rtl w:val="true"/>
        </w:rPr>
        <w:footnoteReference w:id="893"/>
      </w:r>
      <w:r>
        <w:rPr>
          <w:rFonts w:ascii="IRNazanin" w:hAnsi="IRNazanin" w:eastAsia="IRNazanin"/>
          <w:color w:val="111111"/>
          <w:sz w:val="28"/>
          <w:sz w:val="28"/>
          <w:szCs w:val="28"/>
          <w:rtl w:val="true"/>
          <w:lang w:bidi="fa-IR"/>
        </w:rPr>
        <w:t>حملُها علی کون الزوجة أمة المولی طریق الجمع</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ثالث </w:t>
      </w:r>
      <w:r>
        <w:rPr>
          <w:rStyle w:val="FootnoteAnchor"/>
          <w:rtl w:val="true"/>
        </w:rPr>
        <w:footnoteReference w:id="894"/>
      </w:r>
      <w:r>
        <w:rPr>
          <w:rFonts w:ascii="IRNazanin" w:hAnsi="IRNazanin" w:eastAsia="IRNazanin"/>
          <w:color w:val="111111"/>
          <w:sz w:val="28"/>
          <w:sz w:val="28"/>
          <w:szCs w:val="28"/>
          <w:rtl w:val="true"/>
          <w:lang w:bidi="fa-IR"/>
        </w:rPr>
        <w:t>یجوز للسیّد إجباره علی الطلاق کما له إجباره علی النکاح،</w:t>
      </w:r>
    </w:p>
    <w:p>
      <w:pPr>
        <w:pStyle w:val="BookText"/>
        <w:rPr/>
      </w:pPr>
      <w:r>
        <w:rPr>
          <w:rFonts w:ascii="IRNazanin" w:hAnsi="IRNazanin" w:eastAsia="IRNazanin"/>
          <w:color w:val="111111"/>
          <w:sz w:val="28"/>
          <w:sz w:val="28"/>
          <w:szCs w:val="28"/>
          <w:rtl w:val="true"/>
          <w:lang w:bidi="fa-IR"/>
        </w:rPr>
        <w:t>والروایة مطلقة یتعیّن حملها علی أمته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وللسیّد أن یفرّق بین رقیقیه </w:t>
      </w:r>
      <w:r>
        <w:rPr>
          <w:rStyle w:val="FootnoteAnchor"/>
          <w:rtl w:val="true"/>
        </w:rPr>
        <w:footnoteReference w:id="895"/>
      </w:r>
      <w:r>
        <w:rPr>
          <w:rFonts w:ascii="IRNazanin" w:hAnsi="IRNazanin" w:eastAsia="IRNazanin"/>
          <w:color w:val="111111"/>
          <w:sz w:val="28"/>
          <w:sz w:val="28"/>
          <w:szCs w:val="28"/>
          <w:rtl w:val="true"/>
          <w:lang w:bidi="fa-IR"/>
        </w:rPr>
        <w:t xml:space="preserve">متی شاء بلفظ الطلاق وبغیره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الفسخ والأمر بالاعتزال،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زوّجهما بعقد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جعله إباحة فلا طلاق، إلّاأن یجعل دالّاً علی التفریق من غیر أن یلحقه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أوقع لفظ الطلاق مع کون السابق عقداً فظاهر الأصحاب لحوق أحکامه واشتراطه بشرائطه، عملاً بالعموم مع احتمال العدم بناءً علی أ نّه إباحة وإن وقع بعقد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وتباح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مالکها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المالک لمن یجوز له التزویج بها، وقد تقدّمت </w:t>
      </w:r>
      <w:r>
        <w:rPr>
          <w:rStyle w:val="FootnoteAnchor"/>
          <w:rtl w:val="true"/>
        </w:rPr>
        <w:footnoteReference w:id="897"/>
      </w:r>
      <w:r>
        <w:rPr>
          <w:rFonts w:ascii="IRNazanin" w:hAnsi="IRNazanin" w:eastAsia="IRNazanin"/>
          <w:color w:val="111111"/>
          <w:sz w:val="28"/>
          <w:sz w:val="28"/>
          <w:szCs w:val="28"/>
          <w:rtl w:val="true"/>
          <w:lang w:bidi="fa-IR"/>
        </w:rPr>
        <w:t>شرائطه التی من جملتها کونه مؤمناً فی المؤمنة ومسلماً فی المسلمة، وکونها کتابیّة لو کانت کافرة، وغیر ذلک من أحکام النسب والمصاهرة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الأمة بذلک هو المشهور بین الأصحاب، بل کاد یکون إجماعاً، وأخبارهم الصحیحة به مستفیضة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بدّ له من صیغة دالّة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 لک وطأها، أو جعلتک فی حلٍّ من 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الصیغتان کافیتان فیه اتّفاقاً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 قولان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أحدهما إلحاقها به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لمشارکتها له فی المعنی، فیکون کالمرادف الذی یجوز إقامته مقام ردیفه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 علی منعه </w:t>
      </w:r>
      <w:r>
        <w:rPr>
          <w:rStyle w:val="FootnoteAnchor"/>
          <w:rtl w:val="true"/>
        </w:rPr>
        <w:footnoteReference w:id="900"/>
      </w:r>
      <w:r>
        <w:rPr>
          <w:rFonts w:ascii="IRNazanin" w:hAnsi="IRNazanin" w:eastAsia="IRNazanin"/>
          <w:color w:val="111111"/>
          <w:sz w:val="28"/>
          <w:sz w:val="28"/>
          <w:szCs w:val="28"/>
          <w:rtl w:val="true"/>
          <w:lang w:bidi="fa-IR"/>
        </w:rPr>
        <w:t>وقوفاً فیما خالف الأصل علی موضع الیقین، وتمسّکاً بالأصل، ومراعاةً للاحتیاط فی الفروج المبنیّة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 وتمنع المرادفة أوّلاً، ثمّ الاکتفاء بالمرادف مطلقاً، فإنّ کثیراً من أحکام النکاح توقیفیّة وفیه شائبة العبادة، والاحتیاط فیه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جوّزناه بلفظ الإباحة 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والأشبه أ نّه ملک یمین لا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لانحصار العقد فی الدائم والمتعة، وکلاهما منتفیان عنه؛ لتوقّف رفع الأوّل علی الطلاق فی غیر الفسخ باُمور محصورة لیس هذا منها، ولزوم المهر فیه بالدخول وغیر ذلک من لوازمه، وانتفاء اللازم یدلّ علی انتفاء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ولتوقّف الثانی علی المهر والأجل وهما منتفیان هنا أیضاً فینتفی، ولأنّ عقد النکاح لازم ولا شیء من التحلیل بلازم، وإذا انتفی کونه عقداً ثبت الملک؛ لانحصار حِلّ النکاح فیهما بمقتضی الآیة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القولین لا بدّ من القبول؛ لتوقّف الملک علیه أیضاً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الفائدة تظهر فیما لو أباح أمته لعبده،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عقد أو تملیک وأنّ العبد یملک حلّت، وإلّا فلا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لأنّ الملک فیه لیس علی حدّ الملک المحض بحیث لا یکون العبد أهلاً له، بل المراد به الاستحقاق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زید إحضار مجلس الحکم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یستوی فیه الحرّ والعبد، فصحّة التحلیل فی حقّه علی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الملک </w:t>
      </w:r>
      <w:r>
        <w:rPr>
          <w:rFonts w:eastAsia="IRNazanin" w:cs="IRNazanin"/>
          <w:color w:val="111111"/>
          <w:sz w:val="28"/>
          <w:szCs w:val="28"/>
          <w:rtl w:val="true"/>
          <w:lang w:bidi="fa-IR"/>
        </w:rPr>
        <w:t xml:space="preserve">] </w:t>
      </w:r>
      <w:r>
        <w:rPr>
          <w:rStyle w:val="FootnoteAnchor"/>
          <w:rtl w:val="true"/>
        </w:rPr>
        <w:footnoteReference w:id="903"/>
      </w:r>
      <w:r>
        <w:rPr>
          <w:rFonts w:ascii="Amiri" w:hAnsi="Amiri" w:eastAsia="Amiri" w:cs="Amiri"/>
          <w:color w:val="111111"/>
          <w:sz w:val="28"/>
          <w:sz w:val="28"/>
          <w:szCs w:val="28"/>
          <w:rtl w:val="true"/>
          <w:lang w:bidi="ar-SA"/>
        </w:rPr>
        <w:t>متّجهة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الاقتصار علی ما تناوله اللفظ وما یشهد الحال بدخوله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أحلَّه بعض مقدّمات الوطء کالتقبیل والنظر لم یحلّ له الآخر ولا الوطء، وکذا لو أحلَّه بعضَها فی عضو مخصوص اختصّ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أحلَّه الوطء حلّت المقدّمات بشهادة الحال؛ ولأ نّه لا ینفکّ عنها غالباً، ولا موقع له بدونها؛ ولأنّ تحلیل الأقوی یدلّ علی الأضعف بطریق أولی، بخلاف المساوی والعکس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یدخل اللمس بشهوة فی تحلیل القُبلة؟ نظر، من الاستلزام المذکور فی الجملة فیدخل، ومن أنّ اللازم دخول لمس ما استلزمته القُبلة لا مطلقاً فلا یدخل إلّاما توقّفت علیه خاصّة، وهو الأقوی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الأمة المحلَّلة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اشتراط حرّیّته، أو الإطلاق، ولو شرط رقّیّته ففیه ما مرّ </w:t>
      </w:r>
      <w:r>
        <w:rPr>
          <w:rStyle w:val="FootnoteAnchor"/>
          <w:rtl w:val="true"/>
        </w:rPr>
        <w:footnoteReference w:id="904"/>
      </w:r>
      <w:r>
        <w:rPr>
          <w:rFonts w:ascii="IRNazanin" w:hAnsi="IRNazanin" w:eastAsia="IRNazanin"/>
          <w:color w:val="111111"/>
          <w:sz w:val="28"/>
          <w:sz w:val="28"/>
          <w:szCs w:val="28"/>
          <w:rtl w:val="true"/>
          <w:lang w:bidi="fa-IR"/>
        </w:rPr>
        <w:t>ویظهر من العبارة عدم صحّة الشرط، حیث أطلق الحرّیّة وهو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ذلک مبنیّ علی الغالب من حرّیّة الأب، أو علی القول باختصاصه بالحرّ فلو کان مملوکاً وسوّغناه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یحکم بحرّیّته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قیمة علی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اشتراط حرّیّته إجماعاً، ومع الإطلاق علی أصحّ القولین </w:t>
      </w:r>
      <w:r>
        <w:rPr>
          <w:rStyle w:val="FootnoteAnchor"/>
          <w:rtl w:val="true"/>
        </w:rPr>
        <w:footnoteReference w:id="905"/>
      </w:r>
      <w:r>
        <w:rPr>
          <w:rFonts w:ascii="IRNazanin" w:hAnsi="IRNazanin" w:eastAsia="IRNazanin"/>
          <w:color w:val="111111"/>
          <w:sz w:val="28"/>
          <w:sz w:val="28"/>
          <w:szCs w:val="28"/>
          <w:rtl w:val="true"/>
          <w:lang w:bidi="fa-IR"/>
        </w:rPr>
        <w:t xml:space="preserve">وبه أخبار کثیرة </w:t>
      </w:r>
      <w:r>
        <w:rPr>
          <w:rStyle w:val="FootnoteAnchor"/>
          <w:rtl w:val="true"/>
        </w:rPr>
        <w:footnoteReference w:id="906"/>
      </w:r>
      <w:r>
        <w:rPr>
          <w:rFonts w:ascii="IRNazanin" w:hAnsi="IRNazanin" w:eastAsia="IRNazanin"/>
          <w:color w:val="111111"/>
          <w:sz w:val="28"/>
          <w:sz w:val="28"/>
          <w:szCs w:val="28"/>
          <w:rtl w:val="true"/>
          <w:lang w:bidi="fa-IR"/>
        </w:rPr>
        <w:t>ولأنّ الحرّیّة مبنیّة علی التغلیب، ولهذا یسری العتق بأقلّ جزء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فی کون الولد متکوّناً من نطفة الرجل والمرأة فیغلب جانب الحرّیّة، والحرّ 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یکون رقّاً لمولی الجاریة ویفکّه أبوه إن کان له مال، وإلّا استسعی فی ثمنه </w:t>
      </w:r>
      <w:r>
        <w:rPr>
          <w:rStyle w:val="FootnoteAnchor"/>
          <w:rtl w:val="true"/>
        </w:rPr>
        <w:footnoteReference w:id="907"/>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بوطء الأمة وفی البیت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 أمّا غیره فلا یکره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ینام بین أمتین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الموضعین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وطء الأمة الفاجرة کالحرّة الفاجرة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من العار وخوف اختلاط الماءین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ووطء من وُلدت من الزنا بالعقد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به بالملک، لکن لا یتّخذها اُمّ ولد، بل یعزل عنها حذراً من الحمل، روی ذلک محمّد بن مسلم عن أحدهما علیهما السلام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bookmarkStart w:id="330" w:name="pg19810_214467"/>
    </w:p>
    <w:p>
      <w:pPr>
        <w:pStyle w:val="Heading3"/>
        <w:numPr>
          <w:ilvl w:val="2"/>
          <w:numId w:val="1"/>
        </w:numPr>
        <w:rPr/>
      </w:pPr>
      <w:bookmarkStart w:id="331" w:name="__RefHeading___Toc2175497_2314609296"/>
      <w:bookmarkStart w:id="332" w:name="_Toc123"/>
      <w:bookmarkEnd w:id="330"/>
      <w:bookmarkEnd w:id="331"/>
      <w:r>
        <w:rPr>
          <w:rtl w:val="true"/>
        </w:rPr>
        <w:t>«</w:t>
      </w:r>
      <w:r>
        <w:rPr>
          <w:rtl w:val="true"/>
        </w:rPr>
        <w:t>الفصل السادس</w:t>
      </w:r>
      <w:r>
        <w:rPr>
          <w:rtl w:val="true"/>
        </w:rPr>
        <w:t>»</w:t>
      </w:r>
      <w:bookmarkEnd w:id="332"/>
    </w:p>
    <w:p>
      <w:pPr>
        <w:pStyle w:val="Heading4"/>
        <w:numPr>
          <w:ilvl w:val="3"/>
          <w:numId w:val="1"/>
        </w:numPr>
        <w:rPr/>
      </w:pPr>
      <w:bookmarkStart w:id="333" w:name="__RefHeading___Toc2175499_2314609296"/>
      <w:bookmarkStart w:id="334" w:name="_Toc124"/>
      <w:bookmarkEnd w:id="333"/>
      <w:r>
        <w:rPr>
          <w:rtl w:val="true"/>
        </w:rPr>
        <w:t>اشارة</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المهر</w:t>
      </w:r>
      <w:r>
        <w:rPr>
          <w:rFonts w:eastAsia="IRNazanin" w:cs="IRNazanin"/>
          <w:color w:val="111111"/>
          <w:sz w:val="28"/>
          <w:szCs w:val="28"/>
          <w:rtl w:val="true"/>
          <w:lang w:bidi="fa-IR"/>
        </w:rPr>
        <w:t>»</w:t>
      </w:r>
    </w:p>
    <w:p>
      <w:pPr>
        <w:pStyle w:val="Heading4"/>
        <w:numPr>
          <w:ilvl w:val="3"/>
          <w:numId w:val="1"/>
        </w:numPr>
        <w:rPr/>
      </w:pPr>
      <w:bookmarkStart w:id="335" w:name="__RefHeading___Toc2175501_2314609296"/>
      <w:bookmarkStart w:id="336" w:name="_Toc125"/>
      <w:bookmarkEnd w:id="335"/>
      <w:r>
        <w:rPr>
          <w:rtl w:val="true"/>
        </w:rPr>
        <w:t>[</w:t>
      </w:r>
      <w:r>
        <w:rPr>
          <w:rtl w:val="true"/>
        </w:rPr>
        <w:t>ما یصح امهاره</w:t>
      </w:r>
      <w:r>
        <w:rPr>
          <w:rtl w:val="true"/>
        </w:rPr>
        <w:t>]</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صحّ أن یُملک وإن قلّ بعد أن یکون متموّلاً عیناً کان أو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منفعة حرّ ولو أ نّه الزوج، کتعلیم صنعة أو سورة أو علم غیر واجب أو شیء من الحِکَم والآداب أو شعر، أو غیرها من الأعمال المحلّلة المقصودة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إمهاره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فی ذلک کلّه سوی العقد علی منفعة الزوج، فقد منع منه الشیخ فی أحد قولیه </w:t>
      </w:r>
      <w:r>
        <w:rPr>
          <w:rStyle w:val="FootnoteAnchor"/>
          <w:rtl w:val="true"/>
        </w:rPr>
        <w:footnoteReference w:id="910"/>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911"/>
      </w:r>
      <w:r>
        <w:rPr>
          <w:rFonts w:ascii="Amiri" w:hAnsi="Amiri" w:eastAsia="Amiri" w:cs="Amiri"/>
          <w:color w:val="111111"/>
          <w:sz w:val="28"/>
          <w:sz w:val="28"/>
          <w:szCs w:val="28"/>
          <w:rtl w:val="true"/>
          <w:lang w:bidi="ar-SA"/>
        </w:rPr>
        <w:t xml:space="preserve">لا تنهض دلیلاً متناً وسنداً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عقد الذمّیّان علی ما لا یُملک فی شرعنا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کالخمر والخنزیر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یملکانه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أسلم أحدهما قبل التقابض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مستحلّیه؛ لخروجه عن ملک المسلم، سواء کان عیناً أو مضموناً؛ لأنّ المسمّی لم یفسد، ولهذا لو کان قد أقبضها إیّاه قبل الإسلام برئ،</w:t>
      </w:r>
      <w:bookmarkStart w:id="337" w:name="pg19810_214468"/>
    </w:p>
    <w:p>
      <w:pPr>
        <w:pStyle w:val="BookText"/>
        <w:rPr/>
      </w:pPr>
      <w:bookmarkEnd w:id="337"/>
      <w:r>
        <w:rPr>
          <w:rFonts w:ascii="IRNazanin" w:hAnsi="IRNazanin" w:eastAsia="IRNazanin"/>
          <w:color w:val="111111"/>
          <w:sz w:val="28"/>
          <w:sz w:val="28"/>
          <w:szCs w:val="28"/>
          <w:rtl w:val="true"/>
          <w:lang w:bidi="fa-IR"/>
        </w:rPr>
        <w:t>وإنّما تعذّر الحکم به فوجب المصیر إلی قیمته؛ لأنّها أقرب شیء إلیه، کما لو جری العقد علی عینٍ وتعذّر تسلیمها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لو جعلاه ثمناً لمبیع أو عوضاً لصلح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مهر المثل </w:t>
      </w:r>
      <w:r>
        <w:rPr>
          <w:rStyle w:val="FootnoteAnchor"/>
          <w:rtl w:val="true"/>
        </w:rPr>
        <w:footnoteReference w:id="913"/>
      </w:r>
      <w:r>
        <w:rPr>
          <w:rFonts w:ascii="IRNazanin" w:hAnsi="IRNazanin" w:eastAsia="IRNazanin"/>
          <w:color w:val="111111"/>
          <w:sz w:val="28"/>
          <w:sz w:val="28"/>
          <w:szCs w:val="28"/>
          <w:rtl w:val="true"/>
          <w:lang w:bidi="fa-IR"/>
        </w:rPr>
        <w:t>تنزیلاً لتعذّر تسلیم العین منزلة الفساد، ولأنّ وجوب القیمة فرع وجوب دفع العین مع الإمکان، وهو هنا ممکن، وإنّما عرض عدم صلاحیّته للتملّک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ویضعَّف بمنع الفساد کما تقدّم </w:t>
      </w:r>
      <w:r>
        <w:rPr>
          <w:rStyle w:val="FootnoteAnchor"/>
          <w:rtl w:val="true"/>
        </w:rPr>
        <w:footnoteReference w:id="914"/>
      </w:r>
      <w:r>
        <w:rPr>
          <w:rFonts w:ascii="IRNazanin" w:hAnsi="IRNazanin" w:eastAsia="IRNazanin"/>
          <w:color w:val="111111"/>
          <w:sz w:val="28"/>
          <w:sz w:val="28"/>
          <w:szCs w:val="28"/>
          <w:rtl w:val="true"/>
          <w:lang w:bidi="fa-IR"/>
        </w:rPr>
        <w:t>والتعذّر الشرعی منزَّل منزلة الحسّی أو أقوی، ومهر المثل قد یکون أزید من المسمّی فهی تعترف بعدم استحقاق الزائد، أو أنقص فیعترف هو باستحقاق الزائد حیث لم یقع المسمّی فاسداً، فکیف یرجع إلی غیره بعد استقراره؟ ولو کان الإسلام بعد قبض بعضه سقط بقدر المقبوض ووجب قیمة الباقی، وعلی الآخر یجب بنسبته من مهر المثل</w:t>
      </w:r>
      <w:r>
        <w:rPr>
          <w:rFonts w:eastAsia="IRNazanin" w:cs="IRNazanin"/>
          <w:color w:val="111111"/>
          <w:sz w:val="28"/>
          <w:szCs w:val="28"/>
          <w:rtl w:val="true"/>
          <w:lang w:bidi="fa-IR"/>
        </w:rPr>
        <w:t>.</w:t>
      </w:r>
    </w:p>
    <w:p>
      <w:pPr>
        <w:pStyle w:val="Heading4"/>
        <w:numPr>
          <w:ilvl w:val="3"/>
          <w:numId w:val="1"/>
        </w:numPr>
        <w:rPr/>
      </w:pPr>
      <w:bookmarkStart w:id="338" w:name="__RefHeading___Toc2175503_2314609296"/>
      <w:bookmarkStart w:id="339" w:name="_Toc126"/>
      <w:bookmarkEnd w:id="338"/>
      <w:r>
        <w:rPr>
          <w:rtl w:val="true"/>
        </w:rPr>
        <w:t>[</w:t>
      </w:r>
      <w:r>
        <w:rPr>
          <w:rtl w:val="true"/>
        </w:rPr>
        <w:t xml:space="preserve">احکام المهر </w:t>
      </w:r>
      <w:r>
        <w:rPr>
          <w:rtl w:val="true"/>
        </w:rPr>
        <w:t>]</w:t>
      </w:r>
      <w:bookmarkEnd w:id="33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تقدیر فی المهر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یقصر عن التقویم کحبّة 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المشهور؛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آتَیْتُمْ إِحْدٰاهُنَّ قِنْطٰاراً</w:t>
      </w:r>
      <w:r>
        <w:rPr>
          <w:rFonts w:eastAsia="Amiri" w:cs="Amiri" w:ascii="Amiri" w:hAnsi="Amiri"/>
          <w:color w:val="111111"/>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وهو المال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أربعین اُوقیة من ذهب أو فضّة أو ألف </w:t>
      </w:r>
      <w:r>
        <w:rPr>
          <w:rStyle w:val="FootnoteAnchor"/>
          <w:rtl w:val="true"/>
        </w:rPr>
        <w:footnoteReference w:id="916"/>
      </w:r>
      <w:r>
        <w:rPr>
          <w:rFonts w:ascii="IRNazanin" w:hAnsi="IRNazanin" w:eastAsia="IRNazanin"/>
          <w:color w:val="111111"/>
          <w:sz w:val="28"/>
          <w:sz w:val="28"/>
          <w:szCs w:val="28"/>
          <w:rtl w:val="true"/>
          <w:lang w:bidi="fa-IR"/>
        </w:rPr>
        <w:t xml:space="preserve">دینار أو ألف ومئتا اُوقیة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أو فضّة </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أو سبعون ألف دینار، أو ثمانون ألف درهم، أو مئة رطل من ذهب أو فضّة، أو مِلء مَسک ثور ذهباً</w:t>
      </w:r>
    </w:p>
    <w:p>
      <w:pPr>
        <w:pStyle w:val="BookText"/>
        <w:rPr/>
      </w:pPr>
      <w:r>
        <w:rPr>
          <w:rFonts w:ascii="Amiri" w:hAnsi="Amiri" w:eastAsia="Amiri" w:cs="Amiri"/>
          <w:color w:val="111111"/>
          <w:sz w:val="28"/>
          <w:sz w:val="28"/>
          <w:szCs w:val="28"/>
          <w:rtl w:val="true"/>
          <w:lang w:bidi="ar-SA"/>
        </w:rPr>
        <w:t xml:space="preserve">أو فضّة </w:t>
      </w:r>
      <w:r>
        <w:rPr>
          <w:rStyle w:val="FootnoteAnchor"/>
          <w:rtl w:val="true"/>
        </w:rPr>
        <w:footnoteReference w:id="918"/>
      </w:r>
      <w:r>
        <w:rPr>
          <w:rFonts w:ascii="IRNazanin" w:hAnsi="IRNazanin" w:eastAsia="IRNazanin"/>
          <w:color w:val="111111"/>
          <w:sz w:val="28"/>
          <w:sz w:val="28"/>
          <w:szCs w:val="28"/>
          <w:rtl w:val="true"/>
          <w:lang w:bidi="fa-IR"/>
        </w:rPr>
        <w:t>وفی صحیحة الوشّاء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تزوّج امرأة وجعل مهرها عشرین ألفاً، ولأبیها عشرة آلاف کان المهر جائزاً، والذی جعله لأبیها فاسداً</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أن یتجاوز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أصدقه النبیّ صلی الله علیه و آله لأزواجه جُمع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خمسمئة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خمسون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المرتضی من الزیادة علیها وحکم بردّ من زاد عنها إلیها محتجّاً بالإجماع </w:t>
      </w:r>
      <w:r>
        <w:rPr>
          <w:rStyle w:val="FootnoteAnchor"/>
          <w:rtl w:val="true"/>
        </w:rPr>
        <w:footnoteReference w:id="921"/>
      </w:r>
      <w:r>
        <w:rPr>
          <w:rFonts w:ascii="IRNazanin" w:hAnsi="IRNazanin" w:eastAsia="IRNazanin"/>
          <w:color w:val="111111"/>
          <w:sz w:val="28"/>
          <w:sz w:val="28"/>
          <w:szCs w:val="28"/>
          <w:rtl w:val="true"/>
          <w:lang w:bidi="fa-IR"/>
        </w:rPr>
        <w:t xml:space="preserve">وبه خبر ضعیف </w:t>
      </w:r>
      <w:r>
        <w:rPr>
          <w:rStyle w:val="FootnoteAnchor"/>
          <w:rtl w:val="true"/>
        </w:rPr>
        <w:footnoteReference w:id="922"/>
      </w:r>
      <w:r>
        <w:rPr>
          <w:rFonts w:ascii="IRNazanin" w:hAnsi="IRNazanin" w:eastAsia="IRNazanin"/>
          <w:color w:val="111111"/>
          <w:sz w:val="28"/>
          <w:sz w:val="28"/>
          <w:szCs w:val="28"/>
          <w:rtl w:val="true"/>
          <w:lang w:bidi="fa-IR"/>
        </w:rPr>
        <w:t xml:space="preserve">لا یصلحُ حجّة، والإجماع ممنوع، وجمیع التفسیرات السابقة للقنطار ترد علیه، والخبر الصحیح </w:t>
      </w:r>
      <w:r>
        <w:rPr>
          <w:rStyle w:val="FootnoteAnchor"/>
          <w:rtl w:val="true"/>
        </w:rPr>
        <w:footnoteReference w:id="923"/>
      </w:r>
      <w:r>
        <w:rPr>
          <w:rFonts w:ascii="IRNazanin" w:hAnsi="IRNazanin" w:eastAsia="IRNazanin"/>
          <w:color w:val="111111"/>
          <w:sz w:val="28"/>
          <w:sz w:val="28"/>
          <w:szCs w:val="28"/>
          <w:rtl w:val="true"/>
          <w:lang w:bidi="fa-IR"/>
        </w:rPr>
        <w:t>حجّة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الاقتصار علیه؛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فیه المشاهدة عن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بالکیل أو الوزن أو العدد، کقطعة من ذهب مشاهَدة لا یُعلم وزنها، وقُبّةٍ من طعام لا یُعلم کیلها؛ لارتفاع معظم الغرر بالمشاهدة واغتفار الباقی فی النکاح؛ لأنّه لیس معاوضة محضة بحیث ینافیه ما زاد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الحال لو تلف قبل التسلیم أو بعده وقد طلّقها قبل الدخول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یشاهد اعتبر التعیین قدراً ووصفاً إن کان ممّا یُعتبر به، أو وصفاً</w:t>
      </w:r>
    </w:p>
    <w:p>
      <w:pPr>
        <w:pStyle w:val="BookText"/>
        <w:rPr/>
      </w:pPr>
      <w:r>
        <w:rPr>
          <w:rFonts w:ascii="IRNazanin" w:hAnsi="IRNazanin" w:eastAsia="IRNazanin"/>
          <w:color w:val="111111"/>
          <w:sz w:val="28"/>
          <w:sz w:val="28"/>
          <w:szCs w:val="28"/>
          <w:rtl w:val="true"/>
          <w:lang w:bidi="fa-IR"/>
        </w:rPr>
        <w:t xml:space="preserve">خاصّة إن اکتُفی به کالعبد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تزوّجها علی کتاب اللّٰه وسنّة نبیّه صلی الله علیه و آله و سلم فهو خمسمئة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w:t>
      </w:r>
      <w:r>
        <w:rPr>
          <w:rStyle w:val="FootnoteAnchor"/>
          <w:rtl w:val="true"/>
        </w:rPr>
        <w:footnoteReference w:id="924"/>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وبهما یندفع الإشکال مع جهل الزوجین أو أحدهما بما جرت به السنّة منه وبقبوله الغرر کما تقرّر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جعل تعلیم القرآن 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سهل الساعدی </w:t>
      </w:r>
      <w:r>
        <w:rPr>
          <w:rStyle w:val="FootnoteAnchor"/>
          <w:rtl w:val="true"/>
        </w:rPr>
        <w:footnoteReference w:id="925"/>
      </w:r>
      <w:r>
        <w:rPr>
          <w:rFonts w:ascii="IRNazanin" w:hAnsi="IRNazanin" w:eastAsia="IRNazanin"/>
          <w:color w:val="111111"/>
          <w:sz w:val="28"/>
          <w:sz w:val="28"/>
          <w:szCs w:val="28"/>
          <w:rtl w:val="true"/>
          <w:lang w:bidi="fa-IR"/>
        </w:rPr>
        <w:t>المشهورة، فیعتبر تقدیره بسورة معیّنة أو آیات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حینئذٍ أن یُعلِّمها القراءة الجائزة شرعاً، ولا یجب تعیین قراءة شخص بعینه وإن تفاوتت فی السهولة والصعوبة، ولو تشاحّا فی التعیین قُدّم مختاره؛ لأنّ الواجب فی ذمّته منها أمر کلّی فتعیینه إلیه کالدین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 التعلیم أن تستقلّ بالتلاوة، ولا یکفی تتبّعها نطقَه، والمرجع فی قدر المستقلّ به إلی العرف، فلا یکفی الاستقلال بنحو الکلمة والکلمتین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صدق التعلیم عرفاً لا یقدح فیه نسیانها ما علمته وإن لم تکن قد أکملت جمیع ما شُرط؛ لتحقّق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تعذَّر تعلّمها لبلادتها أو موتها أو موت الزوج حیث یشترط </w:t>
      </w:r>
      <w:r>
        <w:rPr>
          <w:rStyle w:val="FootnoteAnchor"/>
          <w:rtl w:val="true"/>
        </w:rPr>
        <w:footnoteReference w:id="926"/>
      </w:r>
      <w:r>
        <w:rPr>
          <w:rFonts w:ascii="IRNazanin" w:hAnsi="IRNazanin" w:eastAsia="IRNazanin"/>
          <w:color w:val="111111"/>
          <w:sz w:val="28"/>
          <w:sz w:val="28"/>
          <w:szCs w:val="28"/>
          <w:rtl w:val="true"/>
          <w:lang w:bidi="fa-IR"/>
        </w:rPr>
        <w:t>التعلیم منه، أو تعلّمت من غیره فعلیه اُجرة المثل؛ لأنّها عوضه حیث یتعذّر، ولو افتقرت إلی مشقّة عظیمة زائدة علی عادة أمثالها لم یبعد إلحاقه بالتعذّر؛ وکذا القول فی تعلیم الصنعة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العقد الدائم من غیر ذکر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المعبّر عنه بتفویض البُضع،</w:t>
      </w:r>
    </w:p>
    <w:p>
      <w:pPr>
        <w:pStyle w:val="BookText"/>
        <w:rPr/>
      </w:pPr>
      <w:r>
        <w:rPr>
          <w:rFonts w:ascii="IRNazanin" w:hAnsi="IRNazanin" w:eastAsia="IRNazanin"/>
          <w:color w:val="111111"/>
          <w:sz w:val="28"/>
          <w:sz w:val="28"/>
          <w:szCs w:val="28"/>
          <w:rtl w:val="true"/>
          <w:lang w:bidi="fa-IR"/>
        </w:rPr>
        <w:t>بأن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أهملا ذکرَه أم نفیاه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فلا یجب المهر بمجرّد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ما یُرغَب به فی مثلها نسباً وسنّاً وعقلاً ویساراً وبکارةً، وأضدادها، وغیرها ممّا تختلف به الأغراض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اتّفاقهما علی فرض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علیها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الآیة </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المفوّضة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 فی المتعة بحال الزوج فی السعة والإقتار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الفرس؛ لأنّه الشائع فی معناها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 منها ما یقع علیه اسمها صغیرة کانت أم کبیرة، برذوناً کانت أم عتیقاً، قاربت قیمةَ </w:t>
      </w:r>
      <w:r>
        <w:rPr>
          <w:rStyle w:val="FootnoteAnchor"/>
          <w:rtl w:val="true"/>
        </w:rPr>
        <w:footnoteReference w:id="928"/>
      </w:r>
      <w:r>
        <w:rPr>
          <w:rFonts w:ascii="IRNazanin" w:hAnsi="IRNazanin" w:eastAsia="IRNazanin"/>
          <w:color w:val="111111"/>
          <w:sz w:val="28"/>
          <w:sz w:val="28"/>
          <w:szCs w:val="28"/>
          <w:rtl w:val="true"/>
          <w:lang w:bidi="fa-IR"/>
        </w:rPr>
        <w:t xml:space="preserve">الثوب والعشرة الدنانیر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الثوب المرتفع</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 xml:space="preserve">عادةً، ناسبت قیمته قسیمیه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المثاقیل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الفقر والغناء یُمتِّع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دنانیر، والفقیر بدینار أو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أو فضّة معتدّ به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الأموال المناسبة لما ذُکر فی کلّ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الأحوال الثلاثة إلی العرف بحسب زمانه ومکانه وشأنه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متعة لغیر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وهی المفوِّضة لبُضعها المطلّقة قبل الدخول والفرض، لکن یستحبّ لو فارقها بغیر الطلاق من لعان وفسخ، بل قیل بوجوبه</w:t>
      </w:r>
    </w:p>
    <w:p>
      <w:pPr>
        <w:pStyle w:val="BookText"/>
        <w:rPr/>
      </w:pPr>
      <w:r>
        <w:rPr>
          <w:rFonts w:ascii="IRNazanin" w:hAnsi="IRNazanin" w:eastAsia="IRNazanin"/>
          <w:color w:val="111111"/>
          <w:sz w:val="28"/>
          <w:sz w:val="28"/>
          <w:szCs w:val="28"/>
          <w:rtl w:val="true"/>
          <w:lang w:bidi="fa-IR"/>
        </w:rPr>
        <w:t xml:space="preserve">حینئذٍ؛ لأنّه فی معنی الطلاق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أقوی؛ لأنّه مدلول الآیة، وأصالة البراءة فی غیره تقتضی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بهذه مَنْ فُرض لها مهر فاسد، فإنّه فی قوّة التفویض، ومَن فسخت فی المهر قبل الدخول بوجهٍ مجوّز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تراضیا بعد العقد بفرض المهر جاز وصار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فیه لهما، زاد عن مهر المثل أم ساواه أم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اختلفا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فرضه بمهر المثل </w:t>
      </w:r>
      <w:r>
        <w:rPr>
          <w:rStyle w:val="FootnoteAnchor"/>
          <w:rtl w:val="true"/>
        </w:rPr>
        <w:footnoteReference w:id="931"/>
      </w:r>
      <w:r>
        <w:rPr>
          <w:rFonts w:ascii="IRNazanin" w:hAnsi="IRNazanin" w:eastAsia="IRNazanin"/>
          <w:color w:val="111111"/>
          <w:sz w:val="28"/>
          <w:sz w:val="28"/>
          <w:szCs w:val="28"/>
          <w:rtl w:val="true"/>
          <w:lang w:bidi="fa-IR"/>
        </w:rPr>
        <w:t xml:space="preserve">کما أنّ له تعیین </w:t>
      </w:r>
      <w:r>
        <w:rPr>
          <w:rStyle w:val="FootnoteAnchor"/>
          <w:rtl w:val="true"/>
        </w:rPr>
        <w:footnoteReference w:id="932"/>
      </w:r>
      <w:r>
        <w:rPr>
          <w:rFonts w:ascii="IRNazanin" w:hAnsi="IRNazanin" w:eastAsia="IRNazanin"/>
          <w:color w:val="111111"/>
          <w:sz w:val="28"/>
          <w:sz w:val="28"/>
          <w:szCs w:val="28"/>
          <w:rtl w:val="true"/>
          <w:lang w:bidi="fa-IR"/>
        </w:rPr>
        <w:t>النفقة للزوجة علی الغائب ومن جری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إبقاء الحال إلی أن یحصل أحد الاُمور الموجبة للقدر أو المسقطة للحقّ؛ لأنّ ذلک لازم التفویض الذی قد قدما علیه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المهر إلی أحدهما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المعبَّر عنه بتفویض المهر،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w:t>
      </w:r>
      <w:r>
        <w:rPr>
          <w:rStyle w:val="FootnoteAnchor"/>
          <w:rtl w:val="true"/>
        </w:rPr>
        <w:footnoteReference w:id="933"/>
      </w:r>
      <w:r>
        <w:rPr>
          <w:rFonts w:ascii="IRNazanin" w:hAnsi="IRNazanin" w:eastAsia="IRNazanin"/>
          <w:color w:val="111111"/>
          <w:sz w:val="28"/>
          <w:sz w:val="28"/>
          <w:szCs w:val="28"/>
          <w:rtl w:val="true"/>
          <w:lang w:bidi="fa-IR"/>
        </w:rPr>
        <w:t>علی أن تفرض من المهر ما شئتَ أو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 تفویضه إلی غیرهما أو إلیهما معاً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النصّ،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أ نّه کالنائب عنهما والوقوف مع النصّ طریق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ولزم ما حکم به الزوج ممّا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حکمت به الزوجة إذا لم یتجاوز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خمسمئة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الأجنبیّ لو قیل به؛ لروایة زرارة عن الباقر علیه السلام، وعلّله بأ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حکَّمها لم یکن لها أن تتجاوز ما سنّ رسول اللّٰه صلی الله علیه و آله</w:t>
      </w:r>
    </w:p>
    <w:p>
      <w:pPr>
        <w:pStyle w:val="BookText"/>
        <w:rPr/>
      </w:pPr>
      <w:r>
        <w:rPr>
          <w:rFonts w:ascii="IRNazanin" w:hAnsi="IRNazanin" w:eastAsia="IRNazanin"/>
          <w:color w:val="111111"/>
          <w:sz w:val="28"/>
          <w:sz w:val="28"/>
          <w:szCs w:val="28"/>
          <w:rtl w:val="true"/>
          <w:lang w:bidi="fa-IR"/>
        </w:rPr>
        <w:t>وتزوّج علیه نساءه، وإذا حکَّمته فعلیها أن تقبل حکمه قلیلاً کان أو کثیراً</w:t>
      </w:r>
      <w:r>
        <w:rPr>
          <w:rFonts w:eastAsia="IRNazanin" w:cs="IRNazanin"/>
          <w:color w:val="111111"/>
          <w:sz w:val="28"/>
          <w:szCs w:val="28"/>
          <w:rtl w:val="true"/>
          <w:lang w:bidi="fa-IR"/>
        </w:rPr>
        <w:t>»</w:t>
      </w:r>
    </w:p>
    <w:p>
      <w:pPr>
        <w:pStyle w:val="BookText"/>
        <w:rPr/>
      </w:pP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طلّق قبل الدخول فنصف ما یحکم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لأنّ ذلک هو الفرض الذی یتنصّف </w:t>
      </w:r>
      <w:r>
        <w:rPr>
          <w:rStyle w:val="FootnoteAnchor"/>
          <w:rtl w:val="true"/>
        </w:rPr>
        <w:footnoteReference w:id="936"/>
      </w:r>
      <w:r>
        <w:rPr>
          <w:rFonts w:ascii="IRNazanin" w:hAnsi="IRNazanin" w:eastAsia="IRNazanin"/>
          <w:color w:val="111111"/>
          <w:sz w:val="28"/>
          <w:sz w:val="28"/>
          <w:szCs w:val="28"/>
          <w:rtl w:val="true"/>
          <w:lang w:bidi="fa-IR"/>
        </w:rPr>
        <w:t>بالطلاق، سواء وقع الحکم قبل الطلاق أم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طلّقها بعد الدخول لزم الحاکم الفرض واستقرّ فی ذمّة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 الحاکم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محمّد بن مسلم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تزوّج امرأة علی حکمها أو حکمه فمات أو ماتت قبل الدخول، 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والمیراث، ولا مهر لها</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ویؤیّده أنّ مهر المثل لا یجب إلّامع الدخول ولم یحصل، ولا مسمّی، ولا یجوز إخلاء النکاح عن مهر، فتجب المتعة؛ إذ لا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لها مهر المثل </w:t>
      </w:r>
      <w:r>
        <w:rPr>
          <w:rStyle w:val="FootnoteAnchor"/>
          <w:rtl w:val="true"/>
        </w:rPr>
        <w:footnoteReference w:id="938"/>
      </w:r>
      <w:r>
        <w:rPr>
          <w:rFonts w:ascii="IRNazanin" w:hAnsi="IRNazanin" w:eastAsia="IRNazanin"/>
          <w:color w:val="111111"/>
          <w:sz w:val="28"/>
          <w:sz w:val="28"/>
          <w:szCs w:val="28"/>
          <w:rtl w:val="true"/>
          <w:lang w:bidi="fa-IR"/>
        </w:rPr>
        <w:t>لأنّه قیمة المعوّض حیث لم یتعیّن غیره، ولأنّ المهر المذکور غایته أ نّه مجهول، فإذا تعذّرت معرفته وجب الرجوع إلی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مسموع فی مقابلة النصّ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مع موت الحاکم بین موت المحکوم علیه معه وعدمه، عملاً بإطلاق النصّ</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مات المحکوم علیه وحده فللحاکم الحکم؛ إذ لا یشترط حضور المحکوم علیه عنده، والتفویض إلیه قد لزم بالعقد فلا یبطل بموت المحکوم علیه، ولأصالة بقائه، والنصّ لا یعارضه</w:t>
      </w:r>
      <w:r>
        <w:rPr>
          <w:rFonts w:eastAsia="IRNazanin" w:cs="IRNazanin"/>
          <w:color w:val="111111"/>
          <w:sz w:val="28"/>
          <w:szCs w:val="28"/>
          <w:rtl w:val="true"/>
          <w:lang w:bidi="fa-IR"/>
        </w:rPr>
        <w:t>.</w:t>
      </w:r>
      <w:bookmarkStart w:id="340" w:name="pg19810_214474"/>
    </w:p>
    <w:p>
      <w:pPr>
        <w:pStyle w:val="BookText"/>
        <w:rPr/>
      </w:pPr>
      <w:bookmarkEnd w:id="340"/>
      <w:r>
        <w:rPr>
          <w:rFonts w:ascii="IRNazanin" w:hAnsi="IRNazanin" w:eastAsia="IRNazanin"/>
          <w:color w:val="111111"/>
          <w:sz w:val="28"/>
          <w:sz w:val="28"/>
          <w:szCs w:val="28"/>
          <w:rtl w:val="true"/>
          <w:lang w:bidi="fa-IR"/>
        </w:rPr>
        <w:t xml:space="preserve">وربما قیل بأ نّه مع موت الحاکم لا شیء </w:t>
      </w:r>
      <w:r>
        <w:rPr>
          <w:rStyle w:val="FootnoteAnchor"/>
          <w:rtl w:val="true"/>
        </w:rPr>
        <w:footnoteReference w:id="939"/>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 أحد الزوجین مع تفویض البُضع قبل الدخول 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لرضاهما بغیر مهر، ولصحیحة الحلبی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المتوفّی عنها زوجها قبل الدخول، إن کان فرض لها مهراً فلها، وإن لم یکن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مهراً فلا مهر لها</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وهذا ممّا لا خلاف فیه ظاهراً</w:t>
      </w:r>
      <w:r>
        <w:rPr>
          <w:rFonts w:eastAsia="IRNazanin" w:cs="IRNazanin"/>
          <w:color w:val="111111"/>
          <w:sz w:val="28"/>
          <w:szCs w:val="28"/>
          <w:rtl w:val="true"/>
          <w:lang w:bidi="fa-IR"/>
        </w:rPr>
        <w:t>.</w:t>
      </w:r>
    </w:p>
    <w:p>
      <w:pPr>
        <w:pStyle w:val="Heading4"/>
        <w:numPr>
          <w:ilvl w:val="3"/>
          <w:numId w:val="1"/>
        </w:numPr>
        <w:rPr/>
      </w:pPr>
      <w:bookmarkStart w:id="341" w:name="__RefHeading___Toc2175505_2314609296"/>
      <w:bookmarkStart w:id="342" w:name="_Toc127"/>
      <w:bookmarkEnd w:id="341"/>
      <w:r>
        <w:rPr>
          <w:rtl w:val="true"/>
        </w:rPr>
        <w:t>[ «</w:t>
      </w:r>
      <w:r>
        <w:rPr>
          <w:rtl w:val="true"/>
        </w:rPr>
        <w:t>وهنا مسائل عشر</w:t>
      </w:r>
      <w:r>
        <w:rPr>
          <w:rtl w:val="true"/>
        </w:rPr>
        <w:t>» ]</w:t>
      </w:r>
      <w:bookmarkEnd w:id="342"/>
    </w:p>
    <w:p>
      <w:pPr>
        <w:pStyle w:val="Heading5"/>
        <w:numPr>
          <w:ilvl w:val="4"/>
          <w:numId w:val="1"/>
        </w:numPr>
        <w:rPr/>
      </w:pPr>
      <w:bookmarkStart w:id="343" w:name="__RefHeading___Toc2175507_2314609296"/>
      <w:bookmarkStart w:id="344" w:name="_Toc128"/>
      <w:bookmarkEnd w:id="343"/>
      <w:r>
        <w:rPr>
          <w:rtl w:val="true"/>
        </w:rPr>
        <w:t xml:space="preserve">الاُولی </w:t>
      </w:r>
      <w:r>
        <w:rPr>
          <w:rtl w:val="true"/>
        </w:rPr>
        <w:t>[</w:t>
      </w:r>
      <w:r>
        <w:rPr>
          <w:rtl w:val="true"/>
        </w:rPr>
        <w:t xml:space="preserve">الصداق یملک بالعقد </w:t>
      </w:r>
      <w:r>
        <w:rPr>
          <w:rtl w:val="true"/>
        </w:rPr>
        <w:t>]</w:t>
      </w:r>
      <w:bookmarkEnd w:id="344"/>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الصداق یملک بالعقد </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بأجمعه 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متزلزلاً، ویستقرّ بأحد اُمور أربعة </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إجماعاً، وردّة الزوج عن فطرة، وموته، وموتها فی 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التصرّف فیه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مدخلیّة للقبض هنا فی الملک، سواء طلّقها قبل الدخول أم لا وإن رجع إلیه نصفه بالطلاق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لروایة عبید بن زرارة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زوج ساق إلی زوجته غنماً ورقیقاً فولدت عندها وطلّقها قبل أن یدخل،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 حملن عنده فله نصفها ونصف ولدها، وإن کنّ حملن عندها</w:t>
      </w:r>
    </w:p>
    <w:p>
      <w:pPr>
        <w:pStyle w:val="BookText"/>
        <w:rPr/>
      </w:pPr>
      <w:r>
        <w:rPr>
          <w:rFonts w:ascii="IRNazanin" w:hAnsi="IRNazanin" w:eastAsia="IRNazanin"/>
          <w:color w:val="111111"/>
          <w:sz w:val="28"/>
          <w:sz w:val="28"/>
          <w:szCs w:val="28"/>
          <w:rtl w:val="true"/>
          <w:lang w:bidi="fa-IR"/>
        </w:rPr>
        <w:t>فلا شیء له من الأولاد</w:t>
      </w:r>
      <w:r>
        <w:rPr>
          <w:rFonts w:eastAsia="IRNazanin" w:cs="IRNazanin"/>
          <w:color w:val="111111"/>
          <w:sz w:val="28"/>
          <w:szCs w:val="28"/>
          <w:rtl w:val="true"/>
          <w:lang w:bidi="fa-IR"/>
        </w:rPr>
        <w:t>»</w:t>
      </w:r>
    </w:p>
    <w:p>
      <w:pPr>
        <w:pStyle w:val="BookText"/>
        <w:rPr/>
      </w:pP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تعقّبه طلاق قبل الدخول ملک الزوج النصف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له فی النماء، ثمّ إن وجده باقیاً علی ملکها أجمع أخذ نصفه، وإن وجده تالفاً أو منتقلاً عن ملکها فنصف 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اتّفقت القیمة، وإلّا فله الأقلّ من حین العقد إلی حین التسلیم؛ لأنّ الزیادة حدثت فی 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وجده معیباً رجع فی نصف العین مع الأرش، ولو نقصت القیمة للسوق فله نصف العین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زادت وهی باقیة، ولو زاد زیادةً متّصلةً کالسمن تخیّرت بین دفع نصف العین الزائدة ونصف القیمة من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تغیّرت فی یدها بما أوجب زیادة القیمة کصیاغة الفضّة وخیاطة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ویُجبر علی العین لو بذلتها فی الأوّل دون الثانی؛ لقبول الفضّة لما یریده منها، دون الثوب، إلّاأن یکون مفصّلاً علی ذلک الوجه قبل دفعه إلیها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لها العفو عن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لِلتَّقْویٰ </w:t>
      </w:r>
      <w:r>
        <w:rPr>
          <w:rStyle w:val="FootnoteAnchor"/>
          <w:rtl w:val="true"/>
        </w:rPr>
        <w:footnoteReference w:id="945"/>
      </w:r>
      <w:r>
        <w:rPr>
          <w:rFonts w:ascii="IRNazanin" w:hAnsi="IRNazanin" w:eastAsia="IRNazanin"/>
          <w:color w:val="111111"/>
          <w:sz w:val="28"/>
          <w:sz w:val="28"/>
          <w:szCs w:val="28"/>
          <w:rtl w:val="true"/>
          <w:lang w:bidi="fa-IR"/>
        </w:rPr>
        <w:t>والمراد بالعفو إسقاط المهر بالهبة إن کان عیناً، والإبراء وما فی معناه من العفو والإسقاط إن کان دیناً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قیل بصحّته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946"/>
      </w:r>
      <w:r>
        <w:rPr>
          <w:rFonts w:ascii="IRNazanin" w:hAnsi="IRNazanin" w:eastAsia="IRNazanin"/>
          <w:color w:val="111111"/>
          <w:sz w:val="28"/>
          <w:sz w:val="28"/>
          <w:szCs w:val="28"/>
          <w:rtl w:val="true"/>
          <w:lang w:bidi="fa-IR"/>
        </w:rPr>
        <w:t>عملاً بظاهر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إلی القوانین الشرعیّة أولی، والآیة لا تدلّ علی أزید منه</w:t>
      </w:r>
      <w:r>
        <w:rPr>
          <w:rFonts w:eastAsia="IRNazanin" w:cs="IRNazanin"/>
          <w:color w:val="111111"/>
          <w:sz w:val="28"/>
          <w:szCs w:val="28"/>
          <w:rtl w:val="true"/>
          <w:lang w:bidi="fa-IR"/>
        </w:rPr>
        <w:t>.</w:t>
      </w:r>
      <w:bookmarkStart w:id="345" w:name="pg19810_214476"/>
    </w:p>
    <w:p>
      <w:pPr>
        <w:pStyle w:val="BookText"/>
        <w:rPr/>
      </w:pPr>
      <w:bookmarkEnd w:id="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ولولیّها الإجباری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بیده عقدة النکاح أصالة وهو الأب والجدّ له بالنسبة إلی 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عن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بعض النصف الذی تستحقّه بالطلاق قبل الدخول؛ لأنّ عفو الولیّ مشروط بکون الطلاق قبل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الجمیع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واحترز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وکیل الرشیدة، فلیس له العفو مع الإطلاق فی أصحّ القولین </w:t>
      </w:r>
      <w:r>
        <w:rPr>
          <w:rStyle w:val="FootnoteAnchor"/>
          <w:rtl w:val="true"/>
        </w:rPr>
        <w:footnoteReference w:id="947"/>
      </w:r>
      <w:r>
        <w:rPr>
          <w:rFonts w:ascii="IRNazanin" w:hAnsi="IRNazanin" w:eastAsia="IRNazanin"/>
          <w:color w:val="111111"/>
          <w:sz w:val="28"/>
          <w:sz w:val="28"/>
          <w:szCs w:val="28"/>
          <w:rtl w:val="true"/>
          <w:lang w:bidi="fa-IR"/>
        </w:rPr>
        <w:t>نعم، لو وکّلته فی العفو جاز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وکیل الزوج فی النصف الذی یستحقّه بالطلاق</w:t>
      </w:r>
      <w:r>
        <w:rPr>
          <w:rFonts w:eastAsia="IRNazanin" w:cs="IRNazanin"/>
          <w:color w:val="111111"/>
          <w:sz w:val="28"/>
          <w:szCs w:val="28"/>
          <w:rtl w:val="true"/>
          <w:lang w:bidi="fa-IR"/>
        </w:rPr>
        <w:t>.</w:t>
      </w:r>
    </w:p>
    <w:p>
      <w:pPr>
        <w:pStyle w:val="Heading5"/>
        <w:numPr>
          <w:ilvl w:val="4"/>
          <w:numId w:val="1"/>
        </w:numPr>
        <w:rPr/>
      </w:pPr>
      <w:bookmarkStart w:id="346" w:name="__RefHeading___Toc2175509_2314609296"/>
      <w:bookmarkStart w:id="347" w:name="_Toc129"/>
      <w:bookmarkEnd w:id="346"/>
      <w:r>
        <w:rPr>
          <w:rtl w:val="true"/>
        </w:rPr>
        <w:t>«</w:t>
      </w:r>
      <w:r>
        <w:rPr>
          <w:rtl w:val="true"/>
        </w:rPr>
        <w:t xml:space="preserve">الثانیة </w:t>
      </w:r>
      <w:r>
        <w:rPr>
          <w:rtl w:val="true"/>
        </w:rPr>
        <w:t>[</w:t>
      </w:r>
      <w:r>
        <w:rPr>
          <w:rtl w:val="true"/>
        </w:rPr>
        <w:t xml:space="preserve">لو دخل قبل دفع المهر کان دینا علیه </w:t>
      </w:r>
      <w:r>
        <w:rPr>
          <w:rtl w:val="true"/>
        </w:rPr>
        <w:t>] » :</w:t>
      </w:r>
      <w:bookmarkEnd w:id="34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 قبل دفع المهر کان دیناً علیه وإن طالت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والأخبار </w:t>
      </w:r>
      <w:r>
        <w:rPr>
          <w:rStyle w:val="FootnoteAnchor"/>
          <w:rtl w:val="true"/>
        </w:rPr>
        <w:footnoteReference w:id="948"/>
      </w:r>
      <w:r>
        <w:rPr>
          <w:rFonts w:ascii="IRNazanin" w:hAnsi="IRNazanin" w:eastAsia="IRNazanin"/>
          <w:color w:val="111111"/>
          <w:sz w:val="28"/>
          <w:sz w:val="28"/>
          <w:szCs w:val="28"/>
          <w:rtl w:val="true"/>
          <w:lang w:bidi="fa-IR"/>
        </w:rPr>
        <w:t>وما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الدخول یهدم العاجل أو </w:t>
      </w:r>
      <w:r>
        <w:rPr>
          <w:rStyle w:val="FootnoteAnchor"/>
          <w:rtl w:val="true"/>
        </w:rPr>
        <w:footnoteReference w:id="949"/>
      </w:r>
      <w:r>
        <w:rPr>
          <w:rFonts w:ascii="Amiri" w:hAnsi="Amiri" w:eastAsia="Amiri" w:cs="Amiri"/>
          <w:color w:val="111111"/>
          <w:sz w:val="28"/>
          <w:sz w:val="28"/>
          <w:szCs w:val="28"/>
          <w:rtl w:val="true"/>
          <w:lang w:bidi="ar-SA"/>
        </w:rPr>
        <w:t xml:space="preserve">أنّ طول المدّة یسقطه </w:t>
      </w:r>
      <w:r>
        <w:rPr>
          <w:rStyle w:val="FootnoteAnchor"/>
          <w:rtl w:val="true"/>
        </w:rPr>
        <w:footnoteReference w:id="950"/>
      </w:r>
      <w:r>
        <w:rPr>
          <w:rFonts w:ascii="Amiri" w:hAnsi="Amiri" w:eastAsia="Amiri" w:cs="Amiri"/>
          <w:color w:val="111111"/>
          <w:sz w:val="28"/>
          <w:sz w:val="28"/>
          <w:szCs w:val="28"/>
          <w:rtl w:val="true"/>
          <w:lang w:bidi="ar-SA"/>
        </w:rPr>
        <w:t xml:space="preserve">شاذٌّ </w:t>
      </w:r>
      <w:r>
        <w:rPr>
          <w:rStyle w:val="FootnoteAnchor"/>
          <w:rtl w:val="true"/>
        </w:rPr>
        <w:footnoteReference w:id="951"/>
      </w:r>
      <w:bookmarkStart w:id="348" w:name="pg19810_214477"/>
    </w:p>
    <w:p>
      <w:pPr>
        <w:pStyle w:val="BookText"/>
        <w:rPr/>
      </w:pPr>
      <w:bookmarkEnd w:id="348"/>
      <w:r>
        <w:rPr>
          <w:rFonts w:ascii="IRNazanin" w:hAnsi="IRNazanin" w:eastAsia="IRNazanin"/>
          <w:color w:val="111111"/>
          <w:sz w:val="28"/>
          <w:sz w:val="28"/>
          <w:szCs w:val="28"/>
          <w:rtl w:val="true"/>
          <w:lang w:bidi="fa-IR"/>
        </w:rPr>
        <w:t>لا یُلتفت إلیه، أو مؤوّل بقبول قول الزوج فی براءته من المهر لو تنازعا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للمهر 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المتحقّق بغیبوبة الحشفة أو قدرها من مقطوعها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أوجب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أو دبراً، لا مجرّد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بالمرأة وإرخاء الستر علی وجهٍ ینتفی معه المانع من الوطء علی أصحّ القولین </w:t>
      </w:r>
      <w:r>
        <w:rPr>
          <w:rStyle w:val="FootnoteAnchor"/>
          <w:rtl w:val="true"/>
        </w:rPr>
        <w:footnoteReference w:id="952"/>
      </w:r>
      <w:r>
        <w:rPr>
          <w:rFonts w:ascii="IRNazanin" w:hAnsi="IRNazanin" w:eastAsia="IRNazanin"/>
          <w:color w:val="111111"/>
          <w:sz w:val="28"/>
          <w:sz w:val="28"/>
          <w:szCs w:val="28"/>
          <w:rtl w:val="true"/>
          <w:lang w:bidi="fa-IR"/>
        </w:rPr>
        <w:t>والأخبار فی ذلک مختلفة، ففی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وجوبه أجمع متوقّف علی الدخول </w:t>
      </w:r>
      <w:r>
        <w:rPr>
          <w:rStyle w:val="FootnoteAnchor"/>
          <w:rtl w:val="true"/>
        </w:rPr>
        <w:footnoteReference w:id="953"/>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بالخلوة </w:t>
      </w:r>
      <w:r>
        <w:rPr>
          <w:rStyle w:val="FootnoteAnchor"/>
          <w:rtl w:val="true"/>
        </w:rPr>
        <w:footnoteReference w:id="954"/>
      </w:r>
      <w:r>
        <w:rPr>
          <w:rFonts w:ascii="IRNazanin" w:hAnsi="IRNazanin" w:eastAsia="IRNazanin"/>
          <w:color w:val="111111"/>
          <w:sz w:val="28"/>
          <w:sz w:val="28"/>
          <w:szCs w:val="28"/>
          <w:rtl w:val="true"/>
          <w:lang w:bidi="fa-IR"/>
        </w:rPr>
        <w:t xml:space="preserve">والآیة </w:t>
      </w:r>
      <w:r>
        <w:rPr>
          <w:rStyle w:val="FootnoteAnchor"/>
          <w:rtl w:val="true"/>
        </w:rPr>
        <w:footnoteReference w:id="955"/>
      </w:r>
      <w:r>
        <w:rPr>
          <w:rFonts w:ascii="IRNazanin" w:hAnsi="IRNazanin" w:eastAsia="IRNazanin"/>
          <w:color w:val="111111"/>
          <w:sz w:val="28"/>
          <w:sz w:val="28"/>
          <w:szCs w:val="28"/>
          <w:rtl w:val="true"/>
          <w:lang w:bidi="fa-IR"/>
        </w:rPr>
        <w:t>ظاهرة فی الأوّل، ومعه مع ذلک الشهرةُ بین الأصحاب وکثرة الأخبار</w:t>
      </w:r>
      <w:r>
        <w:rPr>
          <w:rFonts w:eastAsia="IRNazanin" w:cs="IRNazanin"/>
          <w:color w:val="111111"/>
          <w:sz w:val="28"/>
          <w:szCs w:val="28"/>
          <w:rtl w:val="true"/>
          <w:lang w:bidi="fa-IR"/>
        </w:rPr>
        <w:t>.</w:t>
      </w:r>
    </w:p>
    <w:p>
      <w:pPr>
        <w:pStyle w:val="Heading5"/>
        <w:numPr>
          <w:ilvl w:val="4"/>
          <w:numId w:val="1"/>
        </w:numPr>
        <w:rPr/>
      </w:pPr>
      <w:bookmarkStart w:id="349" w:name="__RefHeading___Toc2175511_2314609296"/>
      <w:bookmarkStart w:id="350" w:name="_Toc130"/>
      <w:bookmarkEnd w:id="349"/>
      <w:r>
        <w:rPr>
          <w:rtl w:val="true"/>
        </w:rPr>
        <w:t>«</w:t>
      </w:r>
      <w:r>
        <w:rPr>
          <w:rtl w:val="true"/>
        </w:rPr>
        <w:t xml:space="preserve">الثالثة </w:t>
      </w:r>
      <w:r>
        <w:rPr>
          <w:rtl w:val="true"/>
        </w:rPr>
        <w:t>[</w:t>
      </w:r>
      <w:r>
        <w:rPr>
          <w:rtl w:val="true"/>
        </w:rPr>
        <w:t>لو أبرأته من الصداق ثم طلقها قبل الدخول رجع علیها بنصفه</w:t>
      </w:r>
      <w:r>
        <w:rPr>
          <w:rtl w:val="true"/>
        </w:rPr>
        <w:t>] » :</w:t>
      </w:r>
      <w:bookmarkEnd w:id="35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أبرأته من الصداق ثمّ طلّقها قبل الدخول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حین الإبراء کانت مالکة لجمیع المهر ملکاً تامّاً، وما یرجع إلیه بالطلاق ملک جدید؛ ولهذا کان نماؤه لها، فإذا طلّقها رجع علیها بنصفه، کما لو صادفها قد</w:t>
      </w:r>
      <w:bookmarkStart w:id="351" w:name="pg19810_214478"/>
    </w:p>
    <w:p>
      <w:pPr>
        <w:pStyle w:val="BookText"/>
        <w:rPr/>
      </w:pPr>
      <w:bookmarkEnd w:id="351"/>
      <w:r>
        <w:rPr>
          <w:rFonts w:ascii="IRNazanin" w:hAnsi="IRNazanin" w:eastAsia="IRNazanin"/>
          <w:color w:val="111111"/>
          <w:sz w:val="28"/>
          <w:sz w:val="28"/>
          <w:szCs w:val="28"/>
          <w:rtl w:val="true"/>
          <w:lang w:bidi="fa-IR"/>
        </w:rPr>
        <w:t>أتلفته، فإنّ تصرّفها فیه بالإبراء بمنزلة الإتلاف، فیرجع بنصفه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عیناً ووهبته إیّاها ثمّ طلّقها، فإنّه یرجع علیها بنصف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ضعیفاً عدم الرجوع فی صورة الإبراء؛ لأنّها لم تأخذ منه مالاً ولا نقلت إلیه الصداق؛ لأنّ الإبراء إسقاط لا تملیک، ولا أتلفته علیه، کما لو رجع الشاهدان بدَین فی ذمّة زید لعمرو بعد حکم الحاکم علیه وقبل الاستیفاء وکان قد أبرأ المشهود علیه، فإنّه لا یرجع علی الشاهدین بشیءٍ، ولو کان الإبراء إتلافاً علی من فی ذمّته لغرما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واضح، فإنّ حقّ المهر ثابت حال الإبراء فی ذمّة الزوج ظاهراً وباطناً، فإسقاط الحقّ بعد ثبوته متحقّق بخلاف مسألة الشاهد، فإنّ الحقّ لم یکن ثابتاً کذلک فلم تصادف البراءة حقّاً یسقط بالإبراء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علیها بنصفه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خلعها به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لاستحقاقه له ببذلها عوضاً مع الطلاق، فکان انتقاله عنها سابقاً علی استحقاقه النصف بالطلاق، فینزَّل منزلة المنتقل عنها حین استحقاقه النصف، فیرجع علیها بنصفه دیناً أو عیناً</w:t>
      </w:r>
      <w:r>
        <w:rPr>
          <w:rFonts w:eastAsia="IRNazanin" w:cs="IRNazanin"/>
          <w:color w:val="111111"/>
          <w:sz w:val="28"/>
          <w:szCs w:val="28"/>
          <w:rtl w:val="true"/>
          <w:lang w:bidi="fa-IR"/>
        </w:rPr>
        <w:t>.</w:t>
      </w:r>
    </w:p>
    <w:p>
      <w:pPr>
        <w:pStyle w:val="Heading5"/>
        <w:numPr>
          <w:ilvl w:val="4"/>
          <w:numId w:val="1"/>
        </w:numPr>
        <w:rPr/>
      </w:pPr>
      <w:bookmarkStart w:id="352" w:name="__RefHeading___Toc2175513_2314609296"/>
      <w:bookmarkStart w:id="353" w:name="_Toc131"/>
      <w:bookmarkEnd w:id="352"/>
      <w:r>
        <w:rPr>
          <w:rtl w:val="true"/>
        </w:rPr>
        <w:t>«</w:t>
      </w:r>
      <w:r>
        <w:rPr>
          <w:rtl w:val="true"/>
        </w:rPr>
        <w:t xml:space="preserve">الرابعة </w:t>
      </w:r>
      <w:r>
        <w:rPr>
          <w:rtl w:val="true"/>
        </w:rPr>
        <w:t>[</w:t>
      </w:r>
      <w:r>
        <w:rPr>
          <w:rtl w:val="true"/>
        </w:rPr>
        <w:t>جواز اشتراط ما یوافق الشرع فی عقد النکاح</w:t>
      </w:r>
      <w:r>
        <w:rPr>
          <w:rtl w:val="true"/>
        </w:rPr>
        <w:t>] » :</w:t>
      </w:r>
      <w:bookmarkEnd w:id="3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اشتراط ما یوافق </w:t>
      </w:r>
      <w:r>
        <w:rPr>
          <w:rStyle w:val="FootnoteAnchor"/>
          <w:rtl w:val="true"/>
        </w:rPr>
        <w:footnoteReference w:id="956"/>
      </w:r>
      <w:r>
        <w:rPr>
          <w:rFonts w:ascii="IRNazanin" w:hAnsi="IRNazanin" w:eastAsia="IRNazanin"/>
          <w:color w:val="111111"/>
          <w:sz w:val="28"/>
          <w:sz w:val="28"/>
          <w:szCs w:val="28"/>
          <w:rtl w:val="true"/>
          <w:lang w:bidi="fa-IR"/>
        </w:rPr>
        <w:t>الشرع فی 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من مقتضی عقد النکاح کأن تشترط علیه العدل فی القَسْم والنفقة، أو یشترط علیها أن یتزوّج علیها متی شاء، أو یتسرّی </w:t>
      </w:r>
      <w:r>
        <w:rPr>
          <w:rStyle w:val="FootnoteAnchor"/>
          <w:rtl w:val="true"/>
        </w:rPr>
        <w:footnoteReference w:id="957"/>
      </w:r>
      <w:r>
        <w:rPr>
          <w:rFonts w:ascii="IRNazanin" w:hAnsi="IRNazanin" w:eastAsia="IRNazanin"/>
          <w:color w:val="111111"/>
          <w:sz w:val="28"/>
          <w:sz w:val="28"/>
          <w:szCs w:val="28"/>
          <w:rtl w:val="true"/>
          <w:lang w:bidi="fa-IR"/>
        </w:rPr>
        <w:t>أو خارجاً عنه کشرط تأجیل المهر أو بعضه</w:t>
      </w:r>
    </w:p>
    <w:p>
      <w:pPr>
        <w:pStyle w:val="BookText"/>
        <w:rPr/>
      </w:pPr>
      <w:r>
        <w:rPr>
          <w:rFonts w:ascii="IRNazanin" w:hAnsi="IRNazanin" w:eastAsia="IRNazanin"/>
          <w:color w:val="111111"/>
          <w:sz w:val="28"/>
          <w:sz w:val="28"/>
          <w:szCs w:val="28"/>
          <w:rtl w:val="true"/>
          <w:lang w:bidi="fa-IR"/>
        </w:rPr>
        <w:t>إلی أجل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 ما یخالفه لغا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العقد والمهر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 أن لا یتزوّج علیها أو لا یتسرّی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یطأ، أو یطلّق کما فی نکاح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فساد الشرط حینئذٍ فواضح؛ لمخالفته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صحّة العقد فالظاهر إطباق الأصحاب علیه، وإلّا کان للنظر فیه مجال کما عُلم من غیره من العقود المشتملة علی الشرط الفاسد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قیل بفساد المهر خاصّة </w:t>
      </w:r>
      <w:r>
        <w:rPr>
          <w:rStyle w:val="FootnoteAnchor"/>
          <w:rtl w:val="true"/>
        </w:rPr>
        <w:footnoteReference w:id="959"/>
      </w:r>
      <w:r>
        <w:rPr>
          <w:rFonts w:ascii="IRNazanin" w:hAnsi="IRNazanin" w:eastAsia="IRNazanin"/>
          <w:color w:val="111111"/>
          <w:sz w:val="28"/>
          <w:sz w:val="28"/>
          <w:szCs w:val="28"/>
          <w:rtl w:val="true"/>
          <w:lang w:bidi="fa-IR"/>
        </w:rPr>
        <w:t xml:space="preserve">لأنّ الشرط کالعوض المضاف إلی الصداق، فهو فی حکم المال، والرجوع إلی قیمته متعذّر للجهالة، فیجهل </w:t>
      </w:r>
      <w:r>
        <w:rPr>
          <w:rStyle w:val="FootnoteAnchor"/>
          <w:rtl w:val="true"/>
        </w:rPr>
        <w:footnoteReference w:id="960"/>
      </w:r>
      <w:r>
        <w:rPr>
          <w:rFonts w:ascii="IRNazanin" w:hAnsi="IRNazanin" w:eastAsia="IRNazanin"/>
          <w:color w:val="111111"/>
          <w:sz w:val="28"/>
          <w:sz w:val="28"/>
          <w:szCs w:val="28"/>
          <w:rtl w:val="true"/>
          <w:lang w:bidi="fa-IR"/>
        </w:rPr>
        <w:t>الصداق فیرجع إلی مهر المثل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إبقاءها فی بلدها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شرط لا یخالف المشروع، فإنّ خصوصیّات الوطن أمر مطلوب للعقلاء بواسطة النشوء والأهل والاُنس وغیرها، فجاز شرطه توصّلاً إلی الغرض المباح، ولصحیحة أبی العبّاس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یتزوّج امرأة ویشترط أن لا یُخرِجها من بلدها،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 لها بذلک،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ذلک</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ولعموم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شرط إبقاءها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منصوصاً؛ لاتّحاد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الشرط فیهما </w:t>
      </w:r>
      <w:r>
        <w:rPr>
          <w:rStyle w:val="FootnoteAnchor"/>
          <w:rtl w:val="true"/>
        </w:rPr>
        <w:footnoteReference w:id="963"/>
      </w:r>
      <w:r>
        <w:rPr>
          <w:rFonts w:ascii="IRNazanin" w:hAnsi="IRNazanin" w:eastAsia="IRNazanin"/>
          <w:color w:val="111111"/>
          <w:sz w:val="28"/>
          <w:sz w:val="28"/>
          <w:szCs w:val="28"/>
          <w:rtl w:val="true"/>
          <w:lang w:bidi="fa-IR"/>
        </w:rPr>
        <w:t>لأنّ الاستمتاع بالزوجة فی الأزمنة والأمکنة حقّ الزوج بأصل الشرع، وکذا السلطنة له علیها، فإذا شرط ما یخالفه کان باطلاً، وحملوا الروایة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ذلک وارد فی سائر الشروط السائغة التی لیست بمقتضی العقد کتأجیل المهر، فإنّ استحقاقها المطالبة به فی کلّ زمان ومکان ثابت بأصل الشرع أیضاً، فالتزام عدم ذلک فی مدّة الأجل یکون مخالفاً، وکذا القول فی کلّ تأجیل ونحوه من الشروط السائغة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مثل ذلک لا یمنع، خصوصاً مع ورود النصّ الصحیح بجوازه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حمل الأمر المستفاد من الخبر الذی بمعناه علی الاستحباب فلا ریب أ نّه خلاف الحقیقة، فلا یصار إلیه مع إمکان الحمل علیها، وهو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بالجواز أوجه فی مسألة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المنزل فیمکن القول بالمنع فیه، وقوفاً فیما خالف الأصل علی موضع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التعدّی إلیه قوّة؛ لعموم الأدلّة واتّحاد طریق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المحلّة والموضع المخصوص حکم المنزل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ومتی حکمنا بصحّته لم یصحّ إسقاطه بوجه؛ لأنّه حقّ یتجدّد فی کلّ آن،</w:t>
      </w:r>
      <w:bookmarkStart w:id="354" w:name="pg19810_214481"/>
    </w:p>
    <w:p>
      <w:pPr>
        <w:pStyle w:val="BookText"/>
        <w:rPr/>
      </w:pPr>
      <w:bookmarkEnd w:id="354"/>
      <w:r>
        <w:rPr>
          <w:rFonts w:ascii="IRNazanin" w:hAnsi="IRNazanin" w:eastAsia="IRNazanin"/>
          <w:color w:val="111111"/>
          <w:sz w:val="28"/>
          <w:sz w:val="28"/>
          <w:szCs w:val="28"/>
          <w:rtl w:val="true"/>
          <w:lang w:bidi="fa-IR"/>
        </w:rPr>
        <w:t>فلا یُعقل إسقاط ما لم یوجد حکمه وإن وجد سببه</w:t>
      </w:r>
      <w:r>
        <w:rPr>
          <w:rFonts w:eastAsia="IRNazanin" w:cs="IRNazanin"/>
          <w:color w:val="111111"/>
          <w:sz w:val="28"/>
          <w:szCs w:val="28"/>
          <w:rtl w:val="true"/>
          <w:lang w:bidi="fa-IR"/>
        </w:rPr>
        <w:t>.</w:t>
      </w:r>
    </w:p>
    <w:p>
      <w:pPr>
        <w:pStyle w:val="Heading5"/>
        <w:numPr>
          <w:ilvl w:val="4"/>
          <w:numId w:val="1"/>
        </w:numPr>
        <w:rPr/>
      </w:pPr>
      <w:bookmarkStart w:id="355" w:name="__RefHeading___Toc2175515_2314609296"/>
      <w:bookmarkStart w:id="356" w:name="_Toc132"/>
      <w:bookmarkEnd w:id="355"/>
      <w:r>
        <w:rPr>
          <w:rtl w:val="true"/>
        </w:rPr>
        <w:t>«</w:t>
      </w:r>
      <w:r>
        <w:rPr>
          <w:rtl w:val="true"/>
        </w:rPr>
        <w:t xml:space="preserve">الخامسة </w:t>
      </w:r>
      <w:r>
        <w:rPr>
          <w:rtl w:val="true"/>
        </w:rPr>
        <w:t>[</w:t>
      </w:r>
      <w:r>
        <w:rPr>
          <w:rtl w:val="true"/>
        </w:rPr>
        <w:t xml:space="preserve">حکم ما لو اصدقها تعلیم صناعة ثم طلقها قبل الدخول </w:t>
      </w:r>
      <w:r>
        <w:rPr>
          <w:rtl w:val="true"/>
        </w:rPr>
        <w:t>] » :</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أصدقها تعلیم صناعة ثمّ طلّقها قبل الدخول کان لها نصف اُجرة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إمکان تعلیمها نصف الصنعة وهو الواجب لها بالطلاق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قد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بنصف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إمکان ارتجاع نفس الواجب فیرجع إلی عوضه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وإن أمکن تعلیم نصفها عقلاً إلّاأ نّه ممتنع شرعاً؛ لأنّها صارت أجنبیّة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یعلِّمها النصف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یعلِّمها الواجب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تحریم سماع صوتها مشروط بحالة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والسماع هنا من باب الضرورة</w:t>
      </w:r>
      <w:r>
        <w:rPr>
          <w:rFonts w:eastAsia="IRNazanin" w:cs="IRNazanin"/>
          <w:color w:val="111111"/>
          <w:sz w:val="28"/>
          <w:szCs w:val="28"/>
          <w:rtl w:val="true"/>
          <w:lang w:bidi="fa-IR"/>
        </w:rPr>
        <w:t>» .</w:t>
      </w:r>
    </w:p>
    <w:p>
      <w:pPr>
        <w:pStyle w:val="Heading5"/>
        <w:numPr>
          <w:ilvl w:val="4"/>
          <w:numId w:val="1"/>
        </w:numPr>
        <w:rPr/>
      </w:pPr>
      <w:bookmarkStart w:id="357" w:name="__RefHeading___Toc2175517_2314609296"/>
      <w:bookmarkStart w:id="358" w:name="_Toc133"/>
      <w:bookmarkEnd w:id="357"/>
      <w:r>
        <w:rPr>
          <w:rtl w:val="true"/>
        </w:rPr>
        <w:t>«</w:t>
      </w:r>
      <w:r>
        <w:rPr>
          <w:rtl w:val="true"/>
        </w:rPr>
        <w:t xml:space="preserve">السادسة </w:t>
      </w:r>
      <w:r>
        <w:rPr>
          <w:rtl w:val="true"/>
        </w:rPr>
        <w:t>[</w:t>
      </w:r>
      <w:r>
        <w:rPr>
          <w:rtl w:val="true"/>
        </w:rPr>
        <w:t>حکم ما لو اعتاضت عن المهر بدونه او ازید منه ثم طلقها</w:t>
      </w:r>
      <w:r>
        <w:rPr>
          <w:rtl w:val="true"/>
        </w:rPr>
        <w:t>] » :</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اعتاضت عن المهر بدونه أو أزید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بمغایره جنساً أو وصفاً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طلّقها رجع بنصف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الواجب بالطلاق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معاوضة جدیدة لا تعلّق له بها</w:t>
      </w:r>
      <w:r>
        <w:rPr>
          <w:rFonts w:eastAsia="IRNazanin" w:cs="IRNazanin"/>
          <w:color w:val="111111"/>
          <w:sz w:val="28"/>
          <w:szCs w:val="28"/>
          <w:rtl w:val="true"/>
          <w:lang w:bidi="fa-IR"/>
        </w:rPr>
        <w:t>.</w:t>
      </w:r>
    </w:p>
    <w:p>
      <w:pPr>
        <w:pStyle w:val="Heading5"/>
        <w:numPr>
          <w:ilvl w:val="4"/>
          <w:numId w:val="1"/>
        </w:numPr>
        <w:rPr/>
      </w:pPr>
      <w:bookmarkStart w:id="359" w:name="__RefHeading___Toc2175519_2314609296"/>
      <w:bookmarkStart w:id="360" w:name="_Toc134"/>
      <w:bookmarkEnd w:id="359"/>
      <w:r>
        <w:rPr>
          <w:rtl w:val="true"/>
        </w:rPr>
        <w:t>«</w:t>
      </w:r>
      <w:r>
        <w:rPr>
          <w:rtl w:val="true"/>
        </w:rPr>
        <w:t xml:space="preserve">السابعة </w:t>
      </w:r>
      <w:r>
        <w:rPr>
          <w:rtl w:val="true"/>
        </w:rPr>
        <w:t>[</w:t>
      </w:r>
      <w:r>
        <w:rPr>
          <w:rtl w:val="true"/>
        </w:rPr>
        <w:t>حکم لو وهبته نصف مهرها مشاعا او معینا</w:t>
      </w:r>
      <w:r>
        <w:rPr>
          <w:rtl w:val="true"/>
        </w:rPr>
        <w:t>] » :</w:t>
      </w:r>
      <w:bookmarkEnd w:id="36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وهبته نصف مهرها مشاعاً قبل الدخول فله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بقدر حقّه فینحصر فیه، ولأ نّه لا ینتقل مستحقّ العین إلی بدلها إلّابالتراضی أو تعذّر الرجوع لمانع أو تلف، والکلّ منتفٍ</w:t>
      </w:r>
      <w:r>
        <w:rPr>
          <w:rFonts w:eastAsia="IRNazanin" w:cs="IRNazanin"/>
          <w:color w:val="111111"/>
          <w:sz w:val="28"/>
          <w:szCs w:val="28"/>
          <w:rtl w:val="true"/>
          <w:lang w:bidi="fa-IR"/>
        </w:rPr>
        <w:t>.</w:t>
      </w:r>
      <w:bookmarkStart w:id="361" w:name="pg19810_214482"/>
    </w:p>
    <w:p>
      <w:pPr>
        <w:pStyle w:val="BookText"/>
        <w:rPr/>
      </w:pPr>
      <w:bookmarkEnd w:id="361"/>
      <w:r>
        <w:rPr>
          <w:rFonts w:ascii="IRNazanin" w:hAnsi="IRNazanin" w:eastAsia="IRNazanin"/>
          <w:color w:val="111111"/>
          <w:sz w:val="28"/>
          <w:sz w:val="28"/>
          <w:szCs w:val="28"/>
          <w:rtl w:val="true"/>
          <w:lang w:bidi="fa-IR"/>
        </w:rPr>
        <w:t>ویحتمل الرجوع إلی نصف النصف الموجود وبدل نصف الموهوب؛ لأنّ الهبة وردت علی مطلق النصف فیشیع فیکون حقّه فی الباقی والتالف، فیرجع بنصفه وببدل الذاهب، ویکون هذا هو المانع، وهو أحد الثلاثة المسوّغة للانتقال إلی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بأ نّه یؤدّی إلی الضرر بتبعیض حقّه، فیلزم ثبوت احتمال آخر، وهو تخیّره بین أخذ النصف الموجود وبین التشطیر المذکور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الموهوب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 فله نصف الباقی ونصف ما وهبته مثلاً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حقّه مشاع فی جمیع العین وقد ذهب نصفها معیّناً، فیرجع إلی بدله، بخلاف الموهوب علی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المهر عین، فلو کان دیناً وأبرأته من نصفه برئ من الکلّ وجهاً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تزوّجها بعبدین فمات أحدهما أو باعته، فللزوج نصف الباقی ونصف قیمة التالف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تلف علی ملکها واستحقاقه لنصفه تجدّد بالطلاق من غیر اعتبار الموجود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والتقریب ما تقدّم</w:t>
      </w:r>
      <w:r>
        <w:rPr>
          <w:rFonts w:eastAsia="IRNazanin" w:cs="IRNazanin"/>
          <w:color w:val="111111"/>
          <w:sz w:val="28"/>
          <w:szCs w:val="28"/>
          <w:rtl w:val="true"/>
          <w:lang w:bidi="fa-IR"/>
        </w:rPr>
        <w:t>.</w:t>
      </w:r>
    </w:p>
    <w:p>
      <w:pPr>
        <w:pStyle w:val="Heading5"/>
        <w:numPr>
          <w:ilvl w:val="4"/>
          <w:numId w:val="1"/>
        </w:numPr>
        <w:rPr/>
      </w:pPr>
      <w:bookmarkStart w:id="362" w:name="__RefHeading___Toc2175521_2314609296"/>
      <w:bookmarkStart w:id="363" w:name="_Toc135"/>
      <w:bookmarkEnd w:id="362"/>
      <w:r>
        <w:rPr>
          <w:rtl w:val="true"/>
        </w:rPr>
        <w:t>[ «</w:t>
      </w:r>
      <w:r>
        <w:rPr>
          <w:rtl w:val="true"/>
        </w:rPr>
        <w:t>الثامنة</w:t>
      </w:r>
      <w:r>
        <w:rPr>
          <w:rtl w:val="true"/>
        </w:rPr>
        <w:t>» : «</w:t>
      </w:r>
      <w:r>
        <w:rPr>
          <w:rtl w:val="true"/>
        </w:rPr>
        <w:t>للزوجة الامتناع قبل الدخول حتّی تقبض مهرها إن کان</w:t>
      </w:r>
      <w:r>
        <w:rPr>
          <w:rtl w:val="true"/>
        </w:rPr>
        <w:t>» ]</w:t>
      </w:r>
      <w:bookmarkEnd w:id="36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موسراً کان الزوج أم معسراً، عیناً کان المهر أم منفعة، متعیّناً کان أم فی الذمّة؛ لأنّ النکاح فی معنی المعاوضة وإن لم تکن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حکمها أنّ لکلّ من المتعاوضین الامتناع من التسلیم إلی أن یسلّم إلیه الآخر، فیجبرهما الحاکم علی التقابض معاً؛ لعدم الأولویّة، بوضع الصداق عند عدل إن لم یدفعه إلیها،</w:t>
      </w:r>
    </w:p>
    <w:p>
      <w:pPr>
        <w:pStyle w:val="BookText"/>
        <w:rPr/>
      </w:pPr>
      <w:r>
        <w:rPr>
          <w:rFonts w:ascii="IRNazanin" w:hAnsi="IRNazanin" w:eastAsia="IRNazanin"/>
          <w:color w:val="111111"/>
          <w:sz w:val="28"/>
          <w:sz w:val="28"/>
          <w:szCs w:val="28"/>
          <w:rtl w:val="true"/>
          <w:lang w:bidi="fa-IR"/>
        </w:rPr>
        <w:t>ویأمرها بالتمکین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لا یختلف علی تلک التقدیرات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قیل بأ نّه إذا کان معسراً لیس لها الامتناع؛ لمنع مطالبته </w:t>
      </w:r>
      <w:r>
        <w:rPr>
          <w:rStyle w:val="FootnoteAnchor"/>
          <w:rtl w:val="true"/>
        </w:rPr>
        <w:footnoteReference w:id="967"/>
      </w:r>
      <w:r>
        <w:rPr>
          <w:rFonts w:ascii="IRNazanin" w:hAnsi="IRNazanin" w:eastAsia="IRNazanin"/>
          <w:color w:val="111111"/>
          <w:sz w:val="28"/>
          <w:sz w:val="28"/>
          <w:szCs w:val="28"/>
          <w:rtl w:val="true"/>
          <w:lang w:bidi="fa-IR"/>
        </w:rPr>
        <w:t>ویُضعّف بأنّ منع المطالبة لا یقتضی وجوب التسلیم قبل قبض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بالحالّ عمّا لو کان مؤجَّلاً، فإنّ تمکینها لا یتوقّف علی قبضه؛ إذ لا یجب لها حینئذٍ شیء، فیبقی وجوب حقّه علیها بغیر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أقدمت علی فعل المحرَّم وامتنعت إلی أن حلّ الأجل ففی جواز امتناعها حینئذٍ إلی أن تقبضه تنزیلاً له منزلة الحالّ ابتداءً، وعدمه بناءً علی وجوب تمکینها قبل حلوله فیستصحب، ولأ نّها لمّا رضیت بالتأجیل بنت أمرها علی أن لا حقّ لها فی الامتناع فلا یثبت بعد ذلک؛ لانتفاء المقتضی، وجهان أجودهما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بعضه حالّاً وبعضه مؤجّلاً کان لکلّ منهما حکم مماثله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یجب تسلیمه إذا کانت مهیّأة للاستمتاع، فلو کانت ممنوعة بعذر وإن کان شرعیّاً کالإحرام لم یلزم؛ لأنّ الواجب التسلیم من الجانبین، فإذا تعذّر من أحدهما لم یجب من الآخر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صغیرة یحرم وطؤها فالأقوی وجوب تسلیم مهرها إذا طلبه الولیّ؛ لأنّه حقّ ثابت حالّ طلبه من له حقّ الطلب فیجب دفعه کغیره من الحقوق، وعدم قبض العوض الآخر جاء من قِبل الزوج حیث عقد علیها کذلک موجباً علی</w:t>
      </w:r>
    </w:p>
    <w:p>
      <w:pPr>
        <w:pStyle w:val="BookText"/>
        <w:rPr/>
      </w:pPr>
      <w:r>
        <w:rPr>
          <w:rFonts w:ascii="IRNazanin" w:hAnsi="IRNazanin" w:eastAsia="IRNazanin"/>
          <w:color w:val="111111"/>
          <w:sz w:val="28"/>
          <w:sz w:val="28"/>
          <w:szCs w:val="28"/>
          <w:rtl w:val="true"/>
          <w:lang w:bidi="fa-IR"/>
        </w:rPr>
        <w:t>نفسه عوضاً حالّاً، ورضی بتأخیر قبض المعوّض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النفقة؛ لأنّ سبب وجوبها التمکین التامّ، دون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عدم الوجوب قد عُلم ممّا سلف مع جوابه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لها بعد الدخول الامتناع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 القولین </w:t>
      </w:r>
      <w:r>
        <w:rPr>
          <w:rStyle w:val="FootnoteAnchor"/>
          <w:rtl w:val="true"/>
        </w:rPr>
        <w:footnoteReference w:id="970"/>
      </w:r>
      <w:r>
        <w:rPr>
          <w:rFonts w:ascii="IRNazanin" w:hAnsi="IRNazanin" w:eastAsia="IRNazanin"/>
          <w:color w:val="111111"/>
          <w:sz w:val="28"/>
          <w:sz w:val="28"/>
          <w:szCs w:val="28"/>
          <w:rtl w:val="true"/>
          <w:lang w:bidi="fa-IR"/>
        </w:rPr>
        <w:t xml:space="preserve">لاستقرار المهر بالوطء وقد حصل تسلیمها نفسها برضاها فانحصر حقّها فی المطالبة دون الامتناع، ولأنّ النکاح معاوضة ومتی سلّم أحد المتعاوضین العوض الذی من قبله باختیاره لم یکن له بعد ذلک حبسُه لیتسلّم </w:t>
      </w:r>
      <w:r>
        <w:rPr>
          <w:rStyle w:val="FootnoteAnchor"/>
          <w:rtl w:val="true"/>
        </w:rPr>
        <w:footnoteReference w:id="971"/>
      </w:r>
      <w:r>
        <w:rPr>
          <w:rFonts w:ascii="IRNazanin" w:hAnsi="IRNazanin" w:eastAsia="IRNazanin"/>
          <w:color w:val="111111"/>
          <w:sz w:val="28"/>
          <w:sz w:val="28"/>
          <w:szCs w:val="28"/>
          <w:rtl w:val="true"/>
          <w:lang w:bidi="fa-IR"/>
        </w:rPr>
        <w:t>العوض الآخر، ولأنّ منعها قبل الدخول ثابت بالإجماع ولا دلیل علیه بعده، فینتفی بالأصل، فإنّ التسلیم حقّ علیها والمهر حقّ علیه، والأصل عدم تعلّق أحدهما بالآخر، فیتمسّک به إلی أن یثبت الناقل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الامتناع کقبل الدخول </w:t>
      </w:r>
      <w:r>
        <w:rPr>
          <w:rStyle w:val="FootnoteAnchor"/>
          <w:rtl w:val="true"/>
        </w:rPr>
        <w:footnoteReference w:id="972"/>
      </w:r>
      <w:r>
        <w:rPr>
          <w:rFonts w:ascii="IRNazanin" w:hAnsi="IRNazanin" w:eastAsia="IRNazanin"/>
          <w:color w:val="111111"/>
          <w:sz w:val="28"/>
          <w:sz w:val="28"/>
          <w:szCs w:val="28"/>
          <w:rtl w:val="true"/>
          <w:lang w:bidi="fa-IR"/>
        </w:rPr>
        <w:t>لأنّ المقصود بعقد النکاح منافع البُضع، فیکون المهر فی مقابلها، ویکون تعلّق الوطء الأوّل به کتعلّق غیره</w:t>
      </w:r>
      <w:bookmarkStart w:id="364" w:name="pg19810_214485"/>
    </w:p>
    <w:p>
      <w:pPr>
        <w:pStyle w:val="BookText"/>
        <w:rPr/>
      </w:pPr>
      <w:bookmarkEnd w:id="364"/>
      <w:r>
        <w:rPr>
          <w:rFonts w:ascii="IRNazanin" w:hAnsi="IRNazanin" w:eastAsia="IRNazanin"/>
          <w:color w:val="111111"/>
          <w:sz w:val="28"/>
          <w:sz w:val="28"/>
          <w:szCs w:val="28"/>
          <w:rtl w:val="true"/>
          <w:lang w:bidi="fa-IR"/>
        </w:rPr>
        <w:t>والأقوی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سلّمت نفسها اختیاراً، فلو دخل بها کرهاً فحقّ الامتناع بحاله؛ لأ نّه قبض فاسد فلا یترتّب علیه أثر الصحیح، ولأصالة البقاء إلی أن یثبت المزیل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عدمه؛ لصدق القبض</w:t>
      </w:r>
      <w:r>
        <w:rPr>
          <w:rFonts w:eastAsia="IRNazanin" w:cs="IRNazanin"/>
          <w:color w:val="111111"/>
          <w:sz w:val="28"/>
          <w:szCs w:val="28"/>
          <w:rtl w:val="true"/>
          <w:lang w:bidi="fa-IR"/>
        </w:rPr>
        <w:t>.</w:t>
      </w:r>
    </w:p>
    <w:p>
      <w:pPr>
        <w:pStyle w:val="Heading5"/>
        <w:numPr>
          <w:ilvl w:val="4"/>
          <w:numId w:val="1"/>
        </w:numPr>
        <w:rPr/>
      </w:pPr>
      <w:bookmarkStart w:id="365" w:name="__RefHeading___Toc2175523_2314609296"/>
      <w:bookmarkStart w:id="366" w:name="_Toc136"/>
      <w:bookmarkEnd w:id="365"/>
      <w:r>
        <w:rPr>
          <w:rtl w:val="true"/>
        </w:rPr>
        <w:t>«</w:t>
      </w:r>
      <w:r>
        <w:rPr>
          <w:rtl w:val="true"/>
        </w:rPr>
        <w:t xml:space="preserve">التاسعة </w:t>
      </w:r>
      <w:r>
        <w:rPr>
          <w:rtl w:val="true"/>
        </w:rPr>
        <w:t>[</w:t>
      </w:r>
      <w:r>
        <w:rPr>
          <w:rtl w:val="true"/>
        </w:rPr>
        <w:t xml:space="preserve">حکم المهر فی ما اذا زوج الاب ولده الصغیر </w:t>
      </w:r>
      <w:r>
        <w:rPr>
          <w:rtl w:val="true"/>
        </w:rPr>
        <w:t>] » :</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الأب ولده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یبلغ ویرشد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وللولد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 بالمهر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ماله المهر،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له مال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ملک مقدار بعضه فهو فی ماله والباقی علی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بین الأصحاب، ونسبه فی التذکرة إلی علمائنا </w:t>
      </w:r>
      <w:r>
        <w:rPr>
          <w:rStyle w:val="FootnoteAnchor"/>
          <w:rtl w:val="true"/>
        </w:rPr>
        <w:footnoteReference w:id="973"/>
      </w:r>
      <w:r>
        <w:rPr>
          <w:rFonts w:ascii="IRNazanin" w:hAnsi="IRNazanin" w:eastAsia="IRNazanin"/>
          <w:color w:val="111111"/>
          <w:sz w:val="28"/>
          <w:sz w:val="28"/>
          <w:szCs w:val="28"/>
          <w:rtl w:val="true"/>
          <w:lang w:bidi="fa-IR"/>
        </w:rPr>
        <w:t>وهو یُشعر بالاتّفاق علیه، ثمّ اختار أنّ ذلک مع عدم شرطه کونَه علی الولد مطلقاً أو کونَه علیه مطلقاً وإلّا کان علی الولد فی الأوّل وعلیه فی الثانی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 قبل الدخول کان النصف المستعاد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للأب؛ لأنّ دفع الأب له کالهبة للابن، وملک الابن له بالطلاق ملک جدید، لا إبطال لملک المرأة السابق لیرجع إلی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طلّق قبل أن یدفع الأب عنه؛ لأنّ المرأة ملکته بالعقد وإن لم تقبضه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فی القواعد هنا بسقوط النصف عن الأب، وأنّ الابن لا یستحقّ مطالبته بشیء </w:t>
      </w:r>
      <w:r>
        <w:rPr>
          <w:rStyle w:val="FootnoteAnchor"/>
          <w:rtl w:val="true"/>
        </w:rPr>
        <w:footnoteReference w:id="974"/>
      </w:r>
      <w:r>
        <w:rPr>
          <w:rFonts w:ascii="IRNazanin" w:hAnsi="IRNazanin" w:eastAsia="IRNazanin"/>
          <w:color w:val="111111"/>
          <w:sz w:val="28"/>
          <w:sz w:val="28"/>
          <w:szCs w:val="28"/>
          <w:rtl w:val="true"/>
          <w:lang w:bidi="fa-IR"/>
        </w:rPr>
        <w:t>والفرق غیر واضح</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دفع الأب عن الولد الکبیر المهر تبرّعاً أو عن أجنبیّ ثمّ طلّق قبل</w:t>
      </w:r>
      <w:bookmarkStart w:id="367" w:name="pg19810_214486"/>
    </w:p>
    <w:p>
      <w:pPr>
        <w:pStyle w:val="BookText"/>
        <w:rPr/>
      </w:pPr>
      <w:bookmarkEnd w:id="367"/>
      <w:r>
        <w:rPr>
          <w:rFonts w:ascii="IRNazanin" w:hAnsi="IRNazanin" w:eastAsia="IRNazanin"/>
          <w:color w:val="111111"/>
          <w:sz w:val="28"/>
          <w:sz w:val="28"/>
          <w:szCs w:val="28"/>
          <w:rtl w:val="true"/>
          <w:lang w:bidi="fa-IR"/>
        </w:rPr>
        <w:t xml:space="preserve">الدخول ففی عود النصف إلی الدافع أو الزوج قولان </w:t>
      </w:r>
      <w:r>
        <w:rPr>
          <w:rStyle w:val="FootnoteAnchor"/>
          <w:rtl w:val="true"/>
        </w:rPr>
        <w:footnoteReference w:id="975"/>
      </w:r>
      <w:r>
        <w:rPr>
          <w:rFonts w:ascii="IRNazanin" w:hAnsi="IRNazanin" w:eastAsia="IRNazanin"/>
          <w:color w:val="111111"/>
          <w:sz w:val="28"/>
          <w:sz w:val="28"/>
          <w:szCs w:val="28"/>
          <w:rtl w:val="true"/>
          <w:lang w:bidi="fa-IR"/>
        </w:rPr>
        <w:t xml:space="preserve">من ملک المرأة له کالأوّل فیرجع إلی الزوج، ومن أنّ الکبیر لا یملک بغیر اختیاره، وإنّما أسقط </w:t>
      </w:r>
      <w:r>
        <w:rPr>
          <w:rStyle w:val="FootnoteAnchor"/>
          <w:rtl w:val="true"/>
        </w:rPr>
        <w:footnoteReference w:id="976"/>
      </w:r>
      <w:r>
        <w:rPr>
          <w:rFonts w:ascii="IRNazanin" w:hAnsi="IRNazanin" w:eastAsia="IRNazanin"/>
          <w:color w:val="111111"/>
          <w:sz w:val="28"/>
          <w:sz w:val="28"/>
          <w:szCs w:val="28"/>
          <w:rtl w:val="true"/>
          <w:lang w:bidi="fa-IR"/>
        </w:rPr>
        <w:t>عنه الحقّ، فإذا سقط نصفه رجع النصف إلی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کلام العلّامة هنا، ففی التذکرة قطع برجوعه إلی الزوج کالصغیر </w:t>
      </w:r>
      <w:r>
        <w:rPr>
          <w:rStyle w:val="FootnoteAnchor"/>
          <w:rtl w:val="true"/>
        </w:rPr>
        <w:footnoteReference w:id="977"/>
      </w:r>
      <w:r>
        <w:rPr>
          <w:rFonts w:ascii="IRNazanin" w:hAnsi="IRNazanin" w:eastAsia="IRNazanin"/>
          <w:color w:val="111111"/>
          <w:sz w:val="28"/>
          <w:sz w:val="28"/>
          <w:szCs w:val="28"/>
          <w:rtl w:val="true"/>
          <w:lang w:bidi="fa-IR"/>
        </w:rPr>
        <w:t xml:space="preserve">وفی التحریر قوّی عدمه </w:t>
      </w:r>
      <w:r>
        <w:rPr>
          <w:rStyle w:val="FootnoteAnchor"/>
          <w:rtl w:val="true"/>
        </w:rPr>
        <w:footnoteReference w:id="978"/>
      </w:r>
      <w:r>
        <w:rPr>
          <w:rFonts w:ascii="IRNazanin" w:hAnsi="IRNazanin" w:eastAsia="IRNazanin"/>
          <w:color w:val="111111"/>
          <w:sz w:val="28"/>
          <w:sz w:val="28"/>
          <w:szCs w:val="28"/>
          <w:rtl w:val="true"/>
          <w:lang w:bidi="fa-IR"/>
        </w:rPr>
        <w:t xml:space="preserve">واستشکل فی القواعد بعد حکمه بإلحاقه بالصغیر </w:t>
      </w:r>
      <w:r>
        <w:rPr>
          <w:rStyle w:val="FootnoteAnchor"/>
          <w:rtl w:val="true"/>
        </w:rPr>
        <w:footnoteReference w:id="979"/>
      </w:r>
      <w:r>
        <w:rPr>
          <w:rFonts w:ascii="IRNazanin" w:hAnsi="IRNazanin" w:eastAsia="IRNazanin"/>
          <w:color w:val="111111"/>
          <w:sz w:val="28"/>
          <w:sz w:val="28"/>
          <w:szCs w:val="28"/>
          <w:rtl w:val="true"/>
          <w:lang w:bidi="fa-IR"/>
        </w:rPr>
        <w:t>والأقوی الأوّل</w:t>
      </w:r>
      <w:r>
        <w:rPr>
          <w:rFonts w:eastAsia="IRNazanin" w:cs="IRNazanin"/>
          <w:color w:val="111111"/>
          <w:sz w:val="28"/>
          <w:szCs w:val="28"/>
          <w:rtl w:val="true"/>
          <w:lang w:bidi="fa-IR"/>
        </w:rPr>
        <w:t>.</w:t>
      </w:r>
    </w:p>
    <w:p>
      <w:pPr>
        <w:pStyle w:val="Heading5"/>
        <w:numPr>
          <w:ilvl w:val="4"/>
          <w:numId w:val="1"/>
        </w:numPr>
        <w:rPr/>
      </w:pPr>
      <w:bookmarkStart w:id="368" w:name="__RefHeading___Toc2175525_2314609296"/>
      <w:bookmarkStart w:id="369" w:name="_Toc137"/>
      <w:bookmarkEnd w:id="368"/>
      <w:r>
        <w:rPr>
          <w:rtl w:val="true"/>
        </w:rPr>
        <w:t>«</w:t>
      </w:r>
      <w:r>
        <w:rPr>
          <w:rtl w:val="true"/>
        </w:rPr>
        <w:t xml:space="preserve">العاشرة </w:t>
      </w:r>
      <w:r>
        <w:rPr>
          <w:rtl w:val="true"/>
        </w:rPr>
        <w:t>[</w:t>
      </w:r>
      <w:r>
        <w:rPr>
          <w:rtl w:val="true"/>
        </w:rPr>
        <w:t xml:space="preserve">حکم الاختلاف فی المهر </w:t>
      </w:r>
      <w:r>
        <w:rPr>
          <w:rtl w:val="true"/>
        </w:rPr>
        <w:t>] » :</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فادّعاها أحدهما وادّعی الآخر التفویض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لأصالة عدمها، فیثبت مقتضی عدمها من المتعة أو مهر المثل أو غیرهما </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القدر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البراءة من الزائد علی ما یعترف به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العلّامة فی القواعد تقدیم قول مَن یدّعی مهر المثل </w:t>
      </w:r>
      <w:r>
        <w:rPr>
          <w:rStyle w:val="FootnoteAnchor"/>
          <w:rtl w:val="true"/>
        </w:rPr>
        <w:footnoteReference w:id="981"/>
      </w:r>
      <w:r>
        <w:rPr>
          <w:rFonts w:ascii="IRNazanin" w:hAnsi="IRNazanin" w:eastAsia="IRNazanin"/>
          <w:color w:val="111111"/>
          <w:sz w:val="28"/>
          <w:sz w:val="28"/>
          <w:szCs w:val="28"/>
          <w:rtl w:val="true"/>
          <w:lang w:bidi="fa-IR"/>
        </w:rPr>
        <w:t>عملاً بالظاهر من عدم العقد علی ما دونه، وأ نّه الأصل فی عوض الوطء المجرّد عنه کالشبهة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مقدَّم علی الظاهر عند التعارض إلّافیما ندر، وإنّما یکون عوضاً عن وطءٍ مجرّدٍ </w:t>
      </w:r>
      <w:r>
        <w:rPr>
          <w:rStyle w:val="FootnoteAnchor"/>
          <w:rtl w:val="true"/>
        </w:rPr>
        <w:footnoteReference w:id="982"/>
      </w:r>
      <w:r>
        <w:rPr>
          <w:rFonts w:ascii="IRNazanin" w:hAnsi="IRNazanin" w:eastAsia="IRNazanin"/>
          <w:color w:val="111111"/>
          <w:sz w:val="28"/>
          <w:sz w:val="28"/>
          <w:szCs w:val="28"/>
          <w:rtl w:val="true"/>
          <w:lang w:bidi="fa-IR"/>
        </w:rPr>
        <w:t>عن العقد، أو فی مواضع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النزاع قبل الدخول فلا اشتباه فی تقدیم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بقبول قولها فی مهر المثل فما دون مع الدخول؛ لتطابق الأصل والظاهر علیه؛ إذ الأصل عدم التسمیة وهو موجب له حینئذٍ والظاهر تسمیته، وعدمِ قبوله قبلَه لأصالة البراءة وعدم التسمیة،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اختلافهما فی القدر بعد اتّفاقهما علی التسمیة قُدّم قول الزوج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لو اختلفا فی أصل المهر أو ادّعت الزوجة مهراً ولم یمکن الجواب من قِبَل الزوج أو وارثه؛ لصغر أو غیبة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کالجیّد والردیء والصحیح والمکسَّر، فإنّ القول قول الزوج مع الیمین، سواء کان النزاع قبل الدخول أم بعده، وسواء وافق أحدهما مهرَ المثل أم لا؛ لأنّه الغارم فیقبل قوله فیه کما یقبل فی القدر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التسلیم یقدَّم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 واستصحاب اشتغال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 للشیخ </w:t>
      </w:r>
      <w:r>
        <w:rPr>
          <w:rStyle w:val="FootnoteAnchor"/>
          <w:rtl w:val="true"/>
        </w:rPr>
        <w:footnoteReference w:id="983"/>
      </w:r>
      <w:r>
        <w:rPr>
          <w:rFonts w:ascii="Amiri" w:hAnsi="Amiri" w:eastAsia="Amiri" w:cs="Amiri"/>
          <w:color w:val="111111"/>
          <w:sz w:val="28"/>
          <w:sz w:val="28"/>
          <w:szCs w:val="28"/>
          <w:rtl w:val="true"/>
          <w:lang w:bidi="ar-SA"/>
        </w:rPr>
        <w:t xml:space="preserve">إنّه بعد تسلیم نفسها یُقدَّم قوله استناداً إلی روایة </w:t>
      </w:r>
      <w:r>
        <w:rPr>
          <w:rStyle w:val="FootnoteAnchor"/>
          <w:rtl w:val="true"/>
        </w:rPr>
        <w:footnoteReference w:id="984"/>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المواقعة لو أنکرها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لیندفع عنه نصف المهر بالطلاق 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مع الخلوة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مانع معها من الوطء شرعاً ولا عقلاً ولا عرفاً </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بالظاهر من حال الصحیح إذا خلا بالحلیلة، وللأخبار الدالّة علی وجوب المهر بالخلوة التامّة بحملها علی کونه دخل بشهادة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والأشهر الأوّل </w:t>
      </w:r>
      <w:r>
        <w:rPr>
          <w:rStyle w:val="FootnoteAnchor"/>
          <w:rtl w:val="true"/>
        </w:rPr>
        <w:footnoteReference w:id="986"/>
      </w:r>
      <w:r>
        <w:rPr>
          <w:rFonts w:ascii="IRNazanin" w:hAnsi="IRNazanin" w:eastAsia="IRNazanin"/>
          <w:color w:val="111111"/>
          <w:sz w:val="28"/>
          <w:sz w:val="28"/>
          <w:szCs w:val="28"/>
          <w:rtl w:val="true"/>
          <w:lang w:bidi="fa-IR"/>
        </w:rPr>
        <w:t>ترجیحاً للأصل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 اختلاف ورثتهما أو أحدهما مع الآخر حکمه</w:t>
      </w:r>
      <w:r>
        <w:rPr>
          <w:rFonts w:eastAsia="IRNazanin" w:cs="IRNazanin"/>
          <w:color w:val="111111"/>
          <w:sz w:val="28"/>
          <w:szCs w:val="28"/>
          <w:rtl w:val="true"/>
          <w:lang w:bidi="fa-IR"/>
        </w:rPr>
        <w:t>.</w:t>
      </w:r>
      <w:bookmarkStart w:id="370" w:name="pg19810_214489"/>
    </w:p>
    <w:p>
      <w:pPr>
        <w:pStyle w:val="Heading3"/>
        <w:numPr>
          <w:ilvl w:val="2"/>
          <w:numId w:val="1"/>
        </w:numPr>
        <w:rPr/>
      </w:pPr>
      <w:bookmarkStart w:id="371" w:name="__RefHeading___Toc2175527_2314609296"/>
      <w:bookmarkStart w:id="372" w:name="_Toc138"/>
      <w:bookmarkEnd w:id="370"/>
      <w:bookmarkEnd w:id="371"/>
      <w:r>
        <w:rPr>
          <w:rtl w:val="true"/>
        </w:rPr>
        <w:t>«</w:t>
      </w:r>
      <w:r>
        <w:rPr>
          <w:rtl w:val="true"/>
        </w:rPr>
        <w:t>الفصل السابع</w:t>
      </w:r>
      <w:r>
        <w:rPr>
          <w:rtl w:val="true"/>
        </w:rPr>
        <w:t>»</w:t>
      </w:r>
      <w:bookmarkEnd w:id="372"/>
    </w:p>
    <w:p>
      <w:pPr>
        <w:pStyle w:val="Heading4"/>
        <w:numPr>
          <w:ilvl w:val="3"/>
          <w:numId w:val="1"/>
        </w:numPr>
        <w:rPr/>
      </w:pPr>
      <w:bookmarkStart w:id="373" w:name="__RefHeading___Toc2175529_2314609296"/>
      <w:bookmarkStart w:id="374" w:name="_Toc139"/>
      <w:bookmarkEnd w:id="373"/>
      <w:r>
        <w:rPr>
          <w:rtl w:val="true"/>
        </w:rPr>
        <w:t>اشارة</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العیوب والتدلیس</w:t>
      </w:r>
      <w:r>
        <w:rPr>
          <w:rFonts w:eastAsia="IRNazanin" w:cs="IRNazanin"/>
          <w:color w:val="111111"/>
          <w:sz w:val="28"/>
          <w:szCs w:val="28"/>
          <w:rtl w:val="true"/>
          <w:lang w:bidi="fa-IR"/>
        </w:rPr>
        <w:t>»</w:t>
      </w:r>
    </w:p>
    <w:p>
      <w:pPr>
        <w:pStyle w:val="Heading4"/>
        <w:numPr>
          <w:ilvl w:val="3"/>
          <w:numId w:val="1"/>
        </w:numPr>
        <w:rPr/>
      </w:pPr>
      <w:bookmarkStart w:id="375" w:name="__RefHeading___Toc2175531_2314609296"/>
      <w:bookmarkStart w:id="376" w:name="_Toc140"/>
      <w:bookmarkEnd w:id="375"/>
      <w:r>
        <w:rPr>
          <w:rtl w:val="true"/>
        </w:rPr>
        <w:t>[</w:t>
      </w:r>
      <w:r>
        <w:rPr>
          <w:rtl w:val="true"/>
        </w:rPr>
        <w:t xml:space="preserve">عیوب الرجل </w:t>
      </w:r>
      <w:r>
        <w:rPr>
          <w:rtl w:val="true"/>
        </w:rPr>
        <w:t>]</w:t>
      </w:r>
      <w:bookmarkEnd w:id="37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العیوب المجوّزة لفسخ النکاح علی الوجه الذی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الزوج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والخصاء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الخاء مع المدّ، وهو سلّ الاُنثیین وإن أمکن الوطء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قطع مجموع الذکر، أو ما لا یبقی معه قدر الحشفة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مرض یعجز معه عن الإیلاج؛ لضعف الذکر عن الانتشار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وهو مرض یظهر معه یبس الأعضاء وتناثر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w:t>
      </w:r>
      <w:r>
        <w:rPr>
          <w:rStyle w:val="FootnoteAnchor"/>
          <w:rtl w:val="true"/>
        </w:rPr>
        <w:footnoteReference w:id="987"/>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988"/>
      </w:r>
      <w:r>
        <w:rPr>
          <w:rFonts w:ascii="IRNazanin" w:hAnsi="IRNazanin" w:eastAsia="IRNazanin"/>
          <w:color w:val="111111"/>
          <w:sz w:val="28"/>
          <w:sz w:val="28"/>
          <w:szCs w:val="28"/>
          <w:rtl w:val="true"/>
          <w:lang w:bidi="fa-IR"/>
        </w:rPr>
        <w:t xml:space="preserve">واستحسنه فی المختلف </w:t>
      </w:r>
      <w:r>
        <w:rPr>
          <w:rStyle w:val="FootnoteAnchor"/>
          <w:rtl w:val="true"/>
        </w:rPr>
        <w:footnoteReference w:id="989"/>
      </w:r>
      <w:r>
        <w:rPr>
          <w:rFonts w:ascii="IRNazanin" w:hAnsi="IRNazanin" w:eastAsia="IRNazanin"/>
          <w:color w:val="111111"/>
          <w:sz w:val="28"/>
          <w:sz w:val="28"/>
          <w:szCs w:val="28"/>
          <w:rtl w:val="true"/>
          <w:lang w:bidi="fa-IR"/>
        </w:rPr>
        <w:t xml:space="preserve">وقوّاه المحقّق الشیخ علی </w:t>
      </w:r>
      <w:r>
        <w:rPr>
          <w:rStyle w:val="FootnoteAnchor"/>
          <w:rtl w:val="true"/>
        </w:rPr>
        <w:footnoteReference w:id="990"/>
      </w:r>
      <w:r>
        <w:rPr>
          <w:rFonts w:ascii="IRNazanin" w:hAnsi="IRNazanin" w:eastAsia="IRNazanin"/>
          <w:color w:val="111111"/>
          <w:sz w:val="28"/>
          <w:sz w:val="28"/>
          <w:szCs w:val="28"/>
          <w:rtl w:val="true"/>
          <w:lang w:bidi="fa-IR"/>
        </w:rPr>
        <w:t>لعموم قول الصادق علیه السلام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یردّ النکاح من البرص والجذام والجنون والعفل</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فإنّه عامّ فی الرجل والمرأة إلّاما أخرجه الدلیل، ولأدائه إلی الضرر المنفیّ، فإنّه من الأمراض المُعدیة باتّفاق الأطبّاء، وقد رُوی أ 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من المجذوم فرارَک من</w:t>
      </w:r>
    </w:p>
    <w:p>
      <w:pPr>
        <w:pStyle w:val="BookText"/>
        <w:rPr/>
      </w:pP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طریق إلی التخلّص، ولا طریق للمرأة إلّاالخیار، والنصّ </w:t>
      </w:r>
      <w:r>
        <w:rPr>
          <w:rStyle w:val="FootnoteAnchor"/>
          <w:rtl w:val="true"/>
        </w:rPr>
        <w:footnoteReference w:id="993"/>
      </w:r>
      <w:r>
        <w:rPr>
          <w:rFonts w:ascii="IRNazanin" w:hAnsi="IRNazanin" w:eastAsia="IRNazanin"/>
          <w:color w:val="111111"/>
          <w:sz w:val="28"/>
          <w:sz w:val="28"/>
          <w:szCs w:val="28"/>
          <w:rtl w:val="true"/>
          <w:lang w:bidi="fa-IR"/>
        </w:rPr>
        <w:t xml:space="preserve">والفتوی </w:t>
      </w:r>
      <w:r>
        <w:rPr>
          <w:rStyle w:val="FootnoteAnchor"/>
          <w:rtl w:val="true"/>
        </w:rPr>
        <w:footnoteReference w:id="994"/>
      </w:r>
      <w:r>
        <w:rPr>
          <w:rFonts w:ascii="IRNazanin" w:hAnsi="IRNazanin" w:eastAsia="IRNazanin"/>
          <w:color w:val="111111"/>
          <w:sz w:val="28"/>
          <w:sz w:val="28"/>
          <w:szCs w:val="28"/>
          <w:rtl w:val="true"/>
          <w:lang w:bidi="fa-IR"/>
        </w:rPr>
        <w:t>الدالّان علی کونه عیباً فی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وسیلة الرجل إلی الفُرقة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یقتضیه فی الرجل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الأکثر إلی عدم ثبوت الخیار لها به تمسّکاً بالأصل، ولروایة غیاث الضُبّی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لا یُردّ من عیب</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فإنّه یتناول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قوّة القول الأوّل ورجحان روایته؛ لصحّتها وشهرتها مع ما ضمّ إلیها وهی ناقلة عن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القائل بکونه عیباً فی الرجل ألحق به البرص؛ لوجوده معه فی النصّ الصحیح، ومشارکته له فی الضرر والإضرار والعدوی، فکان ینبغی ذکره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بین الجنون المطبق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المستوعب لجمیع أوقاته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ینوب أدواراً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العقد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بکونه عیباً الصادق لجمیع ما ذُکر؛ لأنّ الجنون فنون، والجامع لها فساد العقل علی أیّ وجه کان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الأخبار تصریح بجواز فسخها بالحادث منه بعد العقد </w:t>
      </w:r>
      <w:r>
        <w:rPr>
          <w:rStyle w:val="FootnoteAnchor"/>
          <w:rtl w:val="true"/>
        </w:rPr>
        <w:footnoteReference w:id="996"/>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فیه کونه بحیث لا یعقل أوقات الصلوات </w:t>
      </w:r>
      <w:r>
        <w:rPr>
          <w:rStyle w:val="FootnoteAnchor"/>
          <w:rtl w:val="true"/>
        </w:rPr>
        <w:footnoteReference w:id="997"/>
      </w:r>
      <w:r>
        <w:rPr>
          <w:rFonts w:ascii="IRNazanin" w:hAnsi="IRNazanin" w:eastAsia="IRNazanin"/>
          <w:color w:val="111111"/>
          <w:sz w:val="28"/>
          <w:sz w:val="28"/>
          <w:szCs w:val="28"/>
          <w:rtl w:val="true"/>
          <w:lang w:bidi="fa-IR"/>
        </w:rPr>
        <w:t>ولیس علیه دلیل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معنی الخصاء الوِجاء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أوّله والمدّ، وهو رَضّ الخصیتین بحیث تبطل قوّتهما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أفراد الخصاء </w:t>
      </w:r>
      <w:r>
        <w:rPr>
          <w:rStyle w:val="FootnoteAnchor"/>
          <w:rtl w:val="true"/>
        </w:rPr>
        <w:footnoteReference w:id="999"/>
      </w:r>
      <w:r>
        <w:rPr>
          <w:rFonts w:ascii="IRNazanin" w:hAnsi="IRNazanin" w:eastAsia="IRNazanin"/>
          <w:color w:val="111111"/>
          <w:sz w:val="28"/>
          <w:sz w:val="28"/>
          <w:szCs w:val="28"/>
          <w:rtl w:val="true"/>
          <w:lang w:bidi="fa-IR"/>
        </w:rPr>
        <w:t>فیتناوله نصّه أو یشارکه فی العلّة المقتضیة للحکم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الجبّ أن لا یبقی قدر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بقی قدرها فلا خیار؛ لإمکان الوطء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العُنّة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یعجز عن الوطء فی القُبُل والدُبُر منها ومن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وطئها فی ذلک النکاح ولو مرّة أو وطئ غیرها فلیس بعنّین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عجز عن الوطء قُبُلاً وقدر علیه دُ بُراً عند من یجوّزه؛ لتحقّق القدرة المنافیة 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تحقّق العجز عن ذلک أجمع فإنّما تفسخ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أمرها إلی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وإنظاره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المرافعة، فإذا مضت أجمع وهو عاجز عن الوطء فی الفصول الأربعة جاز لها الفسخ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ترفع أمرها إلیه وإن کان حیاءً فلا خیار لها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احتیج إلی مُضیّ السنة هنا دون غیره من العیوب؛ لجواز کون تعذّر الجماع لعارض حرارة فیزول فی الشتاء، أو برودة فیزول فی الصیف، أو رطوبة فیزول فی الخریف، أو یبوسة فیزول فی الربیع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الجذام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بظهوره علی البدن أو شهادة عدلین أو تصادقهما علیه، لا مجرّد ظهور أماراته من تعجُّر الوجه </w:t>
      </w:r>
      <w:r>
        <w:rPr>
          <w:rStyle w:val="FootnoteAnchor"/>
          <w:rtl w:val="true"/>
        </w:rPr>
        <w:footnoteReference w:id="1000"/>
      </w:r>
      <w:r>
        <w:rPr>
          <w:rFonts w:ascii="IRNazanin" w:hAnsi="IRNazanin" w:eastAsia="IRNazanin"/>
          <w:color w:val="111111"/>
          <w:sz w:val="28"/>
          <w:sz w:val="28"/>
          <w:szCs w:val="28"/>
          <w:rtl w:val="true"/>
          <w:lang w:bidi="fa-IR"/>
        </w:rPr>
        <w:t xml:space="preserve">واحمراره أو اسوداده، واستدارة العین وکمودتها </w:t>
      </w:r>
      <w:r>
        <w:rPr>
          <w:rStyle w:val="FootnoteAnchor"/>
          <w:rtl w:val="true"/>
        </w:rPr>
        <w:footnoteReference w:id="1001"/>
      </w:r>
      <w:r>
        <w:rPr>
          <w:rFonts w:ascii="IRNazanin" w:hAnsi="IRNazanin" w:eastAsia="IRNazanin"/>
          <w:color w:val="111111"/>
          <w:sz w:val="28"/>
          <w:sz w:val="28"/>
          <w:szCs w:val="28"/>
          <w:rtl w:val="true"/>
          <w:lang w:bidi="fa-IR"/>
        </w:rPr>
        <w:t xml:space="preserve">إلی حمرة </w:t>
      </w:r>
      <w:r>
        <w:rPr>
          <w:rStyle w:val="FootnoteAnchor"/>
          <w:rtl w:val="true"/>
        </w:rPr>
        <w:footnoteReference w:id="1002"/>
      </w:r>
      <w:r>
        <w:rPr>
          <w:rFonts w:ascii="Amiri" w:hAnsi="Amiri" w:eastAsia="Amiri" w:cs="Amiri"/>
          <w:color w:val="111111"/>
          <w:sz w:val="28"/>
          <w:sz w:val="28"/>
          <w:szCs w:val="28"/>
          <w:rtl w:val="true"/>
          <w:lang w:bidi="ar-SA"/>
        </w:rPr>
        <w:t xml:space="preserve">وضیق النَفَس، وبُحّة </w:t>
      </w:r>
      <w:r>
        <w:rPr>
          <w:rStyle w:val="FootnoteAnchor"/>
          <w:rtl w:val="true"/>
        </w:rPr>
        <w:footnoteReference w:id="1003"/>
      </w:r>
      <w:r>
        <w:rPr>
          <w:rFonts w:ascii="IRNazanin" w:hAnsi="IRNazanin" w:eastAsia="IRNazanin"/>
          <w:color w:val="111111"/>
          <w:sz w:val="28"/>
          <w:sz w:val="28"/>
          <w:szCs w:val="28"/>
          <w:rtl w:val="true"/>
          <w:lang w:bidi="fa-IR"/>
        </w:rPr>
        <w:t>الصوت، ونَتَن العرق، وتساقط الشعر، فإنّ ذلک قد یعرض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مجموع هذه العلامات قد یفید أهل الخبرة به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علی تحقّقه کیف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تجدّدت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العیوب غیر الجنون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 فلا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بأصالة لزوم العقد، واستصحاباً لحکمه مع عدم دلیل صالح علی ثبوت الفسخ</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یفسخ بها مطلقاً </w:t>
      </w:r>
      <w:r>
        <w:rPr>
          <w:rStyle w:val="FootnoteAnchor"/>
          <w:rtl w:val="true"/>
        </w:rPr>
        <w:footnoteReference w:id="1004"/>
      </w:r>
      <w:r>
        <w:rPr>
          <w:rFonts w:ascii="IRNazanin" w:hAnsi="IRNazanin" w:eastAsia="IRNazanin"/>
          <w:color w:val="111111"/>
          <w:sz w:val="28"/>
          <w:sz w:val="28"/>
          <w:szCs w:val="28"/>
          <w:rtl w:val="true"/>
          <w:lang w:bidi="fa-IR"/>
        </w:rPr>
        <w:t xml:space="preserve">نظراً إلی إطلاق الأخبار بکونها عیوباً </w:t>
      </w:r>
      <w:r>
        <w:rPr>
          <w:rStyle w:val="FootnoteAnchor"/>
          <w:rtl w:val="true"/>
        </w:rPr>
        <w:footnoteReference w:id="1005"/>
      </w:r>
      <w:r>
        <w:rPr>
          <w:rFonts w:ascii="IRNazanin" w:hAnsi="IRNazanin" w:eastAsia="IRNazanin"/>
          <w:color w:val="111111"/>
          <w:sz w:val="28"/>
          <w:sz w:val="28"/>
          <w:szCs w:val="28"/>
          <w:rtl w:val="true"/>
          <w:lang w:bidi="fa-IR"/>
        </w:rPr>
        <w:t>الشامل لموضع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منها ممّا یدلّ علی عدم الفسخ بعد العقد </w:t>
      </w:r>
      <w:r>
        <w:rPr>
          <w:rStyle w:val="FootnoteAnchor"/>
          <w:rtl w:val="true"/>
        </w:rPr>
        <w:footnoteReference w:id="1006"/>
      </w:r>
      <w:r>
        <w:rPr>
          <w:rFonts w:ascii="IRNazanin" w:hAnsi="IRNazanin" w:eastAsia="IRNazanin"/>
          <w:color w:val="111111"/>
          <w:sz w:val="28"/>
          <w:sz w:val="28"/>
          <w:szCs w:val="28"/>
          <w:rtl w:val="true"/>
          <w:lang w:bidi="fa-IR"/>
        </w:rPr>
        <w:t xml:space="preserve">غیر مقاوم لها دلالة وسنداً </w:t>
      </w:r>
      <w:r>
        <w:rPr>
          <w:rStyle w:val="FootnoteAnchor"/>
          <w:rtl w:val="true"/>
        </w:rPr>
        <w:footnoteReference w:id="1007"/>
      </w:r>
      <w:r>
        <w:rPr>
          <w:rFonts w:ascii="IRNazanin" w:hAnsi="IRNazanin" w:eastAsia="IRNazanin"/>
          <w:color w:val="111111"/>
          <w:sz w:val="28"/>
          <w:sz w:val="28"/>
          <w:szCs w:val="28"/>
          <w:rtl w:val="true"/>
          <w:lang w:bidi="fa-IR"/>
        </w:rPr>
        <w:t>ولمشارکة ما بعد العقد لما قبله فی الضرر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آخرون فحکموا بالفسخ قبل الدخول لا بعده </w:t>
      </w:r>
      <w:r>
        <w:rPr>
          <w:rStyle w:val="FootnoteAnchor"/>
          <w:rtl w:val="true"/>
        </w:rPr>
        <w:footnoteReference w:id="1008"/>
      </w:r>
      <w:r>
        <w:rPr>
          <w:rFonts w:ascii="IRNazanin" w:hAnsi="IRNazanin" w:eastAsia="IRNazanin"/>
          <w:color w:val="111111"/>
          <w:sz w:val="28"/>
          <w:sz w:val="28"/>
          <w:szCs w:val="28"/>
          <w:rtl w:val="true"/>
          <w:lang w:bidi="fa-IR"/>
        </w:rPr>
        <w:t xml:space="preserve">استناداً إلی خبرین </w:t>
      </w:r>
      <w:r>
        <w:rPr>
          <w:rStyle w:val="FootnoteAnchor"/>
          <w:rtl w:val="true"/>
        </w:rPr>
        <w:footnoteReference w:id="1009"/>
      </w:r>
      <w:r>
        <w:rPr>
          <w:rFonts w:ascii="IRNazanin" w:hAnsi="IRNazanin" w:eastAsia="IRNazanin"/>
          <w:color w:val="111111"/>
          <w:sz w:val="28"/>
          <w:sz w:val="28"/>
          <w:szCs w:val="28"/>
          <w:rtl w:val="true"/>
          <w:lang w:bidi="fa-IR"/>
        </w:rPr>
        <w:t>لا ینهضان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فی المختلف </w:t>
      </w:r>
      <w:r>
        <w:rPr>
          <w:rStyle w:val="FootnoteAnchor"/>
          <w:rtl w:val="true"/>
        </w:rPr>
        <w:footnoteReference w:id="1010"/>
      </w:r>
      <w:r>
        <w:rPr>
          <w:rFonts w:ascii="IRNazanin" w:hAnsi="IRNazanin" w:eastAsia="IRNazanin"/>
          <w:color w:val="111111"/>
          <w:sz w:val="28"/>
          <w:sz w:val="28"/>
          <w:szCs w:val="28"/>
          <w:rtl w:val="true"/>
          <w:lang w:bidi="fa-IR"/>
        </w:rPr>
        <w:t>وله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رحمه الله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فلها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ویضعَّف بأ نّه إن کان مشکلاً فالنکاح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رفعه إلی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محکوماً بذکوریّته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بإحدی العلامات الموجبة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للفسخ؛ لأنّه کزیادة عضو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کان هو الزوجة وحُکم باُنوثیّتها؛ لأ نّه حینئذٍ کالزیادة فی المرأة، وهی غیر مجوّزة للفسخ علی التقدیرین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قیل </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موضع الخلاف ما لو کان محکوماً علیه بأحد القسمین، ووجه الخیار حینئذٍ أنّ العلامة الدالّة علیه ظنّیّة لا تدفع النفرة والعار عن الآخر، وهما ضرران منفیّان</w:t>
      </w:r>
      <w:r>
        <w:rPr>
          <w:rFonts w:eastAsia="IRNazanin" w:cs="IRNazanin"/>
          <w:color w:val="111111"/>
          <w:sz w:val="28"/>
          <w:szCs w:val="28"/>
          <w:rtl w:val="true"/>
          <w:lang w:bidi="fa-IR"/>
        </w:rPr>
        <w:t>.</w:t>
      </w:r>
      <w:bookmarkStart w:id="377" w:name="pg19810_214494"/>
    </w:p>
    <w:p>
      <w:pPr>
        <w:pStyle w:val="BookText"/>
        <w:rPr/>
      </w:pPr>
      <w:bookmarkEnd w:id="377"/>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ذلک غیر کافٍ فی رفع ما حکم بصحّته واستصحابه من غیر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مُنع من الأمرین معاً؛ لأنّ الزائد هنا بمنزلة السِلعة والثُقبة، وهما لا یوجبان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الشیخ فرضه علی تقدیر الاشتباه، لا الوضوح؛ لأنّه حکم فی المیراث بأنّ الخنثی المشکل لو کان زوجاً أو زوجة اُعطی نصف النصیبین </w:t>
      </w:r>
      <w:r>
        <w:rPr>
          <w:rStyle w:val="FootnoteAnchor"/>
          <w:rtl w:val="true"/>
        </w:rPr>
        <w:footnoteReference w:id="1014"/>
      </w:r>
      <w:r>
        <w:rPr>
          <w:rFonts w:ascii="Amiri" w:hAnsi="Amiri" w:eastAsia="Amiri" w:cs="Amiri"/>
          <w:color w:val="111111"/>
          <w:sz w:val="28"/>
          <w:sz w:val="28"/>
          <w:szCs w:val="28"/>
          <w:rtl w:val="true"/>
          <w:lang w:bidi="ar-SA"/>
        </w:rPr>
        <w:t>لکنّه ضعیف جدّاً فالمبنیّ علیه أولی بالضعف</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175533_2314609296"/>
      <w:bookmarkStart w:id="379" w:name="_Toc141"/>
      <w:bookmarkEnd w:id="378"/>
      <w:r>
        <w:rPr>
          <w:rtl w:val="true"/>
        </w:rPr>
        <w:t>[</w:t>
      </w:r>
      <w:r>
        <w:rPr>
          <w:rtl w:val="true"/>
        </w:rPr>
        <w:t>عیوب المراة</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وعیوب المرأة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والجذام والبرص والعمی والإقعاد والقرن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الراء وفتحها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أحد تفسیریه کالسنّ یکون فی الفرج یمنع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لحماً فهو العَفَل، وقد یطلق علیه القرن أیضاً، وسیأتی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تفسیره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وهو شیء یخرج من قُبُل النساء شبیه الاُدرة </w:t>
      </w:r>
      <w:r>
        <w:rPr>
          <w:rStyle w:val="FootnoteAnchor"/>
          <w:rtl w:val="true"/>
        </w:rPr>
        <w:footnoteReference w:id="1016"/>
      </w:r>
      <w:r>
        <w:rPr>
          <w:rFonts w:ascii="IRNazanin" w:hAnsi="IRNazanin" w:eastAsia="IRNazanin"/>
          <w:color w:val="111111"/>
          <w:sz w:val="28"/>
          <w:sz w:val="28"/>
          <w:szCs w:val="28"/>
          <w:rtl w:val="true"/>
          <w:lang w:bidi="fa-IR"/>
        </w:rPr>
        <w:t xml:space="preserve">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وهو أن یکون الفرج ملتحماً لیس فیه مدخل للذکر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العَفَل والرتق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الخلاف من عدم النصّ، ومساواتهما للقرن المنصوص فی المعنی المقتضی لثبوت الخیار وهو المنع من الوطء، وفیه قوّة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کلام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العَفَل هو القرن </w:t>
      </w:r>
      <w:r>
        <w:rPr>
          <w:rStyle w:val="FootnoteAnchor"/>
          <w:rtl w:val="true"/>
        </w:rPr>
        <w:footnoteReference w:id="1017"/>
      </w:r>
      <w:r>
        <w:rPr>
          <w:rFonts w:ascii="IRNazanin" w:hAnsi="IRNazanin" w:eastAsia="IRNazanin"/>
          <w:color w:val="111111"/>
          <w:sz w:val="28"/>
          <w:sz w:val="28"/>
          <w:szCs w:val="28"/>
          <w:rtl w:val="true"/>
          <w:lang w:bidi="fa-IR"/>
        </w:rPr>
        <w:t>فیکون منصوصاً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الألفاظ الثلاثة مترادفة فی کونها لحماً ینبت فی الفرج یمنع الوطء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bookmarkStart w:id="380" w:name="pg19810_214495"/>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تجدّدت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الوطء فی المشهور، تمسّکاً بأصالة اللزوم، واستصحاباً لحکم العقد، واستضعافاً لدلیل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یفسخ بالمتجدّد مطلقاً </w:t>
      </w:r>
      <w:r>
        <w:rPr>
          <w:rStyle w:val="FootnoteAnchor"/>
          <w:rtl w:val="true"/>
        </w:rPr>
        <w:footnoteReference w:id="1019"/>
      </w:r>
      <w:r>
        <w:rPr>
          <w:rFonts w:ascii="IRNazanin" w:hAnsi="IRNazanin" w:eastAsia="IRNazanin"/>
          <w:color w:val="111111"/>
          <w:sz w:val="28"/>
          <w:sz w:val="28"/>
          <w:szCs w:val="28"/>
          <w:rtl w:val="true"/>
          <w:lang w:bidi="fa-IR"/>
        </w:rPr>
        <w:t xml:space="preserve">عملاً بإطلاق بعض النصوص </w:t>
      </w:r>
      <w:r>
        <w:rPr>
          <w:rStyle w:val="FootnoteAnchor"/>
          <w:rtl w:val="true"/>
        </w:rPr>
        <w:footnoteReference w:id="1020"/>
      </w:r>
      <w:r>
        <w:rPr>
          <w:rFonts w:ascii="IRNazanin" w:hAnsi="IRNazanin" w:eastAsia="IRNazanin"/>
          <w:color w:val="111111"/>
          <w:sz w:val="28"/>
          <w:sz w:val="28"/>
          <w:szCs w:val="28"/>
          <w:rtl w:val="true"/>
          <w:lang w:bidi="fa-IR"/>
        </w:rPr>
        <w:t xml:space="preserve">وقیّد ثالث بکونه قبلَ الدخول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والأشهر الأوّل</w:t>
      </w:r>
      <w:r>
        <w:rPr>
          <w:rFonts w:eastAsia="IRNazanin" w:cs="IRNazanin"/>
          <w:color w:val="111111"/>
          <w:sz w:val="28"/>
          <w:szCs w:val="28"/>
          <w:rtl w:val="true"/>
          <w:lang w:bidi="fa-IR"/>
        </w:rPr>
        <w:t>.</w:t>
      </w:r>
    </w:p>
    <w:p>
      <w:pPr>
        <w:pStyle w:val="Heading4"/>
        <w:numPr>
          <w:ilvl w:val="3"/>
          <w:numId w:val="1"/>
        </w:numPr>
        <w:rPr/>
      </w:pPr>
      <w:bookmarkStart w:id="381" w:name="__RefHeading___Toc2175535_2314609296"/>
      <w:bookmarkStart w:id="382" w:name="_Toc142"/>
      <w:bookmarkEnd w:id="381"/>
      <w:r>
        <w:rPr>
          <w:rtl w:val="true"/>
        </w:rPr>
        <w:t>[</w:t>
      </w:r>
      <w:r>
        <w:rPr>
          <w:rtl w:val="true"/>
        </w:rPr>
        <w:t xml:space="preserve">احکام العیوب </w:t>
      </w:r>
      <w:r>
        <w:rPr>
          <w:rtl w:val="true"/>
        </w:rPr>
        <w:t>]</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یمکن وطء الرتقاء أو القرناء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العفلاء؛ لانتفاء الضرر مع إمکانه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الوطء غیر ممکن لکن کان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بفتق الموضع أو قطع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تمتنع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من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علیها الإجابة؛ لما فیها من تحمّل الضرر والمشقّة، کما أ نّها لو أرادته لم یکن له المنع، لأنّه تداوٍ لا تعلّق له به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وخیار العیب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اقتصاراً فیما خالف الأصل علی موضع الضرورة، فلو أخّر من إلیه الفسخ مختاراً مع علمه بها </w:t>
      </w:r>
      <w:r>
        <w:rPr>
          <w:rStyle w:val="FootnoteAnchor"/>
          <w:rtl w:val="true"/>
        </w:rPr>
        <w:footnoteReference w:id="1022"/>
      </w:r>
      <w:r>
        <w:rPr>
          <w:rFonts w:ascii="IRNazanin" w:hAnsi="IRNazanin" w:eastAsia="IRNazanin"/>
          <w:color w:val="111111"/>
          <w:sz w:val="28"/>
          <w:sz w:val="28"/>
          <w:szCs w:val="28"/>
          <w:rtl w:val="true"/>
          <w:lang w:bidi="fa-IR"/>
        </w:rPr>
        <w:t>بطل خیاره، سواء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جهل الخیار أو </w:t>
      </w:r>
      <w:r>
        <w:rPr>
          <w:rStyle w:val="FootnoteAnchor"/>
          <w:rtl w:val="true"/>
        </w:rPr>
        <w:footnoteReference w:id="1023"/>
      </w:r>
      <w:r>
        <w:rPr>
          <w:rFonts w:ascii="IRNazanin" w:hAnsi="IRNazanin" w:eastAsia="IRNazanin"/>
          <w:color w:val="111111"/>
          <w:sz w:val="28"/>
          <w:sz w:val="28"/>
          <w:szCs w:val="28"/>
          <w:rtl w:val="true"/>
          <w:lang w:bidi="fa-IR"/>
        </w:rPr>
        <w:t>الفوریّة فالأقوی أ نّه عذر فیختار بعد العلم</w:t>
      </w:r>
    </w:p>
    <w:p>
      <w:pPr>
        <w:pStyle w:val="BookText"/>
        <w:rPr/>
      </w:pPr>
      <w:r>
        <w:rPr>
          <w:rFonts w:ascii="IRNazanin" w:hAnsi="IRNazanin" w:eastAsia="IRNazanin"/>
          <w:color w:val="111111"/>
          <w:sz w:val="28"/>
          <w:sz w:val="28"/>
          <w:szCs w:val="28"/>
          <w:rtl w:val="true"/>
          <w:lang w:bidi="fa-IR"/>
        </w:rPr>
        <w:t>علی الفور وکذا لو نسیهما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مُنع منه بالقبض علی فیه أو التهدید علی وجه یُعدّ إکراهاً فالخیار بحاله إلی أن یزول المانع، ثمّ تعتبر الفوریّة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فیه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حقّ ثبت، فلا یتوقّف علیه کسائر الحقوق، خلافاً لابن الجنید رحمه الله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فیه ما یعتبر فی الطلاق ولا یُعدّ فی الثلاث، ولا یطّرد معه تنصیف المهر وإن ثبت فی بعض موارده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الحاکم فی ضرب أجل العُنّة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فسخها بعده، بل تستقلّ به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ویقدّم قول منکر العیب مع عدم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 فیکون مدّعیه هو المدّعی، فعلیه البیّنة وعلی منکره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ذلک فیما لا یمکن الوقوف علیه کالجبّ والخصاء، وإلّا توصّل الحاکم إلی معرفته، ومع قیام البیّنة به إن کان ظاهراً کالعیبین المذکورین کفی فی الشاهدین العدالة، وإن کان خفیّاً یتوقّف العلم به علی الخبرة، کالجذام والبرص اشترط فیهما مع ذلک الخبرة بحیث یقطعان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 یعلمه غالباً غیر صاحبه ولا یطّلع علیه إلّامن قِبَله کالعنّة فطریق ثبوته إقراره أو البیّنة علی إقراره، أو الیمین المردودة من المنکر، أو من الحاکم مع نکول المنکر عن الیمین بناءً علی عدم القضاء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اختبارها بجلوسه فی الماء البارد فإن استرخی ذکره فهو عنّین، وإن تشنّج فلیس به کما ذهب إلیه بعض </w:t>
      </w:r>
      <w:r>
        <w:rPr>
          <w:rStyle w:val="FootnoteAnchor"/>
          <w:rtl w:val="true"/>
        </w:rPr>
        <w:footnoteReference w:id="1025"/>
      </w:r>
      <w:r>
        <w:rPr>
          <w:rFonts w:ascii="IRNazanin" w:hAnsi="IRNazanin" w:eastAsia="IRNazanin"/>
          <w:color w:val="111111"/>
          <w:sz w:val="28"/>
          <w:sz w:val="28"/>
          <w:szCs w:val="28"/>
          <w:rtl w:val="true"/>
          <w:lang w:bidi="fa-IR"/>
        </w:rPr>
        <w:t>فلیس بمعتبر فی الأصحّ</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العیوب الباطنة للنساء بإقرارها، وشهادةِ أربع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تُسمع فی</w:t>
      </w:r>
    </w:p>
    <w:p>
      <w:pPr>
        <w:pStyle w:val="BookText"/>
        <w:rPr/>
      </w:pPr>
      <w:r>
        <w:rPr>
          <w:rFonts w:ascii="Amiri" w:hAnsi="Amiri" w:eastAsia="Amiri" w:cs="Amiri"/>
          <w:color w:val="111111"/>
          <w:sz w:val="28"/>
          <w:sz w:val="28"/>
          <w:szCs w:val="28"/>
          <w:rtl w:val="true"/>
          <w:lang w:bidi="ar-SA"/>
        </w:rPr>
        <w:t>عیوب الرجال وإن أمکن اطّلاعهنّ کأربع زوجات طلّقهنّ بعنّته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یثبت العیب ویحصل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الفسخ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العنّة فنصفه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1026"/>
      </w:r>
      <w:r>
        <w:rPr>
          <w:rFonts w:ascii="Amiri" w:hAnsi="Amiri" w:eastAsia="Amiri" w:cs="Amiri"/>
          <w:color w:val="111111"/>
          <w:sz w:val="28"/>
          <w:sz w:val="28"/>
          <w:szCs w:val="28"/>
          <w:rtl w:val="true"/>
          <w:lang w:bidi="ar-SA"/>
        </w:rPr>
        <w:t xml:space="preserve">وإنّما خرجت العنّة بالنصّ </w:t>
      </w:r>
      <w:r>
        <w:rPr>
          <w:rStyle w:val="FootnoteAnchor"/>
          <w:rtl w:val="true"/>
        </w:rPr>
        <w:footnoteReference w:id="1027"/>
      </w:r>
      <w:r>
        <w:rPr>
          <w:rFonts w:ascii="IRNazanin" w:hAnsi="IRNazanin" w:eastAsia="IRNazanin"/>
          <w:color w:val="111111"/>
          <w:sz w:val="28"/>
          <w:sz w:val="28"/>
          <w:szCs w:val="28"/>
          <w:rtl w:val="true"/>
          <w:lang w:bidi="fa-IR"/>
        </w:rPr>
        <w:t>الموافق للحکمة من إشرافه علیها وعلی محارمها، فناسب أن لا یخلو من عوض، ولم یجب الجمیع؛ لانتفاء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جمیع المهر وإن لم یولج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الدخول فالمسمّی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لاستقراره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وإلّا فلا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هی المدلّسة رجع علیها إلّابأقلّ ما یمکن أن یکون مهراً، وهو أقلّ متموَّل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الفرق بین تدلیسها وتدلیس غیرها فی ذلک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تولّی ذلک جماعة وُزّع علیهم بالسویّة، ذکوراً کانوا أم إناثاً، أم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بالتدلیس السکوت عن العیب الخارج عن الخلقة مع العلم به، أو دعوی صفة کمال مع عدمها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تزوّج امرأة علی أ نّها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شرط ذلک فی متن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فظهرت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مبعّضة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دخل؛ لأنّ ذلک فائدة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الزوج ممّن یجوز له نکاح الأمة ووقع بإذن مولاها أو مباشرته، وإلّا بطل فی الأوّل ووقع موقوفاً علی إجازته فی الثانی علی أصحّ القولین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لم یشترط الحرّیّة فی نفس العقد بل تزوّجها علی أ نّها حرّة أو أخبرته بها قبلَه أو أخبره مخبر، ففی إلحاقه بما لو شرط نظر، من ظهور التدلیس، وعدم الاعتبار بما تقدّم من الشروط علی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المصنّف والأکثر </w:t>
      </w:r>
      <w:r>
        <w:rPr>
          <w:rStyle w:val="FootnoteAnchor"/>
          <w:rtl w:val="true"/>
        </w:rPr>
        <w:footnoteReference w:id="1030"/>
      </w:r>
      <w:r>
        <w:rPr>
          <w:rFonts w:ascii="IRNazanin" w:hAnsi="IRNazanin" w:eastAsia="IRNazanin"/>
          <w:color w:val="111111"/>
          <w:sz w:val="28"/>
          <w:sz w:val="28"/>
          <w:szCs w:val="28"/>
          <w:rtl w:val="true"/>
          <w:lang w:bidi="fa-IR"/>
        </w:rPr>
        <w:t>محتملة للأمرین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تفسخ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تزوّجته علی أ نّه حرّ فظهر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بالفسخ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الفاسخ إن کان هی فقد جاء من قِبَلها، وهو ضابط عدم وجوبه لها قبل الدخول، وإن کان هو فبسببها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لاستقراره به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کونها بنت مَهیرةٍ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وکسر الهاء، فعیلة بمعنی مفعولة، أی بنت حرّةٍ تُنکح بمهر وإن کانت معتقة فی أظهر الوجهین، خلافَ الأمة فإنّها قد تُوطأ بالملک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فظهرت بنت أمَة فله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للشرط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قبل الدخول فلا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لما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بعده وجب المهر ویرجع به علی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لغروره، ولو لم یشترط ذلک بل ذکر قبلَ العقد فلا حکم له مع احتماله کما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إلّابأقلّ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یتموّل؛ لأنّ الوطء المحترم لا یخلو عن مهر، وحیث ورد النصّ</w:t>
      </w:r>
    </w:p>
    <w:p>
      <w:pPr>
        <w:pStyle w:val="BookText"/>
        <w:rPr/>
      </w:pPr>
      <w:r>
        <w:rPr>
          <w:rFonts w:ascii="IRNazanin" w:hAnsi="IRNazanin" w:eastAsia="IRNazanin"/>
          <w:color w:val="111111"/>
          <w:sz w:val="28"/>
          <w:sz w:val="28"/>
          <w:szCs w:val="28"/>
          <w:rtl w:val="true"/>
          <w:lang w:bidi="fa-IR"/>
        </w:rPr>
        <w:t xml:space="preserve">برجوعه علی المدلّس </w:t>
      </w:r>
      <w:r>
        <w:rPr>
          <w:rStyle w:val="FootnoteAnchor"/>
          <w:rtl w:val="true"/>
        </w:rPr>
        <w:footnoteReference w:id="1031"/>
      </w:r>
      <w:r>
        <w:rPr>
          <w:rFonts w:ascii="IRNazanin" w:hAnsi="IRNazanin" w:eastAsia="IRNazanin"/>
          <w:color w:val="111111"/>
          <w:sz w:val="28"/>
          <w:sz w:val="28"/>
          <w:szCs w:val="28"/>
          <w:rtl w:val="true"/>
          <w:lang w:bidi="fa-IR"/>
        </w:rPr>
        <w:t xml:space="preserve">یقتصر فیما خالف الأصل </w:t>
      </w:r>
      <w:r>
        <w:rPr>
          <w:rStyle w:val="FootnoteAnchor"/>
          <w:rtl w:val="true"/>
        </w:rPr>
        <w:footnoteReference w:id="1032"/>
      </w:r>
      <w:r>
        <w:rPr>
          <w:rFonts w:ascii="IRNazanin" w:hAnsi="IRNazanin" w:eastAsia="IRNazanin"/>
          <w:color w:val="111111"/>
          <w:sz w:val="28"/>
          <w:sz w:val="28"/>
          <w:szCs w:val="28"/>
          <w:rtl w:val="true"/>
          <w:lang w:bidi="fa-IR"/>
        </w:rPr>
        <w:t>علی موضع الیقین وهو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المسألة وجهان آخران، أو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المستثنی أقلّ مهر أمثالها؛ لأنّه قد استوفی منفعة البضع فوجب عوض مثله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استثناء شیء عملاً بظاهر النصوص </w:t>
      </w:r>
      <w:r>
        <w:rPr>
          <w:rStyle w:val="FootnoteAnchor"/>
          <w:rtl w:val="true"/>
        </w:rPr>
        <w:footnoteReference w:id="1034"/>
      </w:r>
      <w:r>
        <w:rPr>
          <w:rFonts w:ascii="IRNazanin" w:hAnsi="IRNazanin" w:eastAsia="IRNazanin"/>
          <w:color w:val="111111"/>
          <w:sz w:val="28"/>
          <w:sz w:val="28"/>
          <w:szCs w:val="28"/>
          <w:rtl w:val="true"/>
          <w:lang w:bidi="fa-IR"/>
        </w:rPr>
        <w:t>والمشهور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یرجع بالمهر علی المدلِّس لو ظهرت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شمول هذه العبارة له بتکلّف، وتختصّ الأمة بأ نّها لو کانت هی المدلِّسة فإنّما یرجع علیها علی تقدیر عتقها، ولو کان المدلِّس مولاها اعتبر عدم تلفّظه بما یقتضی العتق، وإلّا حُکم بحرّیّتها ظاهراً وصحّ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شرطها بکراً فظهرت ثیّباً فله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سبق الثیوبة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فقد یمکن تجدّده بین العقد والدخول بنحو الخطوة والحُرقوص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فسخ قبل الدخول فلا مهر، وبعده یجب لها المسمّی ویرجع به علی المدلِّس وهو العاقد کذلک العالم بحالها، وإلّا فعلیها مع استثناء أقلّ ما یکون مهراً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ابن إدریس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فسخ،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 مهرها بنسبة ما بین مهر البکر والثیّب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المسمّی مئة ومهر مثلها بکراً مئة وثیّباً خمسون، نقص منه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مهرها بکراً مئتین وثیّباً مئة نقص من المسمّی خمسون؛ لأنّها نسبة ما بینهما، لا مجموع تفاوت ما بینهما؛ لئلّا یسقط جمیع المسمّی، کما قرّر فی الأرش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بالمهر المعیّن إنّما حصل علی تقدیر اتّصافها بالبکارة ولم تحصل إلّاخالیة عن الوصف، فیلزم التفاوت کأرش ما بین کون المبیع صحیحاً ومعیباً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الموجود فی الروایة أنّ صداقها ینقص </w:t>
      </w:r>
      <w:r>
        <w:rPr>
          <w:rStyle w:val="FootnoteAnchor"/>
          <w:rtl w:val="true"/>
        </w:rPr>
        <w:footnoteReference w:id="1038"/>
      </w:r>
      <w:r>
        <w:rPr>
          <w:rFonts w:ascii="IRNazanin" w:hAnsi="IRNazanin" w:eastAsia="IRNazanin"/>
          <w:color w:val="111111"/>
          <w:sz w:val="28"/>
          <w:sz w:val="28"/>
          <w:szCs w:val="28"/>
          <w:rtl w:val="true"/>
          <w:lang w:bidi="fa-IR"/>
        </w:rPr>
        <w:t xml:space="preserve">فحکم الشیخ رحمه الله بنقص شیء من غیر تعیین </w:t>
      </w:r>
      <w:r>
        <w:rPr>
          <w:rStyle w:val="FootnoteAnchor"/>
          <w:rtl w:val="true"/>
        </w:rPr>
        <w:footnoteReference w:id="1039"/>
      </w:r>
      <w:r>
        <w:rPr>
          <w:rFonts w:ascii="IRNazanin" w:hAnsi="IRNazanin" w:eastAsia="IRNazanin"/>
          <w:color w:val="111111"/>
          <w:sz w:val="28"/>
          <w:sz w:val="28"/>
          <w:szCs w:val="28"/>
          <w:rtl w:val="true"/>
          <w:lang w:bidi="fa-IR"/>
        </w:rPr>
        <w:t xml:space="preserve">لإطلاق الروایة، فأغرب القطب الراوندی فی أنّ الناقص هو السدس </w:t>
      </w:r>
      <w:r>
        <w:rPr>
          <w:rStyle w:val="FootnoteAnchor"/>
          <w:rtl w:val="true"/>
        </w:rPr>
        <w:footnoteReference w:id="1040"/>
      </w:r>
      <w:r>
        <w:rPr>
          <w:rFonts w:ascii="IRNazanin" w:hAnsi="IRNazanin" w:eastAsia="IRNazanin"/>
          <w:color w:val="111111"/>
          <w:sz w:val="28"/>
          <w:sz w:val="28"/>
          <w:szCs w:val="28"/>
          <w:rtl w:val="true"/>
          <w:lang w:bidi="fa-IR"/>
        </w:rPr>
        <w:t xml:space="preserve">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کما ورد فی الوصیّة به </w:t>
      </w:r>
      <w:r>
        <w:rPr>
          <w:rStyle w:val="FootnoteAnchor"/>
          <w:rtl w:val="true"/>
        </w:rPr>
        <w:footnoteReference w:id="1041"/>
      </w:r>
      <w:r>
        <w:rPr>
          <w:rFonts w:ascii="IRNazanin" w:hAnsi="IRNazanin" w:eastAsia="IRNazanin"/>
          <w:color w:val="111111"/>
          <w:sz w:val="28"/>
          <w:sz w:val="28"/>
          <w:szCs w:val="28"/>
          <w:rtl w:val="true"/>
          <w:lang w:bidi="fa-IR"/>
        </w:rPr>
        <w:t xml:space="preserve">وهو قیاس علی ما لا یطّرد،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الشیخ قصداً للإبهام تبعاً للروایة المتضمّنة للنقص مطلقاً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نظر الحاکم </w:t>
      </w:r>
      <w:r>
        <w:rPr>
          <w:rStyle w:val="FootnoteAnchor"/>
          <w:rtl w:val="true"/>
        </w:rPr>
        <w:footnoteReference w:id="1042"/>
      </w:r>
      <w:r>
        <w:rPr>
          <w:rFonts w:ascii="Amiri" w:hAnsi="Amiri" w:eastAsia="Amiri" w:cs="Amiri"/>
          <w:color w:val="111111"/>
          <w:sz w:val="28"/>
          <w:sz w:val="28"/>
          <w:szCs w:val="28"/>
          <w:rtl w:val="true"/>
          <w:lang w:bidi="ar-SA"/>
        </w:rPr>
        <w:t>لعدم تفسیره لغةً ولا شرعاً ولا عرفاً</w:t>
      </w:r>
      <w:r>
        <w:rPr>
          <w:rFonts w:eastAsia="Amiri" w:cs="Amiri" w:ascii="Amiri" w:hAnsi="Amiri"/>
          <w:color w:val="111111"/>
          <w:sz w:val="28"/>
          <w:szCs w:val="28"/>
          <w:rtl w:val="true"/>
          <w:lang w:bidi="ar-SA"/>
        </w:rPr>
        <w:t>.</w:t>
      </w:r>
      <w:bookmarkStart w:id="383" w:name="pg19810_214501"/>
    </w:p>
    <w:p>
      <w:pPr>
        <w:pStyle w:val="Heading3"/>
        <w:numPr>
          <w:ilvl w:val="2"/>
          <w:numId w:val="1"/>
        </w:numPr>
        <w:rPr/>
      </w:pPr>
      <w:bookmarkStart w:id="384" w:name="__RefHeading___Toc2175537_2314609296"/>
      <w:bookmarkStart w:id="385" w:name="_Toc143"/>
      <w:bookmarkEnd w:id="383"/>
      <w:bookmarkEnd w:id="384"/>
      <w:r>
        <w:rPr>
          <w:rtl w:val="true"/>
        </w:rPr>
        <w:t>«</w:t>
      </w:r>
      <w:r>
        <w:rPr>
          <w:rtl w:val="true"/>
        </w:rPr>
        <w:t>الفصل الثامن</w:t>
      </w:r>
      <w:r>
        <w:rPr>
          <w:rtl w:val="true"/>
        </w:rPr>
        <w:t>»</w:t>
      </w:r>
      <w:bookmarkEnd w:id="385"/>
    </w:p>
    <w:p>
      <w:pPr>
        <w:pStyle w:val="Heading4"/>
        <w:numPr>
          <w:ilvl w:val="3"/>
          <w:numId w:val="1"/>
        </w:numPr>
        <w:rPr/>
      </w:pPr>
      <w:bookmarkStart w:id="386" w:name="__RefHeading___Toc2175539_2314609296"/>
      <w:bookmarkStart w:id="387" w:name="_Toc144"/>
      <w:bookmarkEnd w:id="386"/>
      <w:r>
        <w:rPr>
          <w:rtl w:val="true"/>
        </w:rPr>
        <w:t>اشارة</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القَسْم</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2175541_2314609296"/>
      <w:bookmarkStart w:id="389" w:name="_Toc145"/>
      <w:bookmarkEnd w:id="388"/>
      <w:r>
        <w:rPr>
          <w:rtl w:val="true"/>
        </w:rPr>
        <w:t>[</w:t>
      </w:r>
      <w:r>
        <w:rPr>
          <w:rtl w:val="true"/>
        </w:rPr>
        <w:t>القسم</w:t>
      </w:r>
      <w:r>
        <w:rPr>
          <w:rtl w:val="true"/>
        </w:rPr>
        <w:t>]</w:t>
      </w:r>
      <w:bookmarkEnd w:id="389"/>
    </w:p>
    <w:p>
      <w:pPr>
        <w:pStyle w:val="BookText"/>
        <w:rPr/>
      </w:pPr>
      <w:r>
        <w:rPr>
          <w:rFonts w:ascii="IRNazanin" w:hAnsi="IRNazanin" w:eastAsia="IRNazanin"/>
          <w:color w:val="111111"/>
          <w:sz w:val="28"/>
          <w:sz w:val="28"/>
          <w:szCs w:val="28"/>
          <w:rtl w:val="true"/>
          <w:lang w:bidi="fa-IR"/>
        </w:rPr>
        <w:t xml:space="preserve">وهو بفتح القاف مصدر قسمت الشیء، أمّا بالکسر فهو الحظّ والنصیب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ارتفاع أحد الزوجین عن طاعة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خروج کلّ منهما عن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حقّ لکلّ منهما؛ لاشتراک ثمرته وهو العِشرة بالمعروف المأمور بها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للزوجة الواحدة لیلة من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ثلاث لیالٍ یبیتها حیث شاء، وللزوجتین لیلتان من الأربع وله لیلتان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فإذا تمّت الأربع فلا فاضل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لاستغراقهنّ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القسمة تجب ابتداءً وإن لم یبتدئ بها، وهو أشهر القولین </w:t>
      </w:r>
      <w:r>
        <w:rPr>
          <w:rStyle w:val="FootnoteAnchor"/>
          <w:rtl w:val="true"/>
        </w:rPr>
        <w:footnoteReference w:id="1044"/>
      </w:r>
      <w:r>
        <w:rPr>
          <w:rFonts w:ascii="IRNazanin" w:hAnsi="IRNazanin" w:eastAsia="IRNazanin"/>
          <w:color w:val="111111"/>
          <w:sz w:val="28"/>
          <w:sz w:val="28"/>
          <w:szCs w:val="28"/>
          <w:rtl w:val="true"/>
          <w:lang w:bidi="fa-IR"/>
        </w:rPr>
        <w:t xml:space="preserve">لورود الأمر بها مطلقاً </w:t>
      </w:r>
      <w:r>
        <w:rPr>
          <w:rStyle w:val="FootnoteAnchor"/>
          <w:rtl w:val="true"/>
        </w:rPr>
        <w:footnoteReference w:id="1045"/>
      </w:r>
      <w:r>
        <w:rPr>
          <w:rFonts w:ascii="IRNazanin" w:hAnsi="IRNazanin" w:eastAsia="IRNazanin"/>
          <w:color w:val="111111"/>
          <w:sz w:val="28"/>
          <w:sz w:val="28"/>
          <w:szCs w:val="28"/>
          <w:rtl w:val="true"/>
          <w:lang w:bidi="fa-IR"/>
        </w:rPr>
        <w:t>وللشیخ رحمه الله قول بأ نّها لا تجب</w:t>
      </w:r>
    </w:p>
    <w:p>
      <w:pPr>
        <w:pStyle w:val="BookText"/>
        <w:rPr/>
      </w:pPr>
      <w:r>
        <w:rPr>
          <w:rFonts w:ascii="IRNazanin" w:hAnsi="IRNazanin" w:eastAsia="IRNazanin"/>
          <w:color w:val="111111"/>
          <w:sz w:val="28"/>
          <w:sz w:val="28"/>
          <w:szCs w:val="28"/>
          <w:rtl w:val="true"/>
          <w:lang w:bidi="fa-IR"/>
        </w:rPr>
        <w:t xml:space="preserve">إلّا إذا ابتدأ بها </w:t>
      </w:r>
      <w:r>
        <w:rPr>
          <w:rStyle w:val="FootnoteAnchor"/>
          <w:rtl w:val="true"/>
        </w:rPr>
        <w:footnoteReference w:id="1046"/>
      </w:r>
      <w:r>
        <w:rPr>
          <w:rFonts w:ascii="IRNazanin" w:hAnsi="IRNazanin" w:eastAsia="IRNazanin"/>
          <w:color w:val="111111"/>
          <w:sz w:val="28"/>
          <w:sz w:val="28"/>
          <w:szCs w:val="28"/>
          <w:rtl w:val="true"/>
          <w:lang w:bidi="fa-IR"/>
        </w:rPr>
        <w:t xml:space="preserve">واختاره المحقّق فی الشرائع </w:t>
      </w:r>
      <w:r>
        <w:rPr>
          <w:rStyle w:val="FootnoteAnchor"/>
          <w:rtl w:val="true"/>
        </w:rPr>
        <w:footnoteReference w:id="1047"/>
      </w:r>
      <w:r>
        <w:rPr>
          <w:rFonts w:ascii="IRNazanin" w:hAnsi="IRNazanin" w:eastAsia="IRNazanin"/>
          <w:color w:val="111111"/>
          <w:sz w:val="28"/>
          <w:sz w:val="28"/>
          <w:szCs w:val="28"/>
          <w:rtl w:val="true"/>
          <w:lang w:bidi="fa-IR"/>
        </w:rPr>
        <w:t xml:space="preserve">والعلّامة فی التحریر </w:t>
      </w:r>
      <w:r>
        <w:rPr>
          <w:rStyle w:val="FootnoteAnchor"/>
          <w:rtl w:val="true"/>
        </w:rPr>
        <w:footnoteReference w:id="1048"/>
      </w:r>
      <w:r>
        <w:rPr>
          <w:rFonts w:ascii="IRNazanin" w:hAnsi="IRNazanin" w:eastAsia="IRNazanin"/>
          <w:color w:val="111111"/>
          <w:sz w:val="28"/>
          <w:sz w:val="28"/>
          <w:szCs w:val="28"/>
          <w:rtl w:val="true"/>
          <w:lang w:bidi="fa-IR"/>
        </w:rPr>
        <w:t>وهو متّجه، والأوامر المدّعاة لا تنافیه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کانت واحدة فلا قسمة، وکذا لو کنَّ أکثر وأعرض عنهنّ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بات عند واحدة منهنّ لیلة لزمه للباقیات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المشهور یجب مطلقاً، وحینئذٍ فإن تعدّدن ابتدأ بالقرعة، ثمّ إن کانتا اثنتین، وإلّا افتقر إلی قرعة اُخری للثانیة،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لئلّا یرجّح بغیر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w:t>
      </w:r>
      <w:r>
        <w:rPr>
          <w:rStyle w:val="FootnoteAnchor"/>
          <w:rtl w:val="true"/>
        </w:rPr>
        <w:footnoteReference w:id="1049"/>
      </w:r>
      <w:r>
        <w:rPr>
          <w:rFonts w:ascii="IRNazanin" w:hAnsi="IRNazanin" w:eastAsia="IRNazanin"/>
          <w:color w:val="111111"/>
          <w:sz w:val="28"/>
          <w:sz w:val="28"/>
          <w:szCs w:val="28"/>
          <w:rtl w:val="true"/>
          <w:lang w:bidi="fa-IR"/>
        </w:rPr>
        <w:t>وعلی قول الشیخ یتخیّر من غیر قرعة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تجوز الزیادة فی القسمة علی لیلة بدون رضاهنّ، وهو أحد القولین </w:t>
      </w:r>
      <w:r>
        <w:rPr>
          <w:rStyle w:val="FootnoteAnchor"/>
          <w:rtl w:val="true"/>
        </w:rPr>
        <w:footnoteReference w:id="1050"/>
      </w:r>
      <w:r>
        <w:rPr>
          <w:rFonts w:ascii="IRNazanin" w:hAnsi="IRNazanin" w:eastAsia="IRNazanin"/>
          <w:color w:val="111111"/>
          <w:sz w:val="28"/>
          <w:sz w:val="28"/>
          <w:szCs w:val="28"/>
          <w:rtl w:val="true"/>
          <w:lang w:bidi="fa-IR"/>
        </w:rPr>
        <w:t xml:space="preserve">لأ نّه الأصل، وللتأسّی بالنبیّ صلی الله علیه و آله فقد کان یقسم کذلک </w:t>
      </w:r>
      <w:r>
        <w:rPr>
          <w:rStyle w:val="FootnoteAnchor"/>
          <w:rtl w:val="true"/>
        </w:rPr>
        <w:footnoteReference w:id="1051"/>
      </w:r>
      <w:r>
        <w:rPr>
          <w:rFonts w:ascii="IRNazanin" w:hAnsi="IRNazanin" w:eastAsia="IRNazanin"/>
          <w:color w:val="111111"/>
          <w:sz w:val="28"/>
          <w:sz w:val="28"/>
          <w:szCs w:val="28"/>
          <w:rtl w:val="true"/>
          <w:lang w:bidi="fa-IR"/>
        </w:rPr>
        <w:t>ولئلّا یلحق بعضَهنّ ضرر مع الزیادة بعروض ما یقطعه عن القسم للمتأخّرة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جوازها مطلقاً </w:t>
      </w:r>
      <w:r>
        <w:rPr>
          <w:rStyle w:val="FootnoteAnchor"/>
          <w:rtl w:val="true"/>
        </w:rPr>
        <w:footnoteReference w:id="1052"/>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بتقییده بالضرر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کنّ فی أماکن متباعدة یشقّ علیه الکون کلّ لیلة مع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 وحینئذٍ فیتقیّد بما یندفع به الضرر ویتوقّف ما زاد علی رضاهنّ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أقلّ من لیلة؛ للضرر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الحرّ والعبد والخصیّ والعنّین،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الأمر، وکون الغرض منه الإیناس بالمضاجعة لا المواقعة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وتسقط القِسمة بالنشوز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ترجع إلی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سفره مطلقاً </w:t>
      </w:r>
      <w:r>
        <w:rPr>
          <w:rStyle w:val="FootnoteAnchor"/>
          <w:rtl w:val="true"/>
        </w:rPr>
        <w:footnoteReference w:id="1053"/>
      </w:r>
      <w:r>
        <w:rPr>
          <w:rFonts w:ascii="IRNazanin" w:hAnsi="IRNazanin" w:eastAsia="IRNazanin"/>
          <w:color w:val="111111"/>
          <w:sz w:val="28"/>
          <w:sz w:val="28"/>
          <w:szCs w:val="28"/>
          <w:rtl w:val="true"/>
          <w:lang w:bidi="fa-IR"/>
        </w:rPr>
        <w:t>مع استصحابه لإحداهنّ، أو علی القول بوجوبه مطلقاً، فإنّه لا یقضی للمتخلّفات وإن لم یُقرع للخارجة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القرعة، وإلّا قضی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لواجب أو جائز بإذنه وجب القضاء، ولو کان لغرضها ففی القضاء قولان للعلّامة فی القواعد والتحریر </w:t>
      </w:r>
      <w:r>
        <w:rPr>
          <w:rStyle w:val="FootnoteAnchor"/>
          <w:rtl w:val="true"/>
        </w:rPr>
        <w:footnoteReference w:id="1055"/>
      </w:r>
      <w:r>
        <w:rPr>
          <w:rFonts w:ascii="IRNazanin" w:hAnsi="IRNazanin" w:eastAsia="IRNazanin"/>
          <w:color w:val="111111"/>
          <w:sz w:val="28"/>
          <w:sz w:val="28"/>
          <w:szCs w:val="28"/>
          <w:rtl w:val="true"/>
          <w:lang w:bidi="fa-IR"/>
        </w:rPr>
        <w:t>والمتّجه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غیر واجب بغیر إذنه ولا ضرورة إلیه فهی ناشز</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ویختصّ الوجوب باللیل، وأمّا النهار فلمعاشه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له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فی نحو </w:t>
      </w:r>
      <w:r>
        <w:rPr>
          <w:rStyle w:val="FootnoteAnchor"/>
          <w:rtl w:val="true"/>
        </w:rPr>
        <w:footnoteReference w:id="1056"/>
      </w:r>
      <w:r>
        <w:rPr>
          <w:rFonts w:ascii="IRNazanin" w:hAnsi="IRNazanin" w:eastAsia="IRNazanin"/>
          <w:color w:val="111111"/>
          <w:sz w:val="28"/>
          <w:sz w:val="28"/>
          <w:szCs w:val="28"/>
          <w:rtl w:val="true"/>
          <w:lang w:bidi="fa-IR"/>
        </w:rPr>
        <w:t>الحارس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لا یتمّ عمله إلّاباللیل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 فتجب نهاراً دون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الإقامة صبیحة کلّ لیلة مع صاحبتها </w:t>
      </w:r>
      <w:r>
        <w:rPr>
          <w:rStyle w:val="FootnoteAnchor"/>
          <w:rtl w:val="true"/>
        </w:rPr>
        <w:footnoteReference w:id="1057"/>
      </w:r>
      <w:r>
        <w:rPr>
          <w:rFonts w:ascii="IRNazanin" w:hAnsi="IRNazanin" w:eastAsia="IRNazanin"/>
          <w:color w:val="111111"/>
          <w:sz w:val="28"/>
          <w:sz w:val="28"/>
          <w:szCs w:val="28"/>
          <w:rtl w:val="true"/>
          <w:lang w:bidi="fa-IR"/>
        </w:rPr>
        <w:t xml:space="preserve">لروایة إبراهیم الکرخی عن الصادق علیه السلام </w:t>
      </w:r>
      <w:r>
        <w:rPr>
          <w:rStyle w:val="FootnoteAnchor"/>
          <w:rtl w:val="true"/>
        </w:rPr>
        <w:footnoteReference w:id="1058"/>
      </w:r>
      <w:r>
        <w:rPr>
          <w:rFonts w:ascii="IRNazanin" w:hAnsi="IRNazanin" w:eastAsia="IRNazanin"/>
          <w:color w:val="111111"/>
          <w:sz w:val="28"/>
          <w:sz w:val="28"/>
          <w:szCs w:val="28"/>
          <w:rtl w:val="true"/>
          <w:lang w:bidi="fa-IR"/>
        </w:rPr>
        <w:t>وهی محمولة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الاستحباب </w:t>
      </w:r>
      <w:r>
        <w:rPr>
          <w:rStyle w:val="FootnoteAnchor"/>
          <w:rtl w:val="true"/>
        </w:rPr>
        <w:footnoteReference w:id="1059"/>
      </w:r>
      <w:r>
        <w:rPr>
          <w:rFonts w:ascii="IRNazanin" w:hAnsi="IRNazanin" w:eastAsia="IRNazanin"/>
          <w:color w:val="111111"/>
          <w:sz w:val="28"/>
          <w:sz w:val="28"/>
          <w:szCs w:val="28"/>
          <w:rtl w:val="true"/>
          <w:lang w:bidi="fa-IR"/>
        </w:rPr>
        <w:t>والظاهر أنّ المراد بالصبیحة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النهار بحیث یُسمّی صبیحة عرفاً، لا مجموع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المسافر الذی معه زوجاته فعماد القسمة فی حقّه وقت النزول، لیلاً کان أم نهاراً، کثیراً کان أم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المعقود علیها دواماً حیث یسوغ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القَسم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تحته أمة مملوکة فتزوّج علیها حرّة قسم للحرّة مثلی ما یقسم للمملوکة</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وحیث لا تکون القسمة فی أقلّ من لیلة فللأمة لیلة من ثمان، وللحرّة لیلتان، وله خمس</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تفریق لیلتی الحرّة لتقع من کلّ أربع واحدة إن لم ترضَ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تستحقّ الأمة القسم </w:t>
      </w:r>
      <w:r>
        <w:rPr>
          <w:rStyle w:val="FootnoteAnchor"/>
          <w:rtl w:val="true"/>
        </w:rPr>
        <w:footnoteReference w:id="1062"/>
      </w:r>
      <w:r>
        <w:rPr>
          <w:rFonts w:ascii="IRNazanin" w:hAnsi="IRNazanin" w:eastAsia="IRNazanin"/>
          <w:color w:val="111111"/>
          <w:sz w:val="28"/>
          <w:sz w:val="28"/>
          <w:szCs w:val="28"/>
          <w:rtl w:val="true"/>
          <w:lang w:bidi="fa-IR"/>
        </w:rPr>
        <w:t xml:space="preserve">إذا استحقّت النفقة بأن کانت مُسلِّمة للزوج لیلاً ونهاراً کالحرّة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الکتابیّة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یجوز نکاحها دواماً علی المشهور، وعُلِّل بنقصها بسبب الکفر فلا تساوی المسلمة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وللکتابیّة الأمة ربع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تساوی الأمة المسلمة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فتصیر القسمة من ستّ عشرة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الکتابیّة منها لیلة، وللحرّة المسلمة أربع کما سلف وللأمة المسلمة لیلتان</w:t>
      </w:r>
    </w:p>
    <w:p>
      <w:pPr>
        <w:pStyle w:val="BookText"/>
        <w:rPr/>
      </w:pPr>
      <w:r>
        <w:rPr>
          <w:rFonts w:ascii="IRNazanin" w:hAnsi="IRNazanin" w:eastAsia="IRNazanin"/>
          <w:color w:val="111111"/>
          <w:sz w:val="28"/>
          <w:sz w:val="28"/>
          <w:szCs w:val="28"/>
          <w:rtl w:val="true"/>
          <w:lang w:bidi="fa-IR"/>
        </w:rPr>
        <w:t>لو اتّفقت، وکذا الکتابیّة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یتفرّع باقی صور اجتماع الزوجات المتفرّقات </w:t>
      </w:r>
      <w:r>
        <w:rPr>
          <w:rStyle w:val="FootnoteAnchor"/>
          <w:rtl w:val="true"/>
        </w:rPr>
        <w:footnoteReference w:id="1063"/>
      </w:r>
      <w:r>
        <w:rPr>
          <w:rFonts w:ascii="IRNazanin" w:hAnsi="IRNazanin" w:eastAsia="IRNazanin"/>
          <w:color w:val="111111"/>
          <w:sz w:val="28"/>
          <w:sz w:val="28"/>
          <w:szCs w:val="28"/>
          <w:rtl w:val="true"/>
          <w:lang w:bidi="fa-IR"/>
        </w:rPr>
        <w:t xml:space="preserve">فی القسمة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وهی أربعون صورة، تبلغ مع الصور المتّفقة اثنتین وخمسین تُعرف مع أحکامها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وتستحقّ القسم مریضةٌ ورتقاء وقرناءُ وحائضٌ ونُفساء؛ لأنّ المقصود منه الاُنس لا الوطء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قسمة للصغیرة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تبلغ التسع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للمجنونة المطبقة إذا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أذاها مع مضاجعتها؛ لأنّ القسمة مشروطة بالتمکین، وهو منتفٍ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یخف من المجنونة وجب، وکذا غیر المطبقة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ویقسم الولیّ بالمجنون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یطوف به علی أزواجه بالعدل، أو یستدعیهنّ إلیه أو بالتفریق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خصّ به بعضهنّ فقد جار، وعلیه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أفاق المجنون قضی ما جار فیه الولیّ، وفی وجوبه علیه نظر؛ لعدم جوره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وتختصّ البکر عند الدخول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 ولاءً، فلو فرّقه لم یحتسب واستأنف وقضی المفرَّق للاُخریات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الاحتساب مع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والثیّب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ذلک علی وجه الوجوب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بین کون الزوجة حرّة وأمة مسلمة وکتابیّة إن جوّزنا تزویجها دواماً، عملاً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التحریر تخصیص الأمة بنصف ما تختصّ به لو کانت حرّة </w:t>
      </w:r>
      <w:r>
        <w:rPr>
          <w:rStyle w:val="FootnoteAnchor"/>
          <w:rtl w:val="true"/>
        </w:rPr>
        <w:footnoteReference w:id="1065"/>
      </w:r>
      <w:r>
        <w:rPr>
          <w:rFonts w:ascii="IRNazanin" w:hAnsi="IRNazanin" w:eastAsia="IRNazanin"/>
          <w:color w:val="111111"/>
          <w:sz w:val="28"/>
          <w:sz w:val="28"/>
          <w:szCs w:val="28"/>
          <w:rtl w:val="true"/>
          <w:lang w:bidi="fa-IR"/>
        </w:rPr>
        <w:t xml:space="preserve">وفی القواعد المساواة </w:t>
      </w:r>
      <w:r>
        <w:rPr>
          <w:rStyle w:val="FootnoteAnchor"/>
          <w:rtl w:val="true"/>
        </w:rPr>
        <w:footnoteReference w:id="1066"/>
      </w:r>
      <w:r>
        <w:rPr>
          <w:rFonts w:ascii="IRNazanin" w:hAnsi="IRNazanin" w:eastAsia="IRNazanin"/>
          <w:color w:val="111111"/>
          <w:sz w:val="28"/>
          <w:sz w:val="28"/>
          <w:szCs w:val="28"/>
          <w:rtl w:val="true"/>
          <w:lang w:bidi="fa-IR"/>
        </w:rPr>
        <w:t>وعلی التنصیف یجب علیه الخروج من</w:t>
      </w:r>
    </w:p>
    <w:p>
      <w:pPr>
        <w:pStyle w:val="BookText"/>
        <w:rPr/>
      </w:pPr>
      <w:r>
        <w:rPr>
          <w:rFonts w:ascii="IRNazanin" w:hAnsi="IRNazanin" w:eastAsia="IRNazanin"/>
          <w:color w:val="111111"/>
          <w:sz w:val="28"/>
          <w:sz w:val="28"/>
          <w:szCs w:val="28"/>
          <w:rtl w:val="true"/>
          <w:lang w:bidi="fa-IR"/>
        </w:rPr>
        <w:t>عندها بعد انتصاف اللیل إلی مکان خارج عن الأزواج، کما یجب ذلک لو بات عند واحدة نصف لیلة ثمّ مُنع من الإکمال، فإنّه یبیت عند الباقیات مثلها مع المساواة أو بحسابه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للزوجة أن تهب لیلتها للضرّة إلّابرضاء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القسم حقّ مشترک بینهما، أو مختصّ به علی القول بعدم وجوبه ابتداءً، فإن رضی بالهبة ووهبت لمعیّنة منهنّ بات عندها لیلتیها </w:t>
      </w:r>
      <w:r>
        <w:rPr>
          <w:rStyle w:val="FootnoteAnchor"/>
          <w:rtl w:val="true"/>
        </w:rPr>
        <w:footnoteReference w:id="1067"/>
      </w:r>
      <w:r>
        <w:rPr>
          <w:rFonts w:ascii="IRNazanin" w:hAnsi="IRNazanin" w:eastAsia="IRNazanin"/>
          <w:color w:val="111111"/>
          <w:sz w:val="28"/>
          <w:sz w:val="28"/>
          <w:szCs w:val="28"/>
          <w:rtl w:val="true"/>
          <w:lang w:bidi="fa-IR"/>
        </w:rPr>
        <w:t>کلّ لیلة فی وقتها متّصلتین کانتا أم منفصلتین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وصلهما تسهیلاً علیه، والمقدار لا یختلف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بأنّ فیه تأخیر حقّ مَنْ بین لیلتین، وبأنّ الواهبة قد ترجع بینهما والموالاة تُفوِّت حقَّ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وهبتها لهنّ سوّی بینهنّ فیجعل الواهبة کالمعدومة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وهبتها له فله تخصیص نوبتها بمن شاء، ویأتی فی الاتّصال والانفصال ما سبق</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الرجوع قبل تمام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بمنزلة البذل، لا هبة حقیقیّة، ومن ثمّ لا یُشترط رضا الموهوبة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لذهاب حقّها من اللیلة، فلا یمکن الرجوع فیها ولا یجب قضاؤها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رجعت فی أثناء اللیلة تحوّل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لبطلان الهبة لما بقی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رجعت ولمَّا یعلم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تکلیف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أن ترجع فی المستقبل دون الماضی، ویثبت حقّها من حین</w:t>
      </w:r>
    </w:p>
    <w:p>
      <w:pPr>
        <w:pStyle w:val="BookText"/>
        <w:rPr/>
      </w:pPr>
      <w:r>
        <w:rPr>
          <w:rFonts w:ascii="IRNazanin" w:hAnsi="IRNazanin" w:eastAsia="IRNazanin"/>
          <w:color w:val="111111"/>
          <w:sz w:val="28"/>
          <w:sz w:val="28"/>
          <w:szCs w:val="28"/>
          <w:rtl w:val="true"/>
          <w:lang w:bidi="fa-IR"/>
        </w:rPr>
        <w:t>علمه به ولو فی بعض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یصحّ الاعتیاض عن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من المال؛ لأنّ المعوَّض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الرجل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یقابل بالعوض؛ لأنّه لیس بعین ولا منفعة، کذا ذکره الشیخ </w:t>
      </w:r>
      <w:r>
        <w:rPr>
          <w:rStyle w:val="FootnoteAnchor"/>
          <w:rtl w:val="true"/>
        </w:rPr>
        <w:footnoteReference w:id="1069"/>
      </w:r>
      <w:r>
        <w:rPr>
          <w:rFonts w:ascii="IRNazanin" w:hAnsi="IRNazanin" w:eastAsia="IRNazanin"/>
          <w:color w:val="111111"/>
          <w:sz w:val="28"/>
          <w:sz w:val="28"/>
          <w:szCs w:val="28"/>
          <w:rtl w:val="true"/>
          <w:lang w:bidi="fa-IR"/>
        </w:rPr>
        <w:t xml:space="preserve">وتبعه علیه الجماعة </w:t>
      </w:r>
      <w:r>
        <w:rPr>
          <w:rStyle w:val="FootnoteAnchor"/>
          <w:rtl w:val="true"/>
        </w:rPr>
        <w:footnoteReference w:id="1070"/>
      </w:r>
      <w:r>
        <w:rPr>
          <w:rFonts w:ascii="IRNazanin" w:hAnsi="IRNazanin" w:eastAsia="IRNazanin"/>
          <w:color w:val="111111"/>
          <w:sz w:val="28"/>
          <w:sz w:val="28"/>
          <w:szCs w:val="28"/>
          <w:rtl w:val="true"/>
          <w:lang w:bidi="fa-IR"/>
        </w:rPr>
        <w:t xml:space="preserve">وفی التحریر نسب القول إلیه </w:t>
      </w:r>
      <w:r>
        <w:rPr>
          <w:rStyle w:val="FootnoteAnchor"/>
          <w:rtl w:val="true"/>
        </w:rPr>
        <w:footnoteReference w:id="1071"/>
      </w:r>
      <w:r>
        <w:rPr>
          <w:rFonts w:ascii="IRNazanin" w:hAnsi="IRNazanin" w:eastAsia="IRNazanin"/>
          <w:color w:val="111111"/>
          <w:sz w:val="28"/>
          <w:sz w:val="28"/>
          <w:szCs w:val="28"/>
          <w:rtl w:val="true"/>
          <w:lang w:bidi="fa-IR"/>
        </w:rPr>
        <w:t>ساکتاً علیه مشعراً بتوقّفه فیه أو تمریضه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وجه؛ لأنّ المعاوضة غیر منحصرة فیما ذُکر، ولقد کان ینبغی جواز الصلح علیه، کما یجوز الصلح علی حقّ الشفعة والتحجیر ونحوهما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لا تجوز المعاوضة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قبضته، ویجب علیه القضاء لها إن کانت لیلتها قد فاتت؛ لأنّه لم یسلّم لها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جهلهما بالفساد، أو علمهما وبقاء العین، وإلّا أشکل الرجوع؛ لتسلیطه علی إتلافه </w:t>
      </w:r>
      <w:r>
        <w:rPr>
          <w:rStyle w:val="FootnoteAnchor"/>
          <w:rtl w:val="true"/>
        </w:rPr>
        <w:footnoteReference w:id="1072"/>
      </w:r>
      <w:r>
        <w:rPr>
          <w:rFonts w:ascii="IRNazanin" w:hAnsi="IRNazanin" w:eastAsia="IRNazanin"/>
          <w:color w:val="111111"/>
          <w:sz w:val="28"/>
          <w:sz w:val="28"/>
          <w:szCs w:val="28"/>
          <w:rtl w:val="true"/>
          <w:lang w:bidi="fa-IR"/>
        </w:rPr>
        <w:t xml:space="preserve">بغیر عوض، حیث یعلم أ نّه </w:t>
      </w:r>
      <w:r>
        <w:rPr>
          <w:rStyle w:val="FootnoteAnchor"/>
          <w:rtl w:val="true"/>
        </w:rPr>
        <w:footnoteReference w:id="1073"/>
      </w:r>
      <w:r>
        <w:rPr>
          <w:rFonts w:ascii="Amiri" w:hAnsi="Amiri" w:eastAsia="Amiri" w:cs="Amiri"/>
          <w:color w:val="111111"/>
          <w:sz w:val="28"/>
          <w:sz w:val="28"/>
          <w:szCs w:val="28"/>
          <w:rtl w:val="true"/>
          <w:lang w:bidi="ar-SA"/>
        </w:rPr>
        <w:t>لا یُسلَّم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فیه فی البیع الفاسد، وأنّ المصنّف مال إلی الرجوع مطلقاً </w:t>
      </w:r>
      <w:r>
        <w:rPr>
          <w:rStyle w:val="FootnoteAnchor"/>
          <w:rtl w:val="true"/>
        </w:rPr>
        <w:footnoteReference w:id="1074"/>
      </w:r>
      <w:r>
        <w:rPr>
          <w:rFonts w:ascii="IRNazanin" w:hAnsi="IRNazanin" w:eastAsia="IRNazanin"/>
          <w:color w:val="111111"/>
          <w:sz w:val="28"/>
          <w:sz w:val="28"/>
          <w:szCs w:val="28"/>
          <w:rtl w:val="true"/>
          <w:lang w:bidi="fa-IR"/>
        </w:rPr>
        <w:t>کما هنا، خلافاً للأکثر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یزور الزوج الضرّة فی لیلة ضرّتها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تفویت حقّها زمن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یدخل إلیها فیها لغیر الزیارة إلّالضرورة، فإن مکث عندها وجب قضاء زمانه ما لم یقصّر جدّاً بحیث لا یُعدّ إقامة عرفاً فیأثم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القضاء إلّامع استیعاب اللیلة، والقولان للفاضل فی القواعد والتحریر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عیادتها فی مرضها، لکن یقضی لو استوعب اللیلة عند المزورة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إیصالها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کما لو زار أجنبیّاً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تحسب اللیلة علی المزورة؟ الظاهر لا؛ لأنّها لیست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یستوعب اللیلة فلا قضاء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ینام معها قریباً منها عادة، معطیاً لها وجهه دائماً أو أکثریّاً بحیث لا یُعدّ هاجراً وإن لم یتلاصق الجسمان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تجب إلّافی کلّ أربعة أشهر مرّة کما سلف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جارَ فی القسمة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لمن أخلّ بلیلتها، فلو قسم لکلّ واحدة من الأربع عشراً فوفّی من الزوجات ثلاثاً ثمّ عاد علیهنّ دون الرابعة بعشرٍ، قضی لها ثلاث عشرة لیلة وثُلثاً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باتها منفرداً قضی لها عشراً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طلّقها قبل القضاء أو بعد حضور لیلتها قبل إیفائها بقی حقّها فی ذمّته، فإن تزوّجها أو راجعها وجب علیه التخلّص منها، وإلّا استقرّت المظلمة فی ذمّته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لو فارق المظلوم بها وجدّد غیرها؛ لأنّ قضاء الظلم یستلزم الظلم للجدیدة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الظلم بعض لیلة وجب علیه إیفاؤها قدر حقّها وإکمال باقی اللیلة خارجاً عن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القدر بنی علی المتیقّن</w:t>
      </w:r>
      <w:r>
        <w:rPr>
          <w:rFonts w:eastAsia="IRNazanin" w:cs="IRNazanin"/>
          <w:color w:val="111111"/>
          <w:sz w:val="28"/>
          <w:szCs w:val="28"/>
          <w:rtl w:val="true"/>
          <w:lang w:bidi="fa-IR"/>
        </w:rPr>
        <w:t>.</w:t>
      </w:r>
      <w:bookmarkStart w:id="390" w:name="pg19810_214510"/>
    </w:p>
    <w:p>
      <w:pPr>
        <w:pStyle w:val="Heading4"/>
        <w:numPr>
          <w:ilvl w:val="3"/>
          <w:numId w:val="1"/>
        </w:numPr>
        <w:rPr/>
      </w:pPr>
      <w:bookmarkStart w:id="391" w:name="__RefHeading___Toc2175543_2314609296"/>
      <w:bookmarkStart w:id="392" w:name="_Toc146"/>
      <w:bookmarkEnd w:id="390"/>
      <w:bookmarkEnd w:id="391"/>
      <w:r>
        <w:rPr>
          <w:rtl w:val="true"/>
        </w:rPr>
        <w:t>[ «</w:t>
      </w:r>
      <w:r>
        <w:rPr>
          <w:rtl w:val="true"/>
        </w:rPr>
        <w:t>والنشوز</w:t>
      </w:r>
      <w:r>
        <w:rPr>
          <w:rtl w:val="true"/>
        </w:rPr>
        <w:t>» ]</w:t>
      </w:r>
      <w:bookmarkEnd w:id="392"/>
    </w:p>
    <w:p>
      <w:pPr>
        <w:pStyle w:val="BookText"/>
        <w:rPr/>
      </w:pPr>
      <w:r>
        <w:rPr>
          <w:rFonts w:ascii="IRNazanin" w:hAnsi="IRNazanin" w:eastAsia="IRNazanin"/>
          <w:color w:val="111111"/>
          <w:sz w:val="28"/>
          <w:sz w:val="28"/>
          <w:szCs w:val="28"/>
          <w:rtl w:val="true"/>
          <w:lang w:bidi="fa-IR"/>
        </w:rPr>
        <w:t xml:space="preserve">وأصله الارتفاع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خروج أحد الزوجین عمّا یجب علیه من حقّ الآخر وطاعته؛ لأنّه بالخروج یتعالی عمّا أوجب اللّٰه علیه من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ظهرت أمارته للزوج بتقطیبها </w:t>
      </w:r>
      <w:r>
        <w:rPr>
          <w:rStyle w:val="FootnoteAnchor"/>
          <w:rtl w:val="true"/>
        </w:rPr>
        <w:footnoteReference w:id="1078"/>
      </w:r>
      <w:r>
        <w:rPr>
          <w:rFonts w:ascii="IRNazanin" w:hAnsi="IRNazanin" w:eastAsia="IRNazanin"/>
          <w:color w:val="111111"/>
          <w:sz w:val="28"/>
          <w:sz w:val="28"/>
          <w:szCs w:val="28"/>
          <w:rtl w:val="true"/>
          <w:lang w:bidi="fa-IR"/>
        </w:rPr>
        <w:t>فی وجهه والتبرّم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الضجر والسأم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یجب علیها فعلها من مقدّمات الاستمتاع، بأن تمتنع أو تتثاقل إذا دعاها إلیه، لا مطلق حوائجه؛ إذ لا یجب علیها قضاء حاجته التی لا تتعلّق بالاستمتاع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تغیّر عادتها فی أدبها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قولاً کأن تجیبه بکلام خشن بعد أن کان بلین أو غیر مقبلة بوجهها بعد أن کانت تُقبل، أو فعلاً کأن یجد إعراضاً وعبوساً بعد لطف وطلاقة، ونحو ذلک </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بلا هجر ولا ضرب، فلعلّها تُبدی عذراً أو تتوب عمّا جری منها من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والوعظ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 اللّٰه فی الحقّ الواجب لی علیک، واحذری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 لها ما یترتّب علی ذلک من عذاب اللّٰه تعالی فی الآخرة، وسقوط النفقة والقسم فی الدنیا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حوّل ظهره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المضجِع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ینجع الوعظ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ناحیة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رجا رجوعها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امتنعت من طاعته فیما یجب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ینجع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ضربها مقتصراً علی ما یؤمّل به رجوعها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الزیادة علیه مع حصول الغرض به،</w:t>
      </w:r>
    </w:p>
    <w:p>
      <w:pPr>
        <w:pStyle w:val="BookText"/>
        <w:rPr/>
      </w:pPr>
      <w:r>
        <w:rPr>
          <w:rFonts w:ascii="Amiri" w:hAnsi="Amiri" w:eastAsia="Amiri" w:cs="Amiri"/>
          <w:color w:val="111111"/>
          <w:sz w:val="28"/>
          <w:sz w:val="28"/>
          <w:szCs w:val="28"/>
          <w:rtl w:val="true"/>
          <w:lang w:bidi="ar-SA"/>
        </w:rPr>
        <w:t xml:space="preserve">وإلّا تدرّج إلی الأقوی فالأقوی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یکن مُدمیاً ولا مبرّحاً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شدیداً کثیراً،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تَخٰافُونَ نُشُوزَهُنَّ فَعِظُوهُنَّ وَ اُهْجُرُوهُنَّ فِی اَلْمَضٰاجِعِ وَ اِضْرِبُوهُنَّ</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فعظوهن إذا وجدتم أمارات النشوز، واهجروهنّ إن نشزن، واضربوهنّ إن أصررن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وأفهم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اَلْمَضٰاجِعِ أ نّه لا یهجرها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فیما زاد علی ثلاثة أیّام؛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لمسلم أن یهجر أخاه </w:t>
      </w:r>
      <w:r>
        <w:rPr>
          <w:rStyle w:val="FootnoteAnchor"/>
          <w:rtl w:val="true"/>
        </w:rPr>
        <w:footnoteReference w:id="1081"/>
      </w:r>
      <w:r>
        <w:rPr>
          <w:rFonts w:ascii="IRNazanin" w:hAnsi="IRNazanin" w:eastAsia="IRNazanin"/>
          <w:color w:val="111111"/>
          <w:sz w:val="28"/>
          <w:sz w:val="28"/>
          <w:szCs w:val="28"/>
          <w:rtl w:val="true"/>
          <w:lang w:bidi="fa-IR"/>
        </w:rPr>
        <w:t>فوق ثلاث</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ویجوز فی الثلاثة إن رجا به رجوعها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حصل بالضرب تلف أو إدماء 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لها علیه من قَسم ونفقة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وللحاکم إلزامه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فإن أساء خُلقه وآذاها بضربٍ وغیره بلا سبب صحیح نهاه عن ذلک، فإن عاد إلیه عزّره بما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صاحبه متعدٍّ، تعرّف الحاکم الحال بثقة فی جوارهما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یختبرهما </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ومنع الظالم منهما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حقوقها</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من قسمة ونفقة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استمالةً له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منع بعض حقوقها لتبذل له مالاً لیخلعها، فإن فعل فبذلت أثم وصحّ قبوله ولم یکن إکراهاً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قهرها علیه بخصوصه لم یحلّ</w:t>
      </w:r>
      <w:r>
        <w:rPr>
          <w:rFonts w:eastAsia="IRNazanin" w:cs="IRNazanin"/>
          <w:color w:val="111111"/>
          <w:sz w:val="28"/>
          <w:szCs w:val="28"/>
          <w:rtl w:val="true"/>
          <w:lang w:bidi="fa-IR"/>
        </w:rPr>
        <w:t>.</w:t>
      </w:r>
      <w:bookmarkStart w:id="393" w:name="pg19810_214512"/>
    </w:p>
    <w:p>
      <w:pPr>
        <w:pStyle w:val="Heading4"/>
        <w:numPr>
          <w:ilvl w:val="3"/>
          <w:numId w:val="1"/>
        </w:numPr>
        <w:rPr/>
      </w:pPr>
      <w:bookmarkStart w:id="394" w:name="__RefHeading___Toc2175545_2314609296"/>
      <w:bookmarkStart w:id="395" w:name="_Toc147"/>
      <w:bookmarkEnd w:id="393"/>
      <w:bookmarkEnd w:id="394"/>
      <w:r>
        <w:rPr>
          <w:rtl w:val="true"/>
        </w:rPr>
        <w:t>[ «</w:t>
      </w:r>
      <w:r>
        <w:rPr>
          <w:rtl w:val="true"/>
        </w:rPr>
        <w:t>والشقاق</w:t>
      </w:r>
      <w:r>
        <w:rPr>
          <w:rtl w:val="true"/>
        </w:rPr>
        <w:t>» ]</w:t>
      </w:r>
      <w:bookmarkEnd w:id="395"/>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النشوز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کلّ واحد منهما قد صار فی شقِّ غیر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وتُخشی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الاستمرار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فیبعث الحاکم الحَکَمین من أهل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أحدهما من أهله والآخر من أهلها کما تضمّنته الآیة </w:t>
      </w:r>
      <w:r>
        <w:rPr>
          <w:rStyle w:val="FootnoteAnchor"/>
          <w:rtl w:val="true"/>
        </w:rPr>
        <w:footnoteReference w:id="1085"/>
      </w:r>
      <w:r>
        <w:rPr>
          <w:rFonts w:ascii="IRNazanin" w:hAnsi="IRNazanin" w:eastAsia="IRNazanin"/>
          <w:color w:val="111111"/>
          <w:sz w:val="28"/>
          <w:sz w:val="28"/>
          <w:szCs w:val="28"/>
          <w:rtl w:val="true"/>
          <w:lang w:bidi="fa-IR"/>
        </w:rPr>
        <w:t>لینظرا فی أمرهما بعد اختلاء حَکَمه به وحَکَمها بها ومعرفة ما عندهما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بعثهما واجب أو مستحبّ؟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أوجههما الوجوب عملاً بظاهر الأمر فی الآیة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 به، ولأنّ القرابة غیر معتبرة فی الحَکَم ولا فی التوکیل، وکونهما من الأهل فی الآیة؛ للإرشاد إلی ما هو الأصلح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کونهما من أهلهما </w:t>
      </w:r>
      <w:r>
        <w:rPr>
          <w:rStyle w:val="FootnoteAnchor"/>
          <w:rtl w:val="true"/>
        </w:rPr>
        <w:footnoteReference w:id="1087"/>
      </w:r>
      <w:r>
        <w:rPr>
          <w:rFonts w:ascii="IRNazanin" w:hAnsi="IRNazanin" w:eastAsia="IRNazanin"/>
          <w:color w:val="111111"/>
          <w:sz w:val="28"/>
          <w:sz w:val="28"/>
          <w:szCs w:val="28"/>
          <w:rtl w:val="true"/>
          <w:lang w:bidi="fa-IR"/>
        </w:rPr>
        <w:t>عملاً بظاهر الآیة، ولأنّ الأهل أعرف بالمصلحة من 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الأهل فلا کلام فی جواز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وبعثُهما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توکیلاً؛ لأنّ اللّٰه تعالی خاطب بالبعث الحکّام وجعلهما حکمین، ولو کان توکیلاً لخاطب به الزوجین، ولأ نّهما إن رأیا الإصلاح فعلاه من غیر استئذان، وإن رأیا التفریق توقّف علی الإذن، ولو کان توکیلاً لکان تابعاً لما دلّ علیه لفظهما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یُضعّف قول القاضی بکونه توکیلاً </w:t>
      </w:r>
      <w:r>
        <w:rPr>
          <w:rStyle w:val="FootnoteAnchor"/>
          <w:rtl w:val="true"/>
        </w:rPr>
        <w:footnoteReference w:id="1088"/>
      </w:r>
      <w:r>
        <w:rPr>
          <w:rFonts w:ascii="Amiri" w:hAnsi="Amiri" w:eastAsia="Amiri" w:cs="Amiri"/>
          <w:color w:val="111111"/>
          <w:sz w:val="28"/>
          <w:sz w:val="28"/>
          <w:szCs w:val="28"/>
          <w:rtl w:val="true"/>
          <w:lang w:bidi="ar-SA"/>
        </w:rPr>
        <w:t>استناداً إلی أنّ البضع حقّ</w:t>
      </w:r>
    </w:p>
    <w:p>
      <w:pPr>
        <w:pStyle w:val="BookText"/>
        <w:rPr/>
      </w:pPr>
      <w:r>
        <w:rPr>
          <w:rFonts w:ascii="IRNazanin" w:hAnsi="IRNazanin" w:eastAsia="IRNazanin"/>
          <w:color w:val="111111"/>
          <w:sz w:val="28"/>
          <w:sz w:val="28"/>
          <w:szCs w:val="28"/>
          <w:rtl w:val="true"/>
          <w:lang w:bidi="fa-IR"/>
        </w:rPr>
        <w:t>للزوج والمال حقّ للمرأة، ولیس لأحد التصرّف فیهما إلّابإذنهما، لعدم الحجر علیهما؛ لأنّ إذن الشارع قد یجری علی غیر المحجور کالمماطل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کان تحکیماً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اتّفقا علی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اتّفقا علی التفریق لم یصحّ إلّابإذن الزوج فی الطلاق،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فی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خلعاً؛ لأنّ ذلک هو مقتضی التحکیم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شرطاه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الحکمان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إذا کان 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وإن لم یرضَ به الزوجان، ولو لم یکن سائغاً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 ترک بعض النفقة أو القِسمة أو أن لا یسافر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 الوفاء به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فی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والحرّیّة والعدالة والاهتداء إلی ما هو المقصود من بعثهما، دون الاجتهاد</w:t>
      </w:r>
      <w:r>
        <w:rPr>
          <w:rFonts w:eastAsia="IRNazanin" w:cs="IRNazanin"/>
          <w:color w:val="111111"/>
          <w:sz w:val="28"/>
          <w:szCs w:val="28"/>
          <w:rtl w:val="true"/>
          <w:lang w:bidi="fa-IR"/>
        </w:rPr>
        <w:t>.</w:t>
      </w:r>
      <w:bookmarkStart w:id="396" w:name="pg19810_214514"/>
    </w:p>
    <w:p>
      <w:pPr>
        <w:pStyle w:val="Heading4"/>
        <w:numPr>
          <w:ilvl w:val="3"/>
          <w:numId w:val="1"/>
        </w:numPr>
        <w:rPr/>
      </w:pPr>
      <w:bookmarkStart w:id="397" w:name="__RefHeading___Toc2175547_2314609296"/>
      <w:bookmarkStart w:id="398" w:name="_Toc148"/>
      <w:bookmarkEnd w:id="396"/>
      <w:bookmarkEnd w:id="397"/>
      <w:r>
        <w:rPr>
          <w:rtl w:val="true"/>
        </w:rPr>
        <w:t>[ «</w:t>
      </w:r>
      <w:r>
        <w:rPr>
          <w:rtl w:val="true"/>
        </w:rPr>
        <w:t>ویلحق بذلک نظران</w:t>
      </w:r>
      <w:r>
        <w:rPr>
          <w:rtl w:val="true"/>
        </w:rPr>
        <w:t>» :]</w:t>
      </w:r>
      <w:bookmarkEnd w:id="398"/>
    </w:p>
    <w:p>
      <w:pPr>
        <w:pStyle w:val="Heading5"/>
        <w:numPr>
          <w:ilvl w:val="4"/>
          <w:numId w:val="1"/>
        </w:numPr>
        <w:rPr/>
      </w:pPr>
      <w:bookmarkStart w:id="399" w:name="__RefHeading___Toc2175549_2314609296"/>
      <w:bookmarkStart w:id="400" w:name="_Toc149"/>
      <w:bookmarkEnd w:id="399"/>
      <w:r>
        <w:rPr>
          <w:rtl w:val="true"/>
        </w:rPr>
        <w:t>[ «</w:t>
      </w:r>
      <w:r>
        <w:rPr>
          <w:rtl w:val="true"/>
        </w:rPr>
        <w:t>الأوّل</w:t>
      </w:r>
      <w:r>
        <w:rPr>
          <w:rtl w:val="true"/>
        </w:rPr>
        <w:t xml:space="preserve">: </w:t>
      </w:r>
      <w:r>
        <w:rPr>
          <w:rtl w:val="true"/>
        </w:rPr>
        <w:t>الأولاد</w:t>
      </w:r>
      <w:r>
        <w:rPr>
          <w:rtl w:val="true"/>
        </w:rPr>
        <w:t>» ]</w:t>
      </w:r>
      <w:bookmarkEnd w:id="400"/>
    </w:p>
    <w:p>
      <w:pPr>
        <w:pStyle w:val="Heading6"/>
        <w:numPr>
          <w:ilvl w:val="5"/>
          <w:numId w:val="1"/>
        </w:numPr>
        <w:rPr/>
      </w:pPr>
      <w:bookmarkStart w:id="401" w:name="__RefHeading___Toc2175551_2314609296"/>
      <w:bookmarkStart w:id="402" w:name="_Toc150"/>
      <w:bookmarkEnd w:id="401"/>
      <w:r>
        <w:rPr>
          <w:rtl w:val="true"/>
        </w:rPr>
        <w:t>اشارة</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ویلحق الولد بالزوج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ومضیّ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یظهر من إطلاقهم وصرّح به المصنّف فی قواعده </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غیبوبة الحشفة قبلاً أو دبراً وإن لم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ذلک من إشکال إن لم یکن مجمعاً علیه؛ للقطع بانتفاء التولّد عنه عادة فی کثیر من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شیءٍ یُنافی ما نقلناه یُعتمد علیه</w:t>
      </w:r>
      <w:r>
        <w:rPr>
          <w:rFonts w:eastAsia="IRNazanin" w:cs="IRNazanin"/>
          <w:color w:val="111111"/>
          <w:sz w:val="28"/>
          <w:szCs w:val="28"/>
          <w:rtl w:val="true"/>
          <w:lang w:bidi="fa-IR"/>
        </w:rPr>
        <w:t>.</w:t>
      </w:r>
    </w:p>
    <w:p>
      <w:pPr>
        <w:pStyle w:val="Heading6"/>
        <w:numPr>
          <w:ilvl w:val="5"/>
          <w:numId w:val="1"/>
        </w:numPr>
        <w:rPr/>
      </w:pPr>
      <w:bookmarkStart w:id="403" w:name="__RefHeading___Toc2175553_2314609296"/>
      <w:bookmarkStart w:id="404" w:name="_Toc151"/>
      <w:bookmarkEnd w:id="403"/>
      <w:r>
        <w:rPr>
          <w:rtl w:val="true"/>
        </w:rPr>
        <w:t>[</w:t>
      </w:r>
      <w:r>
        <w:rPr>
          <w:rtl w:val="true"/>
        </w:rPr>
        <w:t>احکام لحوق الاولاد</w:t>
      </w:r>
      <w:r>
        <w:rPr>
          <w:rtl w:val="true"/>
        </w:rPr>
        <w:t>]</w:t>
      </w:r>
      <w:bookmarkEnd w:id="40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تجاوز أقصی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الأصحاب فی تحدیده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أشهر </w:t>
      </w:r>
      <w:r>
        <w:rPr>
          <w:rStyle w:val="FootnoteAnchor"/>
          <w:rtl w:val="true"/>
        </w:rPr>
        <w:footnoteReference w:id="1090"/>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وغایة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ومستند الکلّ مفهوم الروایات </w:t>
      </w:r>
      <w:r>
        <w:rPr>
          <w:rStyle w:val="FootnoteAnchor"/>
          <w:rtl w:val="true"/>
        </w:rPr>
        <w:footnoteReference w:id="1093"/>
      </w:r>
      <w:r>
        <w:rPr>
          <w:rFonts w:ascii="IRNazanin" w:hAnsi="IRNazanin" w:eastAsia="IRNazanin"/>
          <w:color w:val="111111"/>
          <w:sz w:val="28"/>
          <w:sz w:val="28"/>
          <w:szCs w:val="28"/>
          <w:rtl w:val="true"/>
          <w:lang w:bidi="fa-IR"/>
        </w:rPr>
        <w:t>وعدل المصنّف رحمه الله عن ترجیح قولٍ؛ لعدم دلیل قویّ علی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 الروایات علی اختلاف عادات النساء، فإنّ بعضهنّ تلد لتسعة، وبعضهنّ لعشرة، وقد یتّفق نادراً بلوغ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الأصحاب علی أ نّه لا یزید عن السنة، مع أ نّهم رووا أنّ النبیّ صلی الله علیه و آله حملت به اُمّه أیّام التشریق </w:t>
      </w:r>
      <w:r>
        <w:rPr>
          <w:rStyle w:val="FootnoteAnchor"/>
          <w:rtl w:val="true"/>
        </w:rPr>
        <w:footnoteReference w:id="1094"/>
      </w:r>
      <w:r>
        <w:rPr>
          <w:rFonts w:ascii="IRNazanin" w:hAnsi="IRNazanin" w:eastAsia="IRNazanin"/>
          <w:color w:val="111111"/>
          <w:sz w:val="28"/>
          <w:sz w:val="28"/>
          <w:szCs w:val="28"/>
          <w:rtl w:val="true"/>
          <w:lang w:bidi="fa-IR"/>
        </w:rPr>
        <w:t xml:space="preserve">واتّفقوا علی أ نّه ولد فی شهر ربیع الأوّل </w:t>
      </w:r>
      <w:r>
        <w:rPr>
          <w:rStyle w:val="FootnoteAnchor"/>
          <w:rtl w:val="true"/>
        </w:rPr>
        <w:footnoteReference w:id="1095"/>
      </w:r>
      <w:r>
        <w:rPr>
          <w:rFonts w:ascii="IRNazanin" w:hAnsi="IRNazanin" w:eastAsia="IRNazanin"/>
          <w:color w:val="111111"/>
          <w:sz w:val="28"/>
          <w:sz w:val="28"/>
          <w:szCs w:val="28"/>
          <w:rtl w:val="true"/>
          <w:lang w:bidi="fa-IR"/>
        </w:rPr>
        <w:t>فأقلّ ما یکون لبثه فی بطن اُمّه سنة وثلاثة أشهر، وما نقل أحد من العلماء أنّ ذلک من خصائصه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التمام </w:t>
      </w:r>
      <w:r>
        <w:rPr>
          <w:rStyle w:val="FootnoteAnchor"/>
          <w:rtl w:val="true"/>
        </w:rPr>
        <w:footnoteReference w:id="1096"/>
      </w:r>
      <w:r>
        <w:rPr>
          <w:rFonts w:ascii="IRNazanin" w:hAnsi="IRNazanin" w:eastAsia="IRNazanin"/>
          <w:color w:val="111111"/>
          <w:sz w:val="28"/>
          <w:sz w:val="28"/>
          <w:szCs w:val="28"/>
          <w:rtl w:val="true"/>
          <w:lang w:bidi="fa-IR"/>
        </w:rPr>
        <w:t>الذی ولجته الروح، وفی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تسقطه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إلحاقه بالزوج حیث یحتاج إلی الإلحاق لیجب علیه تکفینه ومؤونة تجهیزه ونحو ذلک من الأحکام التی لا تترتّب علی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الأیّام والأشهر وإن نقصت عن الستّة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أمکن عادةً کونه منه لحقه حکمه </w:t>
      </w:r>
      <w:r>
        <w:rPr>
          <w:rStyle w:val="FootnoteAnchor"/>
          <w:rtl w:val="true"/>
        </w:rPr>
        <w:footnoteReference w:id="1097"/>
      </w:r>
      <w:r>
        <w:rPr>
          <w:rFonts w:ascii="IRNazanin" w:hAnsi="IRNazanin" w:eastAsia="IRNazanin"/>
          <w:color w:val="111111"/>
          <w:sz w:val="28"/>
          <w:sz w:val="28"/>
          <w:szCs w:val="28"/>
          <w:rtl w:val="true"/>
          <w:lang w:bidi="fa-IR"/>
        </w:rPr>
        <w:t>وإن عُلم عادة انتفاؤه عنه لغیبته عنها مدّة تزید عن تخلّقه عادة انتفی عنه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فجر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بالزوجة الدائمة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فالولد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وللعاهر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له نفیه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للحکم بلحوقه بالفراش شرعاً وإن أشبه الزانی 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نفاه لم ینتفِ عنه إلّاباللعان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لاُمّه، فإن لم یلاعن حُدّ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فادّعته وأنکره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أنکر کونها ولدته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عدمهما، ولأنّ النزاع فی الأوّل فی فعله، ویمکنها إقامة البیّنة علی الولادة فی الثانی، فلا یُقبل قولها فیها بغیر 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اتّفقا علیهما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اختلفا فی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فادّعی ولادته لدون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أو لأزید من أقصی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تغلیباً للفراش، ولأصالة عدم زیادة المدّة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فالأصل معه فیحتمل قبول قوله فیه عملاً بالأصل، ولأنّ مآله إلی النزاع فی الدخول، فإنّه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تنقضِ ستّة أشهر من حین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 یطأ منذ ستّة أشهر، وإنّما وقع الوطء فیما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فسّر بعضهم النزاع فی المدّة بالمعنی الثانی خاصّة </w:t>
      </w:r>
      <w:r>
        <w:rPr>
          <w:rStyle w:val="FootnoteAnchor"/>
          <w:rtl w:val="true"/>
        </w:rPr>
        <w:footnoteReference w:id="1099"/>
      </w:r>
      <w:r>
        <w:rPr>
          <w:rFonts w:ascii="IRNazanin" w:hAnsi="IRNazanin" w:eastAsia="IRNazanin"/>
          <w:color w:val="111111"/>
          <w:sz w:val="28"/>
          <w:sz w:val="28"/>
          <w:szCs w:val="28"/>
          <w:rtl w:val="true"/>
          <w:lang w:bidi="fa-IR"/>
        </w:rPr>
        <w:t>لیوافق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ببعید إن تحقّق فی ذلک خلاف، إلّاأنّ کلام الأصحاب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 المملوکة إذا حصلت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وولادته لستّة أشهر فصاعداً، ولم یتجاوز الأقصی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له نفیه؛ لمکان الشبهة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نفاه انتفی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لعان فیهما وإن فعل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نفی ما حکم الشارع ظاهراً بلحوقه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ولد الأمة فموضع وفاق، ولتعلیق اللعان علی رمی الزوجة فی الآیة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ولد المتعة فانتفاؤه بذلک هو المشهور </w:t>
      </w:r>
      <w:r>
        <w:rPr>
          <w:rStyle w:val="FootnoteAnchor"/>
          <w:rtl w:val="true"/>
        </w:rPr>
        <w:footnoteReference w:id="1101"/>
      </w:r>
      <w:r>
        <w:rPr>
          <w:rFonts w:ascii="Amiri" w:hAnsi="Amiri" w:eastAsia="Amiri" w:cs="Amiri"/>
          <w:color w:val="111111"/>
          <w:sz w:val="28"/>
          <w:sz w:val="28"/>
          <w:szCs w:val="28"/>
          <w:rtl w:val="true"/>
          <w:lang w:bidi="ar-SA"/>
        </w:rPr>
        <w:t>ومستنده غلبة إطلاق الزوجة</w:t>
      </w:r>
    </w:p>
    <w:p>
      <w:pPr>
        <w:pStyle w:val="BookText"/>
        <w:rPr/>
      </w:pPr>
      <w:r>
        <w:rPr>
          <w:rFonts w:ascii="IRNazanin" w:hAnsi="IRNazanin" w:eastAsia="IRNazanin"/>
          <w:color w:val="111111"/>
          <w:sz w:val="28"/>
          <w:sz w:val="28"/>
          <w:szCs w:val="28"/>
          <w:rtl w:val="true"/>
          <w:lang w:bidi="fa-IR"/>
        </w:rPr>
        <w:t xml:space="preserve">علی الدائمة، ومن ثَمّ حُملت علیها فی آیة الإرث </w:t>
      </w:r>
      <w:r>
        <w:rPr>
          <w:rStyle w:val="FootnoteAnchor"/>
          <w:rtl w:val="true"/>
        </w:rPr>
        <w:footnoteReference w:id="1102"/>
      </w:r>
      <w:r>
        <w:rPr>
          <w:rFonts w:ascii="Amiri" w:hAnsi="Amiri" w:eastAsia="Amiri" w:cs="Amiri"/>
          <w:color w:val="111111"/>
          <w:sz w:val="28"/>
          <w:sz w:val="28"/>
          <w:szCs w:val="28"/>
          <w:rtl w:val="true"/>
          <w:lang w:bidi="ar-SA"/>
        </w:rPr>
        <w:t xml:space="preserve">وغیرِه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المرتضی وجماعة إلی إلحاقها بالدائمة هنا </w:t>
      </w:r>
      <w:r>
        <w:rPr>
          <w:rStyle w:val="FootnoteAnchor"/>
          <w:rtl w:val="true"/>
        </w:rPr>
        <w:footnoteReference w:id="1104"/>
      </w:r>
      <w:r>
        <w:rPr>
          <w:rFonts w:ascii="Amiri" w:hAnsi="Amiri" w:eastAsia="Amiri" w:cs="Amiri"/>
          <w:color w:val="111111"/>
          <w:sz w:val="28"/>
          <w:sz w:val="28"/>
          <w:szCs w:val="28"/>
          <w:rtl w:val="true"/>
          <w:lang w:bidi="ar-SA"/>
        </w:rPr>
        <w:t>لأنّها زوجة حقیقة، وإلّا لحرمت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عاد واعترف به صحّ ولحق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اعترف به أوّلاً ثمّ نفاه، فإنّه لا ینتفی عنه واُلحق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نفی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اُمّه؛ لإطلاق النصّ </w:t>
      </w:r>
      <w:r>
        <w:rPr>
          <w:rStyle w:val="FootnoteAnchor"/>
          <w:rtl w:val="true"/>
        </w:rPr>
        <w:footnoteReference w:id="1106"/>
      </w:r>
      <w:r>
        <w:rPr>
          <w:rFonts w:ascii="IRNazanin" w:hAnsi="IRNazanin" w:eastAsia="IRNazanin"/>
          <w:color w:val="111111"/>
          <w:sz w:val="28"/>
          <w:sz w:val="28"/>
          <w:szCs w:val="28"/>
          <w:rtl w:val="true"/>
          <w:lang w:bidi="fa-IR"/>
        </w:rPr>
        <w:t xml:space="preserve">والفتوی </w:t>
      </w:r>
      <w:r>
        <w:rPr>
          <w:rStyle w:val="FootnoteAnchor"/>
          <w:rtl w:val="true"/>
        </w:rPr>
        <w:footnoteReference w:id="1107"/>
      </w:r>
      <w:r>
        <w:rPr>
          <w:rFonts w:ascii="IRNazanin" w:hAnsi="IRNazanin" w:eastAsia="IRNazanin"/>
          <w:color w:val="111111"/>
          <w:sz w:val="28"/>
          <w:sz w:val="28"/>
          <w:szCs w:val="28"/>
          <w:rtl w:val="true"/>
          <w:lang w:bidi="fa-IR"/>
        </w:rPr>
        <w:t>بلحوق الولد لفراش الواطئ، وهو صادق مع العزل، ویمکن سبق الماء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ما ذکرناه سابقاً </w:t>
      </w:r>
      <w:r>
        <w:rPr>
          <w:rStyle w:val="FootnoteAnchor"/>
          <w:rtl w:val="true"/>
        </w:rPr>
        <w:footnoteReference w:id="1108"/>
      </w:r>
      <w:r>
        <w:rPr>
          <w:rFonts w:ascii="IRNazanin" w:hAnsi="IRNazanin" w:eastAsia="IRNazanin"/>
          <w:color w:val="111111"/>
          <w:sz w:val="28"/>
          <w:sz w:val="28"/>
          <w:szCs w:val="28"/>
          <w:rtl w:val="true"/>
          <w:lang w:bidi="fa-IR"/>
        </w:rPr>
        <w:t>لا اعتبار بالإنزال فی إلحاق الولد مطلقاً، فمع العزل بالماء أولی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وقیّد العلّامة هنا الوطء مع العزل بکونه قبلاً </w:t>
      </w:r>
      <w:r>
        <w:rPr>
          <w:rStyle w:val="FootnoteAnchor"/>
          <w:rtl w:val="true"/>
        </w:rPr>
        <w:footnoteReference w:id="1109"/>
      </w:r>
      <w:r>
        <w:rPr>
          <w:rFonts w:ascii="IRNazanin" w:hAnsi="IRNazanin" w:eastAsia="IRNazanin"/>
          <w:color w:val="111111"/>
          <w:sz w:val="28"/>
          <w:sz w:val="28"/>
          <w:szCs w:val="28"/>
          <w:rtl w:val="true"/>
          <w:lang w:bidi="fa-IR"/>
        </w:rPr>
        <w:t>والمصنّف صرّح فی القواعد</w:t>
      </w:r>
      <w:bookmarkStart w:id="405" w:name="pg19810_214518"/>
    </w:p>
    <w:p>
      <w:pPr>
        <w:pStyle w:val="BookText"/>
        <w:rPr/>
      </w:pPr>
      <w:bookmarkEnd w:id="405"/>
      <w:r>
        <w:rPr>
          <w:rFonts w:ascii="IRNazanin" w:hAnsi="IRNazanin" w:eastAsia="IRNazanin"/>
          <w:color w:val="111111"/>
          <w:sz w:val="28"/>
          <w:sz w:val="28"/>
          <w:szCs w:val="28"/>
          <w:rtl w:val="true"/>
          <w:lang w:bidi="fa-IR"/>
        </w:rPr>
        <w:t xml:space="preserve">باستواء القبل والدبر فی ذلک </w:t>
      </w:r>
      <w:r>
        <w:rPr>
          <w:rStyle w:val="FootnoteAnchor"/>
          <w:rtl w:val="true"/>
        </w:rPr>
        <w:footnoteReference w:id="1110"/>
      </w:r>
      <w:r>
        <w:rPr>
          <w:rFonts w:ascii="IRNazanin" w:hAnsi="IRNazanin" w:eastAsia="IRNazanin"/>
          <w:color w:val="111111"/>
          <w:sz w:val="28"/>
          <w:sz w:val="28"/>
          <w:szCs w:val="28"/>
          <w:rtl w:val="true"/>
          <w:lang w:bidi="fa-IR"/>
        </w:rPr>
        <w:t xml:space="preserve">وفی باب العِدد صرّحوا بعدم الفرق بینهما فی اعتبار العدّة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 الشبهة یلحق بالواطئ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الزوج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بها بحیث یمکن إلحاقه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والمولی فی ذلک بحکم الزوج، لکن لو انتفی عن المولی ولحق بالواطئ اُغرم قیمة الولد یوم سقط حیّاً لمولاها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انفرادهنّ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بالمرأة عند الولادة أو الزوج، فإن تعذّر فالرجال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المحارم، فإن تعذّروا فغیرهم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فی القواعد الرجال الأقارب غیر المحارم علی الأجانب </w:t>
      </w:r>
      <w:r>
        <w:rPr>
          <w:rStyle w:val="FootnoteAnchor"/>
          <w:rtl w:val="true"/>
        </w:rPr>
        <w:footnoteReference w:id="1112"/>
      </w:r>
      <w:r>
        <w:rPr>
          <w:rFonts w:ascii="IRNazanin" w:hAnsi="IRNazanin" w:eastAsia="IRNazanin"/>
          <w:color w:val="111111"/>
          <w:sz w:val="28"/>
          <w:sz w:val="28"/>
          <w:szCs w:val="28"/>
          <w:rtl w:val="true"/>
          <w:lang w:bidi="fa-IR"/>
        </w:rPr>
        <w:t>وهنا أطلق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جملة ما ذکروه فیه، ولا یخلو من نظر، بل ذلک مقیّد بما یستلزم اطّلاعه علی العورة، أمّا ما لا یستلزمه من مساعدتها فتحریمه علی الرجال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فیما یستلزم الاطّلاع علی العورة تقدیم الزوج مع إمکانه، ومع عدمه یجوز غیره؛ للضرورة کنظر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الفرق بین أقارب الرجال من غیر المحارم والأجانب فلا أصل له فی قواعد الشرع</w:t>
      </w:r>
      <w:r>
        <w:rPr>
          <w:rFonts w:eastAsia="IRNazanin" w:cs="IRNazanin"/>
          <w:color w:val="111111"/>
          <w:sz w:val="28"/>
          <w:szCs w:val="28"/>
          <w:rtl w:val="true"/>
          <w:lang w:bidi="fa-IR"/>
        </w:rPr>
        <w:t>.</w:t>
      </w:r>
    </w:p>
    <w:p>
      <w:pPr>
        <w:pStyle w:val="Heading6"/>
        <w:numPr>
          <w:ilvl w:val="5"/>
          <w:numId w:val="1"/>
        </w:numPr>
        <w:rPr/>
      </w:pPr>
      <w:bookmarkStart w:id="406" w:name="__RefHeading___Toc2175555_2314609296"/>
      <w:bookmarkStart w:id="407" w:name="_Toc152"/>
      <w:bookmarkEnd w:id="406"/>
      <w:r>
        <w:rPr>
          <w:rtl w:val="true"/>
        </w:rPr>
        <w:t>[</w:t>
      </w:r>
      <w:r>
        <w:rPr>
          <w:rtl w:val="true"/>
        </w:rPr>
        <w:t>احکام الولادة و آداب المولود</w:t>
      </w:r>
      <w:r>
        <w:rPr>
          <w:rtl w:val="true"/>
        </w:rPr>
        <w:t>]</w:t>
      </w:r>
      <w:bookmarkEnd w:id="40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غسلُ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والأذانُ فی اُذنه الیمنی، والإقامةُ فی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ذلک قبل قطع سرّته، فلا یصیبه لَمَم ولا تابعة، ولا یفزع، ولا تصیبه اُمّ الصبیان </w:t>
      </w:r>
      <w:r>
        <w:rPr>
          <w:rStyle w:val="FootnoteAnchor"/>
          <w:rtl w:val="true"/>
        </w:rPr>
        <w:footnoteReference w:id="1113"/>
      </w:r>
      <w:r>
        <w:rPr>
          <w:rFonts w:ascii="IRNazanin" w:hAnsi="IRNazanin" w:eastAsia="IRNazanin"/>
          <w:color w:val="111111"/>
          <w:sz w:val="28"/>
          <w:sz w:val="28"/>
          <w:szCs w:val="28"/>
          <w:rtl w:val="true"/>
          <w:lang w:bidi="fa-IR"/>
        </w:rPr>
        <w:t>رُوی ذلک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له مولود فلیؤذّن فی اُذنه الیمنی بأذان الصلاة، ولیقم فی اُذنه الیسری، فإنّها عصمة من الشیطان الرجیم</w:t>
      </w:r>
      <w:r>
        <w:rPr>
          <w:rFonts w:eastAsia="IRNazanin" w:cs="IRNazanin"/>
          <w:color w:val="111111"/>
          <w:sz w:val="28"/>
          <w:szCs w:val="28"/>
          <w:rtl w:val="true"/>
          <w:lang w:bidi="fa-IR"/>
        </w:rPr>
        <w:t>»</w:t>
      </w:r>
    </w:p>
    <w:p>
      <w:pPr>
        <w:pStyle w:val="BookText"/>
        <w:rPr/>
      </w:pPr>
      <w:r>
        <w:rPr>
          <w:rStyle w:val="FootnoteAnchor"/>
          <w:rtl w:val="true"/>
        </w:rPr>
        <w:footnoteReference w:id="111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وتحنیکُه بتربة الحسین علیه الصلاة</w:t>
      </w:r>
    </w:p>
    <w:p>
      <w:pPr>
        <w:pStyle w:val="BookText"/>
        <w:rPr/>
      </w:pPr>
      <w:r>
        <w:rPr>
          <w:rFonts w:ascii="IRNazanin" w:hAnsi="IRNazanin" w:eastAsia="IRNazanin"/>
          <w:color w:val="111111"/>
          <w:sz w:val="28"/>
          <w:sz w:val="28"/>
          <w:szCs w:val="28"/>
          <w:rtl w:val="true"/>
          <w:lang w:bidi="fa-IR"/>
        </w:rPr>
        <w:t xml:space="preserve">والسلام و </w:t>
      </w:r>
      <w:r>
        <w:rPr>
          <w:rStyle w:val="FootnoteAnchor"/>
          <w:rtl w:val="true"/>
        </w:rPr>
        <w:footnoteReference w:id="1115"/>
      </w:r>
      <w:r>
        <w:rPr>
          <w:rFonts w:ascii="Amiri" w:hAnsi="Amiri" w:eastAsia="Amiri" w:cs="Amiri"/>
          <w:color w:val="111111"/>
          <w:sz w:val="28"/>
          <w:sz w:val="28"/>
          <w:szCs w:val="28"/>
          <w:rtl w:val="true"/>
          <w:lang w:bidi="ar-SA"/>
        </w:rPr>
        <w:t>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ماءٍ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بخلطه بالتمر أو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إن لم یکن عَذْباً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العبارة التخییر بین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الترتیب بینها فیقدَّم ماء الفرات مع إمکانها، ثمّ الماء الفرات بالأصالة، ثمّ بإصلاح مالحه بالحلو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حنِّکوا أولادکم بماء الفرات وبتربة الحسین علیه السلام، فإن لم یکن فبماء السماء</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والمراد بالتحنیک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ذلک إلی حَنَکه، وهو أعلی داخل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یستحبّ تحنیکه بالتمر، بأن یمضغ التمرة </w:t>
      </w:r>
      <w:r>
        <w:rPr>
          <w:rStyle w:val="FootnoteAnchor"/>
          <w:rtl w:val="true"/>
        </w:rPr>
        <w:footnoteReference w:id="1117"/>
      </w:r>
      <w:r>
        <w:rPr>
          <w:rFonts w:ascii="IRNazanin" w:hAnsi="IRNazanin" w:eastAsia="IRNazanin"/>
          <w:color w:val="111111"/>
          <w:sz w:val="28"/>
          <w:sz w:val="28"/>
          <w:szCs w:val="28"/>
          <w:rtl w:val="true"/>
          <w:lang w:bidi="fa-IR"/>
        </w:rPr>
        <w:t>ویجعلها فی فیه ویوصلها إلی حنکه بسبّابته حتّی یتحلّل فی حلقه،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حنّکوا أولادکم بالتمر، فکذا فعل رسول اللّٰه صلی الله علیه و آله بالحسن والحسین علیهما السلام</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قال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حنکه وحنَّکه بتخفیف النون وتشدیدها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وتسمیتُه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الیوم السابع، فإن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یولد لنا ولد إلّاسمّیناه محمّداً، فإذا مضی</w:t>
      </w:r>
    </w:p>
    <w:p>
      <w:pPr>
        <w:pStyle w:val="BookText"/>
        <w:rPr/>
      </w:pPr>
      <w:r>
        <w:rPr>
          <w:rFonts w:ascii="IRNazanin" w:hAnsi="IRNazanin" w:eastAsia="IRNazanin"/>
          <w:color w:val="111111"/>
          <w:sz w:val="28"/>
          <w:sz w:val="28"/>
          <w:szCs w:val="28"/>
          <w:rtl w:val="true"/>
          <w:lang w:bidi="fa-IR"/>
        </w:rPr>
        <w:t>سبعة أیّام، فإن شئنا غیّرنا، وإلّا ترکنا</w:t>
      </w:r>
      <w:r>
        <w:rPr>
          <w:rFonts w:eastAsia="IRNazanin" w:cs="IRNazanin"/>
          <w:color w:val="111111"/>
          <w:sz w:val="28"/>
          <w:szCs w:val="28"/>
          <w:rtl w:val="true"/>
          <w:lang w:bidi="fa-IR"/>
        </w:rPr>
        <w:t>»</w:t>
      </w:r>
    </w:p>
    <w:p>
      <w:pPr>
        <w:pStyle w:val="BookText"/>
        <w:rPr/>
      </w:pP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وأصدق الأسماء ما عُبد للّٰه </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اشتمل علی عبودیّته تعالی، کعبد اللّٰه وعبد الرحمن والرحیم، وغیره من أسمائه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الأسماء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محمّد وعلیّ، وأسماء الأنبیاء،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الأسماء ما سُمّی بالعبودیّة وأفضلها أسماء الأنبیاء</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وعن الصادق علیه السلام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له أربعة أولاد ولم یُسمّ أحدَهم باسمی فقد جفانی</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الأرض دار فیها اسم محمّد إلّاوهی تقدّس کلّ یوم</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وعن الحسین علیه الصلاة والسلام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وُلد لی مئة لأحببت أن لا اُسمّی أحداً منهم إلّاعلیّاً</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وقال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الفقر بیتاً فیه اسم محمّد أو أحمد، أو علیّ أو الحسن أو الحسین أو جعفر، أو طالب أو عبد اللّٰه، أو فاطمة من النساء</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فلان إن کان ذکراً، واُمّ فلان إن کان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لنُکنّی أولادنا فی صِغَرهم مخافةَ النبز أن یلحق بهم</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أشعر من الإعلام بمدح أو ذمّ، والمراد هنا الأوّل خاصّة</w:t>
      </w:r>
      <w:r>
        <w:rPr>
          <w:rFonts w:eastAsia="IRNazanin" w:cs="IRNazanin"/>
          <w:color w:val="111111"/>
          <w:sz w:val="28"/>
          <w:szCs w:val="28"/>
          <w:rtl w:val="true"/>
          <w:lang w:bidi="fa-IR"/>
        </w:rPr>
        <w:t>.</w:t>
      </w:r>
      <w:bookmarkStart w:id="408" w:name="pg19810_214521"/>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الجمع بین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القاسم وتسمیته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 آله نهی عن أربع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عیسی، وعن أبی الحکم، وعن أبی مالک، وعن أبی القاسم إذا کان الاسم محمّداً</w:t>
      </w:r>
      <w:r>
        <w:rPr>
          <w:rFonts w:eastAsia="IRNazanin" w:cs="IRNazanin"/>
          <w:color w:val="111111"/>
          <w:sz w:val="28"/>
          <w:szCs w:val="28"/>
          <w:rtl w:val="true"/>
          <w:lang w:bidi="fa-IR"/>
        </w:rPr>
        <w:t xml:space="preserve">» </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یسمّی حکماً أو حکیماً أو خالداً أو حارثاً أو ضراراً أو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 الأسماء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ومالک وخالد</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دعا بصحیفة حین حضره الموت یرید أن ینهی عن أسماء یُتسمّی بها، فقُبض ولم یُسمِّها،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وحکیم وخالد 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 نّها ستّة أو سبعة ممّا لا یجوز أن یُتسمّی بها</w:t>
      </w:r>
      <w:r>
        <w:rPr>
          <w:rFonts w:eastAsia="IRNazanin" w:cs="IRNazanin"/>
          <w:color w:val="111111"/>
          <w:sz w:val="28"/>
          <w:szCs w:val="28"/>
          <w:rtl w:val="true"/>
          <w:lang w:bidi="fa-IR"/>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9" w:name="__RefHeading___Toc2175557_2314609296"/>
      <w:bookmarkStart w:id="410" w:name="_Toc153"/>
      <w:bookmarkEnd w:id="409"/>
      <w:r>
        <w:rPr>
          <w:rtl w:val="true"/>
        </w:rPr>
        <w:t>[ «</w:t>
      </w:r>
      <w:r>
        <w:rPr>
          <w:rtl w:val="true"/>
        </w:rPr>
        <w:t>وأحکام الأولاد اُمور</w:t>
      </w:r>
      <w:r>
        <w:rPr>
          <w:rtl w:val="true"/>
        </w:rPr>
        <w:t>» :]</w:t>
      </w:r>
      <w:bookmarkEnd w:id="410"/>
    </w:p>
    <w:p>
      <w:pPr>
        <w:pStyle w:val="Heading6"/>
        <w:numPr>
          <w:ilvl w:val="5"/>
          <w:numId w:val="1"/>
        </w:numPr>
        <w:rPr/>
      </w:pPr>
      <w:bookmarkStart w:id="411" w:name="__RefHeading___Toc2175559_2314609296"/>
      <w:bookmarkStart w:id="412" w:name="_Toc154"/>
      <w:bookmarkEnd w:id="411"/>
      <w:r>
        <w:rPr>
          <w:rtl w:val="true"/>
        </w:rPr>
        <w:t>[</w:t>
      </w:r>
      <w:r>
        <w:rPr>
          <w:rtl w:val="true"/>
        </w:rPr>
        <w:t>العقیقة و</w:t>
      </w:r>
      <w:r>
        <w:rPr>
          <w:rtl w:val="true"/>
        </w:rPr>
        <w:t>. .]</w:t>
      </w:r>
      <w:bookmarkEnd w:id="41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العقیقة والحلق والختان، وثقب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الیمنی فی شحمتها والیسری فی أعلاها، کلّ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ولد ولو فی آخر جزء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العقیقة واجبة</w:t>
      </w:r>
      <w:r>
        <w:rPr>
          <w:rFonts w:eastAsia="IRNazanin" w:cs="IRNazanin"/>
          <w:color w:val="111111"/>
          <w:sz w:val="28"/>
          <w:szCs w:val="28"/>
          <w:rtl w:val="true"/>
          <w:lang w:bidi="fa-IR"/>
        </w:rPr>
        <w:t xml:space="preserve">»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مولود مُرتَهن بعقیقته</w:t>
      </w:r>
      <w:r>
        <w:rPr>
          <w:rFonts w:eastAsia="Amiri" w:cs="Amiri" w:ascii="Amiri" w:hAnsi="Amiri"/>
          <w:color w:val="111111"/>
          <w:sz w:val="28"/>
          <w:szCs w:val="28"/>
          <w:rtl w:val="true"/>
          <w:lang w:bidi="ar-SA"/>
        </w:rPr>
        <w:t xml:space="preserve">» </w:t>
      </w:r>
      <w:r>
        <w:rPr>
          <w:rStyle w:val="FootnoteAnchor"/>
          <w:rtl w:val="true"/>
        </w:rPr>
        <w:footnoteReference w:id="1132"/>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 عنه، وأحلق رأسه یوم السابع</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اختنوا أولادکم لسبعة أیّام، فإنّه أطهر وأسرع لنبات اللحم، وأنّ الأرض لتکره بول الأغلف</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ثقب اُذن الغلام من السنّة، وختانه لسبعة أیّام من السنّة</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وفی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آخر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تنجس من بول الأغلف أربعین صباحاً</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تضجّ إلی اللّٰه تعالی من بول الأغلف</w:t>
      </w:r>
      <w:r>
        <w:rPr>
          <w:rFonts w:eastAsia="IRNazanin" w:cs="IRNazanin"/>
          <w:color w:val="111111"/>
          <w:sz w:val="28"/>
          <w:szCs w:val="28"/>
          <w:rtl w:val="true"/>
          <w:lang w:bidi="fa-IR"/>
        </w:rPr>
        <w:t xml:space="preserve">» </w:t>
      </w:r>
      <w:r>
        <w:rPr>
          <w:rStyle w:val="FootnoteAnchor"/>
          <w:rtl w:val="true"/>
        </w:rPr>
        <w:footnoteReference w:id="11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 ویتصدّق بوزن شعره ذهباً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بن عمّار للصادق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 یّها </w:t>
      </w:r>
      <w:r>
        <w:rPr>
          <w:rStyle w:val="FootnoteAnchor"/>
          <w:rtl w:val="true"/>
        </w:rPr>
        <w:footnoteReference w:id="1138"/>
      </w:r>
      <w:r>
        <w:rPr>
          <w:rFonts w:ascii="IRNazanin" w:hAnsi="IRNazanin" w:eastAsia="IRNazanin"/>
          <w:color w:val="111111"/>
          <w:sz w:val="28"/>
          <w:sz w:val="28"/>
          <w:szCs w:val="28"/>
          <w:rtl w:val="true"/>
          <w:lang w:bidi="fa-IR"/>
        </w:rPr>
        <w:t>نبدأ؟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یُحلق رأسه ویُعقّ عنه، ویُتصدّق بوزن شعره فضّة، یکون ذلک فی مکان واحد</w:t>
      </w:r>
      <w:r>
        <w:rPr>
          <w:rFonts w:eastAsia="IRNazanin" w:cs="IRNazanin"/>
          <w:color w:val="111111"/>
          <w:sz w:val="28"/>
          <w:szCs w:val="28"/>
          <w:rtl w:val="true"/>
          <w:lang w:bidi="fa-IR"/>
        </w:rPr>
        <w:t xml:space="preserve">» </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ذهباً</w:t>
      </w:r>
      <w:r>
        <w:rPr>
          <w:rFonts w:eastAsia="IRNazanin" w:cs="IRNazanin"/>
          <w:color w:val="111111"/>
          <w:sz w:val="28"/>
          <w:szCs w:val="28"/>
          <w:rtl w:val="true"/>
          <w:lang w:bidi="fa-IR"/>
        </w:rPr>
        <w:t xml:space="preserve">» </w:t>
      </w:r>
      <w:r>
        <w:rPr>
          <w:rStyle w:val="FootnoteAnchor"/>
          <w:rtl w:val="true"/>
        </w:rPr>
        <w:footnoteReference w:id="1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القنازع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یحلق من الرأس موضعاً ویترک موضعاً فی أیّ جانب کان، رُوی ذلک عن أمیر المؤمنین علیه السلام </w:t>
      </w:r>
      <w:r>
        <w:rPr>
          <w:rStyle w:val="FootnoteAnchor"/>
          <w:rtl w:val="true"/>
        </w:rPr>
        <w:footnoteReference w:id="1141"/>
      </w:r>
      <w:r>
        <w:rPr>
          <w:rFonts w:ascii="IRNazanin" w:hAnsi="IRNazanin" w:eastAsia="IRNazanin"/>
          <w:color w:val="111111"/>
          <w:sz w:val="28"/>
          <w:sz w:val="28"/>
          <w:szCs w:val="28"/>
          <w:rtl w:val="true"/>
          <w:lang w:bidi="fa-IR"/>
        </w:rPr>
        <w:t xml:space="preserve">وفی خبر آخر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نّه کره القزع </w:t>
      </w:r>
      <w:r>
        <w:rPr>
          <w:rStyle w:val="FootnoteAnchor"/>
          <w:rtl w:val="true"/>
        </w:rPr>
        <w:footnoteReference w:id="1142"/>
      </w:r>
      <w:r>
        <w:rPr>
          <w:rFonts w:ascii="IRNazanin" w:hAnsi="IRNazanin" w:eastAsia="IRNazanin"/>
          <w:color w:val="111111"/>
          <w:sz w:val="28"/>
          <w:sz w:val="28"/>
          <w:szCs w:val="28"/>
          <w:rtl w:val="true"/>
          <w:lang w:bidi="fa-IR"/>
        </w:rPr>
        <w:t>فی رؤوس الصبیان، وذکر أنّ القزع أن یحلق الرأس إلّاقلیلاً وسط الرأس تُسمّی القزعة</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النبیّ صلی الله علیه و آله</w:t>
      </w:r>
    </w:p>
    <w:p>
      <w:pPr>
        <w:pStyle w:val="BookText"/>
        <w:rPr/>
      </w:pPr>
      <w:r>
        <w:rPr>
          <w:rFonts w:ascii="IRNazanin" w:hAnsi="IRNazanin" w:eastAsia="IRNazanin"/>
          <w:color w:val="111111"/>
          <w:sz w:val="28"/>
          <w:sz w:val="28"/>
          <w:szCs w:val="28"/>
          <w:rtl w:val="true"/>
          <w:lang w:bidi="fa-IR"/>
        </w:rPr>
        <w:t>بصبیّ یدعو له وله قنازع، فأبی أن یدعو له، وأمر أن یُحلق رأسُه</w:t>
      </w:r>
      <w:r>
        <w:rPr>
          <w:rFonts w:eastAsia="IRNazanin" w:cs="IRNazanin"/>
          <w:color w:val="111111"/>
          <w:sz w:val="28"/>
          <w:szCs w:val="28"/>
          <w:rtl w:val="true"/>
          <w:lang w:bidi="fa-IR"/>
        </w:rPr>
        <w:t>»</w:t>
      </w:r>
    </w:p>
    <w:p>
      <w:pPr>
        <w:pStyle w:val="BookText"/>
        <w:rPr/>
      </w:pP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الختان عند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بعده بلا فصل لو ترک ولیّه ختانه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علی الولیّ ذلک قبله؟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التکلیف حینئذٍ، واستلزام تأخیره إلی البلوغ تأخیر الواجب المضیَّق عن </w:t>
      </w:r>
      <w:r>
        <w:rPr>
          <w:rStyle w:val="FootnoteAnchor"/>
          <w:rtl w:val="true"/>
        </w:rPr>
        <w:footnoteReference w:id="1145"/>
      </w:r>
      <w:r>
        <w:rPr>
          <w:rFonts w:ascii="IRNazanin" w:hAnsi="IRNazanin" w:eastAsia="IRNazanin"/>
          <w:color w:val="111111"/>
          <w:sz w:val="28"/>
          <w:sz w:val="28"/>
          <w:szCs w:val="28"/>
          <w:rtl w:val="true"/>
          <w:lang w:bidi="fa-IR"/>
        </w:rPr>
        <w:t>أوّل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تأخیره إلی البلوغ </w:t>
      </w:r>
      <w:r>
        <w:rPr>
          <w:rStyle w:val="FootnoteAnchor"/>
          <w:rtl w:val="true"/>
        </w:rPr>
        <w:footnoteReference w:id="1146"/>
      </w:r>
      <w:r>
        <w:rPr>
          <w:rFonts w:ascii="IRNazanin" w:hAnsi="IRNazanin" w:eastAsia="IRNazanin"/>
          <w:color w:val="111111"/>
          <w:sz w:val="28"/>
          <w:sz w:val="28"/>
          <w:szCs w:val="28"/>
          <w:rtl w:val="true"/>
          <w:lang w:bidi="fa-IR"/>
        </w:rPr>
        <w:t>وهو دالّ علی الثانی، ودلیله غیر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خفض النساء وإن بلغن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خفض النساء مکرُمة، وأیّ شیء أفضل من المکرُمة</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والعقیقة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 فیها شروط الاُضحیّة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السلامة من العیوب والسمن، والسنّ علی الأفضل، ویجزئ فیها مطلق الشاة،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شاة لحم لیست بمنزلة الاُضحیّة، یُجزی منها کلّ شیء</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خیرها أسمنها</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مساواتُها الولد فی الذکورة والاُنوثة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خالفته أجزأت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عند ذبحها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عَقیقَةٌ عَنْ فُلان، لَحْمُها بِلَحمِهِ، وَدَمُها بِدَمِهِ، وَعَظْمُها بِعَظمِهِ، اللَّهُمَّ اجعَلْهُ وِقاءً لآلِ مُحَمَّدٍ صَلَّی اللّٰهُ عَلَیهِ وَآله </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الکرخی عن أبی عبد اللّٰه علیه السلام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وَالحَمدُ للّٰهِ وَاللّٰهُ أکبَرُ</w:t>
      </w:r>
    </w:p>
    <w:p>
      <w:pPr>
        <w:pStyle w:val="BookText"/>
        <w:rPr/>
      </w:pPr>
      <w:r>
        <w:rPr>
          <w:rFonts w:ascii="Amiri" w:hAnsi="Amiri" w:eastAsia="Amiri" w:cs="Amiri"/>
          <w:color w:val="111111"/>
          <w:sz w:val="28"/>
          <w:sz w:val="28"/>
          <w:szCs w:val="28"/>
          <w:rtl w:val="true"/>
          <w:lang w:bidi="ar-SA"/>
        </w:rPr>
        <w:t>إیماناً بِاللّٰهِ، وَثَناءً عَلیٰ رَسولِ اللّٰهِ صَلَّی اللّٰهُ عَلَیْهِ وَآلِهِ وَالعَظَمَةُ لأمرِهِ، وَالشُّکْرُ لِرِزْقِهِ، وَالمَعرِفَةُ بِفَضْلِهِ عَلَینا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ذکراً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إنَّکَ وَهَبْتَ لَنا ذَکَراً وَأنتَ أعلَمُ بِما وَهَبْتَ، وَمِنْکَ ما أعطَیتَ، وَکُلُّ ما صَنَعنا فَتَقَبَّلْهُ مِنَّا عَلیٰ سُنَّتِکَ وَسُنَّةِ نَبِیِّکَ وَرَسو لِکَ صَلّی اللّٰهُ عَلَیهِ وَآلِهِ، واخسأ عَنَّا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لَکَ سُفِکَتِ الدِّماءُ لا شَریکَ لَکَ وَالحَمدُ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علیه السلام مثله وزاد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لَحمُها بِلَحمِهِ، وَدَمُها بِدَمِهِ، وَعَظْمُها بِعَظمِهِ، وَشَعرُها بِشَعرِهِ، وَجِلدُها بِجِلدِهِ، اللَّهُمَّ اجعَلها وِقاءً لِفُلان بنِ فُلان</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العقیقة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إنِّی بَریءٌ مِمَّا تُشرِکونَ، إنِّی وَجَّهتُ وَجهِیَ لِلَّذِی فَطَرَ السَّماواتِ وَالأرضَ حَنیفاً مُسلِماً وَما أنا مِنَ المُشرِکینَ، إنَّ صَلاتی وَنُسُکی وَمَحیایَ وَمَماتی للّٰهِ رَبِّ العالَمینَ لا شَریکَ لَهُ وَبِذلِکَ اُمِرتُ وَأنَا مِنَ </w:t>
      </w:r>
      <w:r>
        <w:rPr>
          <w:rStyle w:val="FootnoteAnchor"/>
          <w:rtl w:val="true"/>
        </w:rPr>
        <w:footnoteReference w:id="1156"/>
      </w:r>
      <w:r>
        <w:rPr>
          <w:rFonts w:ascii="Amiri" w:hAnsi="Amiri" w:eastAsia="Amiri" w:cs="Amiri"/>
          <w:color w:val="111111"/>
          <w:sz w:val="28"/>
          <w:sz w:val="28"/>
          <w:szCs w:val="28"/>
          <w:rtl w:val="true"/>
          <w:lang w:bidi="ar-SA"/>
        </w:rPr>
        <w:t>المُسلِمینَ، اللَّهُمَّ مِنْکَ وَلَکَ بِسمِ اللّٰهِ وَاللّٰهُ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 المولود باسمه ثمّ تذبح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عند العقیقة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مِنْکَ وَلَکَ ما وَهَبتَ وَأنتَ أعطَیتَ، اللَّهُمَّ فَتَقَبَّلهُ مِنَّا عَلیٰ سُنَّةِ نَبیِّکَ صَلَّی اللّٰهُ عَلَیهِ وَآلِهِ وَنَستَعیذُ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وتذبح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 سُفِکَتِ الدِّماءُ لا شَریکَ لَکَ، وَالحَمدُ للّٰهِ رَبِّ العالَمینَ اللَّهُمَّ اخسأ عَنَّا الشَّیطانَ الرَّجیم</w:t>
      </w:r>
      <w:r>
        <w:rPr>
          <w:rFonts w:eastAsia="Amiri" w:cs="Amiri" w:ascii="Amiri" w:hAnsi="Amiri"/>
          <w:color w:val="111111"/>
          <w:sz w:val="28"/>
          <w:szCs w:val="28"/>
          <w:rtl w:val="true"/>
          <w:lang w:bidi="ar-SA"/>
        </w:rPr>
        <w:t xml:space="preserve">» </w:t>
      </w:r>
      <w:r>
        <w:rPr>
          <w:rStyle w:val="FootnoteAnchor"/>
          <w:rtl w:val="true"/>
        </w:rPr>
        <w:footnoteReference w:id="1158"/>
      </w:r>
      <w:r>
        <w:rPr>
          <w:rFonts w:ascii="IRNazanin" w:hAnsi="IRNazanin" w:eastAsia="IRNazanin"/>
          <w:color w:val="111111"/>
          <w:sz w:val="28"/>
          <w:sz w:val="28"/>
          <w:szCs w:val="28"/>
          <w:rtl w:val="true"/>
          <w:lang w:bidi="fa-IR"/>
        </w:rPr>
        <w:t>فهذا جملة ما وقفت علیه من الدعاء المأثور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وسؤالُ اللّٰه تعالی أن یجعلها فدیة له، لحماً بلحم وعظماً بعظم وجلداً بجلد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داخل فی المأثور فکان یستغنی عن تخصیصه، ولعلّه لمزید الاهتمام به أو التنبیه علیه حیث لا یتّفق الدعاء بالمأثور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تکفی الصدقة بثمنها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تعذّرت، بل یُنتظر الوجدان، بخلاف الاُضحیّة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طلبنا العقیقة فلم نجدها فما تری، نتصدّق بثمنها؟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 اللّٰه یحبّ إطعام الطعام وإراقة الدماء</w:t>
      </w:r>
      <w:r>
        <w:rPr>
          <w:rFonts w:eastAsia="IRNazanin" w:cs="IRNazanin"/>
          <w:color w:val="111111"/>
          <w:sz w:val="28"/>
          <w:szCs w:val="28"/>
          <w:rtl w:val="true"/>
          <w:lang w:bidi="fa-IR"/>
        </w:rPr>
        <w:t xml:space="preserve">»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ولتخصّ القابلة بالرِجل والوَرِک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لها ربع العقیقة </w:t>
      </w:r>
      <w:r>
        <w:rPr>
          <w:rStyle w:val="FootnoteAnchor"/>
          <w:rtl w:val="true"/>
        </w:rPr>
        <w:footnoteReference w:id="1162"/>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ثلثها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تکن قابلةٌ تصدّقت به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حصّة القابلة تکون لها وإن کان الذابح الأب، ثمّ هی تتصدّق بها؛ لأنّه یُکره لها الأکل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تختصّ صدقتها بالفقراء، بل تُعطی من شاءت کما ورد فی الخبر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بلغ الولد ولمّا یُعقّ عنه استحبّ له العقیقة عن نفسه، وإن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هل عُقّ عنه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الأصل عدم عقیقة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ولروایة عبد اللّٰه بن سنان عن عمر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أدری کان أبی عَقَّ عنّی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فأمرنی أبو عبد اللّٰه علیه السلام فعققت عن نفسی وأنا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rtl w:val="true"/>
          <w:lang w:bidi="fa-IR"/>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امرئ</w:t>
      </w:r>
    </w:p>
    <w:p>
      <w:pPr>
        <w:pStyle w:val="BookText"/>
        <w:rPr/>
      </w:pPr>
      <w:r>
        <w:rPr>
          <w:rFonts w:ascii="IRNazanin" w:hAnsi="IRNazanin" w:eastAsia="IRNazanin"/>
          <w:color w:val="111111"/>
          <w:sz w:val="28"/>
          <w:sz w:val="28"/>
          <w:szCs w:val="28"/>
          <w:rtl w:val="true"/>
          <w:lang w:bidi="fa-IR"/>
        </w:rPr>
        <w:t>مرتهن بعقیقته، والعقیقة أوجب من الاُضحیّة</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 الصبیّ یوم السابع بعد الزوال لم تسقط، وقبله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إدریس بن عبد اللّٰه عن أبی عبد اللّٰه علیه السلام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للوالدین أن یأکلا منها شیئاً، وکذا مَن فی عیالهما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القابلة منهم؛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یأکل هو ولا أحد من عیاله من العقیقة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للقابلة ثلث العقیقة، فإن کانت القابلة اُمَّ الرجل أو فی عیاله فلیس لها منها شیء</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وتتأکّد الکراهة فی الاُمّ؛ لقوله علیه السلام فی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العقیقة کلّ أحد إلّاالاُمّ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تکسر عظامها، بل تفصّل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 فی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ویجعل </w:t>
      </w:r>
      <w:r>
        <w:rPr>
          <w:rStyle w:val="FootnoteAnchor"/>
          <w:rtl w:val="true"/>
        </w:rPr>
        <w:footnoteReference w:id="1170"/>
      </w:r>
      <w:r>
        <w:rPr>
          <w:rFonts w:ascii="IRNazanin" w:hAnsi="IRNazanin" w:eastAsia="IRNazanin"/>
          <w:color w:val="111111"/>
          <w:sz w:val="28"/>
          <w:sz w:val="28"/>
          <w:szCs w:val="28"/>
          <w:rtl w:val="true"/>
          <w:lang w:bidi="fa-IR"/>
        </w:rPr>
        <w:t>أعضاء ثمّ یطبخها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أن یُدعی لها المؤمنون، وأقلّهم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 منه عشرة من المسلمین، فإن زاد فهو أفضل</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وفی الخبر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یعطیها إلّالأهل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یُطبخ طبخاً دون أن تفرَّق لحماً أو تُشوی علی النار؛ لما تقدّم من الأمر بطبخها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والمعتبر مسمّاه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تُطبخ بالماء والملح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اُضیف إلیهما غیرهما فلا بأس؛ لإطلاق الأمر الصادق به بل ربما کان أکمل، وما ذکره المصنّف للتنبیه علی أقلّ ما یتأدّی به الطبخ لا للحصر؛ إذ لم یرد نصّ بکون الطبخ بالماء</w:t>
      </w:r>
      <w:bookmarkStart w:id="413" w:name="pg19810_214527"/>
    </w:p>
    <w:p>
      <w:pPr>
        <w:pStyle w:val="BookText"/>
        <w:rPr/>
      </w:pPr>
      <w:bookmarkEnd w:id="413"/>
      <w:r>
        <w:rPr>
          <w:rFonts w:ascii="Amiri" w:hAnsi="Amiri" w:eastAsia="Amiri" w:cs="Amiri"/>
          <w:color w:val="111111"/>
          <w:sz w:val="28"/>
          <w:sz w:val="28"/>
          <w:szCs w:val="28"/>
          <w:rtl w:val="true"/>
          <w:lang w:bidi="ar-SA"/>
        </w:rPr>
        <w:t>والملح خاصّة، بل به مطلقاً</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2175561_2314609296"/>
      <w:bookmarkStart w:id="415" w:name="_Toc155"/>
      <w:bookmarkEnd w:id="414"/>
      <w:r>
        <w:rPr>
          <w:rtl w:val="true"/>
        </w:rPr>
        <w:t>[</w:t>
      </w:r>
      <w:r>
        <w:rPr>
          <w:rtl w:val="true"/>
        </w:rPr>
        <w:t>الرضاع</w:t>
      </w:r>
      <w:r>
        <w:rPr>
          <w:rtl w:val="true"/>
        </w:rPr>
        <w:t>]</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الاُمّ إرضاع اللباء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وهو أوّل اللبن فی النتاج، قاله الجوهری </w:t>
      </w:r>
      <w:r>
        <w:rPr>
          <w:rStyle w:val="FootnoteAnchor"/>
          <w:rtl w:val="true"/>
        </w:rPr>
        <w:footnoteReference w:id="1172"/>
      </w:r>
      <w:r>
        <w:rPr>
          <w:rFonts w:ascii="IRNazanin" w:hAnsi="IRNazanin" w:eastAsia="IRNazanin"/>
          <w:color w:val="111111"/>
          <w:sz w:val="28"/>
          <w:sz w:val="28"/>
          <w:szCs w:val="28"/>
          <w:rtl w:val="true"/>
          <w:lang w:bidi="fa-IR"/>
        </w:rPr>
        <w:t>وفی نهایة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ما یحلب عند الولادة </w:t>
      </w:r>
      <w:r>
        <w:rPr>
          <w:rStyle w:val="FootnoteAnchor"/>
          <w:rtl w:val="true"/>
        </w:rPr>
        <w:footnoteReference w:id="1173"/>
      </w:r>
      <w:r>
        <w:rPr>
          <w:rFonts w:ascii="IRNazanin" w:hAnsi="IRNazanin" w:eastAsia="IRNazanin"/>
          <w:color w:val="111111"/>
          <w:sz w:val="28"/>
          <w:sz w:val="28"/>
          <w:szCs w:val="28"/>
          <w:rtl w:val="true"/>
          <w:lang w:bidi="fa-IR"/>
        </w:rPr>
        <w:t xml:space="preserve">ولم أقف علی تحدید مقدار ما یجب منه، وربما قیّده بعض بثلاثة أیّام </w:t>
      </w:r>
      <w:r>
        <w:rPr>
          <w:rStyle w:val="FootnoteAnchor"/>
          <w:rtl w:val="true"/>
        </w:rPr>
        <w:footnoteReference w:id="1174"/>
      </w:r>
      <w:r>
        <w:rPr>
          <w:rFonts w:ascii="Amiri" w:hAnsi="Amiri" w:eastAsia="Amiri" w:cs="Amiri"/>
          <w:color w:val="111111"/>
          <w:sz w:val="28"/>
          <w:sz w:val="28"/>
          <w:szCs w:val="28"/>
          <w:rtl w:val="true"/>
          <w:lang w:bidi="ar-SA"/>
        </w:rPr>
        <w:t>وظاهر ما نقلناه عن أهل اللغة أ نّه حَلبة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وجب علیها ذلک؛ لأنّ الولد لا یعیش بدونه، ومع ذلک لا یجب علیها التبرّع به،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باُجرةٍ علی الأب إن لم یکن للولد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ففی ماله جمعاً بین الحقّین </w:t>
      </w:r>
      <w:r>
        <w:rPr>
          <w:rStyle w:val="FootnoteAnchor"/>
          <w:rtl w:val="true"/>
        </w:rPr>
        <w:footnoteReference w:id="1175"/>
      </w:r>
      <w:r>
        <w:rPr>
          <w:rFonts w:ascii="IRNazanin" w:hAnsi="IRNazanin" w:eastAsia="IRNazanin"/>
          <w:color w:val="111111"/>
          <w:sz w:val="28"/>
          <w:sz w:val="28"/>
          <w:szCs w:val="28"/>
          <w:rtl w:val="true"/>
          <w:lang w:bidi="fa-IR"/>
        </w:rPr>
        <w:t>ولا منافاة بین وجوب الفعل واستحقاق عوضه، کبذل المال فی المخمصة للمحتاج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یظهر ضعف ما قیل بعدم استحقاقها الاُجرة علیه؛ لوجوبه علیها </w:t>
      </w:r>
      <w:r>
        <w:rPr>
          <w:rStyle w:val="FootnoteAnchor"/>
          <w:rtl w:val="true"/>
        </w:rPr>
        <w:footnoteReference w:id="1176"/>
      </w:r>
      <w:r>
        <w:rPr>
          <w:rFonts w:ascii="IRNazanin" w:hAnsi="IRNazanin" w:eastAsia="IRNazanin"/>
          <w:color w:val="111111"/>
          <w:sz w:val="28"/>
          <w:sz w:val="28"/>
          <w:szCs w:val="28"/>
          <w:rtl w:val="true"/>
          <w:lang w:bidi="fa-IR"/>
        </w:rPr>
        <w:t>لما علم من عدم جواز أخذ الاُجرة علی العمل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أنّ الممنوع من أخذ اُجرته هو نفس العمل، لا عین المال الذی یجب بذله، واللباء من قبیل الثانی، لا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یجیء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لا تستحقّ اُجرة علی إیصاله إلی فمه؛ لأنّه عمل واجب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مُنع من کونه لا یعیش بدونه، فینقدح حینئذٍ عدم الوجوب، والعلّامة</w:t>
      </w:r>
    </w:p>
    <w:p>
      <w:pPr>
        <w:pStyle w:val="BookText"/>
        <w:rPr/>
      </w:pPr>
      <w:r>
        <w:rPr>
          <w:rFonts w:ascii="IRNazanin" w:hAnsi="IRNazanin" w:eastAsia="IRNazanin"/>
          <w:color w:val="111111"/>
          <w:sz w:val="28"/>
          <w:sz w:val="28"/>
          <w:szCs w:val="28"/>
          <w:rtl w:val="true"/>
          <w:lang w:bidi="fa-IR"/>
        </w:rPr>
        <w:t xml:space="preserve">قطع فی القواعد بکونه لا یعیش بدونه </w:t>
      </w:r>
      <w:r>
        <w:rPr>
          <w:rStyle w:val="FootnoteAnchor"/>
          <w:rtl w:val="true"/>
        </w:rPr>
        <w:footnoteReference w:id="1177"/>
      </w:r>
      <w:r>
        <w:rPr>
          <w:rFonts w:ascii="IRNazanin" w:hAnsi="IRNazanin" w:eastAsia="IRNazanin"/>
          <w:color w:val="111111"/>
          <w:sz w:val="28"/>
          <w:sz w:val="28"/>
          <w:szCs w:val="28"/>
          <w:rtl w:val="true"/>
          <w:lang w:bidi="fa-IR"/>
        </w:rPr>
        <w:t xml:space="preserve">وقیّده بعضهم بالغالب </w:t>
      </w:r>
      <w:r>
        <w:rPr>
          <w:rStyle w:val="FootnoteAnchor"/>
          <w:rtl w:val="true"/>
        </w:rPr>
        <w:footnoteReference w:id="1178"/>
      </w:r>
      <w:r>
        <w:rPr>
          <w:rFonts w:ascii="IRNazanin" w:hAnsi="IRNazanin" w:eastAsia="IRNazanin"/>
          <w:color w:val="111111"/>
          <w:sz w:val="28"/>
          <w:sz w:val="28"/>
          <w:szCs w:val="28"/>
          <w:rtl w:val="true"/>
          <w:lang w:bidi="fa-IR"/>
        </w:rPr>
        <w:t>وهو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ترضعه طول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فی الرضاع، وهی حولان کاملان لمن أراد أن یتمّ الرضاعة </w:t>
      </w:r>
      <w:r>
        <w:rPr>
          <w:rStyle w:val="FootnoteAnchor"/>
          <w:rtl w:val="true"/>
        </w:rPr>
        <w:footnoteReference w:id="1179"/>
      </w:r>
      <w:r>
        <w:rPr>
          <w:rFonts w:ascii="IRNazanin" w:hAnsi="IRNazanin" w:eastAsia="IRNazanin"/>
          <w:color w:val="111111"/>
          <w:sz w:val="28"/>
          <w:sz w:val="28"/>
          <w:szCs w:val="28"/>
          <w:rtl w:val="true"/>
          <w:lang w:bidi="fa-IR"/>
        </w:rPr>
        <w:t xml:space="preserve">فإن أراد الاقتصار علی أقلّ المجزی فأحد وعشرون شهراً، ولا یجوز نقصانه عنها </w:t>
      </w:r>
      <w:r>
        <w:rPr>
          <w:rStyle w:val="FootnoteAnchor"/>
          <w:rtl w:val="true"/>
        </w:rPr>
        <w:footnoteReference w:id="1180"/>
      </w:r>
      <w:r>
        <w:rPr>
          <w:rFonts w:ascii="IRNazanin" w:hAnsi="IRNazanin" w:eastAsia="IRNazanin"/>
          <w:color w:val="111111"/>
          <w:sz w:val="28"/>
          <w:sz w:val="28"/>
          <w:szCs w:val="28"/>
          <w:rtl w:val="true"/>
          <w:lang w:bidi="fa-IR"/>
        </w:rPr>
        <w:t>ویجوز الزیادة علی الحولین شهراً وشهرین خاصّة، لکن لا تستحقّ المرضعة علی الزائد اُجرة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کان إرضاع الاُمّ مستحبّاً؛ لأنّ لبنها أوفق بمزاجه؛ لتغذّیه به فی الرحم 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والاُجرة کما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فی مال الولد إن کان له مال، وإلّا فعلی الأب وإن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یساره، وإلّا فلا اُجرة لها، بل یجب علیها، کما یجب علیها الإنفاق علیه لو کان الأب معسراً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إرضاعه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یستأجرها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 وبغیرها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یشترط علیها إرضاعه بنفسها، کما فی کلّ أجیر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بإرضاعه ولو بالاُجرة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قنعت بما یقنع به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أنقص أو تبرّعت بطریق أولی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طلبت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للأب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وتسلیمه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یأخذ أنقص أو یتبرّع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انتزاعه وتسلیمه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حضانتها أیضاً، وهو أحد القولین </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لزوم الحرج</w:t>
      </w:r>
      <w:bookmarkStart w:id="416" w:name="pg19810_214529"/>
    </w:p>
    <w:p>
      <w:pPr>
        <w:pStyle w:val="BookText"/>
        <w:rPr/>
      </w:pPr>
      <w:bookmarkEnd w:id="416"/>
      <w:r>
        <w:rPr>
          <w:rFonts w:ascii="IRNazanin" w:hAnsi="IRNazanin" w:eastAsia="IRNazanin"/>
          <w:color w:val="111111"/>
          <w:sz w:val="28"/>
          <w:sz w:val="28"/>
          <w:szCs w:val="28"/>
          <w:rtl w:val="true"/>
          <w:lang w:bidi="fa-IR"/>
        </w:rPr>
        <w:t>بالجمع بین کونه فی یدها وتولّی غیرها إرضاعه، ولظاهر روایة داود بن الحصین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الأب من یُرضعه بأربعة دراهم وقالت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اُرضعه إلّابخمسة دراهم، فإنّ له أن ینزعه منها</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بقاء حقّ الحضانة لها؛ لعدم تلازمهما، وحینئذٍ فتأتی المرضعة وترضعه عندها مع الإمکان، فإن تعذّر حمل الصبیّ إلی المرضعة وقت الإرضاع خاصّة، فإن تعذّر جمیع ذلک اتّجه سقوط حقّها من الحضانة؛ للحرج والضرر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وللمولی إجبار أمته علی الإرضاع لولدها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منافعها مملوکة له، فله التصرّف فیها کیف شاء، بخلاف الزوجة حرّةً کانت أم مملوکة لغیره، معتادة لإرضاع أولادها أم غیر معتادة؛ لأنّه لا یستحقّ بالزوجیّة منافعها وإنّما استحقّ الاستمتاع</w:t>
      </w:r>
      <w:r>
        <w:rPr>
          <w:rFonts w:eastAsia="IRNazanin" w:cs="IRNazanin"/>
          <w:color w:val="111111"/>
          <w:sz w:val="28"/>
          <w:szCs w:val="28"/>
          <w:rtl w:val="true"/>
          <w:lang w:bidi="fa-IR"/>
        </w:rPr>
        <w:t>.</w:t>
      </w:r>
    </w:p>
    <w:p>
      <w:pPr>
        <w:pStyle w:val="Heading6"/>
        <w:numPr>
          <w:ilvl w:val="5"/>
          <w:numId w:val="1"/>
        </w:numPr>
        <w:rPr/>
      </w:pPr>
      <w:bookmarkStart w:id="417" w:name="__RefHeading___Toc2175563_2314609296"/>
      <w:bookmarkStart w:id="418" w:name="_Toc156"/>
      <w:bookmarkEnd w:id="417"/>
      <w:r>
        <w:rPr>
          <w:rtl w:val="true"/>
        </w:rPr>
        <w:t>[</w:t>
      </w:r>
      <w:r>
        <w:rPr>
          <w:rtl w:val="true"/>
        </w:rPr>
        <w:t>الحضانة</w:t>
      </w:r>
      <w:r>
        <w:rPr>
          <w:rtl w:val="true"/>
        </w:rPr>
        <w:t>]</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بالفتح،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الطفل والمجنون لفائدة تربیته وما یتعلّق بها من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حفظه وجعله فی سریره ورفعه، وکحله ودَهْنه، وتنظیفه وغسل خِرَقه وثیابه، ونحوه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بالاُنثی ألیق منها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 أحقّ بالولد مدّةَ الرضاع 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إذا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الأبوان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رقیقین أو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یسقط اعتبار الحرّیّة فی الأوّل والإسلام فی الثانی؛ لعدم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الاُمّ خاصّة حرّة مسلمة فهی أحقّ بالولد مطلقاً من الأب الرقّ أو الکافر إلی أن یبلغ وإن تزوّجت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 أحقّ بالاُنثی إلی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تسع </w:t>
      </w:r>
      <w:r>
        <w:rPr>
          <w:rStyle w:val="FootnoteAnchor"/>
          <w:rtl w:val="true"/>
        </w:rPr>
        <w:footnoteReference w:id="1183"/>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تتزوّج الاُمّ </w:t>
      </w:r>
      <w:r>
        <w:rPr>
          <w:rStyle w:val="FootnoteAnchor"/>
          <w:rtl w:val="true"/>
        </w:rPr>
        <w:footnoteReference w:id="118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سبع فیهما </w:t>
      </w:r>
      <w:r>
        <w:rPr>
          <w:rStyle w:val="FootnoteAnchor"/>
          <w:rtl w:val="true"/>
        </w:rPr>
        <w:footnoteReference w:id="1185"/>
      </w:r>
      <w:r>
        <w:rPr>
          <w:rFonts w:ascii="IRNazanin" w:hAnsi="IRNazanin" w:eastAsia="IRNazanin"/>
          <w:color w:val="111111"/>
          <w:sz w:val="28"/>
          <w:sz w:val="28"/>
          <w:szCs w:val="28"/>
          <w:rtl w:val="true"/>
          <w:lang w:bidi="fa-IR"/>
        </w:rPr>
        <w:t xml:space="preserve">والأوّل مع شهرته جامع بین الأخبار المطلقة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والأب أحقّ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فصاله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البلوغ،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بالاُنثی بعد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أنّ الخنثی المشکل هنا کالاُنثی استصحاباً لولایة الاُمّ الثابتة علیه ابتداءً إلی أن یثبت المزیل، ولا ثبوت له قبل السبع؛ لعدم العلم بالذکوریّة التی هی مناط زوال ولایتها عنه بعد الحولین، وأصالة عدم استحقاقه الولایة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کان الأبوان موجودین، فإن مات أحدهما کان الآخر أحقّ بالولد مطلقاً من جمیع الأقارب إلی أن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أحقّ من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وصیّ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بالبنت بعد السبع، کما هی أحقّ من الأقارب وإن تزوّجت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 الأبوان فالحضانة لأب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أب فی الجملة، فیکون أولی من غیره من الأقارب، ولأ نّه أولی بالمال فیکون أولی بالحضانة، وبهذا جزم فی القواعد، فقدّم الجدّ للأب علی غیره من الأقارب </w:t>
      </w:r>
      <w:r>
        <w:rPr>
          <w:rStyle w:val="FootnoteAnchor"/>
          <w:rtl w:val="true"/>
        </w:rPr>
        <w:footnoteReference w:id="1187"/>
      </w:r>
      <w:r>
        <w:rPr>
          <w:rFonts w:ascii="IRNazanin" w:hAnsi="IRNazanin" w:eastAsia="IRNazanin"/>
          <w:color w:val="111111"/>
          <w:sz w:val="28"/>
          <w:sz w:val="28"/>
          <w:szCs w:val="28"/>
          <w:rtl w:val="true"/>
          <w:lang w:bidi="fa-IR"/>
        </w:rPr>
        <w:t>ویشکل بأنّ ذلک لو کان</w:t>
      </w:r>
    </w:p>
    <w:p>
      <w:pPr>
        <w:pStyle w:val="BookText"/>
        <w:rPr/>
      </w:pPr>
      <w:r>
        <w:rPr>
          <w:rFonts w:ascii="IRNazanin" w:hAnsi="IRNazanin" w:eastAsia="IRNazanin"/>
          <w:color w:val="111111"/>
          <w:sz w:val="28"/>
          <w:sz w:val="28"/>
          <w:szCs w:val="28"/>
          <w:rtl w:val="true"/>
          <w:lang w:bidi="fa-IR"/>
        </w:rPr>
        <w:t>موجباً لتقدیمه لاقتضی تقدیم اُمّ الاُمّ علیه؛ لأنّها بمنزلة الاُمّ وهی مقدّمة علی الأب علی ما فُصّل، وولایة المال لا مدخل لها فی الحضانة، وإلّا لکان الأب أولی من الاُمّ وکذا الجدّ له، ولیس کذلک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خالیة من غیر الأبوین من الأقارب، وإنّما استفید حکمهم من آیة اُولی الأرحام </w:t>
      </w:r>
      <w:r>
        <w:rPr>
          <w:rStyle w:val="FootnoteAnchor"/>
          <w:rtl w:val="true"/>
        </w:rPr>
        <w:footnoteReference w:id="1188"/>
      </w:r>
      <w:r>
        <w:rPr>
          <w:rFonts w:ascii="IRNazanin" w:hAnsi="IRNazanin" w:eastAsia="IRNazanin"/>
          <w:color w:val="111111"/>
          <w:sz w:val="28"/>
          <w:sz w:val="28"/>
          <w:szCs w:val="28"/>
          <w:rtl w:val="true"/>
          <w:lang w:bidi="fa-IR"/>
        </w:rPr>
        <w:t xml:space="preserve">وهی لا تدلّ علی تقدیمه علی غیره من درجته، وبهذا جزم فی المختلف </w:t>
      </w:r>
      <w:r>
        <w:rPr>
          <w:rStyle w:val="FootnoteAnchor"/>
          <w:rtl w:val="true"/>
        </w:rPr>
        <w:footnoteReference w:id="1189"/>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الأب أو لم نرجّحه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فللأقارب،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إلی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لآیة اُولی الأرحام، فالجدّة لاُمّ کانت أم لأب وإن علت أولی من العمّة والخالة، کما أ نّهما أولی من بنات العمومة والخؤولة، وکذلک الجدّة الدنیا والخالة والعمّة أولی من العلیا منهنّ وکذا ذکور کلّ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اتّحد الأقربُ فالحضانة مختصّة به، وإن تعدّد اُقرع بینهم؛ لما فی اشتراکها من الإضرار بالولد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اجتمع ذکر واُنثی ففی تقدیم الاُنثی قول </w:t>
      </w:r>
      <w:r>
        <w:rPr>
          <w:rStyle w:val="FootnoteAnchor"/>
          <w:rtl w:val="true"/>
        </w:rPr>
        <w:footnoteReference w:id="1190"/>
      </w:r>
      <w:r>
        <w:rPr>
          <w:rFonts w:ascii="IRNazanin" w:hAnsi="IRNazanin" w:eastAsia="IRNazanin"/>
          <w:color w:val="111111"/>
          <w:sz w:val="28"/>
          <w:sz w:val="28"/>
          <w:szCs w:val="28"/>
          <w:rtl w:val="true"/>
          <w:lang w:bidi="fa-IR"/>
        </w:rPr>
        <w:t>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الاُمّ علی الأب وکونُ الاُنثی أوفق لتربیة الولد وأقوم بمصالحه، سیّما الصغیر والاُنثی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الدلیل المستفاد من الآیة یقتضی التسویة بینهما، کما یقتضی التسویة بین کثیر النصیب وقلیله ومن یمتّ بالأبوین وبالاُمّ خاصّة؛ لاشتراک الجمیع فی الإرث</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 من الأبوین أو الأب أولی من الاُخت للاُمّ، وکذا اُمّ الأب أولی من اُمّ الاُمّ، والجدّة أولی من الأخوات </w:t>
      </w:r>
      <w:r>
        <w:rPr>
          <w:rStyle w:val="FootnoteAnchor"/>
          <w:rtl w:val="true"/>
        </w:rPr>
        <w:footnoteReference w:id="1191"/>
      </w:r>
      <w:r>
        <w:rPr>
          <w:rFonts w:ascii="IRNazanin" w:hAnsi="IRNazanin" w:eastAsia="IRNazanin"/>
          <w:color w:val="111111"/>
          <w:sz w:val="28"/>
          <w:sz w:val="28"/>
          <w:szCs w:val="28"/>
          <w:rtl w:val="true"/>
          <w:lang w:bidi="fa-IR"/>
        </w:rPr>
        <w:t>والعمّة أولی من الخالة، نظراً إلی</w:t>
      </w:r>
    </w:p>
    <w:p>
      <w:pPr>
        <w:pStyle w:val="BookText"/>
        <w:rPr/>
      </w:pPr>
      <w:r>
        <w:rPr>
          <w:rFonts w:ascii="IRNazanin" w:hAnsi="IRNazanin" w:eastAsia="IRNazanin"/>
          <w:color w:val="111111"/>
          <w:sz w:val="28"/>
          <w:sz w:val="28"/>
          <w:szCs w:val="28"/>
          <w:rtl w:val="true"/>
          <w:lang w:bidi="fa-IR"/>
        </w:rPr>
        <w:t xml:space="preserve">زیادة القرب أو کثرة النصیب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بیّن؛ لأنّ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ومجرّد ما ذُکر لا یصلح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حضانة لغیر الأبوین اقتصاراً علی موضع النصّ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وعموم الآیة یدفعه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تزوّجت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الأب مع وجوده کاملاً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حضانتها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w:t>
      </w:r>
      <w:r>
        <w:rPr>
          <w:rStyle w:val="FootnoteAnchor"/>
          <w:rtl w:val="true"/>
        </w:rPr>
        <w:footnoteReference w:id="1195"/>
      </w:r>
      <w:r>
        <w:rPr>
          <w:rFonts w:ascii="IRNazanin" w:hAnsi="IRNazanin" w:eastAsia="IRNazanin"/>
          <w:color w:val="111111"/>
          <w:sz w:val="28"/>
          <w:sz w:val="28"/>
          <w:szCs w:val="28"/>
          <w:rtl w:val="true"/>
          <w:lang w:bidi="fa-IR"/>
        </w:rPr>
        <w:t xml:space="preserve">والإجماع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طُلّقت عادت 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لزوال المانع منها، وهو تزویجها واشتغالها بحقوق الزوج التی هی أقوی من حقّ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 لخروجها عن الاستحقاق بالنکاح فیستصحب ویحتاج عوده إلیها إلی دلیل آخر، وهو مفقود </w:t>
      </w:r>
      <w:r>
        <w:rPr>
          <w:rStyle w:val="FootnoteAnchor"/>
          <w:rtl w:val="true"/>
        </w:rPr>
        <w:footnoteReference w:id="1196"/>
      </w:r>
      <w:r>
        <w:rPr>
          <w:rFonts w:ascii="IRNazanin" w:hAnsi="IRNazanin" w:eastAsia="IRNazanin"/>
          <w:color w:val="111111"/>
          <w:sz w:val="28"/>
          <w:sz w:val="28"/>
          <w:szCs w:val="28"/>
          <w:rtl w:val="true"/>
          <w:lang w:bidi="fa-IR"/>
        </w:rPr>
        <w:t>وله وجه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الأشهر الأوّل، وإنّما تعود بمجرّد الطلاق إذا کان بائناً، وإلّا فبعد العدّة إن بقی لها شیء من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الأب موجوداً لم تسقط حضانتها بالتزویج مطلقاً </w:t>
      </w:r>
      <w:r>
        <w:rPr>
          <w:rStyle w:val="FootnoteAnchor"/>
          <w:rtl w:val="true"/>
        </w:rPr>
        <w:footnoteReference w:id="1197"/>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بلغ الولد رشیداً سقطت الحضانة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ولایة، والبالغ الرشید لا ولایة علیه لأحد، سواء فی ذلک الذکر والاُنثی، البکر والثیّب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یستحبّ له</w:t>
      </w:r>
    </w:p>
    <w:p>
      <w:pPr>
        <w:pStyle w:val="BookText"/>
        <w:rPr/>
      </w:pPr>
      <w:r>
        <w:rPr>
          <w:rFonts w:ascii="Amiri" w:hAnsi="Amiri" w:eastAsia="Amiri" w:cs="Amiri"/>
          <w:color w:val="111111"/>
          <w:sz w:val="28"/>
          <w:sz w:val="28"/>
          <w:szCs w:val="28"/>
          <w:rtl w:val="true"/>
          <w:lang w:bidi="ar-SA"/>
        </w:rPr>
        <w:t>أن لا یفارق اُمّه، خصوصاً الاُنثی إلی أن تتزوّج</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 نّه لا شبهة فی کون الحضانة حقّاً لمن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تجب علیه مع ذلک، أم له إسقاط حقّه منها؟ الأصل یقتضی ذلک، وهو الذی صرّح به المصنّف فی قواعده،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امتنعت الاُمّ من الحضانة صار الأب أولی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امتنعا معاً فالظاهر إجبار الأب </w:t>
      </w:r>
      <w:r>
        <w:rPr>
          <w:rStyle w:val="FootnoteAnchor"/>
          <w:rtl w:val="true"/>
        </w:rPr>
        <w:footnoteReference w:id="1198"/>
      </w:r>
      <w:r>
        <w:rPr>
          <w:rFonts w:ascii="IRNazanin" w:hAnsi="IRNazanin" w:eastAsia="IRNazanin"/>
          <w:color w:val="111111"/>
          <w:sz w:val="28"/>
          <w:sz w:val="28"/>
          <w:szCs w:val="28"/>
          <w:rtl w:val="true"/>
          <w:lang w:bidi="fa-IR"/>
        </w:rPr>
        <w:t xml:space="preserve">ونُقل عن بعض الأصحاب وجوبها </w:t>
      </w:r>
      <w:r>
        <w:rPr>
          <w:rStyle w:val="FootnoteAnchor"/>
          <w:rtl w:val="true"/>
        </w:rPr>
        <w:footnoteReference w:id="1199"/>
      </w:r>
      <w:r>
        <w:rPr>
          <w:rFonts w:ascii="IRNazanin" w:hAnsi="IRNazanin" w:eastAsia="IRNazanin"/>
          <w:color w:val="111111"/>
          <w:sz w:val="28"/>
          <w:sz w:val="28"/>
          <w:szCs w:val="28"/>
          <w:rtl w:val="true"/>
          <w:lang w:bidi="fa-IR"/>
        </w:rPr>
        <w:t>وهو حسن حیث یستلزم ترکُها تضییعَ الولد، إلّاأنّ حضانته حینئذٍ تجب کفایة کغیره من المضطرّین، وفی اختصاص الوجوب بذی الحقّ نظر، ولیس فی الأخبار ما یدلّ علی غیر ثبوت أصل الاستحقاق</w:t>
      </w:r>
      <w:r>
        <w:rPr>
          <w:rFonts w:eastAsia="IRNazanin" w:cs="IRNazanin"/>
          <w:color w:val="111111"/>
          <w:sz w:val="28"/>
          <w:szCs w:val="28"/>
          <w:rtl w:val="true"/>
          <w:lang w:bidi="fa-IR"/>
        </w:rPr>
        <w:t>.</w:t>
      </w:r>
      <w:bookmarkStart w:id="419" w:name="pg19810_214534"/>
    </w:p>
    <w:p>
      <w:pPr>
        <w:pStyle w:val="Heading5"/>
        <w:numPr>
          <w:ilvl w:val="4"/>
          <w:numId w:val="1"/>
        </w:numPr>
        <w:rPr/>
      </w:pPr>
      <w:bookmarkStart w:id="420" w:name="__RefHeading___Toc2175565_2314609296"/>
      <w:bookmarkStart w:id="421" w:name="_Toc157"/>
      <w:bookmarkEnd w:id="419"/>
      <w:bookmarkEnd w:id="420"/>
      <w:r>
        <w:rPr>
          <w:rtl w:val="true"/>
        </w:rPr>
        <w:t>[</w:t>
      </w:r>
      <w:r>
        <w:rPr>
          <w:rtl w:val="true"/>
        </w:rPr>
        <w:t>الثانی</w:t>
      </w:r>
      <w:r>
        <w:rPr>
          <w:rtl w:val="true"/>
        </w:rPr>
        <w:t xml:space="preserve">: </w:t>
      </w:r>
      <w:r>
        <w:rPr>
          <w:rtl w:val="true"/>
        </w:rPr>
        <w:t>فی النفقات</w:t>
      </w:r>
      <w:r>
        <w:rPr>
          <w:rtl w:val="true"/>
        </w:rPr>
        <w:t>]</w:t>
      </w:r>
      <w:bookmarkEnd w:id="421"/>
    </w:p>
    <w:p>
      <w:pPr>
        <w:pStyle w:val="Heading6"/>
        <w:numPr>
          <w:ilvl w:val="5"/>
          <w:numId w:val="1"/>
        </w:numPr>
        <w:rPr/>
      </w:pPr>
      <w:bookmarkStart w:id="422" w:name="__RefHeading___Toc2175567_2314609296"/>
      <w:bookmarkStart w:id="423" w:name="_Toc158"/>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النظر الثانی فی النفقات</w:t>
      </w:r>
    </w:p>
    <w:p>
      <w:pPr>
        <w:pStyle w:val="Heading6"/>
        <w:numPr>
          <w:ilvl w:val="5"/>
          <w:numId w:val="1"/>
        </w:numPr>
        <w:rPr/>
      </w:pPr>
      <w:bookmarkStart w:id="424" w:name="__RefHeading___Toc2175569_2314609296"/>
      <w:bookmarkStart w:id="425" w:name="_Toc159"/>
      <w:bookmarkEnd w:id="424"/>
      <w:r>
        <w:rPr>
          <w:rtl w:val="true"/>
        </w:rPr>
        <w:t>[</w:t>
      </w:r>
      <w:r>
        <w:rPr>
          <w:rtl w:val="true"/>
        </w:rPr>
        <w:t>اسبابها</w:t>
      </w:r>
      <w:r>
        <w:rPr>
          <w:rtl w:val="true"/>
        </w:rPr>
        <w:t>]</w:t>
      </w:r>
      <w:bookmarkEnd w:id="425"/>
    </w:p>
    <w:p>
      <w:pPr>
        <w:pStyle w:val="Heading6"/>
        <w:numPr>
          <w:ilvl w:val="5"/>
          <w:numId w:val="1"/>
        </w:numPr>
        <w:rPr/>
      </w:pPr>
      <w:bookmarkStart w:id="426" w:name="__RefHeading___Toc2175571_2314609296"/>
      <w:bookmarkStart w:id="427" w:name="_Toc160"/>
      <w:bookmarkEnd w:id="426"/>
      <w:r>
        <w:rPr>
          <w:rtl w:val="true"/>
        </w:rPr>
        <w:t>اشارة</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الزوجیّة، والقرابة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البعضیّة </w:t>
      </w:r>
      <w:r>
        <w:rPr>
          <w:rStyle w:val="FootnoteAnchor"/>
          <w:rtl w:val="true"/>
        </w:rPr>
        <w:footnoteReference w:id="1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والملک</w:t>
      </w:r>
      <w:r>
        <w:rPr>
          <w:rFonts w:eastAsia="IRNazanin" w:cs="IRNazanin"/>
          <w:color w:val="111111"/>
          <w:sz w:val="28"/>
          <w:szCs w:val="28"/>
          <w:rtl w:val="true"/>
          <w:lang w:bidi="fa-IR"/>
        </w:rPr>
        <w:t>» .</w:t>
      </w:r>
    </w:p>
    <w:p>
      <w:pPr>
        <w:pStyle w:val="Heading6"/>
        <w:numPr>
          <w:ilvl w:val="5"/>
          <w:numId w:val="1"/>
        </w:numPr>
        <w:rPr/>
      </w:pPr>
      <w:bookmarkStart w:id="428" w:name="__RefHeading___Toc2175573_2314609296"/>
      <w:bookmarkStart w:id="429" w:name="_Toc161"/>
      <w:bookmarkEnd w:id="428"/>
      <w:r>
        <w:rPr>
          <w:rtl w:val="true"/>
        </w:rPr>
        <w:t>[</w:t>
      </w:r>
      <w:r>
        <w:rPr/>
        <w:t>1</w:t>
      </w:r>
      <w:r>
        <w:rPr>
          <w:rtl w:val="true"/>
        </w:rPr>
        <w:t xml:space="preserve">- </w:t>
      </w:r>
      <w:r>
        <w:rPr>
          <w:rtl w:val="true"/>
        </w:rPr>
        <w:t>الزوجیة</w:t>
      </w:r>
      <w:r>
        <w:rPr>
          <w:rtl w:val="true"/>
        </w:rPr>
        <w:t>]</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نفقة الزوجة بالعقد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المنقطع سواء فی ذلک الحرّة والأمة المسلمة والکافرة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التمکین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تخلّی بینه وبین نفسها قولاً وفعلاً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زمان ومکان یسوغ فیه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بذلت فی زمان دون زمان أو مکان کذلک یصلحان للاستمتاع، فلا نفقة لها، وحیث کان مشروطاً بالتمکین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نفقة للصغیرة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تبلغ سنّاً یجوز الاستمتاع بها بالجماع علی أشهر القولین </w:t>
      </w:r>
      <w:r>
        <w:rPr>
          <w:rStyle w:val="FootnoteAnchor"/>
          <w:rtl w:val="true"/>
        </w:rPr>
        <w:footnoteReference w:id="1201"/>
      </w:r>
      <w:r>
        <w:rPr>
          <w:rFonts w:ascii="IRNazanin" w:hAnsi="IRNazanin" w:eastAsia="IRNazanin"/>
          <w:color w:val="111111"/>
          <w:sz w:val="28"/>
          <w:sz w:val="28"/>
          <w:szCs w:val="28"/>
          <w:rtl w:val="true"/>
          <w:lang w:bidi="fa-IR"/>
        </w:rPr>
        <w:t xml:space="preserve">لفقد الشرط وهو التمکین </w:t>
      </w:r>
      <w:r>
        <w:rPr>
          <w:rStyle w:val="FootnoteAnchor"/>
          <w:rtl w:val="true"/>
        </w:rPr>
        <w:footnoteReference w:id="1202"/>
      </w:r>
      <w:r>
        <w:rPr>
          <w:rFonts w:ascii="IRNazanin" w:hAnsi="IRNazanin" w:eastAsia="IRNazanin"/>
          <w:color w:val="111111"/>
          <w:sz w:val="28"/>
          <w:sz w:val="28"/>
          <w:szCs w:val="28"/>
          <w:rtl w:val="true"/>
          <w:lang w:bidi="fa-IR"/>
        </w:rPr>
        <w:t>من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النفقة علی الصغیرة؛ لعموم وجوبها علی الزوجة، فتخصیصه بالکبیرة الممکّنة یحتاج إلی دلیل </w:t>
      </w:r>
      <w:r>
        <w:rPr>
          <w:rStyle w:val="FootnoteAnchor"/>
          <w:rtl w:val="true"/>
        </w:rPr>
        <w:footnoteReference w:id="1203"/>
      </w:r>
      <w:r>
        <w:rPr>
          <w:rFonts w:ascii="IRNazanin" w:hAnsi="IRNazanin" w:eastAsia="IRNazanin"/>
          <w:color w:val="111111"/>
          <w:sz w:val="28"/>
          <w:sz w:val="28"/>
          <w:szCs w:val="28"/>
          <w:rtl w:val="true"/>
          <w:lang w:bidi="fa-IR"/>
        </w:rPr>
        <w:t>وسیأتی الکلام علی هذا الشرط</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انعکس بأن کانت کبیرة ممکِّنة والزوجُ صغیراً وجبت النفقة؛ لوجود المقتضی وانتفاء المانع؛ لأنّ الصغر 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للمنع </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کما فی نفقة الأقارب،</w:t>
      </w:r>
    </w:p>
    <w:p>
      <w:pPr>
        <w:pStyle w:val="BookText"/>
        <w:rPr/>
      </w:pPr>
      <w:r>
        <w:rPr>
          <w:rFonts w:ascii="IRNazanin" w:hAnsi="IRNazanin" w:eastAsia="IRNazanin"/>
          <w:color w:val="111111"/>
          <w:sz w:val="28"/>
          <w:sz w:val="28"/>
          <w:szCs w:val="28"/>
          <w:rtl w:val="true"/>
          <w:lang w:bidi="fa-IR"/>
        </w:rPr>
        <w:t xml:space="preserve">فإنّها تجب علی الصغیر والکبیر، خلافاً للشیخ رحمه الله </w:t>
      </w:r>
      <w:r>
        <w:rPr>
          <w:rStyle w:val="FootnoteAnchor"/>
          <w:rtl w:val="true"/>
        </w:rPr>
        <w:footnoteReference w:id="1205"/>
      </w:r>
      <w:r>
        <w:rPr>
          <w:rFonts w:ascii="IRNazanin" w:hAnsi="IRNazanin" w:eastAsia="IRNazanin"/>
          <w:color w:val="111111"/>
          <w:sz w:val="28"/>
          <w:sz w:val="28"/>
          <w:szCs w:val="28"/>
          <w:rtl w:val="true"/>
          <w:lang w:bidi="fa-IR"/>
        </w:rPr>
        <w:t>محتجّاً بأصالة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مندفعة بما دلّ علی وجوب نفقة الزوجة الممکّنة أو مطلقاً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من باب خطاب الشرع المختصّ بالمکلّفین، أمکن جوابه بکون التکلیف هنا متعلّقاً بالولیّ أن یؤدّی من مال الطفل، کما یکلَّف بأداء أعواض متلفاته التی لا خلاف فی ضمانها وقضاء دیونه وغراماته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للناشزة </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الخارجة عن طاعة الزوج ولو بالخروج من بیته بلا إذن ومنع لمسٍ بلا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للساکتة بعد العقد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تعرض التمکین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سلّمت نفسی إلیک فی أیّ مکان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وتعمل بمقتضی قولها حیث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أنّ التمکین الفعلی خاصّة غیر کافٍ، وأ نّه لا فرق فی ذلک بین الجاهلة بالحال والعالمة، ولا بین من طلب منها التمکین وطالبته بالتسلیم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المشهور بین الأصحاب واستدلّوا علیه بأنّ الأصل براءة الذمّة من وجوب النفقة، خرج منه حالة التمکین بالإجماع </w:t>
      </w:r>
      <w:r>
        <w:rPr>
          <w:rStyle w:val="FootnoteAnchor"/>
          <w:rtl w:val="true"/>
        </w:rPr>
        <w:footnoteReference w:id="1208"/>
      </w:r>
      <w:r>
        <w:rPr>
          <w:rFonts w:ascii="IRNazanin" w:hAnsi="IRNazanin" w:eastAsia="IRNazanin"/>
          <w:color w:val="111111"/>
          <w:sz w:val="28"/>
          <w:sz w:val="28"/>
          <w:szCs w:val="28"/>
          <w:rtl w:val="true"/>
          <w:lang w:bidi="fa-IR"/>
        </w:rPr>
        <w:t>فیبقی الباقی علی الأصل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لأنّ النصوص عامّة أو مطلقة فهی قاطعة للأصل إلی أن یوجد المخصّص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الخلاف غیر متحقّق، فالقول بما علیه الأصحاب</w:t>
      </w:r>
    </w:p>
    <w:p>
      <w:pPr>
        <w:pStyle w:val="BookText"/>
        <w:rPr/>
      </w:pPr>
      <w:r>
        <w:rPr>
          <w:rFonts w:ascii="Amiri" w:hAnsi="Amiri" w:eastAsia="Amiri" w:cs="Amiri"/>
          <w:color w:val="111111"/>
          <w:sz w:val="28"/>
          <w:sz w:val="28"/>
          <w:szCs w:val="28"/>
          <w:rtl w:val="true"/>
          <w:lang w:bidi="ar-SA"/>
        </w:rPr>
        <w:t>متعیّن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وتظهر الفائدة فیما ذُکر </w:t>
      </w:r>
      <w:r>
        <w:rPr>
          <w:rStyle w:val="FootnoteAnchor"/>
          <w:rtl w:val="true"/>
        </w:rPr>
        <w:footnoteReference w:id="1209"/>
      </w:r>
      <w:r>
        <w:rPr>
          <w:rFonts w:ascii="IRNazanin" w:hAnsi="IRNazanin" w:eastAsia="IRNazanin"/>
          <w:color w:val="111111"/>
          <w:sz w:val="28"/>
          <w:sz w:val="28"/>
          <w:szCs w:val="28"/>
          <w:rtl w:val="true"/>
          <w:lang w:bidi="fa-IR"/>
        </w:rPr>
        <w:t xml:space="preserve">وفیما إذا اختلفا فی التمکین وفی وجوب </w:t>
      </w:r>
      <w:r>
        <w:rPr>
          <w:rStyle w:val="FootnoteAnchor"/>
          <w:rtl w:val="true"/>
        </w:rPr>
        <w:footnoteReference w:id="1210"/>
      </w:r>
      <w:r>
        <w:rPr>
          <w:rFonts w:ascii="IRNazanin" w:hAnsi="IRNazanin" w:eastAsia="IRNazanin"/>
          <w:color w:val="111111"/>
          <w:sz w:val="28"/>
          <w:sz w:val="28"/>
          <w:szCs w:val="28"/>
          <w:rtl w:val="true"/>
          <w:lang w:bidi="fa-IR"/>
        </w:rPr>
        <w:t>النفقة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المشهور القول قوله فی عدمهما، عملاً بالأصل فیهما، وعلی الاحتمال </w:t>
      </w:r>
      <w:r>
        <w:rPr>
          <w:rStyle w:val="FootnoteAnchor"/>
          <w:rtl w:val="true"/>
        </w:rPr>
        <w:footnoteReference w:id="1211"/>
      </w:r>
      <w:r>
        <w:rPr>
          <w:rFonts w:ascii="IRNazanin" w:hAnsi="IRNazanin" w:eastAsia="IRNazanin"/>
          <w:color w:val="111111"/>
          <w:sz w:val="28"/>
          <w:sz w:val="28"/>
          <w:szCs w:val="28"/>
          <w:rtl w:val="true"/>
          <w:lang w:bidi="fa-IR"/>
        </w:rPr>
        <w:t>قولها؛ لأنّ الأصل بقاء ما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یُقدّم قولها لو اختلفا فی دفعها مع اتّفاقهما علی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بما تحتاج إلیه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تجب نفقتها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طعام وإدام وکسوة وإسکان وإخدام وآلة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والتنظیف من المشط والدُهن والصابون، دون الکحل والطیب والحمّام إلّامع الحاجة إلیه؛ لبرد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لعادة أمثالها من بلدها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المقیمة به </w:t>
      </w:r>
      <w:r>
        <w:rPr>
          <w:rStyle w:val="FootnoteAnchor"/>
          <w:rtl w:val="true"/>
        </w:rPr>
        <w:footnoteReference w:id="1212"/>
      </w:r>
      <w:r>
        <w:rPr>
          <w:rFonts w:ascii="Amiri" w:hAnsi="Amiri" w:eastAsia="Amiri" w:cs="Amiri"/>
          <w:color w:val="111111"/>
          <w:sz w:val="28"/>
          <w:sz w:val="28"/>
          <w:szCs w:val="28"/>
          <w:rtl w:val="true"/>
          <w:lang w:bidi="ar-SA"/>
        </w:rPr>
        <w:t>لأنّ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Style w:val="FootnoteAnchor"/>
          <w:rtl w:val="true"/>
        </w:rPr>
        <w:footnoteReference w:id="1213"/>
      </w:r>
      <w:r>
        <w:rPr>
          <w:rFonts w:ascii="IRNazanin" w:hAnsi="IRNazanin" w:eastAsia="IRNazanin"/>
          <w:color w:val="111111"/>
          <w:sz w:val="28"/>
          <w:sz w:val="28"/>
          <w:szCs w:val="28"/>
          <w:rtl w:val="true"/>
          <w:lang w:bidi="fa-IR"/>
        </w:rPr>
        <w:t>ومن العشرة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الإنفاق علیها بما یلیق بها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یتقدّر الإطعام بمدّ ولا بمدّین ولا غیرهما،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فی الإطعام إلی سدّ 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الخاء، وهی الحاجة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الخادم إذا کانت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أبیها، دون أن ترتفع بالانتقال إلی بیت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زَمِنة تحتاج إلی الخادم، ویتخیّر بین إخدامها بحرّة أو أمة ولو باُجرة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معها خادم تخیّر بین إبقائها وینفق علیها وبین إبدالها وإن کانت مألوفة لها؛ لأنّ حقّ التعیین له لا لها، حتّی لو أراد أن یخدمها بنفسه 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خدمت نفسها لم یکن لها المطالبة بنفقة الخادم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وجنس المأدوم والملبوس والمسکن یتبع عادة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 السکنی لا فی بیت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تعدّد القوت فی البلد اعتبر الغالب، فإن اختلف الغالب فیها أو قوتها من غیر غالب وجب اللائق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المنع من مشارکة غیر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المسکن بأن تنفرد ببیت صالح لها ولو فی دار، لا بدار؛ لما فی مشارکة غیره من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الشتاء المحشوّة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للیقظة، واللحاف للنوم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اعتید ذلک فی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فی بلد یعتاد فیه الفرو للنساء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الزوج بذله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حریر أو کتّان أو قطن أو فی جنس الفرو من غنم وسنجاب وغیرهما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عادة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البلد، ویُعتبر فی مراتب الجنسِ المعتادِ حالُه فی یساره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الزیادة علی القطن؛ لأنّ غیره رعونة </w:t>
      </w:r>
      <w:r>
        <w:rPr>
          <w:rStyle w:val="FootnoteAnchor"/>
          <w:rtl w:val="true"/>
        </w:rPr>
        <w:footnoteReference w:id="1214"/>
      </w:r>
      <w:r>
        <w:rPr>
          <w:rFonts w:ascii="IRNazanin" w:hAnsi="IRNazanin" w:eastAsia="IRNazanin"/>
          <w:color w:val="111111"/>
          <w:sz w:val="28"/>
          <w:sz w:val="28"/>
          <w:szCs w:val="28"/>
          <w:rtl w:val="true"/>
          <w:lang w:bidi="fa-IR"/>
        </w:rPr>
        <w:t>وهو ضعیف؛ لاقتضاء المعاشرة بالمعروف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لو احتیج إلی تعدّد اللحاف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البرد أو لاختلاف الفصول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هنا لا یجب إبقاء المستغنی عنه فی الوقت الآخر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وتزاد المتجمّلة ثیاب التجمّل بحسب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لأمثالها فی ذلک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دخل بها واستمرّت تأکل معه علی العادة فلیس لها مطالبته بمدّة مؤاکلته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 وإطباق الناس علیه فی سائر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جواز مطالبتها بالنفقة؛ لأنّه لم یؤدّ عین الواجب وتطوّع بغیره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المعتبر من المسکن الإمتاع اتّفاقاً، ومن المؤونة التملیک فی صبیحة کلّ یوم لا أزید بشرط بقائها ممکِّنة إلی آخره، فلو نشزت فی أثنائه</w:t>
      </w:r>
      <w:bookmarkStart w:id="430" w:name="pg19810_214538"/>
    </w:p>
    <w:p>
      <w:pPr>
        <w:pStyle w:val="BookText"/>
        <w:rPr/>
      </w:pPr>
      <w:bookmarkEnd w:id="430"/>
      <w:r>
        <w:rPr>
          <w:rFonts w:ascii="IRNazanin" w:hAnsi="IRNazanin" w:eastAsia="IRNazanin"/>
          <w:color w:val="111111"/>
          <w:sz w:val="28"/>
          <w:sz w:val="28"/>
          <w:szCs w:val="28"/>
          <w:rtl w:val="true"/>
          <w:lang w:bidi="fa-IR"/>
        </w:rPr>
        <w:t>استحقّت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الکسوة قولان </w:t>
      </w:r>
      <w:r>
        <w:rPr>
          <w:rStyle w:val="FootnoteAnchor"/>
          <w:rtl w:val="true"/>
        </w:rPr>
        <w:footnoteReference w:id="1215"/>
      </w:r>
      <w:r>
        <w:rPr>
          <w:rFonts w:ascii="IRNazanin" w:hAnsi="IRNazanin" w:eastAsia="IRNazanin"/>
          <w:color w:val="111111"/>
          <w:sz w:val="28"/>
          <w:sz w:val="28"/>
          <w:szCs w:val="28"/>
          <w:rtl w:val="true"/>
          <w:lang w:bidi="fa-IR"/>
        </w:rPr>
        <w:t>أجودهما أ نّها إمتاع، فلیس لها بیعها ولا التصرّف فیها بغیر اللبس من أنواع التصرّفات، ولا لبسها زیادة علی المعتاد کیفیّة وکمّیّة، فإن فعلت فأبلتها قبل المدّة التی تُبلی فیها عادة لم یجب علیه إبدالها، وکذا لو أبقتها زیادة علی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إبدالها بغیرها مطلقاً وتحصیلها بالإعارة والاستئجار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طلّقها أو ماتت أو مات أو نشزت استحقّ ما یَجِده منها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تحتاج إلیه من الفرش والآلات فی حکم الکسوة</w:t>
      </w:r>
      <w:r>
        <w:rPr>
          <w:rFonts w:eastAsia="IRNazanin" w:cs="IRNazanin"/>
          <w:color w:val="111111"/>
          <w:sz w:val="28"/>
          <w:szCs w:val="28"/>
          <w:rtl w:val="true"/>
          <w:lang w:bidi="fa-IR"/>
        </w:rPr>
        <w:t>.</w:t>
      </w:r>
    </w:p>
    <w:p>
      <w:pPr>
        <w:pStyle w:val="Heading6"/>
        <w:numPr>
          <w:ilvl w:val="5"/>
          <w:numId w:val="1"/>
        </w:numPr>
        <w:rPr/>
      </w:pPr>
      <w:bookmarkStart w:id="431" w:name="__RefHeading___Toc2175575_2314609296"/>
      <w:bookmarkStart w:id="432" w:name="_Toc162"/>
      <w:bookmarkEnd w:id="431"/>
      <w:r>
        <w:rPr>
          <w:rtl w:val="true"/>
        </w:rPr>
        <w:t>[ «</w:t>
      </w:r>
      <w:r>
        <w:rPr>
          <w:rtl w:val="true"/>
        </w:rPr>
        <w:t>الثانی</w:t>
      </w:r>
      <w:r>
        <w:rPr>
          <w:rtl w:val="true"/>
        </w:rPr>
        <w:t xml:space="preserve">: </w:t>
      </w:r>
      <w:r>
        <w:rPr>
          <w:rtl w:val="true"/>
        </w:rPr>
        <w:t>القرابة</w:t>
      </w:r>
      <w:r>
        <w:rPr>
          <w:rtl w:val="true"/>
        </w:rPr>
        <w:t>» ]</w:t>
      </w:r>
      <w:bookmarkEnd w:id="432"/>
    </w:p>
    <w:p>
      <w:pPr>
        <w:pStyle w:val="BookText"/>
        <w:rPr/>
      </w:pPr>
      <w:r>
        <w:rPr>
          <w:rFonts w:ascii="IRNazanin" w:hAnsi="IRNazanin" w:eastAsia="IRNazanin"/>
          <w:color w:val="111111"/>
          <w:sz w:val="28"/>
          <w:sz w:val="28"/>
          <w:szCs w:val="28"/>
          <w:rtl w:val="true"/>
          <w:lang w:bidi="fa-IR"/>
        </w:rPr>
        <w:t xml:space="preserve">البعضیّة دون مطلق النسبة </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النفقة علی الأبوین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الأب واُمّهاته وإن علوا، وآباء الاُمّ واُمّهاتها وإن 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والأولاد فنازلاً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ذکوراً کانوا أم إناثاً لابن المنفق أم لبنته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باقی 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الإخوة والأخوات وأولادهم والأعمام والأخوال ذکوراً وإناثاً وأولادهم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ویتأکّد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الوارث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 القولین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النفقة علی الوارث </w:t>
      </w:r>
      <w:r>
        <w:rPr>
          <w:rStyle w:val="FootnoteAnchor"/>
          <w:rtl w:val="true"/>
        </w:rPr>
        <w:footnoteReference w:id="1218"/>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اَلْوٰارِثِ مِثْلُ ذٰلِکَ</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بعد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 xml:space="preserve">) </w:t>
      </w:r>
      <w:r>
        <w:rPr>
          <w:rStyle w:val="FootnoteAnchor"/>
          <w:rtl w:val="true"/>
        </w:rPr>
        <w:footnoteReference w:id="1220"/>
      </w:r>
      <w:r>
        <w:rPr>
          <w:rFonts w:ascii="IRNazanin" w:hAnsi="IRNazanin" w:eastAsia="IRNazanin"/>
          <w:color w:val="111111"/>
          <w:sz w:val="28"/>
          <w:sz w:val="28"/>
          <w:szCs w:val="28"/>
          <w:rtl w:val="true"/>
          <w:lang w:bidi="fa-IR"/>
        </w:rPr>
        <w:t>وإذا وجب علی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والعلّة هی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من الطرفین؛ لتساویهما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المنفق بین الذکر والاُنثی ولا بین الصغیر والکبیر، عملاً بالعموم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یجب الإنفاق علی الفقیر العاجز عن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مالکاً مؤونة سنة أو قادراً علی تحصیلها بالکسب تدریجاً لم یجب الإنفاق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عدالته ولا إسلامه، بل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فاسقاً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للعموم </w:t>
      </w:r>
      <w:r>
        <w:rPr>
          <w:rStyle w:val="FootnoteAnchor"/>
          <w:rtl w:val="true"/>
        </w:rPr>
        <w:footnoteReference w:id="1222"/>
      </w:r>
      <w:r>
        <w:rPr>
          <w:rFonts w:ascii="IRNazanin" w:hAnsi="IRNazanin" w:eastAsia="IRNazanin"/>
          <w:color w:val="111111"/>
          <w:sz w:val="28"/>
          <w:sz w:val="28"/>
          <w:szCs w:val="28"/>
          <w:rtl w:val="true"/>
          <w:lang w:bidi="fa-IR"/>
        </w:rPr>
        <w:t>ویجب تقیید الکافر بکونه محقون الدم، فلو کان حربیّاً لم یجب؛ لجواز إتلافه، فترک الإنفاق لا یزید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الحرّیّة فهی شرط؛ لأنّ المملوک نفقته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امتنع منها أو کان معسراً أمکن وجوبه علی القریب عملاً بالعموم </w:t>
      </w:r>
      <w:r>
        <w:rPr>
          <w:rStyle w:val="FootnoteAnchor"/>
          <w:rtl w:val="true"/>
        </w:rPr>
        <w:footnoteReference w:id="122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مطلقاً، بل یُلزم ببیعه أو الإنفاق علیه </w:t>
      </w:r>
      <w:r>
        <w:rPr>
          <w:rStyle w:val="FootnoteAnchor"/>
          <w:rtl w:val="true"/>
        </w:rPr>
        <w:footnoteReference w:id="1224"/>
      </w:r>
      <w:r>
        <w:rPr>
          <w:rFonts w:ascii="IRNazanin" w:hAnsi="IRNazanin" w:eastAsia="IRNazanin"/>
          <w:color w:val="111111"/>
          <w:sz w:val="28"/>
          <w:sz w:val="28"/>
          <w:szCs w:val="28"/>
          <w:rtl w:val="true"/>
          <w:lang w:bidi="fa-IR"/>
        </w:rPr>
        <w:t xml:space="preserve">کما سیأتی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المنفق أن یَفضُل مالُه عن قوته وقوت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لیومه</w:t>
      </w:r>
    </w:p>
    <w:p>
      <w:pPr>
        <w:pStyle w:val="BookText"/>
        <w:rPr/>
      </w:pPr>
      <w:r>
        <w:rPr>
          <w:rFonts w:ascii="IRNazanin" w:hAnsi="IRNazanin" w:eastAsia="IRNazanin"/>
          <w:color w:val="111111"/>
          <w:sz w:val="28"/>
          <w:sz w:val="28"/>
          <w:szCs w:val="28"/>
          <w:rtl w:val="true"/>
          <w:lang w:bidi="fa-IR"/>
        </w:rPr>
        <w:t xml:space="preserve">الحاضر ولیلته لیصرف إلی مَن ذُکر، فإن لم یَفضُل شیء فلا شیء علیه؛ لأنّها </w:t>
      </w:r>
      <w:r>
        <w:rPr>
          <w:rStyle w:val="FootnoteAnchor"/>
          <w:rtl w:val="true"/>
        </w:rPr>
        <w:footnoteReference w:id="1226"/>
      </w:r>
      <w:r>
        <w:rPr>
          <w:rFonts w:ascii="IRNazanin" w:hAnsi="IRNazanin" w:eastAsia="IRNazanin"/>
          <w:color w:val="111111"/>
          <w:sz w:val="28"/>
          <w:sz w:val="28"/>
          <w:szCs w:val="28"/>
          <w:rtl w:val="true"/>
          <w:lang w:bidi="fa-IR"/>
        </w:rPr>
        <w:t>مواساة وهو لیس من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الإطعام والکسوة والمسکن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زمانه ومکانه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إعفاف واجب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تزویجه لیصیر ذا عفّة وإن کان أباً، ولا النفقة علی زوجته؛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یستحبّ تزویج الأب، وعلیه یُحمل ما ورد من الأمر به </w:t>
      </w:r>
      <w:r>
        <w:rPr>
          <w:rStyle w:val="FootnoteAnchor"/>
          <w:rtl w:val="true"/>
        </w:rPr>
        <w:footnoteReference w:id="1227"/>
      </w:r>
      <w:r>
        <w:rPr>
          <w:rFonts w:ascii="IRNazanin" w:hAnsi="IRNazanin" w:eastAsia="IRNazanin"/>
          <w:color w:val="111111"/>
          <w:sz w:val="28"/>
          <w:sz w:val="28"/>
          <w:szCs w:val="28"/>
          <w:rtl w:val="true"/>
          <w:lang w:bidi="fa-IR"/>
        </w:rPr>
        <w:t>وکذا لا یجب إخدامه، ولا النفقة علی خادمه إلّامع الزَمانة المحوجة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وتُقضی نفقة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حقّ مالی وجب فی مقابلة الاستمتاع، فکانت کالعوض اللازم فی المعاوضة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نفقة 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وجبت علی طریق المواساة وسدّ الخلّة لا التملیک، فلا تستقرّ فی الذمّة، وإنّما یأثم بترکها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قدّرها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التقدیر لا یفید الاستقرار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للقریب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لغیبته أو مدافعته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Style w:val="FootnoteAnchor"/>
          <w:rtl w:val="true"/>
        </w:rPr>
        <w:footnoteReference w:id="1228"/>
      </w:r>
      <w:r>
        <w:rPr>
          <w:rFonts w:ascii="Amiri" w:hAnsi="Amiri" w:eastAsia="Amiri" w:cs="Amiri"/>
          <w:color w:val="111111"/>
          <w:sz w:val="28"/>
          <w:sz w:val="28"/>
          <w:szCs w:val="28"/>
          <w:rtl w:val="true"/>
          <w:lang w:bidi="ar-SA"/>
        </w:rPr>
        <w:t xml:space="preserve">بالإنفاق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تصیر دیناً فی الذمّة بذلک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والأب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الولد مع وجوده ویساره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عدمه أو فقره فعلی أب الأب فصاعداً</w:t>
      </w:r>
      <w:r>
        <w:rPr>
          <w:rFonts w:eastAsia="IRNazanin" w:cs="IRNazanin"/>
          <w:color w:val="111111"/>
          <w:sz w:val="28"/>
          <w:szCs w:val="28"/>
          <w:rtl w:val="true"/>
          <w:lang w:bidi="fa-IR"/>
        </w:rPr>
        <w:t xml:space="preserve">» </w:t>
      </w:r>
      <w:r>
        <w:rPr>
          <w:rStyle w:val="FootnoteAnchor"/>
          <w:rtl w:val="true"/>
        </w:rPr>
        <w:footnoteReference w:id="1229"/>
      </w:r>
      <w:r>
        <w:rPr>
          <w:rFonts w:ascii="Amiri" w:hAnsi="Amiri" w:eastAsia="Amiri" w:cs="Amiri"/>
          <w:color w:val="111111"/>
          <w:sz w:val="28"/>
          <w:sz w:val="28"/>
          <w:szCs w:val="28"/>
          <w:rtl w:val="true"/>
          <w:lang w:bidi="ar-SA"/>
        </w:rPr>
        <w:t>یُقدّم الأقرب</w:t>
      </w:r>
    </w:p>
    <w:p>
      <w:pPr>
        <w:pStyle w:val="BookText"/>
        <w:rPr/>
      </w:pPr>
      <w:r>
        <w:rPr>
          <w:rFonts w:ascii="IRNazanin" w:hAnsi="IRNazanin" w:eastAsia="IRNazanin"/>
          <w:color w:val="111111"/>
          <w:sz w:val="28"/>
          <w:sz w:val="28"/>
          <w:szCs w:val="28"/>
          <w:rtl w:val="true"/>
          <w:lang w:bidi="fa-IR"/>
        </w:rPr>
        <w:t xml:space="preserve">منهم فالأقرب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عدمت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کانوا معسرین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وجودها ویسارها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أبویها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جهة الإرث، واُمّ الأب بحکم اُمّ الاُمّ وأبیها، وکذا اُمّ الجدّ للأب مع أبوی الجدّ والجدّة للاُمّ،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المنفَق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علی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ینتقل إلی الأبعد مع عدمه أو فقره، فالولد مقدّم فی الإنفاق علی أبیه واُمّه وإن علوا علی ابنه،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تعدّد من یجب علیه الإنفاق تساووا فیه وإن اختلفوا فی الذکوریّة والاُنوثیّة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یتساوی الغنیّ فعلاً وقوّة علی الأقوی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فالأبوان والأولاد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نسبتهم إلی المنفِق واحدة بحسب الدرجة، وإنّما اختلفت بکونها فی أحدهما علیا وفی الآخر دنیا، فلو کان له أب وابن أو أبوان وأولاد معهما أو مع أحدهما وجب قسمة المیسور علی الجمیع بالسویّة ذکوراً کانوا أم إناثاً أم ذکوراً وإناثاً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کفاهم أو نفع کلّ واحد نصیبُه نفعاً معتدّاً به اقتسموه، وإن لم ینتفع به أحدُهم؛ لقلّته وکثرتهم، فالأجود القرعة؛ لاستحالة الترجیح بغیر مرجّحٍ، والتشریک ینافی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نصیب بعضهم یکفیه؛ لصغره ونحوه ونصیب الباقین لا ینفعهم منقسماً، اعتبرت القرعة فی من عدا المنتفع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الآباء والأولاد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آبائهم وأولادهم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لزیادة 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طبقة أولی من التی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ویتساوی الأعلی والأدنی مع تساوی الدرجة کالأجداد وأولاد الأولاد،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سعة ماله للإنفاق علی الجمیع فیجب التعمیم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للعاجز أب وابن قادران فعلیهما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لتساویها فی المرتبة بالنسبة إلیه، والبنت کالابن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الاُمّ ففی مساواتها للأب فی مشارکة</w:t>
      </w:r>
      <w:bookmarkStart w:id="433" w:name="pg19810_214542"/>
    </w:p>
    <w:p>
      <w:pPr>
        <w:pStyle w:val="BookText"/>
        <w:rPr/>
      </w:pPr>
      <w:bookmarkEnd w:id="433"/>
      <w:r>
        <w:rPr>
          <w:rFonts w:ascii="IRNazanin" w:hAnsi="IRNazanin" w:eastAsia="IRNazanin"/>
          <w:color w:val="111111"/>
          <w:sz w:val="28"/>
          <w:sz w:val="28"/>
          <w:szCs w:val="28"/>
          <w:rtl w:val="true"/>
          <w:lang w:bidi="fa-IR"/>
        </w:rPr>
        <w:t>الولد أو تقدیمه علیها وجهان، مأخذهما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الرتبة، وکون الولد مقدّماً علی الجدّ المقدّم علیها، فیکون أولی بالتقدیم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اجتمعوا فعلی الأب والولدین </w:t>
      </w:r>
      <w:r>
        <w:rPr>
          <w:rStyle w:val="FootnoteAnchor"/>
          <w:rtl w:val="true"/>
        </w:rPr>
        <w:footnoteReference w:id="1230"/>
      </w:r>
      <w:r>
        <w:rPr>
          <w:rFonts w:ascii="IRNazanin" w:hAnsi="IRNazanin" w:eastAsia="IRNazanin"/>
          <w:color w:val="111111"/>
          <w:sz w:val="28"/>
          <w:sz w:val="28"/>
          <w:szCs w:val="28"/>
          <w:rtl w:val="true"/>
          <w:lang w:bidi="fa-IR"/>
        </w:rPr>
        <w:t xml:space="preserve">خاصّة بالسویّة؛ لما تقدّم من أنّ الأب مقدّم علی الاُمّ، وأمّا الأولاد فعلی أصل الوجوب من غیر ترجیح، مع احتمال تقدیم الذکور نظراً إلی الخطاب فی الأمر بها بصیغة المذکّر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ویجبرُ الحاکمُ الممتنعَ عن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وجوبه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صرفه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وأنفق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کیفیّة بیعه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یبیع کلّ یوم جزءاً بقدر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لا یفعل ذلک؛ لأنّه یشقّ، ولکن یقترض علیه إلی أن یجتمع ما یسهل بیع العقار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جواز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تعذّرا فلم یوجد راغب فی شراء الجزء الیسیر ولا مُقرض ولا بیت مال یقترض منه جاز بیع أقلّ ما یمکن بیعه وإن زاد عن قدر نفقة الیوم؛ لتوقّف الواجب علیه</w:t>
      </w:r>
      <w:r>
        <w:rPr>
          <w:rFonts w:eastAsia="IRNazanin" w:cs="IRNazanin"/>
          <w:color w:val="111111"/>
          <w:sz w:val="28"/>
          <w:szCs w:val="28"/>
          <w:rtl w:val="true"/>
          <w:lang w:bidi="fa-IR"/>
        </w:rPr>
        <w:t>.</w:t>
      </w:r>
    </w:p>
    <w:p>
      <w:pPr>
        <w:pStyle w:val="Heading6"/>
        <w:numPr>
          <w:ilvl w:val="5"/>
          <w:numId w:val="1"/>
        </w:numPr>
        <w:rPr/>
      </w:pPr>
      <w:bookmarkStart w:id="434" w:name="__RefHeading___Toc2175577_2314609296"/>
      <w:bookmarkStart w:id="435" w:name="_Toc163"/>
      <w:bookmarkEnd w:id="434"/>
      <w:r>
        <w:rPr>
          <w:rtl w:val="true"/>
        </w:rPr>
        <w:t>[</w:t>
      </w:r>
      <w:r>
        <w:rPr/>
        <w:t>3</w:t>
      </w:r>
      <w:r>
        <w:rPr>
          <w:rtl w:val="true"/>
        </w:rPr>
        <w:t xml:space="preserve">- </w:t>
      </w:r>
      <w:r>
        <w:rPr>
          <w:rtl w:val="true"/>
        </w:rPr>
        <w:t>الملک</w:t>
      </w:r>
      <w:r>
        <w:rPr>
          <w:rtl w:val="true"/>
        </w:rPr>
        <w:t>]</w:t>
      </w:r>
      <w:bookmarkEnd w:id="43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 النفقة علی الرقیق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ذکراً أو اُنثی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أعمی وزَمِناً </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والبهیمة </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بالعلف والسقی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تفتقر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والمکان</w:t>
      </w:r>
    </w:p>
    <w:p>
      <w:pPr>
        <w:pStyle w:val="BookText"/>
        <w:rPr/>
      </w:pPr>
      <w:r>
        <w:rPr>
          <w:rFonts w:ascii="Amiri" w:hAnsi="Amiri" w:eastAsia="Amiri" w:cs="Amiri"/>
          <w:color w:val="111111"/>
          <w:sz w:val="28"/>
          <w:sz w:val="28"/>
          <w:szCs w:val="28"/>
          <w:rtl w:val="true"/>
          <w:lang w:bidi="ar-SA"/>
        </w:rPr>
        <w:t xml:space="preserve">من مُراح </w:t>
      </w:r>
      <w:r>
        <w:rPr>
          <w:rStyle w:val="FootnoteAnchor"/>
          <w:rtl w:val="true"/>
        </w:rPr>
        <w:footnoteReference w:id="1236"/>
      </w:r>
      <w:r>
        <w:rPr>
          <w:rFonts w:ascii="IRNazanin" w:hAnsi="IRNazanin" w:eastAsia="IRNazanin"/>
          <w:color w:val="111111"/>
          <w:sz w:val="28"/>
          <w:sz w:val="28"/>
          <w:szCs w:val="28"/>
          <w:rtl w:val="true"/>
          <w:lang w:bidi="fa-IR"/>
        </w:rPr>
        <w:t>واصطبل یلیق بحالها وإن کانت غیر منتفع بها أو مشرفةً علی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دود القزّ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فیأثم بالتقصیر فی إیصاله قدر کفایته ووضعه فی مکان یقصر عن صلاحیّته له بحسب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تحتاج إلیه البهیمة مطلقاً من الآلات حیثُ یستعملها، أو الجلّ لدفع البرد وغیره حیث یحتاج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للرقیق کسب جاز للمولی أن یَکله إلیه فإن 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الکسبُ بجمیع ما یحتاج إلیه من النفقة اقتصر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کفایته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فی جنس ذلک إلی عادة ممالیک أمثال السیّد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شرفه وضعته وإعساره ویساره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ساتر العورة فی اللباس ببلادنا وإن اکتفی به فی بلاد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کون نفقة السیّد علی نفسه دونَ الغالب فی نفقة الرقیق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تقتیراً أو </w:t>
      </w:r>
      <w:r>
        <w:rPr>
          <w:rStyle w:val="FootnoteAnchor"/>
          <w:rtl w:val="true"/>
        </w:rPr>
        <w:footnoteReference w:id="1237"/>
      </w:r>
      <w:r>
        <w:rPr>
          <w:rFonts w:ascii="IRNazanin" w:hAnsi="IRNazanin" w:eastAsia="IRNazanin"/>
          <w:color w:val="111111"/>
          <w:sz w:val="28"/>
          <w:sz w:val="28"/>
          <w:szCs w:val="28"/>
          <w:rtl w:val="true"/>
          <w:lang w:bidi="fa-IR"/>
        </w:rPr>
        <w:t>بخلاً أو ریاضة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وفوقَه، فلیس له الاقتصار به علی نفسه فی الأوّل </w:t>
      </w:r>
      <w:r>
        <w:rPr>
          <w:rStyle w:val="FootnoteAnchor"/>
          <w:rtl w:val="true"/>
        </w:rPr>
        <w:footnoteReference w:id="1238"/>
      </w:r>
      <w:r>
        <w:rPr>
          <w:rFonts w:ascii="IRNazanin" w:hAnsi="IRNazanin" w:eastAsia="IRNazanin"/>
          <w:color w:val="111111"/>
          <w:sz w:val="28"/>
          <w:sz w:val="28"/>
          <w:szCs w:val="28"/>
          <w:rtl w:val="true"/>
          <w:lang w:bidi="fa-IR"/>
        </w:rPr>
        <w:t>ولا عبرة فی الکمّیّة بالغالب بل تجب الکفایة لو کان الغالبُ أقلّ منها، کما لا یجب الزائد لو کان فوقها وإنّما تعتبر فیه الکیفیّة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الإنفاق أو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إمکانهما، وإلّا اُجبر علی الممکن منهما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مع شرط النفقة علی المستأجر والعتق، فإن لم یفعل باعه الحاکم أو آجره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یبیعه شیئاً فشیئاً أو یستدین علیه إلی أن یجتمع شیء فیبیع ما یفی به؟ الوجهان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مُلک هو وأبواه،</w:t>
      </w:r>
    </w:p>
    <w:p>
      <w:pPr>
        <w:pStyle w:val="BookText"/>
        <w:rPr/>
      </w:pPr>
      <w:r>
        <w:rPr>
          <w:rFonts w:ascii="IRNazanin" w:hAnsi="IRNazanin" w:eastAsia="IRNazanin"/>
          <w:color w:val="111111"/>
          <w:sz w:val="28"/>
          <w:sz w:val="28"/>
          <w:szCs w:val="28"/>
          <w:rtl w:val="true"/>
          <w:lang w:bidi="fa-IR"/>
        </w:rPr>
        <w:t>والمراد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الخالص غیر المتشبّث بالحرّیّة بتدبیر ولا کتابة ولا استیلاد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والمدبَّر، واُمِّ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 الجمیع فی المملوکیّة وإن تشبّث الأخیران بالحرّیّة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المکاتب فنفقته فی کسبه وإن کان مشروطاً أو لم یؤدِّ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یجبر علی الإنفاق علی البهیمة المملوکة، إلّاأن تجتزی بالرعی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 الماء بنفسها، فیجتزی به ویسقطان عنه ما دام ذلک ممکناً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اُجبر علی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البیع أو الذبح إن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مقصودة بالذبح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اُجبر علی البیع أو الإنفاق صوناً لها عن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یفعل ناب الحاکم عنه فی ذلک علی ما یراه وتقتضیه الحال، وإنّما یتخیّر مع إمکان الأفراد </w:t>
      </w:r>
      <w:r>
        <w:rPr>
          <w:rStyle w:val="FootnoteAnchor"/>
          <w:rtl w:val="true"/>
        </w:rPr>
        <w:footnoteReference w:id="1239"/>
      </w:r>
      <w:r>
        <w:rPr>
          <w:rFonts w:ascii="IRNazanin" w:hAnsi="IRNazanin" w:eastAsia="IRNazanin"/>
          <w:color w:val="111111"/>
          <w:sz w:val="28"/>
          <w:sz w:val="28"/>
          <w:szCs w:val="28"/>
          <w:rtl w:val="true"/>
          <w:lang w:bidi="fa-IR"/>
        </w:rPr>
        <w:t xml:space="preserve">وإلّا تعیّن الممکن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لها ولد وفّر علیه من لبنها ما یکفیه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وحلب ما یفضل عنه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یقوم بکفایته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اللبن حیث یکتفی به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 من المملوک ما لا روح فیه کالزرع والشجر ممّا یتلف بترک العمل، وقد اختُلف فی وجوب عمله، ففی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الوجوب من حیث إنّه تضییع للمال فلا یُقَرّ علیه </w:t>
      </w:r>
      <w:r>
        <w:rPr>
          <w:rStyle w:val="FootnoteAnchor"/>
          <w:rtl w:val="true"/>
        </w:rPr>
        <w:footnoteReference w:id="1240"/>
      </w:r>
      <w:r>
        <w:rPr>
          <w:rFonts w:ascii="IRNazanin" w:hAnsi="IRNazanin" w:eastAsia="IRNazanin"/>
          <w:color w:val="111111"/>
          <w:sz w:val="28"/>
          <w:sz w:val="28"/>
          <w:szCs w:val="28"/>
          <w:rtl w:val="true"/>
          <w:lang w:bidi="fa-IR"/>
        </w:rPr>
        <w:t>وفی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بعدمه؛ لأنّه تنمیة للمال فلا تجب کما لا یجب تملّکه </w:t>
      </w:r>
      <w:r>
        <w:rPr>
          <w:rStyle w:val="FootnoteAnchor"/>
          <w:rtl w:val="true"/>
        </w:rPr>
        <w:footnoteReference w:id="1241"/>
      </w:r>
      <w:r>
        <w:rPr>
          <w:rFonts w:ascii="IRNazanin" w:hAnsi="IRNazanin" w:eastAsia="IRNazanin"/>
          <w:color w:val="111111"/>
          <w:sz w:val="28"/>
          <w:sz w:val="28"/>
          <w:szCs w:val="28"/>
          <w:rtl w:val="true"/>
          <w:lang w:bidi="fa-IR"/>
        </w:rPr>
        <w:t>ویشکل بأنّ ترک التملّک لا یقتضی الإضاعة، بخلاف التنمیة التی یوجب ترکها فواته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عمارة العقار فلا تجب، لکن یُکره ترکه إذا أدّی إلی الخراب</w:t>
      </w:r>
      <w:r>
        <w:rPr>
          <w:rFonts w:eastAsia="IRNazanin" w:cs="IRNazanin"/>
          <w:color w:val="111111"/>
          <w:sz w:val="28"/>
          <w:szCs w:val="28"/>
          <w:rtl w:val="true"/>
          <w:lang w:bidi="fa-IR"/>
        </w:rPr>
        <w:t>.</w:t>
      </w:r>
      <w:bookmarkStart w:id="436" w:name="pg19810_214545"/>
    </w:p>
    <w:p>
      <w:pPr>
        <w:pStyle w:val="Heading2"/>
        <w:numPr>
          <w:ilvl w:val="1"/>
          <w:numId w:val="1"/>
        </w:numPr>
        <w:rPr/>
      </w:pPr>
      <w:bookmarkStart w:id="437" w:name="__RefHeading___Toc2175579_2314609296"/>
      <w:bookmarkStart w:id="438" w:name="_Toc164"/>
      <w:bookmarkEnd w:id="436"/>
      <w:bookmarkEnd w:id="437"/>
      <w:r>
        <w:rPr>
          <w:rtl w:val="true"/>
        </w:rPr>
        <w:t>کتاب الطلاق</w:t>
      </w:r>
      <w:bookmarkEnd w:id="43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2175581_2314609296"/>
      <w:bookmarkStart w:id="440" w:name="_Toc165"/>
      <w:bookmarkEnd w:id="439"/>
      <w:r>
        <w:rPr>
          <w:rtl w:val="true"/>
        </w:rPr>
        <w:t>اشارة</w:t>
      </w:r>
      <w:bookmarkStart w:id="441" w:name="pg19810_214547"/>
      <w:bookmarkEnd w:id="440"/>
    </w:p>
    <w:p>
      <w:pPr>
        <w:pStyle w:val="BookText"/>
        <w:rPr/>
      </w:pPr>
      <w:bookmarkEnd w:id="4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إزالة قید النکاح بغیر عوض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w:t>
      </w:r>
    </w:p>
    <w:p>
      <w:pPr>
        <w:pStyle w:val="Heading3"/>
        <w:numPr>
          <w:ilvl w:val="2"/>
          <w:numId w:val="1"/>
        </w:numPr>
        <w:rPr/>
      </w:pPr>
      <w:bookmarkStart w:id="442" w:name="__RefHeading___Toc2175583_2314609296"/>
      <w:bookmarkStart w:id="443" w:name="_Toc166"/>
      <w:bookmarkEnd w:id="442"/>
      <w:r>
        <w:rPr>
          <w:rtl w:val="true"/>
        </w:rPr>
        <w:t xml:space="preserve">الفصل </w:t>
      </w:r>
      <w:r>
        <w:rPr>
          <w:rtl w:val="true"/>
        </w:rPr>
        <w:t>«</w:t>
      </w:r>
      <w:r>
        <w:rPr>
          <w:rtl w:val="true"/>
        </w:rPr>
        <w:t>الأوّل</w:t>
      </w:r>
      <w:r>
        <w:rPr>
          <w:rtl w:val="true"/>
        </w:rPr>
        <w:t>» «</w:t>
      </w:r>
      <w:r>
        <w:rPr>
          <w:rtl w:val="true"/>
        </w:rPr>
        <w:t>فی أرکانه</w:t>
      </w:r>
      <w:r>
        <w:rPr>
          <w:rtl w:val="true"/>
        </w:rPr>
        <w:t>»</w:t>
      </w:r>
      <w:bookmarkEnd w:id="443"/>
    </w:p>
    <w:p>
      <w:pPr>
        <w:pStyle w:val="Heading4"/>
        <w:numPr>
          <w:ilvl w:val="3"/>
          <w:numId w:val="1"/>
        </w:numPr>
        <w:rPr/>
      </w:pPr>
      <w:bookmarkStart w:id="444" w:name="__RefHeading___Toc2175585_2314609296"/>
      <w:bookmarkStart w:id="445" w:name="_Toc167"/>
      <w:bookmarkEnd w:id="444"/>
      <w:r>
        <w:rPr>
          <w:rtl w:val="true"/>
        </w:rPr>
        <w:t>[</w:t>
      </w:r>
      <w:r>
        <w:rPr>
          <w:rtl w:val="true"/>
        </w:rPr>
        <w:t>الصیغة</w:t>
      </w:r>
      <w:r>
        <w:rPr>
          <w:rtl w:val="true"/>
        </w:rPr>
        <w:t>]</w:t>
      </w:r>
      <w:bookmarkEnd w:id="44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والمطلِّق والمطلَّقة والإشهاد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 هذه أو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اسمها أو ما یفید 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زوجتی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وینحصر عندنا فی هذه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صحّ إطلاق المصدر علی اسم الفاعل وقصده فصار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وقوفاً علی موضع النصّ </w:t>
      </w:r>
      <w:r>
        <w:rPr>
          <w:rStyle w:val="FootnoteAnchor"/>
          <w:rtl w:val="true"/>
        </w:rPr>
        <w:footnoteReference w:id="1242"/>
      </w:r>
      <w:r>
        <w:rPr>
          <w:rFonts w:ascii="IRNazanin" w:hAnsi="IRNazanin" w:eastAsia="IRNazanin"/>
          <w:color w:val="111111"/>
          <w:sz w:val="28"/>
          <w:sz w:val="28"/>
          <w:szCs w:val="28"/>
          <w:rtl w:val="true"/>
          <w:lang w:bidi="fa-IR"/>
        </w:rPr>
        <w:t xml:space="preserve">والإجماع، واستصحاباً للزوجیّة، ولأنّ المصادر إنّما تُستعمل فی غیر موضوعها </w:t>
      </w:r>
      <w:r>
        <w:rPr>
          <w:rStyle w:val="FootnoteAnchor"/>
          <w:rtl w:val="true"/>
        </w:rPr>
        <w:footnoteReference w:id="1243"/>
      </w:r>
      <w:r>
        <w:rPr>
          <w:rFonts w:ascii="IRNazanin" w:hAnsi="IRNazanin" w:eastAsia="IRNazanin"/>
          <w:color w:val="111111"/>
          <w:sz w:val="28"/>
          <w:sz w:val="28"/>
          <w:szCs w:val="28"/>
          <w:rtl w:val="true"/>
          <w:lang w:bidi="fa-IR"/>
        </w:rPr>
        <w:t>مجازاً وإن کان فی اسم الفاعل شهیراً، وهو غیر کافٍ فی استعمالها فی مثل 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المطلَّقات، ولا مطلَّقة، ولا طلّقت فلانة علی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w:t>
      </w:r>
      <w:r>
        <w:rPr>
          <w:rStyle w:val="FootnoteAnchor"/>
          <w:rtl w:val="true"/>
        </w:rPr>
        <w:footnoteReference w:id="1244"/>
      </w:r>
      <w:r>
        <w:rPr>
          <w:rFonts w:ascii="IRNazanin" w:hAnsi="IRNazanin" w:eastAsia="IRNazanin"/>
          <w:color w:val="111111"/>
          <w:sz w:val="28"/>
          <w:sz w:val="28"/>
          <w:szCs w:val="28"/>
          <w:rtl w:val="true"/>
          <w:lang w:bidi="fa-IR"/>
        </w:rPr>
        <w:t xml:space="preserve">لأ نّه لیس بصریح فیه، ولأ نّه إخبار ونقله إلی الإنشاء علی خلاف الأصل، فیقتصر فیه علی موضع الوفاق وهو صیغ العقود، فاطّراده فی الطلاق قیاس، والنصّ </w:t>
      </w:r>
      <w:r>
        <w:rPr>
          <w:rStyle w:val="FootnoteAnchor"/>
          <w:rtl w:val="true"/>
        </w:rPr>
        <w:footnoteReference w:id="1245"/>
      </w:r>
      <w:r>
        <w:rPr>
          <w:rFonts w:ascii="IRNazanin" w:hAnsi="IRNazanin" w:eastAsia="IRNazanin"/>
          <w:color w:val="111111"/>
          <w:sz w:val="28"/>
          <w:sz w:val="28"/>
          <w:szCs w:val="28"/>
          <w:rtl w:val="true"/>
          <w:lang w:bidi="fa-IR"/>
        </w:rPr>
        <w:t xml:space="preserve">دلَّ فیه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یدلّ علی غیره، فیقتصر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جواب ما احتجّ به القائل بالوقوع، وهو الشیخ فی أحد قولیه استناداً إلی کون صیغة الماضی فی غیره منقولة إلی الإنشاء </w:t>
      </w:r>
      <w:r>
        <w:rPr>
          <w:rStyle w:val="FootnoteAnchor"/>
          <w:rtl w:val="true"/>
        </w:rPr>
        <w:footnoteReference w:id="1246"/>
      </w:r>
      <w:r>
        <w:rPr>
          <w:rFonts w:ascii="IRNazanin" w:hAnsi="IRNazanin" w:eastAsia="IRNazanin"/>
          <w:color w:val="111111"/>
          <w:sz w:val="28"/>
          <w:sz w:val="28"/>
          <w:szCs w:val="28"/>
          <w:rtl w:val="true"/>
          <w:lang w:bidi="fa-IR"/>
        </w:rPr>
        <w:t>ونسبة المصنّف البطلان إلی القول مشعر بمیله إلی الصحّة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بالسراح والفراق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عبّر عن الطلاق بهما فی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تَسْرِیحٌ بِإِحْسٰانٍ </w:t>
      </w:r>
      <w:r>
        <w:rPr>
          <w:rStyle w:val="FootnoteAnchor"/>
          <w:rtl w:val="true"/>
        </w:rPr>
        <w:footnoteReference w:id="1247"/>
      </w:r>
      <w:r>
        <w:rPr>
          <w:rFonts w:ascii="Amiri" w:hAnsi="Amiri" w:eastAsia="Amiri" w:cs="Amiri"/>
          <w:color w:val="111111"/>
          <w:sz w:val="28"/>
          <w:sz w:val="28"/>
          <w:szCs w:val="28"/>
          <w:rtl w:val="true"/>
          <w:lang w:bidi="ar-SA"/>
        </w:rPr>
        <w:t>فٰارِقُوهُنَّ بِمَعْرُوفٍ</w:t>
      </w:r>
      <w:r>
        <w:rPr>
          <w:rFonts w:eastAsia="Amiri" w:cs="Amiri" w:ascii="Amiri" w:hAnsi="Amiri"/>
          <w:color w:val="111111"/>
          <w:sz w:val="28"/>
          <w:szCs w:val="28"/>
          <w:rtl w:val="true"/>
          <w:lang w:bidi="ar-SA"/>
        </w:rPr>
        <w:t xml:space="preserve">) </w:t>
      </w:r>
      <w:r>
        <w:rPr>
          <w:rStyle w:val="FootnoteAnchor"/>
          <w:rtl w:val="true"/>
        </w:rPr>
        <w:footnoteReference w:id="1248"/>
      </w:r>
      <w:r>
        <w:rPr>
          <w:rFonts w:ascii="IRNazanin" w:hAnsi="IRNazanin" w:eastAsia="IRNazanin"/>
          <w:color w:val="111111"/>
          <w:sz w:val="28"/>
          <w:sz w:val="28"/>
          <w:szCs w:val="28"/>
          <w:rtl w:val="true"/>
          <w:lang w:bidi="fa-IR"/>
        </w:rPr>
        <w:t>لأنّهما عند الإطلاق لا ینطلقان علیه فکانا کنایة عنه لا صراحة فیهما، والتعبیر بهما لا یدلّ علی جواز إیقاعه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الخلیّة والبریّة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الکنایات کالبتّة، والبتلة </w:t>
      </w:r>
      <w:r>
        <w:rPr>
          <w:rStyle w:val="FootnoteAnchor"/>
          <w:rtl w:val="true"/>
        </w:rPr>
        <w:footnoteReference w:id="1249"/>
      </w:r>
      <w:r>
        <w:rPr>
          <w:rFonts w:ascii="IRNazanin" w:hAnsi="IRNazanin" w:eastAsia="IRNazanin"/>
          <w:color w:val="111111"/>
          <w:sz w:val="28"/>
          <w:sz w:val="28"/>
          <w:szCs w:val="28"/>
          <w:rtl w:val="true"/>
          <w:lang w:bidi="fa-IR"/>
        </w:rPr>
        <w:t xml:space="preserve">وحرام، وبائن، واعتدّی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قُصد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بقاء النکاح إلی أن یثبت شرعاً ما یزیله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 الأخرس 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وإلقاء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رأسها لیکون قرینة علی وجوب سترها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والموجود فی کلام الأصحاب الإشارة خاصّة </w:t>
      </w:r>
      <w:r>
        <w:rPr>
          <w:rStyle w:val="FootnoteAnchor"/>
          <w:rtl w:val="true"/>
        </w:rPr>
        <w:footnoteReference w:id="1250"/>
      </w:r>
      <w:r>
        <w:rPr>
          <w:rFonts w:ascii="IRNazanin" w:hAnsi="IRNazanin" w:eastAsia="IRNazanin"/>
          <w:color w:val="111111"/>
          <w:sz w:val="28"/>
          <w:sz w:val="28"/>
          <w:szCs w:val="28"/>
          <w:rtl w:val="true"/>
          <w:lang w:bidi="fa-IR"/>
        </w:rPr>
        <w:t xml:space="preserve">وفی الروایة إلقاء القناع </w:t>
      </w:r>
      <w:r>
        <w:rPr>
          <w:rStyle w:val="FootnoteAnchor"/>
          <w:rtl w:val="true"/>
        </w:rPr>
        <w:footnoteReference w:id="1251"/>
      </w:r>
      <w:r>
        <w:rPr>
          <w:rFonts w:ascii="IRNazanin" w:hAnsi="IRNazanin" w:eastAsia="IRNazanin"/>
          <w:color w:val="111111"/>
          <w:sz w:val="28"/>
          <w:sz w:val="28"/>
          <w:szCs w:val="28"/>
          <w:rtl w:val="true"/>
          <w:lang w:bidi="fa-IR"/>
        </w:rPr>
        <w:t>فجمع المصنّف رحمه الله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أقوی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إلقاء القناع من جملة الإشارات، ویکفی منها ما دلّ علی قصده الطلاق کما یقع غیره من العقود والإیقاعات والدعاوی والأقاریر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الکاف مصدر کتب کالکتابة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تلفّظه </w:t>
      </w:r>
      <w:r>
        <w:rPr>
          <w:rStyle w:val="FootnoteAnchor"/>
          <w:rtl w:val="true"/>
        </w:rPr>
        <w:footnoteReference w:id="1252"/>
      </w:r>
      <w:r>
        <w:rPr>
          <w:rFonts w:ascii="IRNazanin" w:hAnsi="IRNazanin" w:eastAsia="IRNazanin"/>
          <w:color w:val="111111"/>
          <w:sz w:val="28"/>
          <w:sz w:val="28"/>
          <w:szCs w:val="28"/>
          <w:rtl w:val="true"/>
          <w:lang w:bidi="fa-IR"/>
        </w:rPr>
        <w:t xml:space="preserve">ممّن یحسنه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أشهر القولین </w:t>
      </w:r>
      <w:r>
        <w:rPr>
          <w:rStyle w:val="FootnoteAnchor"/>
          <w:rtl w:val="true"/>
        </w:rPr>
        <w:footnoteReference w:id="1253"/>
      </w:r>
      <w:r>
        <w:rPr>
          <w:rFonts w:ascii="IRNazanin" w:hAnsi="IRNazanin" w:eastAsia="IRNazanin"/>
          <w:color w:val="111111"/>
          <w:sz w:val="28"/>
          <w:sz w:val="28"/>
          <w:szCs w:val="28"/>
          <w:rtl w:val="true"/>
          <w:lang w:bidi="fa-IR"/>
        </w:rPr>
        <w:t>لأصالة بقاء النکاح، ولحسنة 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الطلاق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الخبر </w:t>
      </w:r>
      <w:r>
        <w:rPr>
          <w:rStyle w:val="FootnoteAnchor"/>
          <w:rtl w:val="true"/>
        </w:rPr>
        <w:footnoteReference w:id="1254"/>
      </w:r>
      <w:r>
        <w:rPr>
          <w:rFonts w:ascii="IRNazanin" w:hAnsi="IRNazanin" w:eastAsia="IRNazanin"/>
          <w:color w:val="111111"/>
          <w:sz w:val="28"/>
          <w:sz w:val="28"/>
          <w:szCs w:val="28"/>
          <w:rtl w:val="true"/>
          <w:lang w:bidi="fa-IR"/>
        </w:rPr>
        <w:t xml:space="preserve">وحسنة زرارة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کتب</w:t>
      </w:r>
    </w:p>
    <w:p>
      <w:pPr>
        <w:pStyle w:val="BookText"/>
        <w:rPr/>
      </w:pPr>
      <w:r>
        <w:rPr>
          <w:rFonts w:ascii="IRNazanin" w:hAnsi="IRNazanin" w:eastAsia="IRNazanin"/>
          <w:color w:val="111111"/>
          <w:sz w:val="28"/>
          <w:sz w:val="28"/>
          <w:szCs w:val="28"/>
          <w:rtl w:val="true"/>
          <w:lang w:bidi="fa-IR"/>
        </w:rPr>
        <w:t>بطلاق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بطلاق</w:t>
      </w:r>
      <w:r>
        <w:rPr>
          <w:rFonts w:eastAsia="IRNazanin" w:cs="IRNazanin"/>
          <w:color w:val="111111"/>
          <w:sz w:val="28"/>
          <w:szCs w:val="28"/>
          <w:rtl w:val="true"/>
          <w:lang w:bidi="fa-IR"/>
        </w:rPr>
        <w:t>»</w:t>
      </w:r>
    </w:p>
    <w:p>
      <w:pPr>
        <w:pStyle w:val="BookText"/>
        <w:rPr/>
      </w:pP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وللشیخ رحمه الله قول بوقوعه به للغائب دون الحاضر </w:t>
      </w:r>
      <w:r>
        <w:rPr>
          <w:rStyle w:val="FootnoteAnchor"/>
          <w:rtl w:val="true"/>
        </w:rPr>
        <w:footnoteReference w:id="1256"/>
      </w:r>
      <w:r>
        <w:rPr>
          <w:rFonts w:ascii="IRNazanin" w:hAnsi="IRNazanin" w:eastAsia="IRNazanin"/>
          <w:color w:val="111111"/>
          <w:sz w:val="28"/>
          <w:sz w:val="28"/>
          <w:szCs w:val="28"/>
          <w:rtl w:val="true"/>
          <w:lang w:bidi="fa-IR"/>
        </w:rPr>
        <w:t xml:space="preserve">لصحیحة أبی حمزة الثمالی عن الصادق علیه السلام فی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طلاق حتّی ینطق به بلسانه، أو یخطّه بیده وهو یرید به الطلاق</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 xml:space="preserve">وحُمل علی حالة الاضطرار </w:t>
      </w:r>
      <w:r>
        <w:rPr>
          <w:rStyle w:val="FootnoteAnchor"/>
          <w:rtl w:val="true"/>
        </w:rPr>
        <w:footnoteReference w:id="1258"/>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علی تقدیر وقوعه للضرورة أو مطلقاً علی وجهٍ، یعتبر رؤیة الشاهدین لکتابته حالتها؛ لأنّ ذلک بمنزلة النطق بالطلاق فلا یتمّ إلّابالشاهدین، وکذا یُعتبر رؤیتهما إشارةَ العاجز</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بین الطلاق والبقاء بقصد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اختارت نفسها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1259"/>
      </w:r>
      <w:r>
        <w:rPr>
          <w:rFonts w:ascii="Amiri" w:hAnsi="Amiri" w:eastAsia="Amiri" w:cs="Amiri"/>
          <w:color w:val="111111"/>
          <w:sz w:val="28"/>
          <w:sz w:val="28"/>
          <w:szCs w:val="28"/>
          <w:rtl w:val="true"/>
          <w:lang w:bidi="ar-SA"/>
        </w:rPr>
        <w:t xml:space="preserve">لما مرّ </w:t>
      </w:r>
      <w:r>
        <w:rPr>
          <w:rStyle w:val="FootnoteAnchor"/>
          <w:rtl w:val="true"/>
        </w:rPr>
        <w:footnoteReference w:id="1260"/>
      </w:r>
      <w:r>
        <w:rPr>
          <w:rFonts w:ascii="IRNazanin" w:hAnsi="IRNazanin" w:eastAsia="IRNazanin"/>
          <w:color w:val="111111"/>
          <w:sz w:val="28"/>
          <w:sz w:val="28"/>
          <w:szCs w:val="28"/>
          <w:rtl w:val="true"/>
          <w:lang w:bidi="fa-IR"/>
        </w:rPr>
        <w:t>وقول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للناس والخیار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شیء خصّ اللّٰه به رسوله صلی الله علیه و آله</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 xml:space="preserve">وذهب ابن الجنید إلی وقوعه به </w:t>
      </w:r>
      <w:r>
        <w:rPr>
          <w:rStyle w:val="FootnoteAnchor"/>
          <w:rtl w:val="true"/>
        </w:rPr>
        <w:footnoteReference w:id="1262"/>
      </w:r>
      <w:r>
        <w:rPr>
          <w:rFonts w:ascii="IRNazanin" w:hAnsi="IRNazanin" w:eastAsia="IRNazanin"/>
          <w:color w:val="111111"/>
          <w:sz w:val="28"/>
          <w:sz w:val="28"/>
          <w:szCs w:val="28"/>
          <w:rtl w:val="true"/>
          <w:lang w:bidi="fa-IR"/>
        </w:rPr>
        <w:t>لصحیحة حمران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المخیَّرة تبین من ساعتها من غیر</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علی تخییرها </w:t>
      </w:r>
      <w:r>
        <w:rPr>
          <w:rStyle w:val="FootnoteAnchor"/>
          <w:rtl w:val="true"/>
        </w:rPr>
        <w:footnoteReference w:id="1264"/>
      </w:r>
      <w:r>
        <w:rPr>
          <w:rFonts w:ascii="IRNazanin" w:hAnsi="IRNazanin" w:eastAsia="IRNazanin"/>
          <w:color w:val="111111"/>
          <w:sz w:val="28"/>
          <w:sz w:val="28"/>
          <w:szCs w:val="28"/>
          <w:rtl w:val="true"/>
          <w:lang w:bidi="fa-IR"/>
        </w:rPr>
        <w:t xml:space="preserve">بسببٍ غیر الطلاق </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کتدلیس وعیب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معلّقاً علی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أمکن وقوعه وعدمه، کقدوم المسافر ودخولها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قطع بحصوله عادةً، کطلوع الشمس وزوالها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وفاق منّا، إلّاأن یکون الشرط معلوم الوقوع له حال الصیغة،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إن کان الطلاق یقع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 وقوعه علی الأقوی؛ لأ نّه حینئذٍ غیر معلّق، ومن الشرط تعلیقه علی مشیئة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فسّر الطلقة بأزید من الواحدة </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واحدة؛ لوجود المقتضی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وانتفاء المانع؛ إذ لیس إلّاالضمیمة وهی مؤکّدة </w:t>
      </w:r>
      <w:r>
        <w:rPr>
          <w:rStyle w:val="FootnoteAnchor"/>
          <w:rtl w:val="true"/>
        </w:rPr>
        <w:footnoteReference w:id="1267"/>
      </w:r>
      <w:r>
        <w:rPr>
          <w:rFonts w:ascii="IRNazanin" w:hAnsi="IRNazanin" w:eastAsia="IRNazanin"/>
          <w:color w:val="111111"/>
          <w:sz w:val="28"/>
          <w:sz w:val="28"/>
          <w:szCs w:val="28"/>
          <w:rtl w:val="true"/>
          <w:lang w:bidi="fa-IR"/>
        </w:rPr>
        <w:t xml:space="preserve">لا تنافیه، ولصحیحة جمیل </w:t>
      </w:r>
      <w:r>
        <w:rPr>
          <w:rStyle w:val="FootnoteAnchor"/>
          <w:rtl w:val="true"/>
        </w:rPr>
        <w:footnoteReference w:id="1268"/>
      </w:r>
      <w:r>
        <w:rPr>
          <w:rFonts w:ascii="IRNazanin" w:hAnsi="IRNazanin" w:eastAsia="IRNazanin"/>
          <w:color w:val="111111"/>
          <w:sz w:val="28"/>
          <w:sz w:val="28"/>
          <w:szCs w:val="28"/>
          <w:rtl w:val="true"/>
          <w:lang w:bidi="fa-IR"/>
        </w:rPr>
        <w:t xml:space="preserve">وغیرها </w:t>
      </w:r>
      <w:r>
        <w:rPr>
          <w:rStyle w:val="FootnoteAnchor"/>
          <w:rtl w:val="true"/>
        </w:rPr>
        <w:footnoteReference w:id="1269"/>
      </w:r>
      <w:r>
        <w:rPr>
          <w:rFonts w:ascii="IRNazanin" w:hAnsi="IRNazanin" w:eastAsia="IRNazanin"/>
          <w:color w:val="111111"/>
          <w:sz w:val="28"/>
          <w:sz w:val="28"/>
          <w:szCs w:val="28"/>
          <w:rtl w:val="true"/>
          <w:lang w:bidi="fa-IR"/>
        </w:rPr>
        <w:t>فی الذی یُطلّق فی مجلس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واحدة</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الجمیع؛ لأنّه بدعة </w:t>
      </w:r>
      <w:r>
        <w:rPr>
          <w:rStyle w:val="FootnoteAnchor"/>
          <w:rtl w:val="true"/>
        </w:rPr>
        <w:footnoteReference w:id="1270"/>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طلّق ثلاثاً فی</w:t>
      </w:r>
      <w:bookmarkStart w:id="446" w:name="pg19810_214552"/>
    </w:p>
    <w:p>
      <w:pPr>
        <w:pStyle w:val="BookText"/>
        <w:rPr/>
      </w:pPr>
      <w:bookmarkEnd w:id="446"/>
      <w:r>
        <w:rPr>
          <w:rFonts w:ascii="Amiri" w:hAnsi="Amiri" w:eastAsia="Amiri" w:cs="Amiri"/>
          <w:color w:val="111111"/>
          <w:sz w:val="28"/>
          <w:sz w:val="28"/>
          <w:szCs w:val="28"/>
          <w:rtl w:val="true"/>
          <w:lang w:bidi="ar-SA"/>
        </w:rPr>
        <w:t>مجلس فلیس بشیء، من خالف کتاب اللّٰه رُدّ إلی کتاب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علی إرادة عدم وقوع الثلاث التی أرادها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2175587_2314609296"/>
      <w:bookmarkStart w:id="448" w:name="_Toc168"/>
      <w:bookmarkEnd w:id="447"/>
      <w:r>
        <w:rPr>
          <w:rtl w:val="true"/>
        </w:rPr>
        <w:t>[</w:t>
      </w:r>
      <w:r>
        <w:rPr>
          <w:rtl w:val="true"/>
        </w:rPr>
        <w:t xml:space="preserve">المطلق و شروطه </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ویُعتبر فی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یصحّ طلاق الصبیّ وإن أذن له الولیّ، أو بلغ عشراً علی أصحّ القولین </w:t>
      </w:r>
      <w:r>
        <w:rPr>
          <w:rStyle w:val="FootnoteAnchor"/>
          <w:rtl w:val="true"/>
        </w:rPr>
        <w:footnoteReference w:id="1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طلاق المجنون المطبق مطلقاً ولا غیره حالَ جنونه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ویطلّق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الأب والجدّ له مع اتّصال جنونه بصغره، والحاکمُ عند عدمهما، أو مع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المطبق مع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أمداً یُرتقب ویزول نقصه فیه، وکذا المجنون ذو الأدوار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بلغ الصبیّ فاسدَ العقل طلّق عنه الولیّ حینئذٍ</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وأطلق جماعة من الأصحاب جواز طلاق الولیّ عن المجنون من غیر فرق بین المطبق وغیره </w:t>
      </w:r>
      <w:r>
        <w:rPr>
          <w:rStyle w:val="FootnoteAnchor"/>
          <w:rtl w:val="true"/>
        </w:rPr>
        <w:footnoteReference w:id="1274"/>
      </w:r>
      <w:r>
        <w:rPr>
          <w:rFonts w:ascii="IRNazanin" w:hAnsi="IRNazanin" w:eastAsia="IRNazanin"/>
          <w:color w:val="111111"/>
          <w:sz w:val="28"/>
          <w:sz w:val="28"/>
          <w:szCs w:val="28"/>
          <w:rtl w:val="true"/>
          <w:lang w:bidi="fa-IR"/>
        </w:rPr>
        <w:t xml:space="preserve">وفی بعض الأخبار </w:t>
      </w:r>
      <w:r>
        <w:rPr>
          <w:rStyle w:val="FootnoteAnchor"/>
          <w:rtl w:val="true"/>
        </w:rPr>
        <w:footnoteReference w:id="1275"/>
      </w:r>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متوجّه،</w:t>
      </w:r>
    </w:p>
    <w:p>
      <w:pPr>
        <w:pStyle w:val="BookText"/>
        <w:rPr/>
      </w:pPr>
      <w:r>
        <w:rPr>
          <w:rFonts w:ascii="IRNazanin" w:hAnsi="IRNazanin" w:eastAsia="IRNazanin"/>
          <w:color w:val="111111"/>
          <w:sz w:val="28"/>
          <w:sz w:val="28"/>
          <w:szCs w:val="28"/>
          <w:rtl w:val="true"/>
          <w:lang w:bidi="fa-IR"/>
        </w:rPr>
        <w:t xml:space="preserve">وبه قطع فی القواعد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الأخبار غیر صریحة فی جوازه من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فخر المحقّقین ادّعی الإجماع علی جوازه </w:t>
      </w:r>
      <w:r>
        <w:rPr>
          <w:rStyle w:val="FootnoteAnchor"/>
          <w:rtl w:val="true"/>
        </w:rPr>
        <w:footnoteReference w:id="1277"/>
      </w:r>
      <w:r>
        <w:rPr>
          <w:rFonts w:ascii="Amiri" w:hAnsi="Amiri" w:eastAsia="Amiri" w:cs="Amiri"/>
          <w:color w:val="111111"/>
          <w:sz w:val="28"/>
          <w:sz w:val="28"/>
          <w:szCs w:val="28"/>
          <w:rtl w:val="true"/>
          <w:lang w:bidi="ar-SA"/>
        </w:rPr>
        <w:t xml:space="preserve">فکان أقوی فی حجّیّته </w:t>
      </w:r>
      <w:r>
        <w:rPr>
          <w:rStyle w:val="FootnoteAnchor"/>
          <w:rtl w:val="true"/>
        </w:rPr>
        <w:footnoteReference w:id="1278"/>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 الشیخ فی الخلاف ادّعی الإجماع علی عدمه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الولیّ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المغمی علیه، وشارب المُرقد کالنائم؛ لأنّ عذرهم متوقّع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والاختیارُ، فلا یقع طلاق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یقع شیء من تصرّفاته عدا ما استثنی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ویتحقّق الإکراه بتوعّده بما یکون مضرّاً به فی نفسه، أو من یجری مجراه بحسب حاله مع قدرة المتوعِّد علی فعل ما تَوعّد به، والعلم أو الظنّ أ نّه یفعله به لو لم یفعل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بین کون المتوعّد به قتلاً أو جرحاً أو أخذ مال وإن قلّ، وشتماً وضرباً </w:t>
      </w:r>
      <w:r>
        <w:rPr>
          <w:rStyle w:val="FootnoteAnchor"/>
          <w:rtl w:val="true"/>
        </w:rPr>
        <w:footnoteReference w:id="1281"/>
      </w:r>
      <w:r>
        <w:rPr>
          <w:rFonts w:ascii="IRNazanin" w:hAnsi="IRNazanin" w:eastAsia="IRNazanin"/>
          <w:color w:val="111111"/>
          <w:sz w:val="28"/>
          <w:sz w:val="28"/>
          <w:szCs w:val="28"/>
          <w:rtl w:val="true"/>
          <w:lang w:bidi="fa-IR"/>
        </w:rPr>
        <w:t>وحبساً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ویستوی فی الثلاثة الاُوَل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الثلاثة الأخیرة فتختلف باختلاف الناس، فقد یؤثّر قلیلها فی الوجیه الذی ینقّصه ذلک، وقد</w:t>
      </w:r>
    </w:p>
    <w:p>
      <w:pPr>
        <w:pStyle w:val="BookText"/>
        <w:rPr/>
      </w:pPr>
      <w:r>
        <w:rPr>
          <w:rFonts w:ascii="IRNazanin" w:hAnsi="IRNazanin" w:eastAsia="IRNazanin"/>
          <w:color w:val="111111"/>
          <w:sz w:val="28"/>
          <w:sz w:val="28"/>
          <w:szCs w:val="28"/>
          <w:rtl w:val="true"/>
          <w:lang w:bidi="fa-IR"/>
        </w:rPr>
        <w:t>یحتمل بعض الناس شیئاً منها لا یؤثّر فی قدره، والمرجع فی ذلک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خیّره المکره بین الطلاق ودفع مال غیر مستحقّ فهو إکراه، بخلاف ما لو خیّره بینه وبین فعل یستحقّه الآمر من مال وغیره وإن حتَّم أحدهما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إکراه لو ألزمه بالطلاق ففعله قاصداً إلیه، أو علی طلاق معیّنة فطلّق غیرها، أو علی طلقة فطلّق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أکرهه علی طلاق إحدی الزوجتین فطلّق معیّنة فالأقوی أ نّه إکراه؛ إذ لا یتحقّق فعل مقتضی أمره بدون أحد، وکذا القول فی غیره من العقود والإیقاع </w:t>
      </w:r>
      <w:r>
        <w:rPr>
          <w:rStyle w:val="FootnoteAnchor"/>
          <w:rtl w:val="true"/>
        </w:rPr>
        <w:footnoteReference w:id="1282"/>
      </w:r>
      <w:r>
        <w:rPr>
          <w:rFonts w:ascii="IRNazanin" w:hAnsi="IRNazanin" w:eastAsia="IRNazanin"/>
          <w:color w:val="111111"/>
          <w:sz w:val="28"/>
          <w:sz w:val="28"/>
          <w:szCs w:val="28"/>
          <w:rtl w:val="true"/>
          <w:lang w:bidi="fa-IR"/>
        </w:rPr>
        <w:t>ولا یُشترط التوریة بأن ینوی غیرها وإن أمکنت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والقصدُ فلا عبرة بعبارة الساهی والنائم والغالط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والفرق بین الأوّل والأخیر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لا قصد له مطلقاً، والثانی له قصد إلی غیر من طلّقها فغلط وتلفّظ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ظنّ زوجته أجنبیّة بأن کانت فی ظلمة، أو أنکحها له ولیّه أو وکیله ولم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ویُصدَّق فی ظنّه ظاهراً وفی عدم القصد لو ادّعاه ما لم تخرج العدّة 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 فی غیرها إلّامع اتّصال الدعوی بالصیغة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جماعة من الأصحاب </w:t>
      </w:r>
      <w:r>
        <w:rPr>
          <w:rStyle w:val="FootnoteAnchor"/>
          <w:rtl w:val="true"/>
        </w:rPr>
        <w:footnoteReference w:id="1283"/>
      </w:r>
      <w:r>
        <w:rPr>
          <w:rFonts w:ascii="IRNazanin" w:hAnsi="IRNazanin" w:eastAsia="IRNazanin"/>
          <w:color w:val="111111"/>
          <w:sz w:val="28"/>
          <w:sz w:val="28"/>
          <w:szCs w:val="28"/>
          <w:rtl w:val="true"/>
          <w:lang w:bidi="fa-IR"/>
        </w:rPr>
        <w:t>قبول قوله فی العدّة من غیر تفصیل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ویجوز توکیل الزوجة فی طلاق نفسها </w:t>
      </w:r>
      <w:r>
        <w:rPr>
          <w:rStyle w:val="FootnoteAnchor"/>
          <w:rtl w:val="true"/>
        </w:rPr>
        <w:footnoteReference w:id="1284"/>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تولّیها غیره من العقود؛ لأنّها کاملة فلا وجه لسلب عبارتها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کونها بمنزلة</w:t>
      </w:r>
      <w:bookmarkStart w:id="449" w:name="pg19810_214555"/>
    </w:p>
    <w:p>
      <w:pPr>
        <w:pStyle w:val="BookText"/>
        <w:rPr/>
      </w:pPr>
      <w:bookmarkEnd w:id="449"/>
      <w:r>
        <w:rPr>
          <w:rFonts w:ascii="Amiri" w:hAnsi="Amiri" w:eastAsia="Amiri" w:cs="Amiri"/>
          <w:color w:val="111111"/>
          <w:sz w:val="28"/>
          <w:sz w:val="28"/>
          <w:szCs w:val="28"/>
          <w:rtl w:val="true"/>
          <w:lang w:bidi="ar-SA"/>
        </w:rPr>
        <w:t xml:space="preserve">موجبة قابلة </w:t>
      </w:r>
      <w:r>
        <w:rPr>
          <w:rStyle w:val="FootnoteAnchor"/>
          <w:rtl w:val="true"/>
        </w:rPr>
        <w:footnoteReference w:id="1285"/>
      </w:r>
      <w:r>
        <w:rPr>
          <w:rFonts w:ascii="IRNazanin" w:hAnsi="IRNazanin" w:eastAsia="IRNazanin"/>
          <w:color w:val="111111"/>
          <w:sz w:val="28"/>
          <w:sz w:val="28"/>
          <w:szCs w:val="28"/>
          <w:rtl w:val="true"/>
          <w:lang w:bidi="fa-IR"/>
        </w:rPr>
        <w:t>علی تقدیر طلاق نفسها؛ لأنّ المغایرة الاعتباریّة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ممّا یقبل النیابة فلا خصوصیّة للنائب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لا ینافیه؛ لأنّ یدها مستفادة من یده، مع أنّ دلالته علی الحصر ضعیفة</w:t>
      </w:r>
      <w:r>
        <w:rPr>
          <w:rFonts w:eastAsia="IRNazanin" w:cs="IRNazanin"/>
          <w:color w:val="111111"/>
          <w:sz w:val="28"/>
          <w:szCs w:val="28"/>
          <w:rtl w:val="true"/>
          <w:lang w:bidi="fa-IR"/>
        </w:rPr>
        <w:t>.</w:t>
      </w:r>
    </w:p>
    <w:p>
      <w:pPr>
        <w:pStyle w:val="Heading4"/>
        <w:numPr>
          <w:ilvl w:val="3"/>
          <w:numId w:val="1"/>
        </w:numPr>
        <w:rPr/>
      </w:pPr>
      <w:bookmarkStart w:id="450" w:name="__RefHeading___Toc2175589_2314609296"/>
      <w:bookmarkStart w:id="451" w:name="_Toc169"/>
      <w:bookmarkEnd w:id="450"/>
      <w:r>
        <w:rPr>
          <w:rtl w:val="true"/>
        </w:rPr>
        <w:t>[</w:t>
      </w:r>
      <w:r>
        <w:rPr>
          <w:rtl w:val="true"/>
        </w:rPr>
        <w:t>المطلقة و شروطها</w:t>
      </w:r>
      <w:r>
        <w:rPr>
          <w:rtl w:val="true"/>
        </w:rPr>
        <w:t>]</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ویُعتبر فی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یقع بالأجنبیّة وإن علّقه علی النکاح، ولا بالأمة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بالمتمتّع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والطهرُ من الحیض والنفاس إذا کانت المطلَّقة مدخولاً بها حائلاً حاضراً زوجها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اختلّ أحد الشروط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کانت غیر مدخول بها، أو حاملاً إن قلنا بجواز حیضها، أو زوجها غائب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طلاقها وإن کانت حائضاً أو نفساء</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لیس مطلق الغیبة کافیاً فی صحّة طلاقها، بل الغیبة علی وجه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فی حدّ الغیبة المجوّزة له علی أقوال </w:t>
      </w:r>
      <w:r>
        <w:rPr>
          <w:rStyle w:val="FootnoteAnchor"/>
          <w:rtl w:val="true"/>
        </w:rPr>
        <w:footnoteReference w:id="1287"/>
      </w:r>
      <w:r>
        <w:rPr>
          <w:rFonts w:ascii="Amiri" w:hAnsi="Amiri" w:eastAsia="Amiri" w:cs="Amiri"/>
          <w:color w:val="111111"/>
          <w:sz w:val="28"/>
          <w:sz w:val="28"/>
          <w:szCs w:val="28"/>
          <w:rtl w:val="true"/>
          <w:lang w:bidi="ar-SA"/>
        </w:rPr>
        <w:t>أجودها مُضیّ مدّة</w:t>
      </w:r>
    </w:p>
    <w:p>
      <w:pPr>
        <w:pStyle w:val="BookText"/>
        <w:rPr/>
      </w:pPr>
      <w:r>
        <w:rPr>
          <w:rFonts w:ascii="IRNazanin" w:hAnsi="IRNazanin" w:eastAsia="IRNazanin"/>
          <w:color w:val="111111"/>
          <w:sz w:val="28"/>
          <w:sz w:val="28"/>
          <w:szCs w:val="28"/>
          <w:rtl w:val="true"/>
          <w:lang w:bidi="fa-IR"/>
        </w:rPr>
        <w:t>یُعلم أو یُظنّ انتقالها من الطهر الذی واقعها فیه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ویختلف ذلک باختلاف عادتها، فمن ثمّ اختلف الأخبار </w:t>
      </w:r>
      <w:r>
        <w:rPr>
          <w:rStyle w:val="FootnoteAnchor"/>
          <w:rtl w:val="true"/>
        </w:rPr>
        <w:footnoteReference w:id="1288"/>
      </w:r>
      <w:r>
        <w:rPr>
          <w:rFonts w:ascii="IRNazanin" w:hAnsi="IRNazanin" w:eastAsia="IRNazanin"/>
          <w:color w:val="111111"/>
          <w:sz w:val="28"/>
          <w:sz w:val="28"/>
          <w:szCs w:val="28"/>
          <w:rtl w:val="true"/>
          <w:lang w:bidi="fa-IR"/>
        </w:rPr>
        <w:t>فی تقدیرها، واختلفت بسببها الأقوال، فإذا حصل الظنّ بذلک جاز طلاقها وإن اتّفق کونها حائضاً حالَ الطلاق إذا لم یعلم بحیضها حینئذٍ ولو بخبر من یعتمد علی خبره شرعاً، وإلّا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علمه بحیضها علمه بکونها فی طهر المواقعة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المسألة بحث عریض قد حقّقناه فی رسالة مفردة </w:t>
      </w:r>
      <w:r>
        <w:rPr>
          <w:rStyle w:val="FootnoteAnchor"/>
          <w:rtl w:val="true"/>
        </w:rPr>
        <w:footnoteReference w:id="1289"/>
      </w:r>
      <w:r>
        <w:rPr>
          <w:rFonts w:ascii="IRNazanin" w:hAnsi="IRNazanin" w:eastAsia="IRNazanin"/>
          <w:color w:val="111111"/>
          <w:sz w:val="28"/>
          <w:sz w:val="28"/>
          <w:szCs w:val="28"/>
          <w:rtl w:val="true"/>
          <w:lang w:bidi="fa-IR"/>
        </w:rPr>
        <w:t>مَن أراد تحقیق الحال فلیقف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 الغائب من لا یمکنه معرفة حالها لحبسٍ ونحوه مع حضوره، کما أنّ الغائب الذی یمکنه معرفة حالها أو قبل انقضاء المدّة المعتبرة فی حکم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ظنّ انقضاء نفاسها بمضیّ زمانٍ تلد فیه عادة وأکثر النفاس بعدها أو عادتها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یعلم ذلک کلّه ولم یظنّه تربّص ثلاثة أشهر کالمسترابة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تعیین المطلَّقة لفظاً أو نیّة، فلو طلّق إحدی زوجتیه لا بعینها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بقاء النکاح، فلا یزول إلّابسبب محقَّق السببیّة، ولأنّ الطلاق أمر معیَّن فلا بدّ له من محلّ معیَّن، وحیث لا محلّ فلا طلاق، ولأنّ الأحکام من قبیل الأعراض فلا بدّ لها من محلّ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ولأنّ توابع الطلاق من العدّة وغیرها لا بدّ لها من محلّ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وتستخرج المطلّقة بالقرعة أو یُعیّن من شاء </w:t>
      </w:r>
      <w:r>
        <w:rPr>
          <w:rStyle w:val="FootnoteAnchor"/>
          <w:rtl w:val="true"/>
        </w:rPr>
        <w:footnoteReference w:id="1291"/>
      </w:r>
      <w:r>
        <w:rPr>
          <w:rFonts w:ascii="IRNazanin" w:hAnsi="IRNazanin" w:eastAsia="IRNazanin"/>
          <w:color w:val="111111"/>
          <w:sz w:val="28"/>
          <w:sz w:val="28"/>
          <w:szCs w:val="28"/>
          <w:rtl w:val="true"/>
          <w:lang w:bidi="fa-IR"/>
        </w:rPr>
        <w:t>لعموم مشروعیّة الطلاق، ومحلُّ المبهم جاز أن یکون مبهماً، ولأنّ إحداهما زوجة وکلّ زوجة یصحّ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المصنّف فی الشرح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ویتفرّع علی ذلک العدّة،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ابتداؤها من حین الإیقاع </w:t>
      </w:r>
      <w:r>
        <w:rPr>
          <w:rStyle w:val="FootnoteAnchor"/>
          <w:rtl w:val="true"/>
        </w:rPr>
        <w:footnoteReference w:id="129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التعیین </w:t>
      </w:r>
      <w:r>
        <w:rPr>
          <w:rStyle w:val="FootnoteAnchor"/>
          <w:rtl w:val="true"/>
        </w:rPr>
        <w:footnoteReference w:id="1294"/>
      </w:r>
      <w:r>
        <w:rPr>
          <w:rFonts w:ascii="IRNazanin" w:hAnsi="IRNazanin" w:eastAsia="IRNazanin"/>
          <w:color w:val="111111"/>
          <w:sz w:val="28"/>
          <w:sz w:val="28"/>
          <w:szCs w:val="28"/>
          <w:rtl w:val="true"/>
          <w:lang w:bidi="fa-IR"/>
        </w:rPr>
        <w:t>ویتفرّع علیه أیضاً فروع کثیرة لیس هذا موضع ذکرها</w:t>
      </w:r>
      <w:r>
        <w:rPr>
          <w:rFonts w:eastAsia="IRNazanin" w:cs="IRNazanin"/>
          <w:color w:val="111111"/>
          <w:sz w:val="28"/>
          <w:szCs w:val="28"/>
          <w:rtl w:val="true"/>
          <w:lang w:bidi="fa-IR"/>
        </w:rPr>
        <w:t>.</w:t>
      </w:r>
      <w:bookmarkStart w:id="452" w:name="pg19810_214559"/>
    </w:p>
    <w:p>
      <w:pPr>
        <w:pStyle w:val="Heading3"/>
        <w:numPr>
          <w:ilvl w:val="2"/>
          <w:numId w:val="1"/>
        </w:numPr>
        <w:rPr/>
      </w:pPr>
      <w:bookmarkStart w:id="453" w:name="__RefHeading___Toc2175591_2314609296"/>
      <w:bookmarkStart w:id="454" w:name="_Toc170"/>
      <w:bookmarkEnd w:id="452"/>
      <w:bookmarkEnd w:id="453"/>
      <w:r>
        <w:rPr>
          <w:rtl w:val="true"/>
        </w:rPr>
        <w:t>«</w:t>
      </w:r>
      <w:r>
        <w:rPr>
          <w:rtl w:val="true"/>
        </w:rPr>
        <w:t>الفصل الثانی</w:t>
      </w:r>
      <w:r>
        <w:rPr>
          <w:rtl w:val="true"/>
        </w:rPr>
        <w:t>»</w:t>
      </w:r>
      <w:bookmarkEnd w:id="454"/>
    </w:p>
    <w:p>
      <w:pPr>
        <w:pStyle w:val="Heading4"/>
        <w:numPr>
          <w:ilvl w:val="3"/>
          <w:numId w:val="1"/>
        </w:numPr>
        <w:rPr/>
      </w:pPr>
      <w:bookmarkStart w:id="455" w:name="__RefHeading___Toc2175593_2314609296"/>
      <w:bookmarkStart w:id="456" w:name="_Toc171"/>
      <w:bookmarkEnd w:id="455"/>
      <w:r>
        <w:rPr>
          <w:rtl w:val="true"/>
        </w:rPr>
        <w:t>اشارة</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ینقسم أربعة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عدا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متساوی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الأحکام الخمسة، فإنّه لا یکون کذلک، بل إمّا راجح أو مرجوح مع المنع من النقیض وتعیینه </w:t>
      </w:r>
      <w:r>
        <w:rPr>
          <w:rStyle w:val="FootnoteAnchor"/>
          <w:rtl w:val="true"/>
        </w:rPr>
        <w:footnoteReference w:id="1295"/>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Heading4"/>
        <w:numPr>
          <w:ilvl w:val="3"/>
          <w:numId w:val="1"/>
        </w:numPr>
        <w:rPr/>
      </w:pPr>
      <w:bookmarkStart w:id="457" w:name="__RefHeading___Toc2175595_2314609296"/>
      <w:bookmarkStart w:id="458" w:name="_Toc172"/>
      <w:bookmarkEnd w:id="457"/>
      <w:r>
        <w:rPr>
          <w:rtl w:val="true"/>
        </w:rPr>
        <w:t>[</w:t>
      </w:r>
      <w:r>
        <w:rPr>
          <w:rtl w:val="true"/>
        </w:rPr>
        <w:t>المحرم</w:t>
      </w:r>
      <w:r>
        <w:rPr>
          <w:rtl w:val="true"/>
        </w:rPr>
        <w:t>]</w:t>
      </w:r>
      <w:bookmarkEnd w:id="458"/>
    </w:p>
    <w:p>
      <w:pPr>
        <w:pStyle w:val="BookText"/>
        <w:rPr/>
      </w:pPr>
      <w:r>
        <w:rPr>
          <w:rFonts w:ascii="IRNazanin" w:hAnsi="IRNazanin" w:eastAsia="IRNazanin"/>
          <w:color w:val="111111"/>
          <w:sz w:val="28"/>
          <w:sz w:val="28"/>
          <w:szCs w:val="28"/>
          <w:rtl w:val="true"/>
          <w:lang w:bidi="fa-IR"/>
        </w:rPr>
        <w:t>وتفصیلها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حرام، وهو طلاق الحائض، لا </w:t>
      </w:r>
      <w:r>
        <w:rPr>
          <w:rStyle w:val="FootnoteAnchor"/>
          <w:rtl w:val="true"/>
        </w:rPr>
        <w:footnoteReference w:id="1296"/>
      </w:r>
      <w:r>
        <w:rPr>
          <w:rFonts w:ascii="IRNazanin" w:hAnsi="IRNazanin" w:eastAsia="IRNazanin"/>
          <w:color w:val="111111"/>
          <w:sz w:val="28"/>
          <w:sz w:val="28"/>
          <w:szCs w:val="28"/>
          <w:rtl w:val="true"/>
          <w:lang w:bidi="fa-IR"/>
        </w:rPr>
        <w:t>مع المصحّح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الاُمور الثلاثة السابقة،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الدخول أو الحمل أو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النُفَساء، وفی طهر جامعها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غیر صغیرة ولا یائسة ولا حامل مع علمه بحالها أو مطلقاً؛ نظراً إلی أ نّه لا یُستثنی للغائب إلّاکونها حائضاً، عملاً بظاهر النصّ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والثلاث من غیر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والتحریم هنا یرجع إلی المجموع من حیث هو مجموع، وذلک لا ینافی تحلیل بعض أفراده وهو الطلقة الاُولی؛ إذ لا منع منها إذا اجتمعت الشرائط</w:t>
      </w:r>
      <w:r>
        <w:rPr>
          <w:rFonts w:eastAsia="IRNazanin" w:cs="IRNazanin"/>
          <w:color w:val="111111"/>
          <w:sz w:val="28"/>
          <w:szCs w:val="28"/>
          <w:rtl w:val="true"/>
          <w:lang w:bidi="fa-IR"/>
        </w:rPr>
        <w:t>.</w:t>
      </w:r>
      <w:bookmarkStart w:id="459" w:name="pg19810_214560"/>
    </w:p>
    <w:p>
      <w:pPr>
        <w:pStyle w:val="BookText"/>
        <w:rPr/>
      </w:pPr>
      <w:bookmarkEnd w:id="4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الطلاق المحرَّم بجمیع أقسامه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یقع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الاُولی، أو الثانیة علی تقدیر وقوع خلل فی الاُولی، أو الثالثة علی تقدیر فساد الاُولیین</w:t>
      </w:r>
      <w:r>
        <w:rPr>
          <w:rFonts w:eastAsia="IRNazanin" w:cs="IRNazanin"/>
          <w:color w:val="111111"/>
          <w:sz w:val="28"/>
          <w:szCs w:val="28"/>
          <w:rtl w:val="true"/>
          <w:lang w:bidi="fa-IR"/>
        </w:rPr>
        <w:t>.</w:t>
      </w:r>
    </w:p>
    <w:p>
      <w:pPr>
        <w:pStyle w:val="Heading4"/>
        <w:numPr>
          <w:ilvl w:val="3"/>
          <w:numId w:val="1"/>
        </w:numPr>
        <w:rPr/>
      </w:pPr>
      <w:bookmarkStart w:id="460" w:name="__RefHeading___Toc2175597_2314609296"/>
      <w:bookmarkStart w:id="461" w:name="_Toc173"/>
      <w:bookmarkEnd w:id="460"/>
      <w:r>
        <w:rPr>
          <w:rtl w:val="true"/>
        </w:rPr>
        <w:t>[</w:t>
      </w:r>
      <w:r>
        <w:rPr>
          <w:rtl w:val="true"/>
        </w:rPr>
        <w:t>المکروه</w:t>
      </w:r>
      <w:r>
        <w:rPr>
          <w:rtl w:val="true"/>
        </w:rPr>
        <w:t>]</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مکروه، وهو الطلاق مع التئام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أخلاق الزوجین، فإنّه ما من شیء ممّا أحلّه اللّٰه تعالی أبغض إلیه من الطلاق </w:t>
      </w:r>
      <w:r>
        <w:rPr>
          <w:rStyle w:val="FootnoteAnchor"/>
          <w:rtl w:val="true"/>
        </w:rPr>
        <w:footnoteReference w:id="1298"/>
      </w:r>
      <w:r>
        <w:rPr>
          <w:rFonts w:ascii="IRNazanin" w:hAnsi="IRNazanin" w:eastAsia="IRNazanin"/>
          <w:color w:val="111111"/>
          <w:sz w:val="28"/>
          <w:sz w:val="28"/>
          <w:szCs w:val="28"/>
          <w:rtl w:val="true"/>
          <w:lang w:bidi="fa-IR"/>
        </w:rPr>
        <w:t>وذلک حیث لا موجب له</w:t>
      </w:r>
      <w:r>
        <w:rPr>
          <w:rFonts w:eastAsia="IRNazanin" w:cs="IRNazanin"/>
          <w:color w:val="111111"/>
          <w:sz w:val="28"/>
          <w:szCs w:val="28"/>
          <w:rtl w:val="true"/>
          <w:lang w:bidi="fa-IR"/>
        </w:rPr>
        <w:t>.</w:t>
      </w:r>
    </w:p>
    <w:p>
      <w:pPr>
        <w:pStyle w:val="Heading4"/>
        <w:numPr>
          <w:ilvl w:val="3"/>
          <w:numId w:val="1"/>
        </w:numPr>
        <w:rPr/>
      </w:pPr>
      <w:bookmarkStart w:id="462" w:name="__RefHeading___Toc2175599_2314609296"/>
      <w:bookmarkStart w:id="463" w:name="_Toc174"/>
      <w:bookmarkEnd w:id="462"/>
      <w:r>
        <w:rPr>
          <w:rtl w:val="true"/>
        </w:rPr>
        <w:t>[</w:t>
      </w:r>
      <w:r>
        <w:rPr>
          <w:rtl w:val="true"/>
        </w:rPr>
        <w:t xml:space="preserve">الواجب </w:t>
      </w:r>
      <w:r>
        <w:rPr>
          <w:rtl w:val="true"/>
        </w:rPr>
        <w:t>]</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واجب، وهو طلاق المُولی والمظاهر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یجب علیه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الفئة أو الطلاق کما سیأتی </w:t>
      </w:r>
      <w:r>
        <w:rPr>
          <w:rStyle w:val="FootnoteAnchor"/>
          <w:rtl w:val="true"/>
        </w:rPr>
        <w:footnoteReference w:id="1299"/>
      </w:r>
      <w:r>
        <w:rPr>
          <w:rFonts w:ascii="IRNazanin" w:hAnsi="IRNazanin" w:eastAsia="IRNazanin"/>
          <w:color w:val="111111"/>
          <w:sz w:val="28"/>
          <w:sz w:val="28"/>
          <w:szCs w:val="28"/>
          <w:rtl w:val="true"/>
          <w:lang w:bidi="fa-IR"/>
        </w:rPr>
        <w:t>فکلّ واحد منهما یوصف بالوجوب التخییری، وهو واجب بقولٍ مطلق</w:t>
      </w:r>
      <w:r>
        <w:rPr>
          <w:rFonts w:eastAsia="IRNazanin" w:cs="IRNazanin"/>
          <w:color w:val="111111"/>
          <w:sz w:val="28"/>
          <w:szCs w:val="28"/>
          <w:rtl w:val="true"/>
          <w:lang w:bidi="fa-IR"/>
        </w:rPr>
        <w:t>.</w:t>
      </w:r>
    </w:p>
    <w:p>
      <w:pPr>
        <w:pStyle w:val="Heading4"/>
        <w:numPr>
          <w:ilvl w:val="3"/>
          <w:numId w:val="1"/>
        </w:numPr>
        <w:rPr/>
      </w:pPr>
      <w:bookmarkStart w:id="464" w:name="__RefHeading___Toc2175601_2314609296"/>
      <w:bookmarkStart w:id="465" w:name="_Toc175"/>
      <w:bookmarkEnd w:id="464"/>
      <w:r>
        <w:rPr>
          <w:rtl w:val="true"/>
        </w:rPr>
        <w:t>[</w:t>
      </w:r>
      <w:r>
        <w:rPr>
          <w:rtl w:val="true"/>
        </w:rPr>
        <w:t xml:space="preserve">المستحب </w:t>
      </w:r>
      <w:r>
        <w:rPr>
          <w:rtl w:val="true"/>
        </w:rPr>
        <w:t>]</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سنّة، وهو الطلاق مع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رجاء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والخوف من الوقوع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هذا من تتمّة شرائط سُنّیّته علی تقدیر الشقاق، ویمکن کونه فرداً برأسه، وهو الأظهر، فإنّ خوف الوقوع فی المعصیة قد یجامع اتّفاقهما، فیُسنّ تخلّصاً من الخوف المذکور إن لم یجب کما وجب النکاح له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ویُطلق الطلاق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طلاق جائز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الجائز بالمعنی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قابل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السنّة بالمعنی الأعمّ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 أخصّ من الأوّل، وهو أن یُطلق علی الشرائط ثمّ یترکَها حتّی تخرج من العدّة ویعقد علیها ثانیاً، ویقال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السنّة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ما یختلف من حکمهما</w:t>
      </w:r>
      <w:r>
        <w:rPr>
          <w:rFonts w:eastAsia="IRNazanin" w:cs="IRNazanin"/>
          <w:color w:val="111111"/>
          <w:sz w:val="28"/>
          <w:szCs w:val="28"/>
          <w:rtl w:val="true"/>
          <w:lang w:bidi="fa-IR"/>
        </w:rPr>
        <w:t>.</w:t>
      </w:r>
      <w:bookmarkStart w:id="466" w:name="pg19810_214561"/>
    </w:p>
    <w:p>
      <w:pPr>
        <w:pStyle w:val="Heading4"/>
        <w:numPr>
          <w:ilvl w:val="3"/>
          <w:numId w:val="1"/>
        </w:numPr>
        <w:rPr/>
      </w:pPr>
      <w:bookmarkStart w:id="467" w:name="__RefHeading___Toc2175603_2314609296"/>
      <w:bookmarkStart w:id="468" w:name="_Toc176"/>
      <w:bookmarkEnd w:id="466"/>
      <w:bookmarkEnd w:id="467"/>
      <w:r>
        <w:rPr>
          <w:rtl w:val="true"/>
        </w:rPr>
        <w:t>[</w:t>
      </w:r>
      <w:r>
        <w:rPr>
          <w:rtl w:val="true"/>
        </w:rPr>
        <w:t xml:space="preserve">طلاق البائن </w:t>
      </w:r>
      <w:r>
        <w:rPr>
          <w:rtl w:val="true"/>
        </w:rPr>
        <w:t>]</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الطلاق السنّی بالمعنی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للمطلّق الرجوع فیه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غیر المدخول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دخولاً یوجب الغسل فی قُبُل أو 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والیائسة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المحیض ومثلها لا تحیض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عدّة لهذه الثلاث ولا رجوع إلّافی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والمباراة ما لم ترجعا فی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رجعتا صار رجعیّاً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والمطلَّقة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رجعتین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واحدة عقیب طلقة إن کانت حرّة، وثانیة بینها وبین الاُولی رجعة إن کانت أمة</w:t>
      </w:r>
      <w:r>
        <w:rPr>
          <w:rFonts w:eastAsia="IRNazanin" w:cs="IRNazanin"/>
          <w:color w:val="111111"/>
          <w:sz w:val="28"/>
          <w:szCs w:val="28"/>
          <w:rtl w:val="true"/>
          <w:lang w:bidi="fa-IR"/>
        </w:rPr>
        <w:t>.</w:t>
      </w:r>
    </w:p>
    <w:p>
      <w:pPr>
        <w:pStyle w:val="Heading4"/>
        <w:numPr>
          <w:ilvl w:val="3"/>
          <w:numId w:val="1"/>
        </w:numPr>
        <w:rPr/>
      </w:pPr>
      <w:bookmarkStart w:id="469" w:name="__RefHeading___Toc2175605_2314609296"/>
      <w:bookmarkStart w:id="470" w:name="_Toc177"/>
      <w:bookmarkEnd w:id="469"/>
      <w:r>
        <w:rPr>
          <w:rtl w:val="true"/>
        </w:rPr>
        <w:t>[</w:t>
      </w:r>
      <w:r>
        <w:rPr>
          <w:rtl w:val="true"/>
        </w:rPr>
        <w:t>طلاق الرجعی</w:t>
      </w:r>
      <w:r>
        <w:rPr>
          <w:rtl w:val="true"/>
        </w:rPr>
        <w:t>]</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ورجعی وهو ما للمطلِّق فیه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بسبب جوازها فیه، کإطلاق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مطلق الإنسان من حیث صلاحیّته لها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2175607_2314609296"/>
      <w:bookmarkStart w:id="472" w:name="_Toc178"/>
      <w:bookmarkEnd w:id="471"/>
      <w:r>
        <w:rPr>
          <w:rtl w:val="true"/>
        </w:rPr>
        <w:t>[</w:t>
      </w:r>
      <w:r>
        <w:rPr>
          <w:rtl w:val="true"/>
        </w:rPr>
        <w:t>طلاق العدة</w:t>
      </w:r>
      <w:r>
        <w:rPr>
          <w:rtl w:val="true"/>
        </w:rPr>
        <w:t>]</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العدّة، وهو أن یطلّق علی الشرائط، ثمّ یرجع فی العدّة ویطأ، ثمّ یطلّق فی طهر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حیث الرجوع فیه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قسیماً للأوّلین یقتضی مغایرته لهما مع أ نّه أخصّ من الثانی، فإنّه من جملة أفراده، بل أظهرها حیث رجع فی العدّة، فلو جعله قسمین ثمّ قسّم الرجعی إلیه وإلی غیره کان أجود</w:t>
      </w:r>
      <w:r>
        <w:rPr>
          <w:rFonts w:eastAsia="IRNazanin" w:cs="IRNazanin"/>
          <w:color w:val="111111"/>
          <w:sz w:val="28"/>
          <w:szCs w:val="28"/>
          <w:rtl w:val="true"/>
          <w:lang w:bidi="fa-IR"/>
        </w:rPr>
        <w:t>.</w:t>
      </w:r>
    </w:p>
    <w:p>
      <w:pPr>
        <w:pStyle w:val="Heading4"/>
        <w:numPr>
          <w:ilvl w:val="3"/>
          <w:numId w:val="1"/>
        </w:numPr>
        <w:rPr/>
      </w:pPr>
      <w:bookmarkStart w:id="473" w:name="__RefHeading___Toc2175609_2314609296"/>
      <w:bookmarkStart w:id="474" w:name="_Toc179"/>
      <w:bookmarkEnd w:id="473"/>
      <w:r>
        <w:rPr>
          <w:rtl w:val="true"/>
        </w:rPr>
        <w:t>[</w:t>
      </w:r>
      <w:r>
        <w:rPr>
          <w:rtl w:val="true"/>
        </w:rPr>
        <w:t>حکم المطلقة تسعا</w:t>
      </w:r>
      <w:r>
        <w:rPr>
          <w:rtl w:val="true"/>
        </w:rPr>
        <w:t>]</w:t>
      </w:r>
      <w:bookmarkEnd w:id="47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المطلّقة للعدّة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فی التاسعة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حرّة، وقد تقدّم </w:t>
      </w:r>
      <w:r>
        <w:rPr>
          <w:rStyle w:val="FootnoteAnchor"/>
          <w:rtl w:val="true"/>
        </w:rPr>
        <w:footnoteReference w:id="1302"/>
      </w:r>
      <w:r>
        <w:rPr>
          <w:rFonts w:ascii="Amiri" w:hAnsi="Amiri" w:eastAsia="Amiri" w:cs="Amiri"/>
          <w:color w:val="111111"/>
          <w:sz w:val="28"/>
          <w:sz w:val="28"/>
          <w:szCs w:val="28"/>
          <w:rtl w:val="true"/>
          <w:lang w:bidi="ar-SA"/>
        </w:rPr>
        <w:t xml:space="preserve">أ نّها تحرم فی کلّ ثالثة حتّی تنکح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 </w:t>
      </w:r>
      <w:r>
        <w:rPr>
          <w:rFonts w:eastAsia="Amiri" w:cs="Amiri" w:ascii="Amiri" w:hAnsi="Amiri"/>
          <w:color w:val="111111"/>
          <w:sz w:val="28"/>
          <w:szCs w:val="28"/>
          <w:rtl w:val="true"/>
          <w:lang w:bidi="ar-SA"/>
        </w:rPr>
        <w:t xml:space="preserve">] </w:t>
      </w:r>
      <w:r>
        <w:rPr>
          <w:rStyle w:val="FootnoteAnchor"/>
          <w:rtl w:val="true"/>
        </w:rPr>
        <w:footnoteReference w:id="1303"/>
      </w:r>
      <w:r>
        <w:rPr>
          <w:rFonts w:ascii="IRNazanin" w:hAnsi="IRNazanin" w:eastAsia="IRNazanin"/>
          <w:color w:val="111111"/>
          <w:sz w:val="28"/>
          <w:sz w:val="28"/>
          <w:szCs w:val="28"/>
          <w:rtl w:val="true"/>
          <w:lang w:bidi="fa-IR"/>
        </w:rPr>
        <w:t>غیره،</w:t>
      </w:r>
      <w:bookmarkStart w:id="475" w:name="pg19810_214562"/>
    </w:p>
    <w:p>
      <w:pPr>
        <w:pStyle w:val="BookText"/>
        <w:rPr/>
      </w:pPr>
      <w:bookmarkEnd w:id="475"/>
      <w:r>
        <w:rPr>
          <w:rFonts w:ascii="Amiri" w:hAnsi="Amiri" w:eastAsia="Amiri" w:cs="Amiri"/>
          <w:color w:val="111111"/>
          <w:sz w:val="28"/>
          <w:sz w:val="28"/>
          <w:szCs w:val="28"/>
          <w:rtl w:val="true"/>
          <w:lang w:bidi="ar-SA"/>
        </w:rPr>
        <w:t>وأنّ المعتبر طلاقها للعدّة مرّتین من کلّ ثلاثة؛ لأنّ الثالث لا یکون عدّیّاً حیث لا رجوع فیها فیه</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175611_2314609296"/>
      <w:bookmarkStart w:id="477" w:name="_Toc180"/>
      <w:bookmarkEnd w:id="476"/>
      <w:r>
        <w:rPr>
          <w:rtl w:val="true"/>
        </w:rPr>
        <w:t>[</w:t>
      </w:r>
      <w:r>
        <w:rPr>
          <w:rtl w:val="true"/>
        </w:rPr>
        <w:t>حکم المطلقة ثلاثا</w:t>
      </w:r>
      <w:r>
        <w:rPr>
          <w:rtl w:val="true"/>
        </w:rPr>
        <w:t>]</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أقسام الطلاق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إذا رجع فیها وتجرّد عن الوطء أو بعدها بعقد جدید وإن وطئ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تحرم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ثالثة للحرّة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ثانیة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إلحاق طلاق المختلعة إذا رجع فی العدّة بعد رجوعها فی البذل، والمعقود علیها فی العدّة الرجعیّة به </w:t>
      </w:r>
      <w:r>
        <w:rPr>
          <w:rStyle w:val="FootnoteAnchor"/>
          <w:rtl w:val="true"/>
        </w:rPr>
        <w:footnoteReference w:id="1304"/>
      </w:r>
      <w:r>
        <w:rPr>
          <w:rFonts w:ascii="IRNazanin" w:hAnsi="IRNazanin" w:eastAsia="IRNazanin"/>
          <w:color w:val="111111"/>
          <w:sz w:val="28"/>
          <w:sz w:val="28"/>
          <w:szCs w:val="28"/>
          <w:rtl w:val="true"/>
          <w:lang w:bidi="fa-IR"/>
        </w:rPr>
        <w:t xml:space="preserve">قولان </w:t>
      </w:r>
      <w:r>
        <w:rPr>
          <w:rStyle w:val="FootnoteAnchor"/>
          <w:rtl w:val="true"/>
        </w:rPr>
        <w:footnoteReference w:id="1305"/>
      </w:r>
      <w:r>
        <w:rPr>
          <w:rFonts w:ascii="IRNazanin" w:hAnsi="IRNazanin" w:eastAsia="IRNazanin"/>
          <w:color w:val="111111"/>
          <w:sz w:val="28"/>
          <w:sz w:val="28"/>
          <w:szCs w:val="28"/>
          <w:rtl w:val="true"/>
          <w:lang w:bidi="fa-IR"/>
        </w:rPr>
        <w:t>منشؤهما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الأوّل من أقسام البائن، والعدّی من أقسام الرجعی، وأنّ شرطه الرجوع فی العدّة، والعقد الجدید لا یُعدّ رجوعاً؛ ومن أنّ رجوعها فی البذل صیّره رجعیّاً، وأنّ العقد فی الرجعی بمعنی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إلحاق الأوّل به دون الثانی؛ لاختلال الشرط ومنعِ إلحاق المساوی بمثله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والأفضل فی الطلاق أن یطلّق علی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فی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یترکها حتّی تخرج من العدّة، ثمّ یتزوّجها إن شاء، وعلی 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Style w:val="FootnoteAnchor"/>
          <w:rtl w:val="true"/>
        </w:rPr>
        <w:footnoteReference w:id="1306"/>
      </w:r>
      <w:r>
        <w:rPr>
          <w:rFonts w:ascii="IRNazanin" w:hAnsi="IRNazanin" w:eastAsia="IRNazanin"/>
          <w:color w:val="111111"/>
          <w:sz w:val="28"/>
          <w:sz w:val="28"/>
          <w:szCs w:val="28"/>
          <w:rtl w:val="true"/>
          <w:lang w:bidi="fa-IR"/>
        </w:rPr>
        <w:t>هو طلاق السنّة بالمعنی الأخصّ، ولا تحرم المطلّقة به مؤبّداً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أفضل للأخبار الدالّة علیه </w:t>
      </w:r>
      <w:r>
        <w:rPr>
          <w:rStyle w:val="FootnoteAnchor"/>
          <w:rtl w:val="true"/>
        </w:rPr>
        <w:footnoteReference w:id="1307"/>
      </w:r>
      <w:r>
        <w:rPr>
          <w:rFonts w:ascii="IRNazanin" w:hAnsi="IRNazanin" w:eastAsia="IRNazanin"/>
          <w:color w:val="111111"/>
          <w:sz w:val="28"/>
          <w:sz w:val="28"/>
          <w:szCs w:val="28"/>
          <w:rtl w:val="true"/>
          <w:lang w:bidi="fa-IR"/>
        </w:rPr>
        <w:t>وإنّما یکون أفضل حیث تشترک أفراده فی أصل الأفضلیّة وجوباً</w:t>
      </w:r>
    </w:p>
    <w:p>
      <w:pPr>
        <w:pStyle w:val="BookText"/>
        <w:rPr/>
      </w:pPr>
      <w:r>
        <w:rPr>
          <w:rFonts w:ascii="IRNazanin" w:hAnsi="IRNazanin" w:eastAsia="IRNazanin"/>
          <w:color w:val="111111"/>
          <w:sz w:val="28"/>
          <w:sz w:val="28"/>
          <w:szCs w:val="28"/>
          <w:rtl w:val="true"/>
          <w:lang w:bidi="fa-IR"/>
        </w:rPr>
        <w:t>أو ندباً؛ لاقتضاء أفعل التفضیل الاشتراک فی أصل المصدر، وما یکون مکروهاً أو حراماً لا فضیلة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عبد اللّٰه 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الطلاق لا یحتاج إلی محلّل بعد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استیفاء العدّة الثالثة یهدم التحریم استناداً إلی روایة أسندها إلی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الذی یحبّه اللّٰه تعالی والذی یطلّق الفقیه وهو العدل بین المرأة والرجل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یطلّقها فی استقبال الطهر، بشهادة شاهدین وإرادة من القلب، ثمّ یترکها حتّی تمضی ثلاثة قروء، فإذا رأت الدم فی أوّل قطرة من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آخر القرء؛ لأنّ الأقراء هی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بانت منه وهی أملک بنفسها، فإن شاءت تزوّجته وحلّت له، فإن فعل هذا بها مئة مرّة هدم ما قبله وحلّت له بلا زوج</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الحدیث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کان ذلک قول عبد اللّٰه؛ لأنّه قال حین سئل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رزق اللّٰه من الرأی</w:t>
      </w:r>
      <w:r>
        <w:rPr>
          <w:rFonts w:eastAsia="Amiri" w:cs="Amiri" w:ascii="Amiri" w:hAnsi="Amiri"/>
          <w:color w:val="111111"/>
          <w:sz w:val="28"/>
          <w:szCs w:val="28"/>
          <w:rtl w:val="true"/>
          <w:lang w:bidi="ar-SA"/>
        </w:rPr>
        <w:t xml:space="preserve">» </w:t>
      </w:r>
      <w:r>
        <w:rPr>
          <w:rStyle w:val="FootnoteAnchor"/>
          <w:rtl w:val="true"/>
        </w:rPr>
        <w:footnoteReference w:id="1309"/>
      </w:r>
      <w:r>
        <w:rPr>
          <w:rFonts w:ascii="IRNazanin" w:hAnsi="IRNazanin" w:eastAsia="IRNazanin"/>
          <w:color w:val="111111"/>
          <w:sz w:val="28"/>
          <w:sz w:val="28"/>
          <w:szCs w:val="28"/>
          <w:rtl w:val="true"/>
          <w:lang w:bidi="fa-IR"/>
        </w:rPr>
        <w:t>ومع ذلک رواه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العصابة أجمعت علی تصحیح ما یصحّ عن عبد اللّٰه بن بکیر، وأقرّوا له بالفقه والثقة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لأنّه فطحیّ المذهب، ولو کان ما رواه حقّاً لما جعله رأیاً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فقد اختلف سند الروایة عنه، فتارة أسندها إلی رفاعة </w:t>
      </w:r>
      <w:r>
        <w:rPr>
          <w:rStyle w:val="FootnoteAnchor"/>
          <w:rtl w:val="true"/>
        </w:rPr>
        <w:footnoteReference w:id="1311"/>
      </w:r>
      <w:r>
        <w:rPr>
          <w:rFonts w:ascii="IRNazanin" w:hAnsi="IRNazanin" w:eastAsia="IRNazanin"/>
          <w:color w:val="111111"/>
          <w:sz w:val="28"/>
          <w:sz w:val="28"/>
          <w:szCs w:val="28"/>
          <w:rtl w:val="true"/>
          <w:lang w:bidi="fa-IR"/>
        </w:rPr>
        <w:t>واُخری إلی زرارة، ومع ذلک نسبه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الشیخ رحمه الله مع دعواه الإجماع المذکور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إسناده إلی زرارة وقع نصرة لمذهبه الذی أفتی به، لما رأی أنّ أصحابه</w:t>
      </w:r>
    </w:p>
    <w:p>
      <w:pPr>
        <w:pStyle w:val="BookText"/>
        <w:rPr/>
      </w:pPr>
      <w:r>
        <w:rPr>
          <w:rFonts w:ascii="IRNazanin" w:hAnsi="IRNazanin" w:eastAsia="IRNazanin"/>
          <w:color w:val="111111"/>
          <w:sz w:val="28"/>
          <w:sz w:val="28"/>
          <w:szCs w:val="28"/>
          <w:rtl w:val="true"/>
          <w:lang w:bidi="fa-IR"/>
        </w:rPr>
        <w:t>لا یقبلون ما یقوله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منه من العدول عن اعتقاد مذهب الحقّ إلی الفطحیّة ما هو معروف، والغلط فی ذلک أعظم من الغلط فی إسناد فُتیاً یعتقد صحّته لشبهة دخلت علیه إلی بعض أصحاب الأئمّة علیهم السلام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والأصحّ احتیاجه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المحلّل؛ للأخبار الصحیحة الدالّة علیه </w:t>
      </w:r>
      <w:r>
        <w:rPr>
          <w:rStyle w:val="FootnoteAnchor"/>
          <w:rtl w:val="true"/>
        </w:rPr>
        <w:footnoteReference w:id="1313"/>
      </w:r>
      <w:r>
        <w:rPr>
          <w:rFonts w:ascii="IRNazanin" w:hAnsi="IRNazanin" w:eastAsia="IRNazanin"/>
          <w:color w:val="111111"/>
          <w:sz w:val="28"/>
          <w:sz w:val="28"/>
          <w:szCs w:val="28"/>
          <w:rtl w:val="true"/>
          <w:lang w:bidi="fa-IR"/>
        </w:rPr>
        <w:t xml:space="preserve">وعموم القرآن الکریم </w:t>
      </w:r>
      <w:r>
        <w:rPr>
          <w:rStyle w:val="FootnoteAnchor"/>
          <w:rtl w:val="true"/>
        </w:rPr>
        <w:footnoteReference w:id="1314"/>
      </w:r>
      <w:r>
        <w:rPr>
          <w:rFonts w:ascii="IRNazanin" w:hAnsi="IRNazanin" w:eastAsia="IRNazanin"/>
          <w:color w:val="111111"/>
          <w:sz w:val="28"/>
          <w:sz w:val="28"/>
          <w:szCs w:val="28"/>
          <w:rtl w:val="true"/>
          <w:lang w:bidi="fa-IR"/>
        </w:rPr>
        <w:t xml:space="preserve">بل لا یکاد یتحقّق فی ذلک خلاف؛ لأنّه لم یذهب إلی القول الأوّل أحد من الأصحاب علی ما ذکره جماعة </w:t>
      </w:r>
      <w:r>
        <w:rPr>
          <w:rStyle w:val="FootnoteAnchor"/>
          <w:rtl w:val="true"/>
        </w:rPr>
        <w:footnoteReference w:id="1315"/>
      </w:r>
      <w:r>
        <w:rPr>
          <w:rFonts w:ascii="IRNazanin" w:hAnsi="IRNazanin" w:eastAsia="IRNazanin"/>
          <w:color w:val="111111"/>
          <w:sz w:val="28"/>
          <w:sz w:val="28"/>
          <w:szCs w:val="28"/>
          <w:rtl w:val="true"/>
          <w:lang w:bidi="fa-IR"/>
        </w:rPr>
        <w:t>وعبد اللّٰه بن بکیر لیس من أصحابنا الإمامیّة، ونسبة المصنّف له إلی أصحابنا التفاتاً إلی أ نّه من الشیعة فی الجملة، بل من فقهائهم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نقلناه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إمامیّاً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ترک حکایة قوله فی هذا المختصر أولی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طلاق الحامل أزید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1316"/>
      </w:r>
      <w:r>
        <w:rPr>
          <w:rFonts w:ascii="IRNazanin" w:hAnsi="IRNazanin" w:eastAsia="IRNazanin"/>
          <w:color w:val="111111"/>
          <w:sz w:val="28"/>
          <w:sz w:val="28"/>
          <w:szCs w:val="28"/>
          <w:rtl w:val="true"/>
          <w:lang w:bidi="fa-IR"/>
        </w:rPr>
        <w:t xml:space="preserve">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طلاق عدّة إن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الرجعة ثمّ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یطأ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فسُنّة بمعناه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طلاق السنّة بالمعنی الأخصّ فلا یقع بها؛ لأنّه مشروط بانقضاء العدّة ثمّ تزویجها ثانیاً کما سبق </w:t>
      </w:r>
      <w:r>
        <w:rPr>
          <w:rStyle w:val="FootnoteAnchor"/>
          <w:rtl w:val="true"/>
        </w:rPr>
        <w:footnoteReference w:id="1317"/>
      </w:r>
      <w:r>
        <w:rPr>
          <w:rFonts w:ascii="IRNazanin" w:hAnsi="IRNazanin" w:eastAsia="IRNazanin"/>
          <w:color w:val="111111"/>
          <w:sz w:val="28"/>
          <w:sz w:val="28"/>
          <w:szCs w:val="28"/>
          <w:rtl w:val="true"/>
          <w:lang w:bidi="fa-IR"/>
        </w:rPr>
        <w:t>وعدّة الحامل لا تنقضی إلّابالوضع،</w:t>
      </w:r>
    </w:p>
    <w:p>
      <w:pPr>
        <w:pStyle w:val="BookText"/>
        <w:rPr/>
      </w:pPr>
      <w:r>
        <w:rPr>
          <w:rFonts w:ascii="IRNazanin" w:hAnsi="IRNazanin" w:eastAsia="IRNazanin"/>
          <w:color w:val="111111"/>
          <w:sz w:val="28"/>
          <w:sz w:val="28"/>
          <w:szCs w:val="28"/>
          <w:rtl w:val="true"/>
          <w:lang w:bidi="fa-IR"/>
        </w:rPr>
        <w:t>وبه تخرج عن کونها حاملاً، فلا یصدق أ نّها طُلّقت طلاقَ السُنّة بالمعنی الأخصّ ما دامت حاملاً، إلّاأن یُجعل وضعها قبل الرجعة کاشفاً عن کون طلاقها السابق طلاق سُنّة بذلک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والأقوال هنا مختلفة </w:t>
      </w:r>
      <w:r>
        <w:rPr>
          <w:rStyle w:val="FootnoteAnchor"/>
          <w:rtl w:val="true"/>
        </w:rPr>
        <w:footnoteReference w:id="1318"/>
      </w:r>
      <w:r>
        <w:rPr>
          <w:rFonts w:ascii="IRNazanin" w:hAnsi="IRNazanin" w:eastAsia="IRNazanin"/>
          <w:color w:val="111111"/>
          <w:sz w:val="28"/>
          <w:sz w:val="28"/>
          <w:szCs w:val="28"/>
          <w:rtl w:val="true"/>
          <w:lang w:bidi="fa-IR"/>
        </w:rPr>
        <w:t xml:space="preserve">کالأخبار </w:t>
      </w:r>
      <w:r>
        <w:rPr>
          <w:rStyle w:val="FootnoteAnchor"/>
          <w:rtl w:val="true"/>
        </w:rPr>
        <w:footnoteReference w:id="1319"/>
      </w:r>
      <w:r>
        <w:rPr>
          <w:rFonts w:ascii="Amiri" w:hAnsi="Amiri" w:eastAsia="Amiri" w:cs="Amiri"/>
          <w:color w:val="111111"/>
          <w:sz w:val="28"/>
          <w:sz w:val="28"/>
          <w:szCs w:val="28"/>
          <w:rtl w:val="true"/>
          <w:lang w:bidi="ar-SA"/>
        </w:rPr>
        <w:t>والمحصَّل ما ذکرناه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والأولی تفریق الطَلَقات علی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یوقع کلّ طلقة فی طهر غیر طهر الطلقة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ویراجع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مرّة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الأولویّة بالإضافة إلی ما یأتی بعده، وإلّا فهو موضع الخلاف وإن</w:t>
      </w:r>
    </w:p>
    <w:p>
      <w:pPr>
        <w:pStyle w:val="BookText"/>
        <w:rPr/>
      </w:pPr>
      <w:r>
        <w:rPr>
          <w:rFonts w:ascii="IRNazanin" w:hAnsi="IRNazanin" w:eastAsia="IRNazanin"/>
          <w:color w:val="111111"/>
          <w:sz w:val="28"/>
          <w:sz w:val="28"/>
          <w:szCs w:val="28"/>
          <w:rtl w:val="true"/>
          <w:lang w:bidi="fa-IR"/>
        </w:rPr>
        <w:t xml:space="preserve">کان أصحّ الروایتین </w:t>
      </w:r>
      <w:r>
        <w:rPr>
          <w:rStyle w:val="FootnoteAnchor"/>
          <w:rtl w:val="true"/>
        </w:rPr>
        <w:footnoteReference w:id="1320"/>
      </w:r>
      <w:r>
        <w:rPr>
          <w:rFonts w:ascii="IRNazanin" w:hAnsi="IRNazanin" w:eastAsia="IRNazanin"/>
          <w:color w:val="111111"/>
          <w:sz w:val="28"/>
          <w:sz w:val="28"/>
          <w:szCs w:val="28"/>
          <w:rtl w:val="true"/>
          <w:lang w:bidi="fa-IR"/>
        </w:rPr>
        <w:t>صحّته، وإنّما الأولی المُخرج من الخلاف أن یراجع ویطأ ثمّ یُطلّق فی طهر آخر، فإنّ الطلاق هنا یقع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طلّق مرّات فی طهر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یُطلّق ویراجع، ثمّ یطلّق ویراجع،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فخلاف أقربه الوقوع مع تخلّل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کلّ طلاقین؛ لعموم القرآن </w:t>
      </w:r>
      <w:r>
        <w:rPr>
          <w:rStyle w:val="FootnoteAnchor"/>
          <w:rtl w:val="true"/>
        </w:rPr>
        <w:footnoteReference w:id="1321"/>
      </w:r>
      <w:r>
        <w:rPr>
          <w:rFonts w:ascii="IRNazanin" w:hAnsi="IRNazanin" w:eastAsia="IRNazanin"/>
          <w:color w:val="111111"/>
          <w:sz w:val="28"/>
          <w:sz w:val="28"/>
          <w:szCs w:val="28"/>
          <w:rtl w:val="true"/>
          <w:lang w:bidi="fa-IR"/>
        </w:rPr>
        <w:t xml:space="preserve">والأخبار الصحیحة </w:t>
      </w:r>
      <w:r>
        <w:rPr>
          <w:rStyle w:val="FootnoteAnchor"/>
          <w:rtl w:val="true"/>
        </w:rPr>
        <w:footnoteReference w:id="1322"/>
      </w:r>
      <w:r>
        <w:rPr>
          <w:rFonts w:ascii="IRNazanin" w:hAnsi="IRNazanin" w:eastAsia="IRNazanin"/>
          <w:color w:val="111111"/>
          <w:sz w:val="28"/>
          <w:sz w:val="28"/>
          <w:szCs w:val="28"/>
          <w:rtl w:val="true"/>
          <w:lang w:bidi="fa-IR"/>
        </w:rPr>
        <w:t>بصحّة الطلاق لمن أراده فی الجملة، إلّاما أخرجه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إسحاق بن عمّار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ثمّ راجعها بشهود، ثمّ طلّقها بشهود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راجعها بشهود، ثمّ طلّقها بشهود </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تبین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فی طهر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منه</w:t>
      </w:r>
      <w:r>
        <w:rPr>
          <w:rFonts w:eastAsia="IRNazanin" w:cs="IRNazanin"/>
          <w:color w:val="111111"/>
          <w:sz w:val="28"/>
          <w:szCs w:val="28"/>
          <w:rtl w:val="true"/>
          <w:lang w:bidi="fa-IR"/>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من الموثّق، ولا معارض لها إلّاروایة عبد الرحمن بن الحجّاج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یطلّق امرأته، له أن 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یطلّق الطلقة الاُخری حتّی یمسّها</w:t>
      </w:r>
      <w:r>
        <w:rPr>
          <w:rFonts w:eastAsia="IRNazanin" w:cs="IRNazanin"/>
          <w:color w:val="111111"/>
          <w:sz w:val="28"/>
          <w:szCs w:val="28"/>
          <w:rtl w:val="true"/>
          <w:lang w:bidi="fa-IR"/>
        </w:rPr>
        <w:t xml:space="preserve">» </w:t>
      </w:r>
      <w:r>
        <w:rPr>
          <w:rStyle w:val="FootnoteAnchor"/>
          <w:rtl w:val="true"/>
        </w:rPr>
        <w:footnoteReference w:id="1325"/>
      </w:r>
      <w:r>
        <w:rPr>
          <w:rFonts w:ascii="Amiri" w:hAnsi="Amiri" w:eastAsia="Amiri" w:cs="Amiri"/>
          <w:color w:val="111111"/>
          <w:sz w:val="28"/>
          <w:sz w:val="28"/>
          <w:szCs w:val="28"/>
          <w:rtl w:val="true"/>
          <w:lang w:bidi="ar-SA"/>
        </w:rPr>
        <w:t>وهی لا تدلّ علی بطلانه؛ نظراً إلی أنّ</w:t>
      </w:r>
    </w:p>
    <w:p>
      <w:pPr>
        <w:pStyle w:val="BookText"/>
        <w:rPr/>
      </w:pPr>
      <w:r>
        <w:rPr>
          <w:rFonts w:ascii="IRNazanin" w:hAnsi="IRNazanin" w:eastAsia="IRNazanin"/>
          <w:color w:val="111111"/>
          <w:sz w:val="28"/>
          <w:sz w:val="28"/>
          <w:szCs w:val="28"/>
          <w:rtl w:val="true"/>
          <w:lang w:bidi="fa-IR"/>
        </w:rPr>
        <w:t>النهی فی غیر العبادة لا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الرجعة بعد الطلقة تجعلها بمنزلة المعدومة بالنسبة إلی اعتبار حالها قبل الطلاق وإن بقی لها أثر فی الجملة کعدّها من الثلاث، فیبقی حکم الزوجیّة بعدها کما کان قبلها، فإذا کانت مدخولاً بها قبل الطلاق ثمّ طلّقها وراجع ثمّ طلّق، یکون طلاقها طلاق مدخول بها، لا طلاق غیر مدخول بها؛ نظراً إلی أنّ الرجعة بمنزلة التزویج الجدید فیکون طلاقها بعده واقعاً علی غیر مدخول بها؛ لما عرفت من أنّ الرجعة أسقطت حکم الطلاق، ولولا ذلک </w:t>
      </w:r>
      <w:r>
        <w:rPr>
          <w:rStyle w:val="FootnoteAnchor"/>
          <w:rtl w:val="true"/>
        </w:rPr>
        <w:footnoteReference w:id="1326"/>
      </w:r>
      <w:r>
        <w:rPr>
          <w:rFonts w:ascii="IRNazanin" w:hAnsi="IRNazanin" w:eastAsia="IRNazanin"/>
          <w:color w:val="111111"/>
          <w:sz w:val="28"/>
          <w:sz w:val="28"/>
          <w:szCs w:val="28"/>
          <w:rtl w:val="true"/>
          <w:lang w:bidi="fa-IR"/>
        </w:rPr>
        <w:t xml:space="preserve">لم یمکن الطلاق ثلاثاً وإن فرّق الطلقات علی الأطهار من غیر دخول والروایات الصحیحة </w:t>
      </w:r>
      <w:r>
        <w:rPr>
          <w:rStyle w:val="FootnoteAnchor"/>
          <w:rtl w:val="true"/>
        </w:rPr>
        <w:footnoteReference w:id="1327"/>
      </w:r>
      <w:r>
        <w:rPr>
          <w:rFonts w:ascii="IRNazanin" w:hAnsi="IRNazanin" w:eastAsia="IRNazanin"/>
          <w:color w:val="111111"/>
          <w:sz w:val="28"/>
          <w:sz w:val="28"/>
          <w:szCs w:val="28"/>
          <w:rtl w:val="true"/>
          <w:lang w:bidi="fa-IR"/>
        </w:rPr>
        <w:t xml:space="preserve">ناطقة بصحّتها حینئذٍ، وکذا فتوی الأصحاب </w:t>
      </w:r>
      <w:r>
        <w:rPr>
          <w:rStyle w:val="FootnoteAnchor"/>
          <w:rtl w:val="true"/>
        </w:rPr>
        <w:footnoteReference w:id="1328"/>
      </w:r>
      <w:r>
        <w:rPr>
          <w:rFonts w:ascii="Amiri" w:hAnsi="Amiri" w:eastAsia="Amiri" w:cs="Amiri"/>
          <w:color w:val="111111"/>
          <w:sz w:val="28"/>
          <w:sz w:val="28"/>
          <w:szCs w:val="28"/>
          <w:rtl w:val="true"/>
          <w:lang w:bidi="ar-SA"/>
        </w:rPr>
        <w:t xml:space="preserve">إلّامن شذّ </w:t>
      </w:r>
      <w:r>
        <w:rPr>
          <w:rStyle w:val="FootnoteAnchor"/>
          <w:rtl w:val="true"/>
        </w:rPr>
        <w:footnoteReference w:id="1329"/>
      </w:r>
      <w:r>
        <w:rPr>
          <w:rFonts w:ascii="IRNazanin" w:hAnsi="IRNazanin" w:eastAsia="IRNazanin"/>
          <w:color w:val="111111"/>
          <w:sz w:val="28"/>
          <w:sz w:val="28"/>
          <w:szCs w:val="28"/>
          <w:rtl w:val="true"/>
          <w:lang w:bidi="fa-IR"/>
        </w:rPr>
        <w:t>وحینئذٍ فیکون الطلاق الثانی رجعیّاً لا بائناً، وإن وقع بغیر مدخول بها بالنسبة إلی ما بعد الرجعة، فإنّها مدخول بها قبلها، وهو کافٍ</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إلی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w:t>
      </w:r>
      <w:r>
        <w:rPr>
          <w:rStyle w:val="FootnoteAnchor"/>
          <w:rtl w:val="true"/>
        </w:rPr>
        <w:footnoteReference w:id="1330"/>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ومخالفة من سبق ذکره </w:t>
      </w:r>
      <w:r>
        <w:rPr>
          <w:rStyle w:val="FootnoteAnchor"/>
          <w:rtl w:val="true"/>
        </w:rPr>
        <w:footnoteReference w:id="1331"/>
      </w:r>
      <w:r>
        <w:rPr>
          <w:rFonts w:ascii="IRNazanin" w:hAnsi="IRNazanin" w:eastAsia="IRNazanin"/>
          <w:color w:val="111111"/>
          <w:sz w:val="28"/>
          <w:sz w:val="28"/>
          <w:szCs w:val="28"/>
          <w:rtl w:val="true"/>
          <w:lang w:bidi="fa-IR"/>
        </w:rPr>
        <w:t>فی بعض موارده</w:t>
      </w:r>
    </w:p>
    <w:p>
      <w:pPr>
        <w:pStyle w:val="BookText"/>
        <w:rPr/>
      </w:pPr>
      <w:r>
        <w:rPr>
          <w:rFonts w:ascii="IRNazanin" w:hAnsi="IRNazanin" w:eastAsia="IRNazanin"/>
          <w:color w:val="111111"/>
          <w:sz w:val="28"/>
          <w:sz w:val="28"/>
          <w:szCs w:val="28"/>
          <w:rtl w:val="true"/>
          <w:lang w:bidi="fa-IR"/>
        </w:rPr>
        <w:t>غیر قادح فیه بوجه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یلزم الطلاق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لتندفع الشبهة الناشئة من احتمال وقوعه، بل تبقی علی حکم الزوجیّة؛ لأصالة عدمه وبقاء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الوَرَع فی ذلک، فیراجع إن کان الشکّ فی طلاق رجعیّ لیکون علی یقینٍ من الحلّ، أو فی البائن بدون ثلاث جدّد النکاح، أو بثلاث أمسک عنها وطلّقها ثلاثاً لتحلّ لغیره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یُبنی علی الأقلّ لو شُکّ فی عدده، والوَرَع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الطلاق المریض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للمریض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عنه فی </w:t>
      </w:r>
      <w:r>
        <w:rPr>
          <w:rStyle w:val="FootnoteAnchor"/>
          <w:rtl w:val="true"/>
        </w:rPr>
        <w:footnoteReference w:id="1332"/>
      </w:r>
      <w:r>
        <w:rPr>
          <w:rFonts w:ascii="IRNazanin" w:hAnsi="IRNazanin" w:eastAsia="IRNazanin"/>
          <w:color w:val="111111"/>
          <w:sz w:val="28"/>
          <w:sz w:val="28"/>
          <w:szCs w:val="28"/>
          <w:rtl w:val="true"/>
          <w:lang w:bidi="fa-IR"/>
        </w:rPr>
        <w:t xml:space="preserve">الأخبار </w:t>
      </w:r>
      <w:r>
        <w:rPr>
          <w:rStyle w:val="FootnoteAnchor"/>
          <w:rtl w:val="true"/>
        </w:rPr>
        <w:footnoteReference w:id="1333"/>
      </w:r>
      <w:r>
        <w:rPr>
          <w:rFonts w:ascii="IRNazanin" w:hAnsi="IRNazanin" w:eastAsia="IRNazanin"/>
          <w:color w:val="111111"/>
          <w:sz w:val="28"/>
          <w:sz w:val="28"/>
          <w:szCs w:val="28"/>
          <w:rtl w:val="true"/>
          <w:lang w:bidi="fa-IR"/>
        </w:rPr>
        <w:t xml:space="preserve">المحمولة علی الکراهة جمعاً بینها وبین ما دلّ علی وقوعه صریحاً </w:t>
      </w:r>
      <w:r>
        <w:rPr>
          <w:rStyle w:val="FootnoteAnchor"/>
          <w:rtl w:val="true"/>
        </w:rPr>
        <w:footnoteReference w:id="1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توارثا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الجانبین کغیره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البائن والرجعی إلی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الطلاق؛ للنصّ </w:t>
      </w:r>
      <w:r>
        <w:rPr>
          <w:rStyle w:val="FootnoteAnchor"/>
          <w:rtl w:val="true"/>
        </w:rPr>
        <w:footnoteReference w:id="1335"/>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عُلّل بالتُهمَة بإرادة إسقاط إرثها، فیؤاخذ بنقیض مطلوبه </w:t>
      </w:r>
      <w:r>
        <w:rPr>
          <w:rStyle w:val="FootnoteAnchor"/>
          <w:rtl w:val="true"/>
        </w:rPr>
        <w:footnoteReference w:id="1336"/>
      </w:r>
      <w:r>
        <w:rPr>
          <w:rFonts w:ascii="IRNazanin" w:hAnsi="IRNazanin" w:eastAsia="IRNazanin"/>
          <w:color w:val="111111"/>
          <w:sz w:val="28"/>
          <w:sz w:val="28"/>
          <w:szCs w:val="28"/>
          <w:rtl w:val="true"/>
          <w:lang w:bidi="fa-IR"/>
        </w:rPr>
        <w:t>وهو لا یتمّ حیث تسأله الطلاق أو تخالعه أو تبارئه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عموم الحکم؛ لإطلاق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یبرأ من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فینتفی إرثها بعد العدّة الرجعیّة وإن مات فی أثناء السنة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هذا لو طلّق أربعاً فی مرضه ثمّ تزوّج أربعاً ودخل بهنّ ومات فی</w:t>
      </w:r>
      <w:bookmarkStart w:id="478" w:name="pg19810_214569"/>
    </w:p>
    <w:p>
      <w:pPr>
        <w:pStyle w:val="BookText"/>
        <w:rPr/>
      </w:pPr>
      <w:bookmarkEnd w:id="478"/>
      <w:r>
        <w:rPr>
          <w:rFonts w:ascii="IRNazanin" w:hAnsi="IRNazanin" w:eastAsia="IRNazanin"/>
          <w:color w:val="111111"/>
          <w:sz w:val="28"/>
          <w:sz w:val="28"/>
          <w:szCs w:val="28"/>
          <w:rtl w:val="true"/>
          <w:lang w:bidi="fa-IR"/>
        </w:rPr>
        <w:t>السنة مریضاً قبل أن تتزوّج المطلّقات، ورث الثمان الثمن أو الربع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یرث أزید من أربع زوجات اتّفاقاً </w:t>
      </w:r>
      <w:r>
        <w:rPr>
          <w:rStyle w:val="FootnoteAnchor"/>
          <w:rtl w:val="true"/>
        </w:rPr>
        <w:footnoteReference w:id="1337"/>
      </w:r>
      <w:r>
        <w:rPr>
          <w:rFonts w:ascii="IRNazanin" w:hAnsi="IRNazanin" w:eastAsia="IRNazanin"/>
          <w:color w:val="111111"/>
          <w:sz w:val="28"/>
          <w:sz w:val="28"/>
          <w:szCs w:val="28"/>
          <w:rtl w:val="true"/>
          <w:lang w:bidi="fa-IR"/>
        </w:rPr>
        <w:t>إلّاهنا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یلحق الفسخ فی المرض بالطلاق، عملاً بالأصل</w:t>
      </w:r>
      <w:r>
        <w:rPr>
          <w:rFonts w:eastAsia="IRNazanin" w:cs="IRNazanin"/>
          <w:color w:val="111111"/>
          <w:sz w:val="28"/>
          <w:szCs w:val="28"/>
          <w:rtl w:val="true"/>
          <w:lang w:bidi="fa-IR"/>
        </w:rPr>
        <w:t>.</w:t>
      </w:r>
    </w:p>
    <w:p>
      <w:pPr>
        <w:pStyle w:val="Heading4"/>
        <w:numPr>
          <w:ilvl w:val="3"/>
          <w:numId w:val="1"/>
        </w:numPr>
        <w:rPr/>
      </w:pPr>
      <w:bookmarkStart w:id="479" w:name="__RefHeading___Toc2175613_2314609296"/>
      <w:bookmarkStart w:id="480" w:name="_Toc181"/>
      <w:bookmarkEnd w:id="479"/>
      <w:r>
        <w:rPr>
          <w:rtl w:val="true"/>
        </w:rPr>
        <w:t>[</w:t>
      </w:r>
      <w:r>
        <w:rPr>
          <w:rtl w:val="true"/>
        </w:rPr>
        <w:t>الرجعة</w:t>
      </w:r>
      <w:r>
        <w:rPr>
          <w:rtl w:val="true"/>
        </w:rPr>
        <w:t>]</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والرجعة تکون بالقول، مثل رجعت وارتجعت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بضمیرها،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رجعتک وارتجعتک، ومثله راجعتک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الثلاثة صریحة، وینبغی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نکاحی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رددتک وأمسکتک؛ لورودهما فی القرآن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بُعُولَتُهُنَّ أَحَقُّ بِرَدِّهِنَّ فِی ذٰلِکَ </w:t>
      </w:r>
      <w:r>
        <w:rPr>
          <w:rStyle w:val="FootnoteAnchor"/>
          <w:rtl w:val="true"/>
        </w:rPr>
        <w:footnoteReference w:id="1338"/>
      </w:r>
      <w:r>
        <w:rPr>
          <w:rFonts w:ascii="Amiri" w:hAnsi="Amiri" w:eastAsia="Amiri" w:cs="Amiri"/>
          <w:color w:val="111111"/>
          <w:sz w:val="28"/>
          <w:sz w:val="28"/>
          <w:szCs w:val="28"/>
          <w:rtl w:val="true"/>
          <w:lang w:bidi="ar-SA"/>
        </w:rPr>
        <w:t>فَإِمْسٰاکٌ بِمَعْرُوفٍ</w:t>
      </w:r>
      <w:r>
        <w:rPr>
          <w:rFonts w:eastAsia="Amiri" w:cs="Amiri" w:ascii="Amiri" w:hAnsi="Amiri"/>
          <w:color w:val="111111"/>
          <w:sz w:val="28"/>
          <w:szCs w:val="28"/>
          <w:rtl w:val="true"/>
          <w:lang w:bidi="ar-SA"/>
        </w:rPr>
        <w:t xml:space="preserve">) </w:t>
      </w:r>
      <w:r>
        <w:rPr>
          <w:rStyle w:val="FootnoteAnchor"/>
          <w:rtl w:val="true"/>
        </w:rPr>
        <w:footnoteReference w:id="1339"/>
      </w:r>
      <w:r>
        <w:rPr>
          <w:rFonts w:ascii="IRNazanin" w:hAnsi="IRNazanin" w:eastAsia="IRNazanin"/>
          <w:color w:val="111111"/>
          <w:sz w:val="28"/>
          <w:sz w:val="28"/>
          <w:szCs w:val="28"/>
          <w:rtl w:val="true"/>
          <w:lang w:bidi="fa-IR"/>
        </w:rPr>
        <w:t>ولا یفتقر إلی نیّة الرجعة؛ لصراحة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یفتقر إلیها فی الأخیرین </w:t>
      </w:r>
      <w:r>
        <w:rPr>
          <w:rStyle w:val="FootnoteAnchor"/>
          <w:rtl w:val="true"/>
        </w:rPr>
        <w:footnoteReference w:id="1340"/>
      </w:r>
      <w:r>
        <w:rPr>
          <w:rFonts w:ascii="IRNazanin" w:hAnsi="IRNazanin" w:eastAsia="IRNazanin"/>
          <w:color w:val="111111"/>
          <w:sz w:val="28"/>
          <w:sz w:val="28"/>
          <w:szCs w:val="28"/>
          <w:rtl w:val="true"/>
          <w:lang w:bidi="fa-IR"/>
        </w:rPr>
        <w:t>لاحتمالهما غیرها کالإمساک بالید أو فی البیت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وبالفعل کالوطء والتقبیل واللمس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 علی الرجعة کالقول، وربما کان أقوی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تتوقّف إباحته علی تقدّم رجعة؛ لأنّها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تقییده بقصد الرجوع به أو بعدم قصد غیره؛ لأنّه أعمّ خصوصاً لو وقع منه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اعتبار الأوّل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وإنکار الطلاق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 علی ارتفاعه فی الأزمنة الثلاثة ودلالةِ الرجعة علی رفعه فی غیر الماضی، فیکون أقوی، أو دلالته علیها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فیه کون الرجعة من توابع الطلاق فتنتفی حیث ینتفی المتبوع؛ لأنّ</w:t>
      </w:r>
    </w:p>
    <w:p>
      <w:pPr>
        <w:pStyle w:val="BookText"/>
        <w:rPr/>
      </w:pPr>
      <w:r>
        <w:rPr>
          <w:rFonts w:ascii="IRNazanin" w:hAnsi="IRNazanin" w:eastAsia="IRNazanin"/>
          <w:color w:val="111111"/>
          <w:sz w:val="28"/>
          <w:sz w:val="28"/>
          <w:szCs w:val="28"/>
          <w:rtl w:val="true"/>
          <w:lang w:bidi="fa-IR"/>
        </w:rPr>
        <w:t>غایتها التزام ثبوت النکاح والإنکار یدلّ علیه، فیحصل المطلوب منها وإن أنکر سبب شرعیّتها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طلّق الذمّیّة جاز مراجعتها ولو منعنا من ابتداء نکاحها دواماً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الرجعة ترفع حکم الطلاق ویستصحب حکم الزوجیّة السابقة </w:t>
      </w:r>
      <w:r>
        <w:rPr>
          <w:rStyle w:val="FootnoteAnchor"/>
          <w:rtl w:val="true"/>
        </w:rPr>
        <w:footnoteReference w:id="1341"/>
      </w:r>
      <w:r>
        <w:rPr>
          <w:rFonts w:ascii="IRNazanin" w:hAnsi="IRNazanin" w:eastAsia="IRNazanin"/>
          <w:color w:val="111111"/>
          <w:sz w:val="28"/>
          <w:sz w:val="28"/>
          <w:szCs w:val="28"/>
          <w:rtl w:val="true"/>
          <w:lang w:bidi="fa-IR"/>
        </w:rPr>
        <w:t>لا أ نّها تحدث حکم نکاح جدید، ومن ثَمّ أمکن طلاقها ثلاثاً قبل الدخول بعدها استصحاباً لحکم الدخول السابق، ولأنّ الرجعیّة زوجة، ولهذا یثبت لها أحکام الزوجیّة، ولجواز وطئه ابتداءً من غیر تلفّظ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یُخیّل المنع هنا من حیث إنّ الطلاق أزال قید النکاح والرجعة تقتضی ثبوته، فإمّا أن یثبت بالرجعة عین النکاح الأوّل أو غیره، والأوّل محال؛ لاستحالة إعادة المعدوم، والثانی یکون ابتداءً لا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بمنع زوال النکاح أصلاً، بل إنّما یزول بالطلاق وانقضاء العدّة، ولم یحصل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أنکرت الدخول عقیب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لتمنعه من الرجعة قُدّم قولها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الدخول، کما یُقدّم قوله لو أنکره لیُسقط عنه نصف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دعواه الدخول یکون مُقرّاً بالمهر وهی مقرّة علی نفسها بسقوط نصفه، فإن کانت قبضته فلا رجوع له بشیء عملاً بإقراره، وإلّا فلا تطالبه إلّابنصفه عملاً بإنکارها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رجعت إلی الإقرار بالدخول لتأخذ النصف، ففی ثبوته لها أو توقّفه علی إقرار جدید منه، وجهان، وأولی بالعدم لو کان رجوعها بعد انقضاء العدّة علی تقدیر الدخول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ورجعة الأخرس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رأسها؛</w:t>
      </w:r>
    </w:p>
    <w:p>
      <w:pPr>
        <w:pStyle w:val="BookText"/>
        <w:rPr/>
      </w:pPr>
      <w:r>
        <w:rPr>
          <w:rFonts w:ascii="IRNazanin" w:hAnsi="IRNazanin" w:eastAsia="IRNazanin"/>
          <w:color w:val="111111"/>
          <w:sz w:val="28"/>
          <w:sz w:val="28"/>
          <w:szCs w:val="28"/>
          <w:rtl w:val="true"/>
          <w:lang w:bidi="fa-IR"/>
        </w:rPr>
        <w:t xml:space="preserve">لما تقدّم من أنّ وضعه علیه إشارة </w:t>
      </w:r>
      <w:r>
        <w:rPr>
          <w:rStyle w:val="FootnoteAnchor"/>
          <w:rtl w:val="true"/>
        </w:rPr>
        <w:footnoteReference w:id="1342"/>
      </w:r>
      <w:r>
        <w:rPr>
          <w:rFonts w:ascii="IRNazanin" w:hAnsi="IRNazanin" w:eastAsia="IRNazanin"/>
          <w:color w:val="111111"/>
          <w:sz w:val="28"/>
          <w:sz w:val="28"/>
          <w:szCs w:val="28"/>
          <w:rtl w:val="true"/>
          <w:lang w:bidi="fa-IR"/>
        </w:rPr>
        <w:t xml:space="preserve">الطلاق </w:t>
      </w:r>
      <w:r>
        <w:rPr>
          <w:rStyle w:val="FootnoteAnchor"/>
          <w:rtl w:val="true"/>
        </w:rPr>
        <w:footnoteReference w:id="1343"/>
      </w:r>
      <w:r>
        <w:rPr>
          <w:rFonts w:ascii="IRNazanin" w:hAnsi="IRNazanin" w:eastAsia="IRNazanin"/>
          <w:color w:val="111111"/>
          <w:sz w:val="28"/>
          <w:sz w:val="28"/>
          <w:szCs w:val="28"/>
          <w:rtl w:val="true"/>
          <w:lang w:bidi="fa-IR"/>
        </w:rPr>
        <w:t>وضدّ العلامة علامة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نصّ هنا علیه بخصوصه فلا یجب الجمع بینهما، بل یکفی الإشارة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ویُقبل قولها فی انقضاء العدّة فی الزمان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لانقضائها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وأقلّه ستّة وعشرون یوماً ولحظتان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معتدّة بالأقراء، وذلک بأن یطلّق وقد بقی من الطهر لحظة، ثمّ تحیض أقلّ الحیض ثلاثة أیّام، ثمّ تطهر أقلّ الطهر عشرة، ثمّ تحیض وتطهر کذلک، ثمّ تطعن فی الحیض </w:t>
      </w:r>
      <w:r>
        <w:rPr>
          <w:rStyle w:val="FootnoteAnchor"/>
          <w:rtl w:val="true"/>
        </w:rPr>
        <w:footnoteReference w:id="1344"/>
      </w:r>
      <w:r>
        <w:rPr>
          <w:rFonts w:ascii="Amiri" w:hAnsi="Amiri" w:eastAsia="Amiri" w:cs="Amiri"/>
          <w:color w:val="111111"/>
          <w:sz w:val="28"/>
          <w:sz w:val="28"/>
          <w:szCs w:val="28"/>
          <w:rtl w:val="true"/>
          <w:lang w:bidi="ar-SA"/>
        </w:rPr>
        <w:t>لحظة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الأخیرة دلالة علی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العدّة أو من الطهر الثالث؛ لاستبانته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العدّة؛ لأنّها ثلاثة قروء وقد انقضت قبلها </w:t>
      </w:r>
      <w:r>
        <w:rPr>
          <w:rStyle w:val="FootnoteAnchor"/>
          <w:rtl w:val="true"/>
        </w:rPr>
        <w:footnoteReference w:id="1345"/>
      </w:r>
      <w:r>
        <w:rPr>
          <w:rFonts w:ascii="IRNazanin" w:hAnsi="IRNazanin" w:eastAsia="IRNazanin"/>
          <w:color w:val="111111"/>
          <w:sz w:val="28"/>
          <w:sz w:val="28"/>
          <w:szCs w:val="28"/>
          <w:rtl w:val="true"/>
          <w:lang w:bidi="fa-IR"/>
        </w:rPr>
        <w:t>فلا تصحّ الرجعة فیها ویصحّ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منها؛ لأنّ الحکم بانقضائها موقوف علی تحقّقها </w:t>
      </w:r>
      <w:r>
        <w:rPr>
          <w:rStyle w:val="FootnoteAnchor"/>
          <w:rtl w:val="true"/>
        </w:rPr>
        <w:footnoteReference w:id="1346"/>
      </w:r>
      <w:r>
        <w:rPr>
          <w:rFonts w:ascii="Amiri" w:hAnsi="Amiri" w:eastAsia="Amiri" w:cs="Amiri"/>
          <w:color w:val="111111"/>
          <w:sz w:val="28"/>
          <w:sz w:val="28"/>
          <w:szCs w:val="28"/>
          <w:rtl w:val="true"/>
          <w:lang w:bidi="ar-SA"/>
        </w:rPr>
        <w:t>وهو لا یدلّ علی المدّعی</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کانت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أمة فأقلّ عدّتها ثلاثة عشر یوماً ولحظتان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یتّفق نادراً انقضاؤها فی الحرّة بثلاثة وعشرین یوماً وثلاث لحظات، وفی الأمة بعشرة وثلاث، بأن یطلّقها بعد الوضع وقبل رؤیة دم النفاس بلحظة، ثمّ تراه لحظة، ثمّ تطهر عشرة، ثمّ تحیض ثلاثة، ثمّ تطهر عشرة، ثمّ تری الحیض لحظة، والنفاس معدود بحیضة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حکم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ادّعت ولادةَ تامٍّ فإمکانه بستّة أشهر ولحظتین من وقت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للوطء ولحظة للولادة وإن ادّعتها بعد الطلاق بلحظة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ادّعت ولادةَ سقطٍ مصوّر أو مُضغةٍ أو علقةٍ اعتبر إمکانه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مئة وعشرون یوماً ولحظتان فی الأوّل، وثمانون یوماً ولحظتان فی الثانی، وأربعون کذلک فی الثالث </w:t>
      </w:r>
      <w:r>
        <w:rPr>
          <w:rStyle w:val="FootnoteAnchor"/>
          <w:rtl w:val="true"/>
        </w:rPr>
        <w:footnoteReference w:id="1347"/>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 الروایات أ نّه لا یُقبل منها غیر المعتاد إلّابشهادة </w:t>
      </w:r>
      <w:r>
        <w:rPr>
          <w:rStyle w:val="FootnoteAnchor"/>
          <w:rtl w:val="true"/>
        </w:rPr>
        <w:footnoteReference w:id="1348"/>
      </w:r>
      <w:r>
        <w:rPr>
          <w:rFonts w:ascii="IRNazanin" w:hAnsi="IRNazanin" w:eastAsia="IRNazanin"/>
          <w:color w:val="111111"/>
          <w:sz w:val="28"/>
          <w:sz w:val="28"/>
          <w:szCs w:val="28"/>
          <w:rtl w:val="true"/>
          <w:lang w:bidi="fa-IR"/>
        </w:rPr>
        <w:t>أربع من</w:t>
      </w:r>
    </w:p>
    <w:p>
      <w:pPr>
        <w:pStyle w:val="BookText"/>
        <w:rPr/>
      </w:pPr>
      <w:r>
        <w:rPr>
          <w:rFonts w:ascii="IRNazanin" w:hAnsi="IRNazanin" w:eastAsia="IRNazanin"/>
          <w:color w:val="111111"/>
          <w:sz w:val="28"/>
          <w:sz w:val="28"/>
          <w:szCs w:val="28"/>
          <w:rtl w:val="true"/>
          <w:lang w:bidi="fa-IR"/>
        </w:rPr>
        <w:t xml:space="preserve">النساء المطّلعات علی باطن أمرها </w:t>
      </w:r>
      <w:r>
        <w:rPr>
          <w:rStyle w:val="FootnoteAnchor"/>
          <w:rtl w:val="true"/>
        </w:rPr>
        <w:footnoteReference w:id="1349"/>
      </w:r>
      <w:r>
        <w:rPr>
          <w:rFonts w:ascii="IRNazanin" w:hAnsi="IRNazanin" w:eastAsia="IRNazanin"/>
          <w:color w:val="111111"/>
          <w:sz w:val="28"/>
          <w:sz w:val="28"/>
          <w:szCs w:val="28"/>
          <w:rtl w:val="true"/>
          <w:lang w:bidi="fa-IR"/>
        </w:rPr>
        <w:t>وهو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بالأصل والظاهر، واستصحاباً لحکم العدّة، ولإمکان إقامتها البیّنة علیه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النساء مؤتمنات علی أرحامهنّ ولا یُعرف إلّا من جهتهنّ غالباً، وإقامة البیّنة عَسِرة علی ذلک غالباً، وروی زرارة فی الحسن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والحیض للنساء، إذا ادّعت صُدّقت</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والأقوی المشهور</w:t>
      </w:r>
      <w:r>
        <w:rPr>
          <w:rFonts w:eastAsia="IRNazanin" w:cs="IRNazanin"/>
          <w:color w:val="111111"/>
          <w:sz w:val="28"/>
          <w:szCs w:val="28"/>
          <w:rtl w:val="true"/>
          <w:lang w:bidi="fa-IR"/>
        </w:rPr>
        <w:t>.</w:t>
      </w:r>
      <w:bookmarkStart w:id="481" w:name="pg19810_214573"/>
    </w:p>
    <w:p>
      <w:pPr>
        <w:pStyle w:val="Heading3"/>
        <w:numPr>
          <w:ilvl w:val="2"/>
          <w:numId w:val="1"/>
        </w:numPr>
        <w:rPr/>
      </w:pPr>
      <w:bookmarkStart w:id="482" w:name="__RefHeading___Toc2175615_2314609296"/>
      <w:bookmarkStart w:id="483" w:name="_Toc182"/>
      <w:bookmarkEnd w:id="481"/>
      <w:bookmarkEnd w:id="482"/>
      <w:r>
        <w:rPr>
          <w:rtl w:val="true"/>
        </w:rPr>
        <w:t>«</w:t>
      </w:r>
      <w:r>
        <w:rPr>
          <w:rtl w:val="true"/>
        </w:rPr>
        <w:t>الفصل الثالث</w:t>
      </w:r>
      <w:r>
        <w:rPr>
          <w:rtl w:val="true"/>
        </w:rPr>
        <w:t>»</w:t>
      </w:r>
      <w:bookmarkEnd w:id="483"/>
    </w:p>
    <w:p>
      <w:pPr>
        <w:pStyle w:val="Heading4"/>
        <w:numPr>
          <w:ilvl w:val="3"/>
          <w:numId w:val="1"/>
        </w:numPr>
        <w:rPr/>
      </w:pPr>
      <w:bookmarkStart w:id="484" w:name="__RefHeading___Toc2175617_2314609296"/>
      <w:bookmarkStart w:id="485" w:name="_Toc183"/>
      <w:bookmarkEnd w:id="484"/>
      <w:r>
        <w:rPr>
          <w:rtl w:val="true"/>
        </w:rPr>
        <w:t>اشارة</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عدّة، وهی مدّة تتربّص فیها المرأة لتعرف براءة رحمها من الحمل، أو تعبّداً </w:t>
      </w:r>
      <w:r>
        <w:rPr>
          <w:rStyle w:val="FootnoteAnchor"/>
          <w:rtl w:val="true"/>
        </w:rPr>
        <w:footnoteReference w:id="1351"/>
      </w:r>
      <w:r>
        <w:rPr>
          <w:rFonts w:ascii="IRNazanin" w:hAnsi="IRNazanin" w:eastAsia="IRNazanin"/>
          <w:color w:val="111111"/>
          <w:sz w:val="28"/>
          <w:sz w:val="28"/>
          <w:szCs w:val="28"/>
          <w:rtl w:val="true"/>
          <w:lang w:bidi="fa-IR"/>
        </w:rPr>
        <w:t>و</w:t>
      </w:r>
    </w:p>
    <w:p>
      <w:pPr>
        <w:pStyle w:val="Heading4"/>
        <w:numPr>
          <w:ilvl w:val="3"/>
          <w:numId w:val="1"/>
        </w:numPr>
        <w:rPr/>
      </w:pPr>
      <w:bookmarkStart w:id="486" w:name="__RefHeading___Toc2175619_2314609296"/>
      <w:bookmarkStart w:id="487" w:name="_Toc184"/>
      <w:bookmarkEnd w:id="486"/>
      <w:r>
        <w:rPr>
          <w:rtl w:val="true"/>
        </w:rPr>
        <w:t>[ «</w:t>
      </w:r>
      <w:r>
        <w:rPr>
          <w:rtl w:val="true"/>
        </w:rPr>
        <w:t>لا عدّة علی من لم یدخل بها الزوج</w:t>
      </w:r>
      <w:r>
        <w:rPr>
          <w:rtl w:val="true"/>
        </w:rPr>
        <w:t>» ]</w:t>
      </w:r>
      <w:bookmarkEnd w:id="487"/>
    </w:p>
    <w:p>
      <w:pPr>
        <w:pStyle w:val="BookText"/>
        <w:rPr/>
      </w:pPr>
      <w:r>
        <w:rPr>
          <w:rFonts w:ascii="IRNazanin" w:hAnsi="IRNazanin" w:eastAsia="IRNazanin"/>
          <w:color w:val="111111"/>
          <w:sz w:val="28"/>
          <w:sz w:val="28"/>
          <w:szCs w:val="28"/>
          <w:rtl w:val="true"/>
          <w:lang w:bidi="fa-IR"/>
        </w:rPr>
        <w:t xml:space="preserve">من الطلاق والفسخ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الوفاة، 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الزوجة مطلقاً الاعتداد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 وعشرة أیّام إن کانت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زوجها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شهران وخمسة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زوجها حرّاً علی المشهور </w:t>
      </w:r>
      <w:r>
        <w:rPr>
          <w:rStyle w:val="FootnoteAnchor"/>
          <w:rtl w:val="true"/>
        </w:rPr>
        <w:footnoteReference w:id="1352"/>
      </w:r>
      <w:r>
        <w:rPr>
          <w:rFonts w:ascii="IRNazanin" w:hAnsi="IRNazanin" w:eastAsia="IRNazanin"/>
          <w:color w:val="111111"/>
          <w:sz w:val="28"/>
          <w:sz w:val="28"/>
          <w:szCs w:val="28"/>
          <w:rtl w:val="true"/>
          <w:lang w:bidi="fa-IR"/>
        </w:rPr>
        <w:t>ومستنده صحیحة محمّد بن مسلم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الأمة إذا توفّی عنها زوجها فعدّتها شهران وخمسة أیّام</w:t>
      </w:r>
      <w:r>
        <w:rPr>
          <w:rFonts w:eastAsia="IRNazanin" w:cs="IRNazanin"/>
          <w:color w:val="111111"/>
          <w:sz w:val="28"/>
          <w:szCs w:val="28"/>
          <w:rtl w:val="true"/>
          <w:lang w:bidi="fa-IR"/>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کالحرّة </w:t>
      </w:r>
      <w:r>
        <w:rPr>
          <w:rStyle w:val="FootnoteAnchor"/>
          <w:rtl w:val="true"/>
        </w:rPr>
        <w:footnoteReference w:id="1354"/>
      </w:r>
      <w:r>
        <w:rPr>
          <w:rFonts w:ascii="IRNazanin" w:hAnsi="IRNazanin" w:eastAsia="IRNazanin"/>
          <w:color w:val="111111"/>
          <w:sz w:val="28"/>
          <w:sz w:val="28"/>
          <w:szCs w:val="28"/>
          <w:rtl w:val="true"/>
          <w:lang w:bidi="fa-IR"/>
        </w:rPr>
        <w:t xml:space="preserve">استناداً إلی عموم الآیة </w:t>
      </w:r>
      <w:r>
        <w:rPr>
          <w:rStyle w:val="FootnoteAnchor"/>
          <w:rtl w:val="true"/>
        </w:rPr>
        <w:footnoteReference w:id="1355"/>
      </w:r>
      <w:r>
        <w:rPr>
          <w:rFonts w:ascii="IRNazanin" w:hAnsi="IRNazanin" w:eastAsia="IRNazanin"/>
          <w:color w:val="111111"/>
          <w:sz w:val="28"/>
          <w:sz w:val="28"/>
          <w:szCs w:val="28"/>
          <w:rtl w:val="true"/>
          <w:lang w:bidi="fa-IR"/>
        </w:rPr>
        <w:t xml:space="preserve">وبعض الروایات </w:t>
      </w:r>
      <w:r>
        <w:rPr>
          <w:rStyle w:val="FootnoteAnchor"/>
          <w:rtl w:val="true"/>
        </w:rPr>
        <w:footnoteReference w:id="1356"/>
      </w:r>
      <w:r>
        <w:rPr>
          <w:rFonts w:ascii="IRNazanin" w:hAnsi="IRNazanin" w:eastAsia="IRNazanin"/>
          <w:color w:val="111111"/>
          <w:sz w:val="28"/>
          <w:sz w:val="28"/>
          <w:szCs w:val="28"/>
          <w:rtl w:val="true"/>
          <w:lang w:bidi="fa-IR"/>
        </w:rPr>
        <w:t>وتخصیصهما</w:t>
      </w:r>
      <w:bookmarkStart w:id="488" w:name="pg19810_214574"/>
    </w:p>
    <w:p>
      <w:pPr>
        <w:pStyle w:val="BookText"/>
        <w:rPr/>
      </w:pPr>
      <w:bookmarkEnd w:id="488"/>
      <w:r>
        <w:rPr>
          <w:rFonts w:ascii="IRNazanin" w:hAnsi="IRNazanin" w:eastAsia="IRNazanin"/>
          <w:color w:val="111111"/>
          <w:sz w:val="28"/>
          <w:sz w:val="28"/>
          <w:szCs w:val="28"/>
          <w:rtl w:val="true"/>
          <w:lang w:bidi="fa-IR"/>
        </w:rPr>
        <w:t xml:space="preserve">بغیرها طریق الجمع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بها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 کانت أم کبیرة ولو یائسة، دائماً کان النکاح أم منقطعاً</w:t>
      </w:r>
      <w:r>
        <w:rPr>
          <w:rFonts w:eastAsia="IRNazanin" w:cs="IRNazanin"/>
          <w:color w:val="111111"/>
          <w:sz w:val="28"/>
          <w:szCs w:val="28"/>
          <w:rtl w:val="true"/>
          <w:lang w:bidi="fa-IR"/>
        </w:rPr>
        <w:t>.</w:t>
      </w:r>
    </w:p>
    <w:p>
      <w:pPr>
        <w:pStyle w:val="Heading4"/>
        <w:numPr>
          <w:ilvl w:val="3"/>
          <w:numId w:val="1"/>
        </w:numPr>
        <w:rPr/>
      </w:pPr>
      <w:bookmarkStart w:id="489" w:name="__RefHeading___Toc2175621_2314609296"/>
      <w:bookmarkStart w:id="490" w:name="_Toc185"/>
      <w:bookmarkEnd w:id="489"/>
      <w:r>
        <w:rPr>
          <w:rtl w:val="true"/>
        </w:rPr>
        <w:t>[</w:t>
      </w:r>
      <w:r>
        <w:rPr>
          <w:rtl w:val="true"/>
        </w:rPr>
        <w:t xml:space="preserve">عدة ذات الدم </w:t>
      </w:r>
      <w:r>
        <w:rPr>
          <w:rtl w:val="true"/>
        </w:rPr>
        <w:t>]</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باقی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ذات الأقراء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الطهر أو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المستقیمة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لها فیه عادة مضبوطة وقتاً، سواء انضبط عدداً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المتحقّق بإیلاج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قدرها من مقطوعها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ودبراً علی المشهور وإن لم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بقی من طهر الطلاق بعده وإن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مستقیمة الحیض ترجع إلی التمییز، ثمّ إلی عادة نسائها إن کانت مبتدأة، ثمّ تعتدّ بالشهور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وذات الشهور وهی التی لا یحصل لها الحیض المعتاد وهی فی سنّ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مسترابة کما عبّر به کثیر </w:t>
      </w:r>
      <w:r>
        <w:rPr>
          <w:rStyle w:val="FootnoteAnchor"/>
          <w:rtl w:val="true"/>
        </w:rPr>
        <w:footnoteReference w:id="1357"/>
      </w:r>
      <w:r>
        <w:rPr>
          <w:rFonts w:ascii="IRNazanin" w:hAnsi="IRNazanin" w:eastAsia="IRNazanin"/>
          <w:color w:val="111111"/>
          <w:sz w:val="28"/>
          <w:sz w:val="28"/>
          <w:szCs w:val="28"/>
          <w:rtl w:val="true"/>
          <w:lang w:bidi="fa-IR"/>
        </w:rPr>
        <w:t xml:space="preserve">أم انقطع عنها الحیض لعارض من مرض وحمل ورضاع وغیرها، 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هلالیّة إن طلّقها عند الهلال، وإلّا أکملت المنکسر ثلاثین بعد الهلالین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مستقیمة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خمسة وأربعین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فی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احتبس إلی أن انقضت 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انتظرت تمام الأقراء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قد استرابت بالحمل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الأقراء قبل أقصی الحمل انقضت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وإلّإ صبرت تسعة أشهر</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 xml:space="preserve">علی أشهر القولین </w:t>
      </w:r>
      <w:r>
        <w:rPr>
          <w:rStyle w:val="FootnoteAnchor"/>
          <w:rtl w:val="true"/>
        </w:rPr>
        <w:footnoteReference w:id="1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w:t>
      </w:r>
      <w:r>
        <w:rPr>
          <w:rStyle w:val="FootnoteAnchor"/>
          <w:rtl w:val="true"/>
        </w:rPr>
        <w:footnoteReference w:id="1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وضعت ولداً أو اجتمعت الأقراء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المطلوب فی انقضاء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یتّفق أحد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اعتدّت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التسعة أو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أشهر، إلّاأن یتمّ الأقراء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فتکتفی بها</w:t>
      </w:r>
      <w:r>
        <w:rPr>
          <w:rFonts w:eastAsia="IRNazanin" w:cs="IRNazanin"/>
          <w:color w:val="111111"/>
          <w:sz w:val="28"/>
          <w:szCs w:val="28"/>
          <w:rtl w:val="true"/>
          <w:lang w:bidi="fa-IR"/>
        </w:rPr>
        <w:t>.</w:t>
      </w:r>
      <w:bookmarkStart w:id="491" w:name="pg19810_214576"/>
    </w:p>
    <w:p>
      <w:pPr>
        <w:pStyle w:val="BookText"/>
        <w:rPr/>
      </w:pPr>
      <w:bookmarkEnd w:id="491"/>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وقوع الثلاثة الأقراء بعد أقصی الحمل کالثلاثة الأشهر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 أقوی، وإطلاق النصّ </w:t>
      </w:r>
      <w:r>
        <w:rPr>
          <w:rStyle w:val="FootnoteAnchor"/>
          <w:rtl w:val="true"/>
        </w:rPr>
        <w:footnoteReference w:id="1362"/>
      </w:r>
      <w:r>
        <w:rPr>
          <w:rFonts w:ascii="IRNazanin" w:hAnsi="IRNazanin" w:eastAsia="IRNazanin"/>
          <w:color w:val="111111"/>
          <w:sz w:val="28"/>
          <w:sz w:val="28"/>
          <w:szCs w:val="28"/>
          <w:rtl w:val="true"/>
          <w:lang w:bidi="fa-IR"/>
        </w:rPr>
        <w:t>والفتوی یقتضی عدم الفرق بین استرابتها بالحمل وعدمه فی وجوب التربّص تسعة أو سنة ثمّ الاعتداد بعدها، حتّی لو کان زوجها غائباً عنها فحکمها کذلک، وإن کان ظاهر الحکمة یقتضی اختصاصه بالمسترابة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المصنّف رحمه الله فی بعض تحقیقاته </w:t>
      </w:r>
      <w:r>
        <w:rPr>
          <w:rStyle w:val="FootnoteAnchor"/>
          <w:rtl w:val="true"/>
        </w:rPr>
        <w:footnoteReference w:id="1363"/>
      </w:r>
      <w:r>
        <w:rPr>
          <w:rFonts w:ascii="IRNazanin" w:hAnsi="IRNazanin" w:eastAsia="IRNazanin"/>
          <w:color w:val="111111"/>
          <w:sz w:val="28"/>
          <w:sz w:val="28"/>
          <w:szCs w:val="28"/>
          <w:rtl w:val="true"/>
          <w:lang w:bidi="fa-IR"/>
        </w:rPr>
        <w:t>الاکتفاء بالتسعة لزوجة الغائب محتجّاً بحصول مسمّی العدّة والدلیل فی محلّ النزاع، وهذه أطول عدّة تُفرض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المعتدّة المذکورة إن مضی لها ثلاثة أقراء قبل ثلاثة أشهر انقضت عدّتها بها، وإن مضی علیها ثلاثة أشهر لم ترَ فیها دم حیض انقضت عدّتها بها وإن کان لها عادة مستقیمة فیما زاد علیها بأن کانت تری الدم فی کلّ أربعة أشهر مرّة، أو ما زاد، أو ما نقص بحیث یزید عن ثلاثة ولو بلحظة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رأت فی الثلاثة دماً ولو قبل انقضائها بلحظة فحکمها ما فصّل سابقاً من انتظار أقرب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الأقراء ووضع الولد، فإن انتفیا اعتدّت بعد تسعة أشهر بثلاثة أشهر، إلّاأن یتمّ لها ثلاثة أقراء قبلها ولو مبنیّة علی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یتجدّد لها دم آخر فی الثلاثة أو قبلها وعدمه</w:t>
      </w:r>
      <w:r>
        <w:rPr>
          <w:rFonts w:eastAsia="IRNazanin" w:cs="IRNazanin"/>
          <w:color w:val="111111"/>
          <w:sz w:val="28"/>
          <w:szCs w:val="28"/>
          <w:rtl w:val="true"/>
          <w:lang w:bidi="fa-IR"/>
        </w:rPr>
        <w:t>.</w:t>
      </w:r>
    </w:p>
    <w:p>
      <w:pPr>
        <w:pStyle w:val="Heading4"/>
        <w:numPr>
          <w:ilvl w:val="3"/>
          <w:numId w:val="1"/>
        </w:numPr>
        <w:rPr/>
      </w:pPr>
      <w:bookmarkStart w:id="492" w:name="__RefHeading___Toc2175623_2314609296"/>
      <w:bookmarkStart w:id="493" w:name="_Toc186"/>
      <w:bookmarkEnd w:id="492"/>
      <w:r>
        <w:rPr>
          <w:rtl w:val="true"/>
        </w:rPr>
        <w:t>[</w:t>
      </w:r>
      <w:r>
        <w:rPr>
          <w:rtl w:val="true"/>
        </w:rPr>
        <w:t xml:space="preserve">عدة الحامل </w:t>
      </w:r>
      <w:r>
        <w:rPr>
          <w:rtl w:val="true"/>
        </w:rPr>
        <w:t>]</w:t>
      </w:r>
      <w:bookmarkEnd w:id="49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وعدّة الحامل وضع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کیف وقع إذا علم أ نّه نشوء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ووضعته بعد الطلاق بلحظة، ولا عبرة بالنطفة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w:t>
      </w:r>
      <w:bookmarkStart w:id="494" w:name="pg19810_214577"/>
    </w:p>
    <w:p>
      <w:pPr>
        <w:pStyle w:val="BookText"/>
        <w:rPr/>
      </w:pPr>
      <w:bookmarkEnd w:id="494"/>
      <w:r>
        <w:rPr>
          <w:rFonts w:ascii="IRNazanin" w:hAnsi="IRNazanin" w:eastAsia="IRNazanin"/>
          <w:color w:val="111111"/>
          <w:sz w:val="28"/>
          <w:sz w:val="28"/>
          <w:szCs w:val="28"/>
          <w:rtl w:val="true"/>
          <w:lang w:bidi="fa-IR"/>
        </w:rPr>
        <w:t>الوفاة، وفیها بأبعد الأجلین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وضعه ومن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والعشرة الأیّام فی الحرّة، والشهرین والخمسة الأیّام فی الأمة</w:t>
      </w:r>
      <w:r>
        <w:rPr>
          <w:rFonts w:eastAsia="IRNazanin" w:cs="IRNazanin"/>
          <w:color w:val="111111"/>
          <w:sz w:val="28"/>
          <w:szCs w:val="28"/>
          <w:rtl w:val="true"/>
          <w:lang w:bidi="fa-IR"/>
        </w:rPr>
        <w:t>.</w:t>
      </w:r>
    </w:p>
    <w:p>
      <w:pPr>
        <w:pStyle w:val="Heading4"/>
        <w:numPr>
          <w:ilvl w:val="3"/>
          <w:numId w:val="1"/>
        </w:numPr>
        <w:rPr/>
      </w:pPr>
      <w:bookmarkStart w:id="495" w:name="__RefHeading___Toc2175625_2314609296"/>
      <w:bookmarkStart w:id="496" w:name="_Toc187"/>
      <w:bookmarkEnd w:id="495"/>
      <w:r>
        <w:rPr>
          <w:rtl w:val="true"/>
        </w:rPr>
        <w:t>[</w:t>
      </w:r>
      <w:r>
        <w:rPr>
          <w:rtl w:val="true"/>
        </w:rPr>
        <w:t>الحداد</w:t>
      </w:r>
      <w:r>
        <w:rPr>
          <w:rtl w:val="true"/>
        </w:rPr>
        <w:t>]</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الحداد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فی جمیع مدّة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ترک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الثیاب والأدهان والطیب والکحل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والحنّاء، وخضب الحاجبین بالسواد، واستعمال الاسفیداج </w:t>
      </w:r>
      <w:r>
        <w:rPr>
          <w:rStyle w:val="FootnoteAnchor"/>
          <w:rtl w:val="true"/>
        </w:rPr>
        <w:footnoteReference w:id="1364"/>
      </w:r>
      <w:r>
        <w:rPr>
          <w:rFonts w:ascii="IRNazanin" w:hAnsi="IRNazanin" w:eastAsia="IRNazanin"/>
          <w:color w:val="111111"/>
          <w:sz w:val="28"/>
          <w:sz w:val="28"/>
          <w:szCs w:val="28"/>
          <w:rtl w:val="true"/>
          <w:lang w:bidi="fa-IR"/>
        </w:rPr>
        <w:t>فی الوجه، وغیر ذلک ممّا یُعدّ زینة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یختصّ المنع بلون خاصّ من الثیاب، بل تختلف ذلک باختلاف البلاد والأزمان والعادات، فکلّ لونٍ یُعدّ زینة عرفاً یحرم لبس الثوب المصبوغ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احتاجت إلی الاکتحال بالسواد لعلّةٍ جاز، فإن تأدّت الضرورة باستعماله لیلاً ومسحه نهاراً وجب، وإلّا اقتصرت علی ما تتأدّی به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یحرم علیها التنظیف ولا دخول الحمّام ولا تسریح الشعر ولا السواک ولا قلم الأظفار ولا السکنی فی المساکن العالیة ولا استعمال الفُرُش الفاخرة ولا تزیین أولادها وخدمها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الزوجة الکبیرة والصغیرة، الحامل والحائل إذا کانت حرّة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الأمة قولان </w:t>
      </w:r>
      <w:r>
        <w:rPr>
          <w:rStyle w:val="FootnoteAnchor"/>
          <w:rtl w:val="true"/>
        </w:rPr>
        <w:footnoteReference w:id="1365"/>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نّها لا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الحرّة والأمة کلتیهما إذا مات عنهما زوجهما سواء فی العدّة، إلّاأنّ الحرّة تحدّ والأمة لا تحدّ</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w:t>
      </w:r>
      <w:bookmarkStart w:id="497" w:name="pg19810_214578"/>
    </w:p>
    <w:p>
      <w:pPr>
        <w:pStyle w:val="BookText"/>
        <w:rPr/>
      </w:pPr>
      <w:bookmarkEnd w:id="497"/>
      <w:r>
        <w:rPr>
          <w:rFonts w:ascii="IRNazanin" w:hAnsi="IRNazanin" w:eastAsia="IRNazanin"/>
          <w:color w:val="111111"/>
          <w:sz w:val="28"/>
          <w:sz w:val="28"/>
          <w:szCs w:val="28"/>
          <w:rtl w:val="true"/>
          <w:lang w:bidi="fa-IR"/>
        </w:rPr>
        <w:t xml:space="preserve">وذهب الشیخ فی أحد قولیه </w:t>
      </w:r>
      <w:r>
        <w:rPr>
          <w:rStyle w:val="FootnoteAnchor"/>
          <w:rtl w:val="true"/>
        </w:rPr>
        <w:footnoteReference w:id="1367"/>
      </w:r>
      <w:r>
        <w:rPr>
          <w:rFonts w:ascii="Amiri" w:hAnsi="Amiri" w:eastAsia="Amiri" w:cs="Amiri"/>
          <w:color w:val="111111"/>
          <w:sz w:val="28"/>
          <w:sz w:val="28"/>
          <w:szCs w:val="28"/>
          <w:rtl w:val="true"/>
          <w:lang w:bidi="ar-SA"/>
        </w:rPr>
        <w:t xml:space="preserve">وجماعة </w:t>
      </w:r>
      <w:r>
        <w:rPr>
          <w:rStyle w:val="FootnoteAnchor"/>
          <w:rtl w:val="true"/>
        </w:rPr>
        <w:footnoteReference w:id="1368"/>
      </w:r>
      <w:r>
        <w:rPr>
          <w:rFonts w:ascii="IRNazanin" w:hAnsi="IRNazanin" w:eastAsia="IRNazanin"/>
          <w:color w:val="111111"/>
          <w:sz w:val="28"/>
          <w:sz w:val="28"/>
          <w:szCs w:val="28"/>
          <w:rtl w:val="true"/>
          <w:lang w:bidi="fa-IR"/>
        </w:rPr>
        <w:t>إلی وجوب الحداد علیها؛ لعموم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لامرأة تؤمن باللّٰه والیوم الآخر أن تحدّ علی میّت فوق ثلاث لیال إلّاعلی زوج أربعة أشهر وعشراً</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وفیه مع سلامة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عامّ وذاک خاصّ، فیجب التوفیق بینهما بتخصیص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حداد علی غیر الزوج مطلقاً، وفی الحدیث دلالة علیه، بل مقتضاه أ نّه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حمله علی المبالغة فی النفی أو الکراهة</w:t>
      </w:r>
      <w:r>
        <w:rPr>
          <w:rFonts w:eastAsia="IRNazanin" w:cs="IRNazanin"/>
          <w:color w:val="111111"/>
          <w:sz w:val="28"/>
          <w:szCs w:val="28"/>
          <w:rtl w:val="true"/>
          <w:lang w:bidi="fa-IR"/>
        </w:rPr>
        <w:t>.</w:t>
      </w:r>
    </w:p>
    <w:p>
      <w:pPr>
        <w:pStyle w:val="Heading4"/>
        <w:numPr>
          <w:ilvl w:val="3"/>
          <w:numId w:val="1"/>
        </w:numPr>
        <w:rPr/>
      </w:pPr>
      <w:bookmarkStart w:id="498" w:name="__RefHeading___Toc2175627_2314609296"/>
      <w:bookmarkStart w:id="499" w:name="_Toc188"/>
      <w:bookmarkEnd w:id="498"/>
      <w:r>
        <w:rPr>
          <w:rtl w:val="true"/>
        </w:rPr>
        <w:t>[</w:t>
      </w:r>
      <w:r>
        <w:rPr>
          <w:rtl w:val="true"/>
        </w:rPr>
        <w:t>حکم لمفقود زوجها</w:t>
      </w:r>
      <w:r>
        <w:rPr>
          <w:rtl w:val="true"/>
        </w:rPr>
        <w:t>]</w:t>
      </w:r>
      <w:bookmarkEnd w:id="49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والمفقود إذا جهل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لزوجته من ینفق علیها وجب علیها التربّص إلی أن یحضر، أو تثبت وفاته أو ما یقوم مقامها </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ولیّ ینفق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متبرّع، فإن صبرت فلا کلام، وإن رفعت أمرها إلی الحاکم بحث عن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رفع أمرها إلیه فی الجهة التی فقد فیها إن کانت معیَّنة، وإلّا ففی الجهات الأربع حیث یحتمل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یطلّقها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أو یأمر الولیّ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والأجود تقدیم أمر الولیّ به، فإن امتنع طلّق الحاکم؛ لأنّه مدلول الأخبار الصحیحة </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المدّة ورجوع الرسل أو ما فی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نّها تعتدّ عدّة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سماعة دلالة علیه؛ لأنّه لم یذکر الطلاق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مضیّ أربع سنین أمرها أن تعتدّ أربعة أشهر وعشراً</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 xml:space="preserve">وباقی الأخبار </w:t>
      </w:r>
      <w:r>
        <w:rPr>
          <w:rStyle w:val="FootnoteAnchor"/>
          <w:rtl w:val="true"/>
        </w:rPr>
        <w:footnoteReference w:id="1373"/>
      </w:r>
      <w:r>
        <w:rPr>
          <w:rFonts w:ascii="IRNazanin" w:hAnsi="IRNazanin" w:eastAsia="IRNazanin"/>
          <w:color w:val="111111"/>
          <w:sz w:val="28"/>
          <w:sz w:val="28"/>
          <w:szCs w:val="28"/>
          <w:rtl w:val="true"/>
          <w:lang w:bidi="fa-IR"/>
        </w:rPr>
        <w:t>مطلقة، إلّاأنّ ظاهرها أنّ العدّة عدّة الطلاق حیث حکم فیها بأ نّه یطلّقها ثمّ 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حسنة برید دلالة علیه؛ لأنّه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زوجها قبل أن تنقضی عدّتها فبدا له أن یراجعها فهی امرأته، وهی عنده علی تطلیقتین، وإن انقضت العدّة قبل أن یجیء أو یراجع فقد حلّت للأزواج ولا سبیل للأوّل علیها</w:t>
      </w:r>
      <w:r>
        <w:rPr>
          <w:rFonts w:eastAsia="IRNazanin" w:cs="IRNazanin"/>
          <w:color w:val="111111"/>
          <w:sz w:val="28"/>
          <w:szCs w:val="28"/>
          <w:rtl w:val="true"/>
          <w:lang w:bidi="fa-IR"/>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الروایة دلالة علی أ نّه إذا جاء فی العدّة لا یصیر أحقّ بها إلّامع الرجعة، فلو لم یرجع 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لازم حکم الطلاق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نسب المصنّف القول إلی الشهرة؛ لضعف مستنده </w:t>
      </w:r>
      <w:r>
        <w:rPr>
          <w:rStyle w:val="FootnoteAnchor"/>
          <w:rtl w:val="true"/>
        </w:rPr>
        <w:footnoteReference w:id="1375"/>
      </w:r>
      <w:r>
        <w:rPr>
          <w:rFonts w:ascii="IRNazanin" w:hAnsi="IRNazanin" w:eastAsia="IRNazanin"/>
          <w:color w:val="111111"/>
          <w:sz w:val="28"/>
          <w:sz w:val="28"/>
          <w:szCs w:val="28"/>
          <w:rtl w:val="true"/>
          <w:lang w:bidi="fa-IR"/>
        </w:rPr>
        <w:t>وتظهر الفائدة فی المقدار والحداد والنفقة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الأخبار علیه </w:t>
      </w:r>
      <w:r>
        <w:rPr>
          <w:rStyle w:val="FootnoteAnchor"/>
          <w:rtl w:val="true"/>
        </w:rPr>
        <w:footnoteReference w:id="1376"/>
      </w:r>
      <w:r>
        <w:rPr>
          <w:rFonts w:ascii="IRNazanin" w:hAnsi="IRNazanin" w:eastAsia="IRNazanin"/>
          <w:color w:val="111111"/>
          <w:sz w:val="28"/>
          <w:sz w:val="28"/>
          <w:szCs w:val="28"/>
          <w:rtl w:val="true"/>
          <w:lang w:bidi="fa-IR"/>
        </w:rPr>
        <w:t xml:space="preserve">ولأنّ ذلک هو فائدة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 فهو أملک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حکم بکونها عدّة وفاة بائنة؛ للنصّ </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یجئ فی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سبیل 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وجدها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تزویجها فموضع وفاق، وأمّا</w:t>
      </w:r>
    </w:p>
    <w:p>
      <w:pPr>
        <w:pStyle w:val="BookText"/>
        <w:rPr/>
      </w:pPr>
      <w:r>
        <w:rPr>
          <w:rFonts w:ascii="IRNazanin" w:hAnsi="IRNazanin" w:eastAsia="IRNazanin"/>
          <w:color w:val="111111"/>
          <w:sz w:val="28"/>
          <w:sz w:val="28"/>
          <w:szCs w:val="28"/>
          <w:rtl w:val="true"/>
          <w:lang w:bidi="fa-IR"/>
        </w:rPr>
        <w:t xml:space="preserve">بدونه فهو أصحّ القولین </w:t>
      </w:r>
      <w:r>
        <w:rPr>
          <w:rStyle w:val="FootnoteAnchor"/>
          <w:rtl w:val="true"/>
        </w:rPr>
        <w:footnoteReference w:id="1378"/>
      </w:r>
      <w:r>
        <w:rPr>
          <w:rFonts w:ascii="IRNazanin" w:hAnsi="IRNazanin" w:eastAsia="IRNazanin"/>
          <w:color w:val="111111"/>
          <w:sz w:val="28"/>
          <w:sz w:val="28"/>
          <w:szCs w:val="28"/>
          <w:rtl w:val="true"/>
          <w:lang w:bidi="fa-IR"/>
        </w:rPr>
        <w:t xml:space="preserve">وفی الروایة السابقة </w:t>
      </w:r>
      <w:r>
        <w:rPr>
          <w:rStyle w:val="FootnoteAnchor"/>
          <w:rtl w:val="true"/>
        </w:rPr>
        <w:footnoteReference w:id="1379"/>
      </w:r>
      <w:r>
        <w:rPr>
          <w:rFonts w:ascii="IRNazanin" w:hAnsi="IRNazanin" w:eastAsia="IRNazanin"/>
          <w:color w:val="111111"/>
          <w:sz w:val="28"/>
          <w:sz w:val="28"/>
          <w:szCs w:val="28"/>
          <w:rtl w:val="true"/>
          <w:lang w:bidi="fa-IR"/>
        </w:rPr>
        <w:t>دلالة علیه، ولأنّ حکم الشارع بالبینونة بمنزلة الطلاق، فکیف مع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بالتسلّط بعد قطع السلطنة یحتاج إلی دلیل، وهو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ظنّ وفاته، فیبطل ما 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 إن لم نوجب طلاقها بعد البحث، أمّا معه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الإمام أن ینفق علیها من بیت المال طول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مدّة الغیبة إن صبرت، ومدّة البحث إن لم 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له مال، وإلّا أنفق الحاکم منه مقدّماً علی بیت المال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اُعتقت الأمة فی أثناء العدّة أکملت عدّة الحرّة إن کان الطلاق رجعیّاً، أو عدّة 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 نّها فی حکم الزوجة وقد اُعتقت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فلروایة أبی بصیر عن أبی عبد اللّٰه علیه السلام </w:t>
      </w:r>
      <w:r>
        <w:rPr>
          <w:rStyle w:val="FootnoteAnchor"/>
          <w:rtl w:val="true"/>
        </w:rPr>
        <w:footnoteReference w:id="1380"/>
      </w:r>
      <w:r>
        <w:rPr>
          <w:rFonts w:ascii="IRNazanin" w:hAnsi="IRNazanin" w:eastAsia="IRNazanin"/>
          <w:color w:val="111111"/>
          <w:sz w:val="28"/>
          <w:sz w:val="28"/>
          <w:szCs w:val="28"/>
          <w:rtl w:val="true"/>
          <w:lang w:bidi="fa-IR"/>
        </w:rPr>
        <w:t xml:space="preserve">ولو کان بائناً أتمّت عدّة الأمة؛ للحکم بها ابتداءً، وصیرورتها بعد العتق </w:t>
      </w:r>
      <w:r>
        <w:rPr>
          <w:rStyle w:val="FootnoteAnchor"/>
          <w:rtl w:val="true"/>
        </w:rPr>
        <w:footnoteReference w:id="1381"/>
      </w:r>
      <w:r>
        <w:rPr>
          <w:rFonts w:ascii="IRNazanin" w:hAnsi="IRNazanin" w:eastAsia="IRNazanin"/>
          <w:color w:val="111111"/>
          <w:sz w:val="28"/>
          <w:sz w:val="28"/>
          <w:szCs w:val="28"/>
          <w:rtl w:val="true"/>
          <w:lang w:bidi="fa-IR"/>
        </w:rPr>
        <w:t>أجنبیّة منه، فلا یقدح عتقها فی العدّة</w:t>
      </w:r>
      <w:r>
        <w:rPr>
          <w:rFonts w:eastAsia="IRNazanin" w:cs="IRNazanin"/>
          <w:color w:val="111111"/>
          <w:sz w:val="28"/>
          <w:szCs w:val="28"/>
          <w:rtl w:val="true"/>
          <w:lang w:bidi="fa-IR"/>
        </w:rPr>
        <w:t>.</w:t>
      </w:r>
      <w:bookmarkStart w:id="500" w:name="pg19810_214581"/>
    </w:p>
    <w:p>
      <w:pPr>
        <w:pStyle w:val="Heading4"/>
        <w:numPr>
          <w:ilvl w:val="3"/>
          <w:numId w:val="1"/>
        </w:numPr>
        <w:rPr/>
      </w:pPr>
      <w:bookmarkStart w:id="501" w:name="__RefHeading___Toc2175629_2314609296"/>
      <w:bookmarkStart w:id="502" w:name="_Toc189"/>
      <w:bookmarkEnd w:id="500"/>
      <w:bookmarkEnd w:id="501"/>
      <w:r>
        <w:rPr>
          <w:rtl w:val="true"/>
        </w:rPr>
        <w:t>[</w:t>
      </w:r>
      <w:r>
        <w:rPr>
          <w:rtl w:val="true"/>
        </w:rPr>
        <w:t xml:space="preserve">عدة الذمیة و ام الولد </w:t>
      </w:r>
      <w:r>
        <w:rPr>
          <w:rtl w:val="true"/>
        </w:rPr>
        <w:t>]</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والذمّیّة کالحرّة فی الطلاق والوفاة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نعلم القائل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روی زرارة فی الصحیح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نصرانیّة کانت تحت نصرانیّ فطلّقها، هل علیها عدّة مثل عدّة المسلمة؟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عدّتها إن أراد المسلم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عدّة الأمة، حیضتان أو خمسة وأربعون یوماً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Style w:val="FootnoteAnchor"/>
          <w:rtl w:val="true"/>
        </w:rPr>
        <w:footnoteReference w:id="1382"/>
      </w:r>
      <w:r>
        <w:rPr>
          <w:rFonts w:ascii="IRNazanin" w:hAnsi="IRNazanin" w:eastAsia="IRNazanin"/>
          <w:color w:val="111111"/>
          <w:sz w:val="28"/>
          <w:sz w:val="28"/>
          <w:szCs w:val="28"/>
          <w:rtl w:val="true"/>
          <w:lang w:bidi="fa-IR"/>
        </w:rPr>
        <w:t>والعمل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383"/>
      </w:r>
      <w:r>
        <w:rPr>
          <w:rFonts w:ascii="IRNazanin" w:hAnsi="IRNazanin" w:eastAsia="IRNazanin"/>
          <w:color w:val="111111"/>
          <w:sz w:val="28"/>
          <w:sz w:val="28"/>
          <w:szCs w:val="28"/>
          <w:rtl w:val="true"/>
          <w:lang w:bidi="fa-IR"/>
        </w:rPr>
        <w:t xml:space="preserve">تظهر فائدة الخلاف لو جعلنا عدّة الأمة فی الوفاة نصف عدّة الحرّة کما سلف </w:t>
      </w:r>
      <w:r>
        <w:rPr>
          <w:rStyle w:val="FootnoteAnchor"/>
          <w:rtl w:val="true"/>
        </w:rPr>
        <w:footnoteReference w:id="1384"/>
      </w:r>
      <w:r>
        <w:rPr>
          <w:rFonts w:ascii="IRNazanin" w:hAnsi="IRNazanin" w:eastAsia="IRNazanin"/>
          <w:color w:val="111111"/>
          <w:sz w:val="28"/>
          <w:sz w:val="28"/>
          <w:szCs w:val="28"/>
          <w:rtl w:val="true"/>
          <w:lang w:bidi="fa-IR"/>
        </w:rPr>
        <w:t>ولو جعلناها کالحرّة فلا إشکال هنا فی عدّة الوفاة للذمّیّة، ویبقی الکلام مع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وتعتدّ اُمّ الولد من وفاة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مولاها قد زوّجها من غیره بعد أن صارت اُمّ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حین وفاته مزوّجاً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إسحاق بن عمّار عن الکاظم علیه السلام فی الأمة یموت سیّدها،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عدّة المتوفّی عنها زوجها</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عدّة علیها من وفاة سیّدها؛ لأنّها لیست زوجة کغیرها من إمائه الموطوءات من غیر ولد، فإنّ عدّتهنّ من وفاة المولی الواطئ قرء واحد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القول </w:t>
      </w:r>
      <w:r>
        <w:rPr>
          <w:rStyle w:val="FootnoteAnchor"/>
          <w:rtl w:val="true"/>
        </w:rPr>
        <w:footnoteReference w:id="1387"/>
      </w:r>
      <w:r>
        <w:rPr>
          <w:rFonts w:ascii="IRNazanin" w:hAnsi="IRNazanin" w:eastAsia="IRNazanin"/>
          <w:color w:val="111111"/>
          <w:sz w:val="28"/>
          <w:sz w:val="28"/>
          <w:szCs w:val="28"/>
          <w:rtl w:val="true"/>
          <w:lang w:bidi="fa-IR"/>
        </w:rPr>
        <w:t>لیس ببعید لمن لم یعمل بالخبر الموثَّق، فإنّ خبر إسحاق</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سیّدها وهی مزوّجة من غیره فلا عدّة علیها قطعاً ولا استبراء، وکذا لو مات سیّدها قبل انقضاء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مات بعدها وقبل دخوله ففی اعتدادها منه أو استبرائها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النصّ </w:t>
      </w:r>
      <w:r>
        <w:rPr>
          <w:rStyle w:val="FootnoteAnchor"/>
          <w:rtl w:val="true"/>
        </w:rPr>
        <w:footnoteReference w:id="1388"/>
      </w:r>
      <w:r>
        <w:rPr>
          <w:rFonts w:ascii="IRNazanin" w:hAnsi="IRNazanin" w:eastAsia="IRNazanin"/>
          <w:color w:val="111111"/>
          <w:sz w:val="28"/>
          <w:sz w:val="28"/>
          <w:szCs w:val="28"/>
          <w:rtl w:val="true"/>
          <w:lang w:bidi="fa-IR"/>
        </w:rPr>
        <w:t xml:space="preserve">باعتداد اُمّ الولد من سیّدها، وانتفاء حکمة العدّة والاستبراء، لعدم الدخول، وسقوط حکم السابق </w:t>
      </w:r>
      <w:r>
        <w:rPr>
          <w:rStyle w:val="FootnoteAnchor"/>
          <w:rtl w:val="true"/>
        </w:rPr>
        <w:footnoteReference w:id="1389"/>
      </w:r>
      <w:r>
        <w:rPr>
          <w:rFonts w:ascii="IRNazanin" w:hAnsi="IRNazanin" w:eastAsia="IRNazanin"/>
          <w:color w:val="111111"/>
          <w:sz w:val="28"/>
          <w:sz w:val="28"/>
          <w:szCs w:val="28"/>
          <w:rtl w:val="true"/>
          <w:lang w:bidi="fa-IR"/>
        </w:rPr>
        <w:t xml:space="preserve">بتوسّط التزویج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أعتق السیّد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الموطوءة سواء کانت اُمّ ولد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فثلاثة </w:t>
      </w:r>
      <w:r>
        <w:rPr>
          <w:rStyle w:val="FootnoteAnchor"/>
          <w:rtl w:val="true"/>
        </w:rPr>
        <w:footnoteReference w:id="1390"/>
      </w: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لوطئه إن کانت من ذوات الحیض، وإلّا فثلاثة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بحدوث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الناقل بأیّ وجه کان من وجوه الملک إن کان قد وطئ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تحیض، أو بخمسة وأربعین یوماً إذا کانت لا تحیض وهی فی سنّ من تحیض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بالاستبراء ترک وطئها قبلاً ودبراً فی المدّة المذکورة، دون غیره من وجوه الاستمتاع، وقد تقدّم البحث فی ذلک مستوفی </w:t>
      </w:r>
      <w:r>
        <w:rPr>
          <w:rStyle w:val="FootnoteAnchor"/>
          <w:rtl w:val="true"/>
        </w:rPr>
        <w:footnoteReference w:id="1392"/>
      </w:r>
      <w:r>
        <w:rPr>
          <w:rFonts w:ascii="IRNazanin" w:hAnsi="IRNazanin" w:eastAsia="IRNazanin"/>
          <w:color w:val="111111"/>
          <w:sz w:val="28"/>
          <w:sz w:val="28"/>
          <w:szCs w:val="28"/>
          <w:rtl w:val="true"/>
          <w:lang w:bidi="fa-IR"/>
        </w:rPr>
        <w:t>وما یسقط معه الاستبراء فی باب البیع، فلا حاجة إلی الإعادة فی الإفادة</w:t>
      </w:r>
      <w:r>
        <w:rPr>
          <w:rFonts w:eastAsia="IRNazanin" w:cs="IRNazanin"/>
          <w:color w:val="111111"/>
          <w:sz w:val="28"/>
          <w:szCs w:val="28"/>
          <w:rtl w:val="true"/>
          <w:lang w:bidi="fa-IR"/>
        </w:rPr>
        <w:t>.</w:t>
      </w:r>
      <w:bookmarkStart w:id="503" w:name="pg19810_214583"/>
    </w:p>
    <w:p>
      <w:pPr>
        <w:pStyle w:val="Heading3"/>
        <w:numPr>
          <w:ilvl w:val="2"/>
          <w:numId w:val="1"/>
        </w:numPr>
        <w:rPr/>
      </w:pPr>
      <w:bookmarkStart w:id="504" w:name="__RefHeading___Toc2175631_2314609296"/>
      <w:bookmarkStart w:id="505" w:name="_Toc190"/>
      <w:bookmarkEnd w:id="503"/>
      <w:bookmarkEnd w:id="504"/>
      <w:r>
        <w:rPr>
          <w:rtl w:val="true"/>
        </w:rPr>
        <w:t>«</w:t>
      </w:r>
      <w:r>
        <w:rPr>
          <w:rtl w:val="true"/>
        </w:rPr>
        <w:t>الفصل الرابع</w:t>
      </w:r>
      <w:r>
        <w:rPr>
          <w:rtl w:val="true"/>
        </w:rPr>
        <w:t>»</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العدّة الرجعیّة </w:t>
      </w:r>
      <w:r>
        <w:rPr>
          <w:rStyle w:val="FootnoteAnchor"/>
          <w:rtl w:val="true"/>
        </w:rPr>
        <w:footnoteReference w:id="1393"/>
      </w:r>
      <w:r>
        <w:rPr>
          <w:rFonts w:ascii="IRNazanin" w:hAnsi="IRNazanin" w:eastAsia="IRNazanin"/>
          <w:color w:val="111111"/>
          <w:sz w:val="28"/>
          <w:sz w:val="28"/>
          <w:szCs w:val="28"/>
          <w:rtl w:val="true"/>
          <w:lang w:bidi="fa-IR"/>
        </w:rPr>
        <w:t>کما کان فی صُلب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شروطاً وکمّیّةً وکیفیّةً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علیها الخروج من منزل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المنزل الذی طلّقت وهی فیه إذا کان مسکن أمثالها وإن لم یکن مسکنها الأوّل، فإن کان دون حقّها فلها طلب المناسب، أو فوقه فله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یحرم الخروج مع الاختیار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بین منزل الحضریّة والبدویّة والبرّیّة والبحریّة، ولو اضطرّت إلیه لحاجة خرجت بعد انتصاف اللیل وعادت قبل الفجر مع تأدّیها بذلک، وإلّا خرجت بحسب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فی تحریم الخروج بین اتّفاقهما علیه وعدمه علی الأقوی؛ لأنّ ذلک حقّ اللّٰه تعالی 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بُیُوتِهِنَّ وَ لاٰ یَخْرُجْنَ</w:t>
      </w:r>
      <w:r>
        <w:rPr>
          <w:rFonts w:eastAsia="Amiri" w:cs="Amiri" w:ascii="Amiri" w:hAnsi="Amiri"/>
          <w:color w:val="111111"/>
          <w:sz w:val="28"/>
          <w:szCs w:val="28"/>
          <w:rtl w:val="true"/>
          <w:lang w:bidi="ar-SA"/>
        </w:rPr>
        <w:t xml:space="preserve">) </w:t>
      </w:r>
      <w:r>
        <w:rPr>
          <w:rStyle w:val="FootnoteAnchor"/>
          <w:rtl w:val="true"/>
        </w:rPr>
        <w:footnoteReference w:id="1394"/>
      </w:r>
      <w:r>
        <w:rPr>
          <w:rFonts w:ascii="IRNazanin" w:hAnsi="IRNazanin" w:eastAsia="IRNazanin"/>
          <w:color w:val="111111"/>
          <w:sz w:val="28"/>
          <w:sz w:val="28"/>
          <w:szCs w:val="28"/>
          <w:rtl w:val="true"/>
          <w:lang w:bidi="fa-IR"/>
        </w:rPr>
        <w:t>بخلاف زمن الزوجیّة، فإنّ الحقّ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التحریر جوازه بإذنه </w:t>
      </w:r>
      <w:r>
        <w:rPr>
          <w:rStyle w:val="FootnoteAnchor"/>
          <w:rtl w:val="true"/>
        </w:rPr>
        <w:footnoteReference w:id="1395"/>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تکن حالَ الطلاق فی مسکن وجب العود إلیه علی الفور، إلّاأن تکون فی واجب کحجّ فتتمّه کما یجوز لها ابتداؤه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فی سفر مباح أو مندوب، ففی وجوب العود إن أمکن إدراکها جزءاً من العدّة، أو مطلقاً أو تتخیّر بینه وبین الاعتداد فی السفر،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النهی عن الخروج من بیتها فیجب علیها تحصیل الکون به، ومن عدم صدق النهی هنا لأنّها غیر مستوطنة، وللمشقّة فی العود وانتفاء الفائدة حیث لا تدرک جزءاً من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مع إمکان الرجوع وعدم الضرورة إلی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یحرم علیها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لتعلّق النهی بهما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یَأْتِینَ بِفٰاحِشَةٍ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بها الحدّ، أو تؤذی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أو الفعل، فتُخرج فی الأوّل لإقامته ثمّ تردّ إلیه عاجلاً، وفی الثانی تخرج إلی مسکن آخر یناسب حالها من غیر عود إن لم تتب، وإلّا فوجهان، أجودهما جواز إبقائها فی الثانی؛ للإذن فی الإخراج معها مطلقاً، ولعدم الوثوق بتوبتها؛ لنقصان عقلها ودینها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الردّ، فإن استمرّت علیها وإلّا اُخرجت، وهکذا</w:t>
      </w:r>
      <w:r>
        <w:rPr>
          <w:rFonts w:eastAsia="IRNazanin" w:cs="IRNazanin"/>
          <w:color w:val="111111"/>
          <w:sz w:val="28"/>
          <w:szCs w:val="28"/>
          <w:rtl w:val="true"/>
          <w:lang w:bidi="fa-IR"/>
        </w:rPr>
        <w:t>. .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تفسیر الفاحشة فی العبارة بالأوّل هو ظاهر الآیة </w:t>
      </w:r>
      <w:r>
        <w:rPr>
          <w:rStyle w:val="FootnoteAnchor"/>
          <w:rtl w:val="true"/>
        </w:rPr>
        <w:footnoteReference w:id="1396"/>
      </w:r>
      <w:r>
        <w:rPr>
          <w:rFonts w:ascii="Amiri" w:hAnsi="Amiri" w:eastAsia="Amiri" w:cs="Amiri"/>
          <w:color w:val="111111"/>
          <w:sz w:val="28"/>
          <w:sz w:val="28"/>
          <w:szCs w:val="28"/>
          <w:rtl w:val="true"/>
          <w:lang w:bidi="ar-SA"/>
        </w:rPr>
        <w:t xml:space="preserve">ومدلولها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Style w:val="FootnoteAnchor"/>
          <w:rtl w:val="true"/>
        </w:rPr>
        <w:footnoteReference w:id="1397"/>
      </w:r>
      <w:r>
        <w:rPr>
          <w:rFonts w:ascii="IRNazanin" w:hAnsi="IRNazanin" w:eastAsia="IRNazanin"/>
          <w:color w:val="111111"/>
          <w:sz w:val="28"/>
          <w:sz w:val="28"/>
          <w:szCs w:val="28"/>
          <w:rtl w:val="true"/>
          <w:lang w:bidi="fa-IR"/>
        </w:rPr>
        <w:t>ما هو 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ففیه روایتان مرسلتان </w:t>
      </w:r>
      <w:r>
        <w:rPr>
          <w:rStyle w:val="FootnoteAnchor"/>
          <w:rtl w:val="true"/>
        </w:rPr>
        <w:footnoteReference w:id="1398"/>
      </w:r>
      <w:r>
        <w:rPr>
          <w:rFonts w:ascii="IRNazanin" w:hAnsi="IRNazanin" w:eastAsia="IRNazanin"/>
          <w:color w:val="111111"/>
          <w:sz w:val="28"/>
          <w:sz w:val="28"/>
          <w:szCs w:val="28"/>
          <w:rtl w:val="true"/>
          <w:lang w:bidi="fa-IR"/>
        </w:rPr>
        <w:t>والآیة غیر ظاهرة</w:t>
      </w:r>
    </w:p>
    <w:p>
      <w:pPr>
        <w:pStyle w:val="BookText"/>
        <w:rPr/>
      </w:pPr>
      <w:r>
        <w:rPr>
          <w:rFonts w:ascii="IRNazanin" w:hAnsi="IRNazanin" w:eastAsia="IRNazanin"/>
          <w:color w:val="111111"/>
          <w:sz w:val="28"/>
          <w:sz w:val="28"/>
          <w:szCs w:val="28"/>
          <w:rtl w:val="true"/>
          <w:lang w:bidi="fa-IR"/>
        </w:rPr>
        <w:t>فیه، لکنّه 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وتردّد فی المختلف </w:t>
      </w:r>
      <w:r>
        <w:rPr>
          <w:rStyle w:val="FootnoteAnchor"/>
          <w:rtl w:val="true"/>
        </w:rPr>
        <w:footnoteReference w:id="1399"/>
      </w:r>
      <w:r>
        <w:rPr>
          <w:rFonts w:ascii="IRNazanin" w:hAnsi="IRNazanin" w:eastAsia="IRNazanin"/>
          <w:color w:val="111111"/>
          <w:sz w:val="28"/>
          <w:sz w:val="28"/>
          <w:szCs w:val="28"/>
          <w:rtl w:val="true"/>
          <w:lang w:bidi="fa-IR"/>
        </w:rPr>
        <w:t>لما ذکرناه، وله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الإنفاق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الرجعیّة علی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علی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أرسلها مولاها لیلاً ونهاراً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لیتحقّق به تمام التمکین، کما یشترط ذلک فی وجوب الإنفاق علیها قبل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منعها لیلاً أو نهاراً أو بعض واحد منهما فلا نفقة لها ولا سکنی، لکن لا یحرم علیه إمساکها نهاراً للخدمة وإن توقّفت علیه النفقة، وإنّما یجب علیه إرسالها لیلاً، وکذا الحکم قبل 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نفقة للبائن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 تکون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لها النفقة والسُکنی حتّی تضع؛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 أُولاٰتِ حَمْلٍ فَأَنْفِقُوا عَلَیْهِنَّ حَتّٰی یَضَعْنَ حَمْلَهُنَّ</w:t>
      </w:r>
      <w:r>
        <w:rPr>
          <w:rFonts w:eastAsia="Amiri" w:cs="Amiri" w:ascii="Amiri" w:hAnsi="Amiri"/>
          <w:color w:val="111111"/>
          <w:sz w:val="28"/>
          <w:szCs w:val="28"/>
          <w:rtl w:val="true"/>
          <w:lang w:bidi="ar-SA"/>
        </w:rPr>
        <w:t xml:space="preserve">) </w:t>
      </w:r>
      <w:r>
        <w:rPr>
          <w:rStyle w:val="FootnoteAnchor"/>
          <w:rtl w:val="true"/>
        </w:rPr>
        <w:footnoteReference w:id="1400"/>
      </w:r>
      <w:r>
        <w:rPr>
          <w:rFonts w:ascii="IRNazanin" w:hAnsi="IRNazanin" w:eastAsia="IRNazanin"/>
          <w:color w:val="111111"/>
          <w:sz w:val="28"/>
          <w:sz w:val="28"/>
          <w:szCs w:val="28"/>
          <w:rtl w:val="true"/>
          <w:lang w:bidi="fa-IR"/>
        </w:rPr>
        <w:t xml:space="preserve">ولا شبهة فی کون النفقة بسبب الحمل، لکن هل هی له أو لها؟ قولان أشهرهما الأوّل </w:t>
      </w:r>
      <w:r>
        <w:rPr>
          <w:rStyle w:val="FootnoteAnchor"/>
          <w:rtl w:val="true"/>
        </w:rPr>
        <w:footnoteReference w:id="1401"/>
      </w:r>
      <w:r>
        <w:rPr>
          <w:rFonts w:ascii="Amiri" w:hAnsi="Amiri" w:eastAsia="Amiri" w:cs="Amiri"/>
          <w:color w:val="111111"/>
          <w:sz w:val="28"/>
          <w:sz w:val="28"/>
          <w:szCs w:val="28"/>
          <w:rtl w:val="true"/>
          <w:lang w:bidi="ar-SA"/>
        </w:rPr>
        <w:t>للدوران وجوداً وعدماً کالزوجیّة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الثانی أ نّها لو کانت للولد لسقطت عن الأب بیساره کما لو ورث أخاه لأبیه وأبوه قاتل لا یرث ولا وارث غیر الحمل، ولوجبت علی الجدّ مع فقر الأب، لکن التالی فیهما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واُجیب بمنع بطلانه فیهما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وتظهر فائدة القولین فی مواضع</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الحرّ أمةً شرط مولاها رقّ الولد وجوّزناه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العبد إذا</w:t>
      </w:r>
    </w:p>
    <w:p>
      <w:pPr>
        <w:pStyle w:val="BookText"/>
        <w:rPr/>
      </w:pPr>
      <w:r>
        <w:rPr>
          <w:rFonts w:ascii="IRNazanin" w:hAnsi="IRNazanin" w:eastAsia="IRNazanin"/>
          <w:color w:val="111111"/>
          <w:sz w:val="28"/>
          <w:sz w:val="28"/>
          <w:szCs w:val="28"/>
          <w:rtl w:val="true"/>
          <w:lang w:bidi="fa-IR"/>
        </w:rPr>
        <w:t>تزوّج أمة أو حرّة وشرط مولاه الانفراد برقّ الولد، فإن جعلناها للحمل فلا نفقة 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الأوّل فلأ نّه ملک لغیره، وأمّا فی الثانی فلأنّ العبد لا یجب علیه نفقة 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جعلناها للحامل وجبت، وهو فی الأوّل ظاهر، وفی الآخر </w:t>
      </w:r>
      <w:r>
        <w:rPr>
          <w:rStyle w:val="FootnoteAnchor"/>
          <w:rtl w:val="true"/>
        </w:rPr>
        <w:footnoteReference w:id="1403"/>
      </w:r>
      <w:r>
        <w:rPr>
          <w:rFonts w:ascii="IRNazanin" w:hAnsi="IRNazanin" w:eastAsia="IRNazanin"/>
          <w:color w:val="111111"/>
          <w:sz w:val="28"/>
          <w:sz w:val="28"/>
          <w:szCs w:val="28"/>
          <w:rtl w:val="true"/>
          <w:lang w:bidi="fa-IR"/>
        </w:rPr>
        <w:t>فی کسب العبد أو ذمّة مولاه،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أیضاً فیما لو کان النکاح فاسداً والزوج حرّاً، فمن جعل النفقة لها نفاها هنا؛ إذ لا نفقة للمعتدّة عن غیر نکاح له حرمة، ومن جعلها للحمل فعلیه؛ لأنّها نفقة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انهدم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طلّقت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مستعاراً، فرجع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مستأجراً انقضت مدّته، أخرجها إلی مسکن یناسبها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تحرّی الأقرب إلی المنتقل عنه فالأقرب، اقتصاراً علی موضع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w:t>
      </w:r>
      <w:r>
        <w:rPr>
          <w:rStyle w:val="FootnoteAnchor"/>
          <w:rtl w:val="true"/>
        </w:rPr>
        <w:footnoteReference w:id="1404"/>
      </w:r>
      <w:r>
        <w:rPr>
          <w:rFonts w:ascii="IRNazanin" w:hAnsi="IRNazanin" w:eastAsia="IRNazanin"/>
          <w:color w:val="111111"/>
          <w:sz w:val="28"/>
          <w:sz w:val="28"/>
          <w:szCs w:val="28"/>
          <w:rtl w:val="true"/>
          <w:lang w:bidi="fa-IR"/>
        </w:rPr>
        <w:t xml:space="preserve">کغیره </w:t>
      </w:r>
      <w:r>
        <w:rPr>
          <w:rStyle w:val="FootnoteAnchor"/>
          <w:rtl w:val="true"/>
        </w:rPr>
        <w:footnoteReference w:id="1405"/>
      </w:r>
      <w:r>
        <w:rPr>
          <w:rFonts w:ascii="IRNazanin" w:hAnsi="IRNazanin" w:eastAsia="IRNazanin"/>
          <w:color w:val="111111"/>
          <w:sz w:val="28"/>
          <w:sz w:val="28"/>
          <w:szCs w:val="28"/>
          <w:rtl w:val="true"/>
          <w:lang w:bidi="fa-IR"/>
        </w:rPr>
        <w:t>أ نّه لا یجب تجدید استئجاره ثانیاً وإن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ببعید وجوبه مع إمکانه، تحصیلاً للواجب بحسب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 فی التحریر بوجوب تحرّی الأقرب </w:t>
      </w:r>
      <w:r>
        <w:rPr>
          <w:rStyle w:val="FootnoteAnchor"/>
          <w:rtl w:val="true"/>
        </w:rPr>
        <w:footnoteReference w:id="1406"/>
      </w:r>
      <w:r>
        <w:rPr>
          <w:rFonts w:ascii="IRNazanin" w:hAnsi="IRNazanin" w:eastAsia="IRNazanin"/>
          <w:color w:val="111111"/>
          <w:sz w:val="28"/>
          <w:sz w:val="28"/>
          <w:szCs w:val="28"/>
          <w:rtl w:val="true"/>
          <w:lang w:bidi="fa-IR"/>
        </w:rPr>
        <w:t>وهو الظاهر، فتحصیل نفسه أولی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طلّقت فی مسکن لا یناسبها أخرجها إلی مسکن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متحرّیاً للأقرب فالأقرب، کما ذکر </w:t>
      </w:r>
      <w:r>
        <w:rPr>
          <w:rStyle w:val="FootnoteAnchor"/>
          <w:rtl w:val="true"/>
        </w:rPr>
        <w:footnoteReference w:id="1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 فورث المسکن جماعة لم یکن</w:t>
      </w:r>
    </w:p>
    <w:p>
      <w:pPr>
        <w:pStyle w:val="BookText"/>
        <w:rPr/>
      </w:pPr>
      <w:r>
        <w:rPr>
          <w:rFonts w:ascii="IRNazanin" w:hAnsi="IRNazanin" w:eastAsia="IRNazanin"/>
          <w:color w:val="111111"/>
          <w:sz w:val="28"/>
          <w:sz w:val="28"/>
          <w:szCs w:val="28"/>
          <w:rtl w:val="true"/>
          <w:lang w:bidi="fa-IR"/>
        </w:rPr>
        <w:t>لهم 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ینافی القسمة سکناها؛ لسبق حقّها إلّامع انقضاء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حاملاً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موته کما هو أحد القولین فی المسألة </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وأشهر الروایتین </w:t>
      </w:r>
      <w:r>
        <w:rPr>
          <w:rStyle w:val="FootnoteAnchor"/>
          <w:rtl w:val="true"/>
        </w:rPr>
        <w:footnoteReference w:id="1409"/>
      </w:r>
      <w:r>
        <w:rPr>
          <w:rFonts w:ascii="IRNazanin" w:hAnsi="IRNazanin" w:eastAsia="IRNazanin"/>
          <w:color w:val="111111"/>
          <w:sz w:val="28"/>
          <w:sz w:val="28"/>
          <w:szCs w:val="28"/>
          <w:rtl w:val="true"/>
          <w:lang w:bidi="fa-IR"/>
        </w:rPr>
        <w:t>أ نّه لا نفقة للمتوفّی عنها ولا سکنی مطلقاً، فیبطل حقّها من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فی المختلف بین الأخبار بوجوب نفقتها من مال الولد لا من مال المتوفّی </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 حاملاً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سکنی للحامل المتوفّی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المانع منها حینئذٍ</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وتعتدّ زوجة الحاضر من حین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للعدّة من طلاق أو فسخ وإن لم تعلم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وزوجة الغائب فی الوفاة من حین بلوغ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بموته وإن لم یثبت شرعاً، لکن لا یجوز لها التزویج إلّابعد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الطلاق من حین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مع النصّ </w:t>
      </w:r>
      <w:r>
        <w:rPr>
          <w:rStyle w:val="FootnoteAnchor"/>
          <w:rtl w:val="true"/>
        </w:rPr>
        <w:footnoteReference w:id="1411"/>
      </w:r>
      <w:r>
        <w:rPr>
          <w:rFonts w:ascii="IRNazanin" w:hAnsi="IRNazanin" w:eastAsia="IRNazanin"/>
          <w:color w:val="111111"/>
          <w:sz w:val="28"/>
          <w:sz w:val="28"/>
          <w:szCs w:val="28"/>
          <w:rtl w:val="true"/>
          <w:lang w:bidi="fa-IR"/>
        </w:rPr>
        <w:t>ثبوت الحداد علی المتوفّی عنها، ولا یتمّ إلّامع بلوغها الخبر بموته، بخلاف الطلاق، فعلی هذا لو لم یبلغها الطلاق إلّابعد مضیّ مقدار العدّة جاز لها التزویج بعد ثبوته، بخلاف المتوفّی عنها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تشترکان فی الاعتداد من حین بلوغ الخبر </w:t>
      </w:r>
      <w:r>
        <w:rPr>
          <w:rStyle w:val="FootnoteAnchor"/>
          <w:rtl w:val="true"/>
        </w:rPr>
        <w:footnoteReference w:id="1412"/>
      </w:r>
      <w:r>
        <w:rPr>
          <w:rFonts w:ascii="IRNazanin" w:hAnsi="IRNazanin" w:eastAsia="IRNazanin"/>
          <w:color w:val="111111"/>
          <w:sz w:val="28"/>
          <w:sz w:val="28"/>
          <w:szCs w:val="28"/>
          <w:rtl w:val="true"/>
          <w:lang w:bidi="fa-IR"/>
        </w:rPr>
        <w:t xml:space="preserve">وبه روایات </w:t>
      </w:r>
      <w:r>
        <w:rPr>
          <w:rStyle w:val="FootnoteAnchor"/>
          <w:rtl w:val="true"/>
        </w:rPr>
        <w:footnoteReference w:id="1413"/>
      </w:r>
      <w:r>
        <w:rPr>
          <w:rFonts w:ascii="IRNazanin" w:hAnsi="IRNazanin" w:eastAsia="IRNazanin"/>
          <w:color w:val="111111"/>
          <w:sz w:val="28"/>
          <w:sz w:val="28"/>
          <w:szCs w:val="28"/>
          <w:rtl w:val="true"/>
          <w:lang w:bidi="fa-IR"/>
        </w:rPr>
        <w:t xml:space="preserve">والأشهر الأوّل، ولو لم نوجب الحداد علی الأمة فهی کالمطلّقة، عملاً بالعلّة المنصوصة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bookmarkStart w:id="506" w:name="pg19810_214589"/>
    </w:p>
    <w:p>
      <w:pPr>
        <w:pStyle w:val="Heading2"/>
        <w:numPr>
          <w:ilvl w:val="1"/>
          <w:numId w:val="1"/>
        </w:numPr>
        <w:rPr/>
      </w:pPr>
      <w:bookmarkStart w:id="507" w:name="__RefHeading___Toc2175633_2314609296"/>
      <w:bookmarkStart w:id="508" w:name="_Toc191"/>
      <w:bookmarkEnd w:id="506"/>
      <w:bookmarkEnd w:id="507"/>
      <w:r>
        <w:rPr>
          <w:rtl w:val="true"/>
        </w:rPr>
        <w:t>کتاب الخلع والمبارة</w:t>
      </w:r>
      <w:bookmarkEnd w:id="50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9" w:name="__RefHeading___Toc2175635_2314609296"/>
      <w:bookmarkStart w:id="510" w:name="_Toc192"/>
      <w:bookmarkEnd w:id="509"/>
      <w:r>
        <w:rPr>
          <w:rtl w:val="true"/>
        </w:rPr>
        <w:t>اشارة</w:t>
      </w:r>
      <w:bookmarkStart w:id="511" w:name="pg19810_214591"/>
      <w:bookmarkEnd w:id="510"/>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الخلع والمباراة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طلاق بعوض مقصود، لازم لجهة الزوج، ویفترقان باُمورٍ 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والخلع بالضمّ اسم لذلک مأخوذ منه بالفتح، استعارة من خلع الثوب وهو نزعه؛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w:t>
      </w:r>
      <w:r>
        <w:rPr>
          <w:rFonts w:eastAsia="IRNazanin" w:cs="IRNazanin"/>
          <w:color w:val="111111"/>
          <w:sz w:val="28"/>
          <w:szCs w:val="28"/>
          <w:rtl w:val="true"/>
          <w:lang w:bidi="fa-IR"/>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2175637_2314609296"/>
      <w:bookmarkStart w:id="513" w:name="_Toc193"/>
      <w:bookmarkEnd w:id="512"/>
      <w:r>
        <w:rPr>
          <w:rtl w:val="true"/>
        </w:rPr>
        <w:t>[</w:t>
      </w:r>
      <w:r>
        <w:rPr>
          <w:rtl w:val="true"/>
        </w:rPr>
        <w:t xml:space="preserve">صیغة الخلع </w:t>
      </w:r>
      <w:r>
        <w:rPr>
          <w:rtl w:val="true"/>
        </w:rPr>
        <w:t>]</w:t>
      </w:r>
      <w:bookmarkEnd w:id="51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وصیغة الخلع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خلعتکِ </w:t>
      </w:r>
      <w:r>
        <w:rPr>
          <w:rStyle w:val="FootnoteAnchor"/>
          <w:rtl w:val="true"/>
        </w:rPr>
        <w:footnoteReference w:id="1416"/>
      </w:r>
      <w:r>
        <w:rPr>
          <w:rFonts w:ascii="IRNazanin" w:hAnsi="IRNazanin" w:eastAsia="IRNazanin"/>
          <w:color w:val="111111"/>
          <w:sz w:val="28"/>
          <w:sz w:val="28"/>
          <w:szCs w:val="28"/>
          <w:rtl w:val="true"/>
          <w:lang w:bidi="fa-IR"/>
        </w:rPr>
        <w:t>علی کذا، أو أنت مختلعة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کذا أو خلعت فلانة أو هی مختلعة علی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یتبعه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الفور ویقول </w:t>
      </w:r>
      <w:r>
        <w:rPr>
          <w:rStyle w:val="FootnoteAnchor"/>
          <w:rtl w:val="true"/>
        </w:rPr>
        <w:footnoteReference w:id="1417"/>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طالق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القول الأقوی </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موسی ابن بکر </w:t>
      </w:r>
      <w:r>
        <w:rPr>
          <w:rStyle w:val="FootnoteAnchor"/>
          <w:rtl w:val="true"/>
        </w:rPr>
        <w:footnoteReference w:id="1419"/>
      </w:r>
      <w:r>
        <w:rPr>
          <w:rFonts w:ascii="IRNazanin" w:hAnsi="IRNazanin" w:eastAsia="IRNazanin"/>
          <w:color w:val="111111"/>
          <w:sz w:val="28"/>
          <w:sz w:val="28"/>
          <w:szCs w:val="28"/>
          <w:rtl w:val="true"/>
          <w:lang w:bidi="fa-IR"/>
        </w:rPr>
        <w:t>عن الکاظم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یتبعها بالطلاق ما دامت فی عدّتها</w:t>
      </w:r>
      <w:r>
        <w:rPr>
          <w:rFonts w:eastAsia="IRNazanin" w:cs="IRNazanin"/>
          <w:color w:val="111111"/>
          <w:sz w:val="28"/>
          <w:szCs w:val="28"/>
          <w:rtl w:val="true"/>
          <w:lang w:bidi="fa-IR"/>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بمجرّده من غیر إتباعه به، ذهب إلیه المرتضی </w:t>
      </w:r>
      <w:r>
        <w:rPr>
          <w:rStyle w:val="FootnoteAnchor"/>
          <w:rtl w:val="true"/>
        </w:rPr>
        <w:footnoteReference w:id="1421"/>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422"/>
      </w:r>
      <w:r>
        <w:rPr>
          <w:rFonts w:ascii="IRNazanin" w:hAnsi="IRNazanin" w:eastAsia="IRNazanin"/>
          <w:color w:val="111111"/>
          <w:sz w:val="28"/>
          <w:sz w:val="28"/>
          <w:szCs w:val="28"/>
          <w:rtl w:val="true"/>
          <w:lang w:bidi="fa-IR"/>
        </w:rPr>
        <w:t xml:space="preserve">وتبعهما العلّامة فی المختلف والتحریر </w:t>
      </w:r>
      <w:r>
        <w:rPr>
          <w:rStyle w:val="FootnoteAnchor"/>
          <w:rtl w:val="true"/>
        </w:rPr>
        <w:footnoteReference w:id="1423"/>
      </w:r>
      <w:r>
        <w:rPr>
          <w:rFonts w:ascii="IRNazanin" w:hAnsi="IRNazanin" w:eastAsia="IRNazanin"/>
          <w:color w:val="111111"/>
          <w:sz w:val="28"/>
          <w:sz w:val="28"/>
          <w:szCs w:val="28"/>
          <w:rtl w:val="true"/>
          <w:lang w:bidi="fa-IR"/>
        </w:rPr>
        <w:t xml:space="preserve">والمصنّف فی شرح الإرشاد </w:t>
      </w:r>
      <w:r>
        <w:rPr>
          <w:rStyle w:val="FootnoteAnchor"/>
          <w:rtl w:val="true"/>
        </w:rPr>
        <w:footnoteReference w:id="1424"/>
      </w:r>
      <w:r>
        <w:rPr>
          <w:rFonts w:ascii="IRNazanin" w:hAnsi="IRNazanin" w:eastAsia="IRNazanin"/>
          <w:color w:val="111111"/>
          <w:sz w:val="28"/>
          <w:sz w:val="28"/>
          <w:szCs w:val="28"/>
          <w:rtl w:val="true"/>
          <w:lang w:bidi="fa-IR"/>
        </w:rPr>
        <w:t xml:space="preserve">لصحیحة محمّد بن إسماعیل </w:t>
      </w:r>
      <w:r>
        <w:rPr>
          <w:rStyle w:val="FootnoteAnchor"/>
          <w:rtl w:val="true"/>
        </w:rPr>
        <w:footnoteReference w:id="1425"/>
      </w:r>
      <w:r>
        <w:rPr>
          <w:rFonts w:ascii="IRNazanin" w:hAnsi="IRNazanin" w:eastAsia="IRNazanin"/>
          <w:color w:val="111111"/>
          <w:sz w:val="28"/>
          <w:sz w:val="28"/>
          <w:szCs w:val="28"/>
          <w:rtl w:val="true"/>
          <w:lang w:bidi="fa-IR"/>
        </w:rPr>
        <w:t>بن بزیع أ نّه قال للرضا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 أ نّها لا تبین حتّی یتبعها بالطلاق؛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إذن خلع </w:t>
      </w:r>
      <w:r>
        <w:rPr>
          <w:rStyle w:val="FootnoteAnchor"/>
          <w:rtl w:val="true"/>
        </w:rPr>
        <w:footnoteReference w:id="1426"/>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427"/>
      </w:r>
      <w:r>
        <w:rPr>
          <w:rFonts w:ascii="IRNazanin" w:hAnsi="IRNazanin" w:eastAsia="IRNazanin"/>
          <w:color w:val="111111"/>
          <w:sz w:val="28"/>
          <w:sz w:val="28"/>
          <w:szCs w:val="28"/>
          <w:rtl w:val="true"/>
          <w:lang w:bidi="fa-IR"/>
        </w:rPr>
        <w:t xml:space="preserve">وغیرها من الأخبار </w:t>
      </w:r>
      <w:r>
        <w:rPr>
          <w:rStyle w:val="FootnoteAnchor"/>
          <w:rtl w:val="true"/>
        </w:rPr>
        <w:footnoteReference w:id="1428"/>
      </w:r>
      <w:r>
        <w:rPr>
          <w:rFonts w:ascii="IRNazanin" w:hAnsi="IRNazanin" w:eastAsia="IRNazanin"/>
          <w:color w:val="111111"/>
          <w:sz w:val="28"/>
          <w:sz w:val="28"/>
          <w:szCs w:val="28"/>
          <w:rtl w:val="true"/>
          <w:lang w:bidi="fa-IR"/>
        </w:rPr>
        <w:t xml:space="preserve">والخبر السابق ضعیف السند </w:t>
      </w:r>
      <w:r>
        <w:rPr>
          <w:rStyle w:val="FootnoteAnchor"/>
          <w:rtl w:val="true"/>
        </w:rPr>
        <w:footnoteReference w:id="1429"/>
      </w:r>
      <w:r>
        <w:rPr>
          <w:rFonts w:ascii="IRNazanin" w:hAnsi="IRNazanin" w:eastAsia="IRNazanin"/>
          <w:color w:val="111111"/>
          <w:sz w:val="28"/>
          <w:sz w:val="28"/>
          <w:szCs w:val="28"/>
          <w:rtl w:val="true"/>
          <w:lang w:bidi="fa-IR"/>
        </w:rPr>
        <w:t>مع إمکان حمله علی الأفضلیّة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ومخالفته لمذهب العامّة فیکون أبعد عن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المصیر إلیه وترک الأخبار الصحیحة وهو علی ما وصفناه، فالقول الثانی أصحّ</w:t>
      </w:r>
      <w:r>
        <w:rPr>
          <w:rFonts w:eastAsia="IRNazanin" w:cs="IRNazanin"/>
          <w:color w:val="111111"/>
          <w:sz w:val="28"/>
          <w:szCs w:val="28"/>
          <w:rtl w:val="true"/>
          <w:lang w:bidi="fa-IR"/>
        </w:rPr>
        <w:t>.</w:t>
      </w:r>
      <w:bookmarkStart w:id="514" w:name="pg19810_214593"/>
    </w:p>
    <w:p>
      <w:pPr>
        <w:pStyle w:val="BookText"/>
        <w:rPr/>
      </w:pPr>
      <w:bookmarkEnd w:id="514"/>
      <w:r>
        <w:rPr>
          <w:rFonts w:ascii="IRNazanin" w:hAnsi="IRNazanin" w:eastAsia="IRNazanin"/>
          <w:color w:val="111111"/>
          <w:sz w:val="28"/>
          <w:sz w:val="28"/>
          <w:szCs w:val="28"/>
          <w:rtl w:val="true"/>
          <w:lang w:bidi="fa-IR"/>
        </w:rPr>
        <w:t xml:space="preserve">ثمّ إن اعتبرنا إتباعه بالطلاق فلا شبهة فی عدّه طلاقاً، وعلی القول الآخر هل یکون فسخاً، أو طلاقاً؟ قولان أصحّهما الثانی </w:t>
      </w:r>
      <w:r>
        <w:rPr>
          <w:rStyle w:val="FootnoteAnchor"/>
          <w:rtl w:val="true"/>
        </w:rPr>
        <w:footnoteReference w:id="1430"/>
      </w:r>
      <w:r>
        <w:rPr>
          <w:rFonts w:ascii="IRNazanin" w:hAnsi="IRNazanin" w:eastAsia="IRNazanin"/>
          <w:color w:val="111111"/>
          <w:sz w:val="28"/>
          <w:sz w:val="28"/>
          <w:szCs w:val="28"/>
          <w:rtl w:val="true"/>
          <w:lang w:bidi="fa-IR"/>
        </w:rPr>
        <w:t xml:space="preserve">لدلالة الأخبار الکثیرة </w:t>
      </w:r>
      <w:r>
        <w:rPr>
          <w:rStyle w:val="FootnoteAnchor"/>
          <w:rtl w:val="true"/>
        </w:rPr>
        <w:footnoteReference w:id="1431"/>
      </w:r>
      <w:r>
        <w:rPr>
          <w:rFonts w:ascii="IRNazanin" w:hAnsi="IRNazanin" w:eastAsia="IRNazanin"/>
          <w:color w:val="111111"/>
          <w:sz w:val="28"/>
          <w:sz w:val="28"/>
          <w:szCs w:val="28"/>
          <w:rtl w:val="true"/>
          <w:lang w:bidi="fa-IR"/>
        </w:rPr>
        <w:t xml:space="preserve">علیه، فیُعدّ فیها ویفتقر إلی المحلِّل بعد الثلاث </w:t>
      </w:r>
      <w:r>
        <w:rPr>
          <w:rStyle w:val="FootnoteAnchor"/>
          <w:rtl w:val="true"/>
        </w:rPr>
        <w:footnoteReference w:id="1432"/>
      </w:r>
      <w:r>
        <w:rPr>
          <w:rFonts w:ascii="IRNazanin" w:hAnsi="IRNazanin" w:eastAsia="IRNazanin"/>
          <w:color w:val="111111"/>
          <w:sz w:val="28"/>
          <w:sz w:val="28"/>
          <w:szCs w:val="28"/>
          <w:rtl w:val="true"/>
          <w:lang w:bidi="fa-IR"/>
        </w:rPr>
        <w:t>وعلی القولین لا بدّ من قبول المرأة عقیبه بلا فصل معتدّ به، أو تقدّم سؤالها له قبله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أتی بالطلاق مع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سبق سؤالها له أو مع قبولها بعده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 عن لفظ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 فائدته ولم یفتقر إلی ما یفتقر إلیه الخلع من کراهتها له خاصّة؛ لأنّه طلاق بعوض لا خلع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صحّ أن یکون 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المعلوم والمنفعة والتعلیم وغیرها</w:t>
      </w:r>
    </w:p>
    <w:p>
      <w:pPr>
        <w:pStyle w:val="Heading3"/>
        <w:numPr>
          <w:ilvl w:val="2"/>
          <w:numId w:val="1"/>
        </w:numPr>
        <w:rPr/>
      </w:pPr>
      <w:bookmarkStart w:id="515" w:name="__RefHeading___Toc2175639_2314609296"/>
      <w:bookmarkStart w:id="516" w:name="_Toc194"/>
      <w:bookmarkEnd w:id="515"/>
      <w:r>
        <w:rPr>
          <w:rtl w:val="true"/>
        </w:rPr>
        <w:t>[</w:t>
      </w:r>
      <w:r>
        <w:rPr>
          <w:rtl w:val="true"/>
        </w:rPr>
        <w:t>الفدیة و احکامها</w:t>
      </w:r>
      <w:r>
        <w:rPr>
          <w:rtl w:val="true"/>
        </w:rPr>
        <w:t>]</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أن یکون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تقدیر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المجعول فدیة فی طرف الزیادة والنقصان بعد أن یکون متموّلاً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علی أزید ممّا وصل إلیها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 وغیره؛ لأنّ الکراهة منها، فلا یتقدّر علیها فی جانب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بذل الفدیة منها ومن وکیلها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الباذل له من 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یضمنه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زوجتک علی مئة وعلیَّ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الوکیل یبذل من مالها بإذنها، وهذا من ماله بإذنها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یشکل هذا بأ نّه 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وقع مثله صحیحاً فیما لو قال راکب البحر لذی المتاع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متاعک فی البحر وعلیَّ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ضمان ما یُحدثه المشتری من بناء أو غرس علی قول </w:t>
      </w:r>
      <w:r>
        <w:rPr>
          <w:rStyle w:val="FootnoteAnchor"/>
          <w:rtl w:val="true"/>
        </w:rPr>
        <w:footnoteReference w:id="1433"/>
      </w:r>
      <w:r>
        <w:rPr>
          <w:rFonts w:ascii="IRNazanin" w:hAnsi="IRNazanin" w:eastAsia="IRNazanin"/>
          <w:color w:val="111111"/>
          <w:sz w:val="28"/>
          <w:sz w:val="28"/>
          <w:szCs w:val="28"/>
          <w:rtl w:val="true"/>
          <w:lang w:bidi="fa-IR"/>
        </w:rPr>
        <w:t>وفی أخذ الطبیب البراءة قبل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بالبذل من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قولان أقربهما المنع </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الخلع من عقود المعاوضات فلا یجوز لزوم العوض لغیر صاحب المعوَّض کالبیع؛ ولأ نّه تعالی أضاف الفدیة إلیها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عَلَیْهِمٰا فِیمَا اِفْتَدَتْ بِهِ</w:t>
      </w:r>
      <w:r>
        <w:rPr>
          <w:rFonts w:eastAsia="Amiri" w:cs="Amiri" w:ascii="Amiri" w:hAnsi="Amiri"/>
          <w:color w:val="111111"/>
          <w:sz w:val="28"/>
          <w:szCs w:val="28"/>
          <w:rtl w:val="true"/>
          <w:lang w:bidi="ar-SA"/>
        </w:rPr>
        <w:t xml:space="preserve">) </w:t>
      </w:r>
      <w:r>
        <w:rPr>
          <w:rStyle w:val="FootnoteAnchor"/>
          <w:rtl w:val="true"/>
        </w:rPr>
        <w:footnoteReference w:id="1435"/>
      </w:r>
      <w:r>
        <w:rPr>
          <w:rFonts w:ascii="IRNazanin" w:hAnsi="IRNazanin" w:eastAsia="IRNazanin"/>
          <w:color w:val="111111"/>
          <w:sz w:val="28"/>
          <w:sz w:val="28"/>
          <w:szCs w:val="28"/>
          <w:rtl w:val="true"/>
          <w:lang w:bidi="fa-IR"/>
        </w:rPr>
        <w:t>وبذل الوکیل والضامن بإذنها کبذلها، فیبقی المتبرّع علی أصل المنع، ولأصالة بقاء النکاح إلی أن یثبت المزیل، ولو قلنا بمفهوم الخطاب فالمنع أوضح، وحینئذٍ فلا یملک الزوج البذل، ولا یقع الطلاق إن لم یتبع به، فإن اُتبع به کان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افتداء وهو جائز من الأجنبیّ، کما تقع الجعالة منه علی الفعل لغیره وإن کان طلاقاً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الجعالة والبذل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البذل جعل الواقع خلعاً لیترتّب علیه أحکامه المخصوصة، لا مجرّد بذل المال فی مقابلة الفعل، بخلاف الجعالة، فإنّ غرضه وقوع الطلاق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طلّقها وعلیَّ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w:t>
      </w:r>
    </w:p>
    <w:p>
      <w:pPr>
        <w:pStyle w:val="BookText"/>
        <w:rPr/>
      </w:pPr>
      <w:r>
        <w:rPr>
          <w:rFonts w:ascii="IRNazanin" w:hAnsi="IRNazanin" w:eastAsia="IRNazanin"/>
          <w:color w:val="111111"/>
          <w:sz w:val="28"/>
          <w:sz w:val="28"/>
          <w:szCs w:val="28"/>
          <w:rtl w:val="true"/>
          <w:lang w:bidi="fa-IR"/>
        </w:rPr>
        <w:t>صحّته حتّی لا یشترط فی إجابته الفوریّة والمقارنة لسؤاله، بخلاف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بصحّته من الأجنبیّ فهو خلع لفظاً وحکماً، فللأجنبیّ أن یرجع فی البذل ما دامت فی العدّة فللزوج حینئذٍ أن یرجع فی الطلاق، ولیس للزوجة هنا رجوع فی البذل؛ لأنّها لا تملکه، فلا معنی لرجوعها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عدم جواز الرجوع هنا مطلقاً </w:t>
      </w:r>
      <w:r>
        <w:rPr>
          <w:rStyle w:val="FootnoteAnchor"/>
          <w:rtl w:val="true"/>
        </w:rPr>
        <w:footnoteReference w:id="1436"/>
      </w:r>
      <w:r>
        <w:rPr>
          <w:rFonts w:ascii="IRNazanin" w:hAnsi="IRNazanin" w:eastAsia="IRNazanin"/>
          <w:color w:val="111111"/>
          <w:sz w:val="28"/>
          <w:sz w:val="28"/>
          <w:szCs w:val="28"/>
          <w:rtl w:val="true"/>
          <w:lang w:bidi="fa-IR"/>
        </w:rPr>
        <w:t>اقتصاراً فیما خالف الأصل علی موضع الیقین، وهو رجوع الزوجة فیما بذلته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معنی التبرّع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طلّقها علی ألف من مالها وعلیَّ ضمانها، أو علی عبدها هذا کذلک، فلا یقع الخلع ولا یضمن؛ لأنّه ضمان ما لم یجب وإن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فی البحر وعلیَّ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لمسیس الحاجة بحفظ النفس ثَمَّ دون هذا، أو للاتّفاق علی ذاک علی خلاف الأصل، فیقتصر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تلف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المبذول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القبض فعلیها ضمانه،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بمثله إن کان مثلیّاً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قیمیّاً، سواء أتلفته باختیارها أم تلف بآفة من اللّٰه تعالی أم أتلفه أجنبیّ، لکن فی الثالث یتخیّر الزوج بین الرجوع علیها وعلی الأجنبیّ، وترجع هی علی الأجنبیّ لو رجع علیها إن أتلفه بغیر إذنها، ولو عاب فله أرشه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مثله أو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 استحقاقه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لغیرها ولا یبطل الخلع؛ لأصالة الصحّة، والمعاوضة هنا لیست حقیقیّة کما فی البیع، فلا یؤثّر بطلان العوض المعیّن فی بطلانه، بل ینجبر بضمانها المثل أو القیمة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مع علمه باستحقاقه حالة الخلع؛ لقدومه علی معاوضة فاسدة إن لم یُتبعه بالطلاق، ومطلقاً من حیث إنّ العوض لازم لماهیّته، وبطلان اللازم یستلزم بطلان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والمتّجه البطلان مطلقاً إن لم یتبعه بالطلاق، وإلّا وقع رجعیّاً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البذل من الأمة بإذن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أذن فی عین من أعیان ماله تعیّنت، فإن زادت عنها شیئاً من ماله وقف علی إجازته، فإن ردّ بطل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صحّة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ویلزمها مثله أو قیمته تتبع به بعد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بطلانه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بذلت شیئاً من ماله ولم یُجزه، ولو أجاز فکالإذن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أذن فی بذلها فی الذمّة أو من ماله من غیر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عیّن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وکان الحکم مع تخطّیه 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یُعیّن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ینصرف الإذن فی البیع إلی ثمن المثل، نظراً إلی أ نّه فی معنی المعاوضة وإن لم تکن حقیقیّة، ومهر المثل عوض البُضع فیحمل الإطلاق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فی البذل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الخلع فی ذمّتها دون کسبها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تبعت به بعد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عاملها بإقراض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هنا وإن علم بالحال؛ لأنّ العوض صحیح متعلّق بذمّتها وإن امتنع قبضه حالّاً خصوصاً مع علمه بالحکم؛ لقدومه علیه، وثبوت العوض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بذل العین حیث لا یصحّ؛ لخلوّ الخلع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بذلت مع الإطلاق أزید من مهر المثل فالزائد کالمبتدأ بغیر إذن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والمکاتبة المشروطة کالقنّ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فیتعلّق البذل بما فی یدها مع الإذن، وبذمّتها مع عدمه إن کان مطلقاً، وإن کان معیّناً ولم یُجز المولی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صحّة الخلع ولزوم المثل أو القیمة تتبع به الوجهان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فلا اعتراض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مطلقاً، هکذا أطلق الأصحاب </w:t>
      </w:r>
      <w:r>
        <w:rPr>
          <w:rStyle w:val="FootnoteAnchor"/>
          <w:rtl w:val="true"/>
        </w:rPr>
        <w:footnoteReference w:id="1437"/>
      </w:r>
      <w:r>
        <w:rPr>
          <w:rFonts w:ascii="IRNazanin" w:hAnsi="IRNazanin" w:eastAsia="IRNazanin"/>
          <w:color w:val="111111"/>
          <w:sz w:val="28"/>
          <w:sz w:val="28"/>
          <w:szCs w:val="28"/>
          <w:rtl w:val="true"/>
          <w:lang w:bidi="fa-IR"/>
        </w:rPr>
        <w:t xml:space="preserve">تبعاً للشیخ رحمه الله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الفرق نظر؛ لما اتّفقوا علیه فی باب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المکاتب مطلقاً</w:t>
      </w:r>
      <w:bookmarkStart w:id="517" w:name="pg19810_214597"/>
    </w:p>
    <w:p>
      <w:pPr>
        <w:pStyle w:val="BookText"/>
        <w:rPr/>
      </w:pPr>
      <w:bookmarkEnd w:id="517"/>
      <w:r>
        <w:rPr>
          <w:rFonts w:ascii="IRNazanin" w:hAnsi="IRNazanin" w:eastAsia="IRNazanin"/>
          <w:color w:val="111111"/>
          <w:sz w:val="28"/>
          <w:sz w:val="28"/>
          <w:szCs w:val="28"/>
          <w:rtl w:val="true"/>
          <w:lang w:bidi="fa-IR"/>
        </w:rPr>
        <w:t>ممنوع من التصرّف المنافی للاکتساب ومسوَّغ فیه من غیر فرق بینهما، فالفدیة إن کانت غیر 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لأنّ العائد إلیها البضع وهو غیر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فیهما، وإن اعتبر کونه معاوضة وأ نّه کالمال من وجه وجب الحکم بالصحّة فیهما، والأصحاب لم ینقلوا فی ذلک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الشیخ رحمه الله فی المبسوط حکی فی المسألة أقوالاً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مطلقاً، والمنع مطلقاً، واختار التفصیل وجعله الموافق لاُصولنا وتبعه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الأقوال التی نقلها للعامّة، کما هی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تکن المسألة إجماعیّة فالمتّجه عدم الصحّة فیهما إلّابإذن المولی</w:t>
      </w:r>
      <w:r>
        <w:rPr>
          <w:rFonts w:eastAsia="IRNazanin" w:cs="IRNazanin"/>
          <w:color w:val="111111"/>
          <w:sz w:val="28"/>
          <w:szCs w:val="28"/>
          <w:rtl w:val="true"/>
          <w:lang w:bidi="fa-IR"/>
        </w:rPr>
        <w:t>.</w:t>
      </w:r>
    </w:p>
    <w:p>
      <w:pPr>
        <w:pStyle w:val="Heading3"/>
        <w:numPr>
          <w:ilvl w:val="2"/>
          <w:numId w:val="1"/>
        </w:numPr>
        <w:rPr/>
      </w:pPr>
      <w:bookmarkStart w:id="518" w:name="__RefHeading___Toc2175641_2314609296"/>
      <w:bookmarkStart w:id="519" w:name="_Toc195"/>
      <w:bookmarkEnd w:id="518"/>
      <w:r>
        <w:rPr>
          <w:rtl w:val="true"/>
        </w:rPr>
        <w:t>[</w:t>
      </w:r>
      <w:r>
        <w:rPr>
          <w:rtl w:val="true"/>
        </w:rPr>
        <w:t>احکام الخلع</w:t>
      </w:r>
      <w:r>
        <w:rPr>
          <w:rtl w:val="true"/>
        </w:rPr>
        <w:t>]</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یصحّ الخلع إلّامع کراهتها </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طلّقها والأخلاق ملتئمة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تکره بطل البذل ووقع الطلاق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البذل، وقد یکون بائناً من جهة اُخری، ککونها غیر مدخول بها، أو کون الطلقة 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أکرهها علی الفدیة فعل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للإکراه بغیر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یملکها بالبذل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لبطلان تصرّف المکرَه إلّاما استثنی </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وطلاقها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 لبطلان الفدیة، فلا ینافی کونه بائناً من جهة اُخری إن اتّفقت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أتت بفاحشة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مبیّنة، وهی الزنا،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الحدّ مطلقاً </w:t>
      </w:r>
      <w:r>
        <w:rPr>
          <w:rStyle w:val="FootnoteAnchor"/>
          <w:rtl w:val="true"/>
        </w:rPr>
        <w:footnoteReference w:id="1441"/>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معصیة </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عَضْلُها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منعها بعض حقوقها أو جمیعها من غیر</w:t>
      </w:r>
    </w:p>
    <w:p>
      <w:pPr>
        <w:pStyle w:val="BookText"/>
        <w:rPr/>
      </w:pPr>
      <w:r>
        <w:rPr>
          <w:rFonts w:ascii="Amiri" w:hAnsi="Amiri" w:eastAsia="Amiri" w:cs="Amiri"/>
          <w:color w:val="111111"/>
          <w:sz w:val="28"/>
          <w:sz w:val="28"/>
          <w:szCs w:val="28"/>
          <w:rtl w:val="true"/>
          <w:lang w:bidi="ar-SA"/>
        </w:rPr>
        <w:t xml:space="preserve">أن یفارقها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لتفتدی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تَعْضُلُوهُنَّ لِتَذْهَبُوا بِبَعْضِ مٰا آتَیْتُمُوهُنَّ إِلاّٰ أَنْ یَأْتِینَ بِفٰاحِشَةٍ مُبَیِّنَةٍ</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والاستثناء من النهی إباحة؛ ولأ نّها إذا زنت لم یؤمن أن تلحق به ولداً من غیره وتفسد فراشه، فلا تقیم حدود اللّٰه تعالی فی حقّه فتدخل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یُقِیمٰا حُدُودَ اَللّٰهِ فَلاٰ جُنٰاحَ عَلَیْهِمٰا فِیمَا اِفْتَدَتْ بِهِ</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یصحّ ذلک ولا یستبیح المبذول مع العضل؛ لأنّه فی معنی الإکراه،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rtl w:val="true"/>
          <w:lang w:bidi="ar-SA"/>
        </w:rPr>
        <w:t xml:space="preserve">) </w:t>
      </w:r>
      <w:r>
        <w:rPr>
          <w:rStyle w:val="FootnoteAnchor"/>
          <w:rtl w:val="true"/>
        </w:rPr>
        <w:footnoteReference w:id="1445"/>
      </w:r>
      <w:r>
        <w:rPr>
          <w:rFonts w:ascii="IRNazanin" w:hAnsi="IRNazanin" w:eastAsia="IRNazanin"/>
          <w:color w:val="111111"/>
          <w:sz w:val="28"/>
          <w:sz w:val="28"/>
          <w:szCs w:val="28"/>
          <w:rtl w:val="true"/>
          <w:lang w:bidi="fa-IR"/>
        </w:rPr>
        <w:t xml:space="preserve">والمشروط عدم عند عدم شرطه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الآیة الاُولی </w:t>
      </w:r>
      <w:r>
        <w:rPr>
          <w:rStyle w:val="FootnoteAnchor"/>
          <w:rtl w:val="true"/>
        </w:rPr>
        <w:footnoteReference w:id="1448"/>
      </w:r>
      <w:r>
        <w:rPr>
          <w:rFonts w:ascii="IRNazanin" w:hAnsi="IRNazanin" w:eastAsia="IRNazanin"/>
          <w:color w:val="111111"/>
          <w:sz w:val="28"/>
          <w:sz w:val="28"/>
          <w:szCs w:val="28"/>
          <w:rtl w:val="true"/>
          <w:lang w:bidi="fa-IR"/>
        </w:rPr>
        <w:t xml:space="preserve">منسوخة بآیة الحدّ </w:t>
      </w:r>
      <w:r>
        <w:rPr>
          <w:rStyle w:val="FootnoteAnchor"/>
          <w:rtl w:val="true"/>
        </w:rPr>
        <w:footnoteReference w:id="1449"/>
      </w:r>
      <w:r>
        <w:rPr>
          <w:rFonts w:ascii="IRNazanin" w:hAnsi="IRNazanin" w:eastAsia="IRNazanin"/>
          <w:color w:val="111111"/>
          <w:sz w:val="28"/>
          <w:sz w:val="28"/>
          <w:szCs w:val="28"/>
          <w:rtl w:val="true"/>
          <w:lang w:bidi="fa-IR"/>
        </w:rPr>
        <w:t>ولم یثبت؛ إذ لا منافاة بینهما، والأصل 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الأوّل هل یتقیّد جواز العضل ببذل ما وصل إلیها منه من مهر وغیره فلا یجوز الزیادة علیه، أم لا یتقیّد إلّابرضاه؟ اختار المصنّف الأوّل </w:t>
      </w:r>
      <w:r>
        <w:rPr>
          <w:rStyle w:val="FootnoteAnchor"/>
          <w:rtl w:val="true"/>
        </w:rPr>
        <w:footnoteReference w:id="1450"/>
      </w:r>
      <w:r>
        <w:rPr>
          <w:rFonts w:ascii="IRNazanin" w:hAnsi="IRNazanin" w:eastAsia="IRNazanin"/>
          <w:color w:val="111111"/>
          <w:sz w:val="28"/>
          <w:sz w:val="28"/>
          <w:szCs w:val="28"/>
          <w:rtl w:val="true"/>
          <w:lang w:bidi="fa-IR"/>
        </w:rPr>
        <w:t>حذراً من الضرر العظیم، واستناداً إلی قول النبیّ صلی الله علیه و آله لجمیلة بنت</w:t>
      </w:r>
    </w:p>
    <w:p>
      <w:pPr>
        <w:pStyle w:val="BookText"/>
        <w:rPr/>
      </w:pPr>
      <w:r>
        <w:rPr>
          <w:rFonts w:ascii="IRNazanin" w:hAnsi="IRNazanin" w:eastAsia="IRNazanin"/>
          <w:color w:val="111111"/>
          <w:sz w:val="28"/>
          <w:sz w:val="28"/>
          <w:szCs w:val="28"/>
          <w:rtl w:val="true"/>
          <w:lang w:bidi="fa-IR"/>
        </w:rPr>
        <w:t>عبد اللّٰه بن اُبیّ لمّا کرهت زوجها ثابتَ بن قیس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أتردّین علیه حدیقته؟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حدیقته فقط</w:t>
      </w:r>
      <w:r>
        <w:rPr>
          <w:rFonts w:eastAsia="IRNazanin" w:cs="IRNazanin"/>
          <w:color w:val="111111"/>
          <w:sz w:val="28"/>
          <w:szCs w:val="28"/>
          <w:rtl w:val="true"/>
          <w:lang w:bidi="fa-IR"/>
        </w:rPr>
        <w:t xml:space="preserve">» </w:t>
      </w:r>
      <w:r>
        <w:rPr>
          <w:rStyle w:val="FootnoteAnchor"/>
          <w:rtl w:val="true"/>
        </w:rPr>
        <w:footnoteReference w:id="1451"/>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الثانی إطلاق الاستثناء </w:t>
      </w:r>
      <w:r>
        <w:rPr>
          <w:rStyle w:val="FootnoteAnchor"/>
          <w:rtl w:val="true"/>
        </w:rPr>
        <w:footnoteReference w:id="1453"/>
      </w:r>
      <w:r>
        <w:rPr>
          <w:rFonts w:ascii="IRNazanin" w:hAnsi="IRNazanin" w:eastAsia="IRNazanin"/>
          <w:color w:val="111111"/>
          <w:sz w:val="28"/>
          <w:sz w:val="28"/>
          <w:szCs w:val="28"/>
          <w:rtl w:val="true"/>
          <w:lang w:bidi="fa-IR"/>
        </w:rPr>
        <w:t xml:space="preserve">الشامل للزائد، وعدّ الأصحاب </w:t>
      </w:r>
      <w:r>
        <w:rPr>
          <w:rStyle w:val="FootnoteAnchor"/>
          <w:rtl w:val="true"/>
        </w:rPr>
        <w:footnoteReference w:id="1454"/>
      </w:r>
      <w:r>
        <w:rPr>
          <w:rFonts w:ascii="IRNazanin" w:hAnsi="IRNazanin" w:eastAsia="IRNazanin"/>
          <w:color w:val="111111"/>
          <w:sz w:val="28"/>
          <w:sz w:val="28"/>
          <w:szCs w:val="28"/>
          <w:rtl w:val="true"/>
          <w:lang w:bidi="fa-IR"/>
        </w:rPr>
        <w:t>مثل هذا خلعاً، وهو غیر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 المستثنی منه إذهاب بعض ما أعطاها، فالمستثنی هو ذلک البعض، فیبقی المساوی والزائد علی أصل المنع، فإن خرج المساوی بدلیل آخر بقی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الخلع علیه محلّ نظر؛ لأنّها لیست کارهة أو </w:t>
      </w:r>
      <w:r>
        <w:rPr>
          <w:rStyle w:val="FootnoteAnchor"/>
          <w:rtl w:val="true"/>
        </w:rPr>
        <w:footnoteReference w:id="1455"/>
      </w:r>
      <w:r>
        <w:rPr>
          <w:rFonts w:ascii="IRNazanin" w:hAnsi="IRNazanin" w:eastAsia="IRNazanin"/>
          <w:color w:val="111111"/>
          <w:sz w:val="28"/>
          <w:sz w:val="28"/>
          <w:szCs w:val="28"/>
          <w:rtl w:val="true"/>
          <w:lang w:bidi="fa-IR"/>
        </w:rPr>
        <w:t>الکراهة غیر مختصّة بها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وذکرها فی باب الخلع لا یدلّ علی کونها منه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تمّ الخلع فلا رجعة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رجوعها فی البذل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وللزوجة الرجوع </w:t>
      </w:r>
      <w:r>
        <w:rPr>
          <w:rStyle w:val="FootnoteAnchor"/>
          <w:rtl w:val="true"/>
        </w:rPr>
        <w:footnoteReference w:id="1456"/>
      </w:r>
      <w:r>
        <w:rPr>
          <w:rFonts w:ascii="IRNazanin" w:hAnsi="IRNazanin" w:eastAsia="IRNazanin"/>
          <w:color w:val="111111"/>
          <w:sz w:val="28"/>
          <w:sz w:val="28"/>
          <w:szCs w:val="28"/>
          <w:rtl w:val="true"/>
          <w:lang w:bidi="fa-IR"/>
        </w:rPr>
        <w:t>فی البذل ما دامت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ذات عدّة، فلو خرجت عدّتها أو لم یکن لها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 المدخول بها والصغیرة والیائسة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رجوع لها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حیث یجوز لها الرجوع صار الطلاق رجعیّاً یترتّب علیه أحکامه من النفقة وتحریم الاُخت والرابعة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هو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العدّة</w:t>
      </w:r>
      <w:bookmarkStart w:id="520" w:name="pg19810_214600"/>
    </w:p>
    <w:p>
      <w:pPr>
        <w:pStyle w:val="BookText"/>
        <w:rPr/>
      </w:pPr>
      <w:bookmarkEnd w:id="520"/>
      <w:r>
        <w:rPr>
          <w:rFonts w:ascii="IRNazanin" w:hAnsi="IRNazanin" w:eastAsia="IRNazanin"/>
          <w:color w:val="111111"/>
          <w:sz w:val="28"/>
          <w:sz w:val="28"/>
          <w:szCs w:val="28"/>
          <w:rtl w:val="true"/>
          <w:lang w:bidi="fa-IR"/>
        </w:rPr>
        <w:t>باقیة ولم یمنع من رجوعه مانع کما لو تزوّج باُختها، أو رابعة قبل رجوعها إن جوّزناه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طلّقها </w:t>
      </w:r>
      <w:r>
        <w:rPr>
          <w:rStyle w:val="FootnoteAnchor"/>
          <w:rtl w:val="true"/>
        </w:rPr>
        <w:footnoteReference w:id="1457"/>
      </w:r>
      <w:r>
        <w:rPr>
          <w:rFonts w:ascii="IRNazanin" w:hAnsi="IRNazanin" w:eastAsia="IRNazanin"/>
          <w:color w:val="111111"/>
          <w:sz w:val="28"/>
          <w:sz w:val="28"/>
          <w:szCs w:val="28"/>
          <w:rtl w:val="true"/>
          <w:lang w:bidi="fa-IR"/>
        </w:rPr>
        <w:t>بائناً فی العدّة جاز له الرجوع حینئذٍ فیها؛ لزوال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الطلاق بائناً مع وجود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 رجوعها فی العدّة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الإذن فیه المتناول له، ومن أنّ جواز رجوعها فی البذل مشروط بإمکان رجوعه فی النکاح بالنظر إلی الخلع، لا بسبب أمر خارجی یمکن زواله کتزویجه باُختها؛ ولأ نّه برجوعها یصیر الطلاق رجعیّاً، وهذا لا یمکن أن یکون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هذین مصادرة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المشهور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والوجهان آتیان فیما لو رجعت ولمّا یعلم حتّی خرجت العدّة حیث یمکنه الرجوع لو علم، من إطلاق الإذن لها فی الرجوع، ولزوم الإضرار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الجواز هنا؛ للإطلاق، ولأنّ جواز رجوعه مشروط بتقدّم رجوعها، فلا یکون شرطاً فیه، وإلّا دار </w:t>
      </w:r>
      <w:r>
        <w:rPr>
          <w:rStyle w:val="FootnoteAnchor"/>
          <w:rtl w:val="true"/>
        </w:rPr>
        <w:footnoteReference w:id="1458"/>
      </w:r>
      <w:r>
        <w:rPr>
          <w:rFonts w:ascii="IRNazanin" w:hAnsi="IRNazanin" w:eastAsia="IRNazanin"/>
          <w:color w:val="111111"/>
          <w:sz w:val="28"/>
          <w:sz w:val="28"/>
          <w:szCs w:val="28"/>
          <w:rtl w:val="true"/>
          <w:lang w:bidi="fa-IR"/>
        </w:rPr>
        <w:t>والإضرار حصل باختیاره حیث أقدم علی ذلک، مع أنّ له طریقاً إلی الرجعة فی الأوقات المحتملة إلی آخر جزءٍ من العدّة</w:t>
      </w:r>
      <w:r>
        <w:rPr>
          <w:rFonts w:eastAsia="IRNazanin" w:cs="IRNazanin"/>
          <w:color w:val="111111"/>
          <w:sz w:val="28"/>
          <w:szCs w:val="28"/>
          <w:rtl w:val="true"/>
          <w:lang w:bidi="fa-IR"/>
        </w:rPr>
        <w:t>.</w:t>
      </w:r>
    </w:p>
    <w:p>
      <w:pPr>
        <w:pStyle w:val="Heading3"/>
        <w:numPr>
          <w:ilvl w:val="2"/>
          <w:numId w:val="1"/>
        </w:numPr>
        <w:rPr/>
      </w:pPr>
      <w:bookmarkStart w:id="521" w:name="__RefHeading___Toc2175643_2314609296"/>
      <w:bookmarkStart w:id="522" w:name="_Toc196"/>
      <w:bookmarkEnd w:id="521"/>
      <w:r>
        <w:rPr>
          <w:rtl w:val="true"/>
        </w:rPr>
        <w:t>[</w:t>
      </w:r>
      <w:r>
        <w:rPr>
          <w:rtl w:val="true"/>
        </w:rPr>
        <w:t>فی التنازع</w:t>
      </w:r>
      <w:r>
        <w:rPr>
          <w:rtl w:val="true"/>
        </w:rPr>
        <w:t>]</w:t>
      </w:r>
      <w:bookmarkEnd w:id="52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تنازعا فی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قدر الفدیة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زیادتها عمّا تعترف به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قولها مع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تنازعا فی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اتّفاقهما علی القدر، بأن اتّفقا علی أ نّها مئة لکن ادّعی أ نّها دنانیر وادّعت أ نّها دراهم؛ لأصالة عدم استحقاق ما یدّعیه، ولأ نّه مدّعٍ فعلیه البیّنة، فتحلف یمیناً جامعة بین نفی ما یدّعیه وإثبات ما تدّعیه فینتفی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أخذ ما تدّعیه؛ لاعترافه بأ نّه لا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جواز أخذه مقاصّة، لا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تحالفهما؛ لأنّ کلّاً منهما منکر لما یدّعیه صاحبه، وهی قاعدة التحالف </w:t>
      </w:r>
      <w:r>
        <w:rPr>
          <w:rStyle w:val="FootnoteAnchor"/>
          <w:rtl w:val="true"/>
        </w:rPr>
        <w:footnoteReference w:id="1459"/>
      </w:r>
      <w:r>
        <w:rPr>
          <w:rFonts w:ascii="IRNazanin" w:hAnsi="IRNazanin" w:eastAsia="IRNazanin"/>
          <w:color w:val="111111"/>
          <w:sz w:val="28"/>
          <w:sz w:val="28"/>
          <w:szCs w:val="28"/>
          <w:rtl w:val="true"/>
          <w:lang w:bidi="fa-IR"/>
        </w:rPr>
        <w:t xml:space="preserve">وحینئذٍ فیسقط ما تداعیاه بالفسخ أو الانفساخ، ویثبت مهر المثل، إلّاأنّ أصحابنا أعرضوا عن هذا الاحتمال رأساً، ومخالفونا جزموا به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اتّفاقهما علیها بأن اتّفقا علی ذکر القدر وعدم ذکر الجنس لفظاً، وعلی إرادة جنس معیّن، لکن اختلفا فی الجنس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القول قولها فیها؛ لأنّ الاختلاف فی إرادتها ولا یُطّلع علیها إلّامن قبلها، فیقدّم قولها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المعبتر إرادتهما معاً للجنس المعیّن، ولا تکفی إرادتها خاصّة، وإرادة کلّ منهما لا یُطّلع علیها إلّامن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عُلّل بأنّ الإرادة إذا کانت کافیة عن ذکر الجنس المعیّن کان الاختلاف فیها اختلافاً فی الجنس المعیّن، فتقدیم قولها من هذه الحیثیّة، لا من جهة تخصیص الإرادة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الخلع هنا </w:t>
      </w:r>
      <w:r>
        <w:rPr>
          <w:rStyle w:val="FootnoteAnchor"/>
          <w:rtl w:val="true"/>
        </w:rPr>
        <w:footnoteReference w:id="1461"/>
      </w:r>
      <w:r>
        <w:rPr>
          <w:rFonts w:ascii="IRNazanin" w:hAnsi="IRNazanin" w:eastAsia="IRNazanin"/>
          <w:color w:val="111111"/>
          <w:sz w:val="28"/>
          <w:sz w:val="28"/>
          <w:szCs w:val="28"/>
          <w:rtl w:val="true"/>
          <w:lang w:bidi="fa-IR"/>
        </w:rPr>
        <w:t>مع موافقته علی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وللقول بالتحالف هنا وجه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اختلافهما فی أصل الإرادة مع اتّفاقهما علی عدم ذکر الجنس،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جنساً معیّناً،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نرد بل أطلقنا، رجع النزاع إلی دعوی الصحّة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تقدیم مدّعیها منهما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تقدیم منکرها والبطلان؛ لأصالة عدمها </w:t>
      </w:r>
      <w:r>
        <w:rPr>
          <w:rStyle w:val="FootnoteAnchor"/>
          <w:rtl w:val="true"/>
        </w:rPr>
        <w:footnoteReference w:id="1462"/>
      </w:r>
      <w:r>
        <w:rPr>
          <w:rFonts w:ascii="IRNazanin" w:hAnsi="IRNazanin" w:eastAsia="IRNazanin"/>
          <w:color w:val="111111"/>
          <w:sz w:val="28"/>
          <w:sz w:val="28"/>
          <w:szCs w:val="28"/>
          <w:rtl w:val="true"/>
          <w:lang w:bidi="fa-IR"/>
        </w:rPr>
        <w:t xml:space="preserve">وهو ظاهر القواعد </w:t>
      </w:r>
      <w:r>
        <w:rPr>
          <w:rStyle w:val="FootnoteAnchor"/>
          <w:rtl w:val="true"/>
        </w:rPr>
        <w:footnoteReference w:id="1463"/>
      </w:r>
      <w:r>
        <w:rPr>
          <w:rFonts w:ascii="IRNazanin" w:hAnsi="IRNazanin" w:eastAsia="IRNazanin"/>
          <w:color w:val="111111"/>
          <w:sz w:val="28"/>
          <w:sz w:val="28"/>
          <w:szCs w:val="28"/>
          <w:rtl w:val="true"/>
          <w:lang w:bidi="fa-IR"/>
        </w:rPr>
        <w:t xml:space="preserve">وتقدیمُ قول المرأة؛ لرجوع النزاع إلی إرادتها کما مرّ </w:t>
      </w:r>
      <w:r>
        <w:rPr>
          <w:rStyle w:val="FootnoteAnchor"/>
          <w:rtl w:val="true"/>
        </w:rPr>
        <w:footnoteReference w:id="1464"/>
      </w:r>
      <w:r>
        <w:rPr>
          <w:rFonts w:ascii="IRNazanin" w:hAnsi="IRNazanin" w:eastAsia="IRNazanin"/>
          <w:color w:val="111111"/>
          <w:sz w:val="28"/>
          <w:sz w:val="28"/>
          <w:szCs w:val="28"/>
          <w:rtl w:val="true"/>
          <w:lang w:bidi="fa-IR"/>
        </w:rPr>
        <w:t xml:space="preserve">وهو ظاهر التحریر </w:t>
      </w:r>
      <w:r>
        <w:rPr>
          <w:rStyle w:val="FootnoteAnchor"/>
          <w:rtl w:val="true"/>
        </w:rPr>
        <w:footnoteReference w:id="1465"/>
      </w:r>
      <w:r>
        <w:rPr>
          <w:rFonts w:ascii="IRNazanin" w:hAnsi="IRNazanin" w:eastAsia="IRNazanin"/>
          <w:color w:val="111111"/>
          <w:sz w:val="28"/>
          <w:sz w:val="28"/>
          <w:szCs w:val="28"/>
          <w:rtl w:val="true"/>
          <w:lang w:bidi="fa-IR"/>
        </w:rPr>
        <w:t xml:space="preserve">وفیه ما ذکر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خلعتکِ علی ألف فی ذمّتکِ،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ذمّة زید، حلفت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مدّعٍ وهی منکرة لثبوت شیءٍ فی ذمّتها فکانت الیمین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الیمین </w:t>
      </w:r>
      <w:r>
        <w:rPr>
          <w:rStyle w:val="FootnoteAnchor"/>
          <w:rtl w:val="true"/>
        </w:rPr>
        <w:footnoteReference w:id="1467"/>
      </w:r>
      <w:r>
        <w:rPr>
          <w:rFonts w:ascii="IRNazanin" w:hAnsi="IRNazanin" w:eastAsia="IRNazanin"/>
          <w:color w:val="111111"/>
          <w:sz w:val="28"/>
          <w:sz w:val="28"/>
          <w:szCs w:val="28"/>
          <w:rtl w:val="true"/>
          <w:lang w:bidi="fa-IR"/>
        </w:rPr>
        <w:t>لأنّ الأصل فی مال الخلع أن یکون فی ذمّتها، فإذا ادّعت کونه فی ذمّة غیرها لم تُسمع؛ لأصالة عدم انتقاله عن ذمّتها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لا عوض علیها ولا علی زید إلّاباعترافه، وتبین منه بمقتضی دعواه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ما لو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خالعک فلان والعوض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لرجوعه إلی إنکارها الخلع 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خالعتک علی ألف ضَمِنها فلان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فعلیها المال مع عدم البیّنة</w:t>
      </w:r>
      <w:r>
        <w:rPr>
          <w:rFonts w:eastAsia="IRNazanin" w:cs="IRNazanin"/>
          <w:color w:val="111111"/>
          <w:sz w:val="28"/>
          <w:szCs w:val="28"/>
          <w:rtl w:val="true"/>
          <w:lang w:bidi="fa-IR"/>
        </w:rPr>
        <w:t>.</w:t>
      </w:r>
      <w:bookmarkStart w:id="523" w:name="pg19810_214603"/>
    </w:p>
    <w:p>
      <w:pPr>
        <w:pStyle w:val="Heading3"/>
        <w:numPr>
          <w:ilvl w:val="2"/>
          <w:numId w:val="1"/>
        </w:numPr>
        <w:rPr/>
      </w:pPr>
      <w:bookmarkStart w:id="524" w:name="__RefHeading___Toc2175645_2314609296"/>
      <w:bookmarkStart w:id="525" w:name="_Toc197"/>
      <w:bookmarkEnd w:id="523"/>
      <w:bookmarkEnd w:id="524"/>
      <w:r>
        <w:rPr>
          <w:rtl w:val="true"/>
        </w:rPr>
        <w:t>«</w:t>
      </w:r>
      <w:r>
        <w:rPr>
          <w:rtl w:val="true"/>
        </w:rPr>
        <w:t>والمباراة</w:t>
      </w:r>
      <w:r>
        <w:rPr>
          <w:rtl w:val="true"/>
        </w:rPr>
        <w:t>»</w:t>
      </w:r>
      <w:bookmarkEnd w:id="525"/>
    </w:p>
    <w:p>
      <w:pPr>
        <w:pStyle w:val="BookText"/>
        <w:rPr/>
      </w:pPr>
      <w:r>
        <w:rPr>
          <w:rFonts w:ascii="IRNazanin" w:hAnsi="IRNazanin" w:eastAsia="IRNazanin"/>
          <w:color w:val="111111"/>
          <w:sz w:val="28"/>
          <w:sz w:val="28"/>
          <w:szCs w:val="28"/>
          <w:rtl w:val="true"/>
          <w:lang w:bidi="fa-IR"/>
        </w:rPr>
        <w:t>وأصلها المفارقة،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بارأت شریکی إذا فارقته، وبارأ الرجل امرأته </w:t>
      </w:r>
      <w:r>
        <w:rPr>
          <w:rStyle w:val="FootnoteAnchor"/>
          <w:rtl w:val="true"/>
        </w:rPr>
        <w:footnoteReference w:id="1468"/>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الشرائط والأحکام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 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تفارقه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تترتّب علی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فلو کانت الکراهة من أحدهما خاصّة أو خالیة عنهما لم تصحّ بلفظ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کانت الکراهة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تجوز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المهر، بخلاف الخلع حیث کانت الکراهة منها فجازت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بالفاء علی کون هذا الحکم مترتّباً </w:t>
      </w:r>
      <w:r>
        <w:rPr>
          <w:rStyle w:val="FootnoteAnchor"/>
          <w:rtl w:val="true"/>
        </w:rPr>
        <w:footnoteReference w:id="1469"/>
      </w:r>
      <w:r>
        <w:rPr>
          <w:rFonts w:ascii="IRNazanin" w:hAnsi="IRNazanin" w:eastAsia="IRNazanin"/>
          <w:color w:val="111111"/>
          <w:sz w:val="28"/>
          <w:sz w:val="28"/>
          <w:szCs w:val="28"/>
          <w:rtl w:val="true"/>
          <w:lang w:bidi="fa-IR"/>
        </w:rPr>
        <w:t>علی الکراهة منهما وإن کان حکماً آخر یحصل به الفرق بینها وبین الخلع</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فیها من الإتباع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بل لا نعلم فیه مخالفاً، وادّعی جماعة أ نّه إجماع </w:t>
      </w:r>
      <w:r>
        <w:rPr>
          <w:rStyle w:val="FootnoteAnchor"/>
          <w:rtl w:val="true"/>
        </w:rPr>
        <w:footnoteReference w:id="1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قلنا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إتباعه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 نّها لا تفتقر أیضاً إلی الإتباع </w:t>
      </w:r>
      <w:r>
        <w:rPr>
          <w:rStyle w:val="FootnoteAnchor"/>
          <w:rtl w:val="true"/>
        </w:rPr>
        <w:footnoteReference w:id="1471"/>
      </w:r>
      <w:r>
        <w:rPr>
          <w:rFonts w:ascii="IRNazanin" w:hAnsi="IRNazanin" w:eastAsia="IRNazanin"/>
          <w:color w:val="111111"/>
          <w:sz w:val="28"/>
          <w:sz w:val="28"/>
          <w:szCs w:val="28"/>
          <w:rtl w:val="true"/>
          <w:lang w:bidi="fa-IR"/>
        </w:rPr>
        <w:t xml:space="preserve">وربما کان به قائل؛ لأنّ الشیخ رحمه الله نسب فی کتابی الحدیث القول بلزوم إتباعها بالطلاق إلی المحصّلین من أصحابنا </w:t>
      </w:r>
      <w:r>
        <w:rPr>
          <w:rStyle w:val="FootnoteAnchor"/>
          <w:rtl w:val="true"/>
        </w:rPr>
        <w:footnoteReference w:id="1472"/>
      </w:r>
      <w:r>
        <w:rPr>
          <w:rFonts w:ascii="IRNazanin" w:hAnsi="IRNazanin" w:eastAsia="IRNazanin"/>
          <w:color w:val="111111"/>
          <w:sz w:val="28"/>
          <w:sz w:val="28"/>
          <w:szCs w:val="28"/>
          <w:rtl w:val="true"/>
          <w:lang w:bidi="fa-IR"/>
        </w:rPr>
        <w:t>وهو یدلّ بمفهومه علی مخالف منهم غیر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النافع نسبه إلی الشهرة </w:t>
      </w:r>
      <w:r>
        <w:rPr>
          <w:rStyle w:val="FootnoteAnchor"/>
          <w:rtl w:val="true"/>
        </w:rPr>
        <w:footnoteReference w:id="1473"/>
      </w:r>
      <w:r>
        <w:rPr>
          <w:rFonts w:ascii="IRNazanin" w:hAnsi="IRNazanin" w:eastAsia="IRNazanin"/>
          <w:color w:val="111111"/>
          <w:sz w:val="28"/>
          <w:sz w:val="28"/>
          <w:szCs w:val="28"/>
          <w:rtl w:val="true"/>
          <w:lang w:bidi="fa-IR"/>
        </w:rPr>
        <w:t>وکیف کان فالعمل به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وصیغتها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بارأتک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 فأنت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صیغتها لا تنحصر فی لفظها، بل تقع بالکنایات الدالّة علیها، کفاسختکِ علی کذا، وأبنتکِ، وبتتّکِ؛ لأنّ البینونة تحصل بالطلاق وهو صریح، بخلاف الخلع علی القول المختار فیه </w:t>
      </w:r>
      <w:r>
        <w:rPr>
          <w:rStyle w:val="FootnoteAnchor"/>
          <w:rtl w:val="true"/>
        </w:rPr>
        <w:footnoteReference w:id="1474"/>
      </w:r>
      <w:r>
        <w:rPr>
          <w:rFonts w:ascii="IRNazanin" w:hAnsi="IRNazanin" w:eastAsia="IRNazanin"/>
          <w:color w:val="111111"/>
          <w:sz w:val="28"/>
          <w:sz w:val="28"/>
          <w:szCs w:val="28"/>
          <w:rtl w:val="true"/>
          <w:lang w:bidi="fa-IR"/>
        </w:rPr>
        <w:t>وینبغی علی القول بافتقاره إلی الطلاق أن یکون کالمباراة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الخلع والمباراة شروط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کمال الزوج، وقصده واختیاره، وکون المرأة طاهراً طهراً لم یقربها فیه بجماع إن کانت مدخولاً بها حائلاً غیر یائسة والزوج حاضر أو فی حکمه، وغیرها من الشروط</w:t>
      </w:r>
      <w:r>
        <w:rPr>
          <w:rFonts w:eastAsia="IRNazanin" w:cs="IRNazanin"/>
          <w:color w:val="111111"/>
          <w:sz w:val="28"/>
          <w:szCs w:val="28"/>
          <w:rtl w:val="true"/>
          <w:lang w:bidi="fa-IR"/>
        </w:rPr>
        <w:t>.</w:t>
      </w:r>
      <w:bookmarkStart w:id="526" w:name="pg19810_214605"/>
    </w:p>
    <w:p>
      <w:pPr>
        <w:pStyle w:val="Heading2"/>
        <w:numPr>
          <w:ilvl w:val="1"/>
          <w:numId w:val="1"/>
        </w:numPr>
        <w:rPr/>
      </w:pPr>
      <w:bookmarkStart w:id="527" w:name="__RefHeading___Toc2175647_2314609296"/>
      <w:bookmarkStart w:id="528" w:name="_Toc198"/>
      <w:bookmarkEnd w:id="526"/>
      <w:bookmarkEnd w:id="527"/>
      <w:r>
        <w:rPr>
          <w:rtl w:val="true"/>
        </w:rPr>
        <w:t>کتاب الظهار</w:t>
      </w:r>
      <w:bookmarkEnd w:id="52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9" w:name="__RefHeading___Toc2175649_2314609296"/>
      <w:bookmarkStart w:id="530" w:name="_Toc199"/>
      <w:bookmarkEnd w:id="529"/>
      <w:r>
        <w:rPr>
          <w:rtl w:val="true"/>
        </w:rPr>
        <w:t>اشارة</w:t>
      </w:r>
      <w:bookmarkStart w:id="531" w:name="pg19810_214607"/>
      <w:bookmarkEnd w:id="530"/>
    </w:p>
    <w:p>
      <w:pPr>
        <w:pStyle w:val="BookText"/>
        <w:rPr/>
      </w:pPr>
      <w:bookmarkEnd w:id="5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فِعال من الظهر، اختصّ به الاشتقاق؛ لأنّه محلّ الرکوب فی المرکوب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هنا تشبیه المکلَّف من یملک نکاحها بظهرِ محرّمة علیه أبداً بنسب أو رضاع،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مصاهرة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محرَّم وإن ترتّبت علیه الأحکام؛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لَیَقُولُونَ مُنْکَراً مِنَ اَلْقَوْلِ وَ زُوراً</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عقاب فیه </w:t>
      </w:r>
      <w:r>
        <w:rPr>
          <w:rStyle w:val="FootnoteAnchor"/>
          <w:rtl w:val="true"/>
        </w:rPr>
        <w:footnoteReference w:id="1477"/>
      </w:r>
      <w:r>
        <w:rPr>
          <w:rFonts w:ascii="IRNazanin" w:hAnsi="IRNazanin" w:eastAsia="IRNazanin"/>
          <w:color w:val="111111"/>
          <w:sz w:val="28"/>
          <w:sz w:val="28"/>
          <w:szCs w:val="28"/>
          <w:rtl w:val="true"/>
          <w:lang w:bidi="fa-IR"/>
        </w:rPr>
        <w:t xml:space="preserve">لتعقّبه بالعفو </w:t>
      </w:r>
      <w:r>
        <w:rPr>
          <w:rStyle w:val="FootnoteAnchor"/>
          <w:rtl w:val="true"/>
        </w:rPr>
        <w:footnoteReference w:id="1478"/>
      </w:r>
      <w:r>
        <w:rPr>
          <w:rFonts w:ascii="Amiri" w:hAnsi="Amiri" w:eastAsia="Amiri" w:cs="Amiri"/>
          <w:color w:val="111111"/>
          <w:sz w:val="28"/>
          <w:sz w:val="28"/>
          <w:szCs w:val="28"/>
          <w:rtl w:val="true"/>
          <w:lang w:bidi="ar-SA"/>
        </w:rPr>
        <w:t>ویضعَّف بأ نّه وصف مطلق، فلا یتعیّن کونه عن هذا الذنب المعیّن</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2175651_2314609296"/>
      <w:bookmarkStart w:id="533" w:name="_Toc200"/>
      <w:bookmarkEnd w:id="532"/>
      <w:r>
        <w:rPr>
          <w:rtl w:val="true"/>
        </w:rPr>
        <w:t>[</w:t>
      </w:r>
      <w:r>
        <w:rPr>
          <w:rtl w:val="true"/>
        </w:rPr>
        <w:t>صیغته</w:t>
      </w:r>
      <w:r>
        <w:rPr>
          <w:rtl w:val="true"/>
        </w:rPr>
        <w:t>]</w:t>
      </w:r>
      <w:bookmarkEnd w:id="53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أنتِ أو هذه أو فلانة علیَّ ونحوه أو محذوف الصلة </w:t>
      </w:r>
      <w:r>
        <w:rPr>
          <w:rStyle w:val="FootnoteAnchor"/>
          <w:rtl w:val="true"/>
        </w:rPr>
        <w:footnoteReference w:id="1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کظهر اُمّی أو اُختی أو ابنتی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غیرهنّ من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w:t>
      </w:r>
    </w:p>
    <w:p>
      <w:pPr>
        <w:pStyle w:val="BookText"/>
        <w:rPr/>
      </w:pPr>
      <w:r>
        <w:rPr>
          <w:rFonts w:ascii="IRNazanin" w:hAnsi="IRNazanin" w:eastAsia="IRNazanin"/>
          <w:color w:val="111111"/>
          <w:sz w:val="28"/>
          <w:sz w:val="28"/>
          <w:szCs w:val="28"/>
          <w:rtl w:val="true"/>
          <w:lang w:bidi="fa-IR"/>
        </w:rPr>
        <w:t>الرضاع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بتعلیقه بغیر الاُمّ من المحارم النسبیّات، ومحرّمات الرضاع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 عموم الحکم فی الأوّل </w:t>
      </w:r>
      <w:r>
        <w:rPr>
          <w:rStyle w:val="FootnoteAnchor"/>
          <w:rtl w:val="true"/>
        </w:rPr>
        <w:footnoteReference w:id="1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ظاهر الآیة </w:t>
      </w:r>
      <w:r>
        <w:rPr>
          <w:rStyle w:val="FootnoteAnchor"/>
          <w:rtl w:val="true"/>
        </w:rPr>
        <w:footnoteReference w:id="1481"/>
      </w:r>
      <w:r>
        <w:rPr>
          <w:rFonts w:ascii="IRNazanin" w:hAnsi="IRNazanin" w:eastAsia="IRNazanin"/>
          <w:color w:val="111111"/>
          <w:sz w:val="28"/>
          <w:sz w:val="28"/>
          <w:szCs w:val="28"/>
          <w:rtl w:val="true"/>
          <w:lang w:bidi="fa-IR"/>
        </w:rPr>
        <w:t xml:space="preserve">وسبب الحکم </w:t>
      </w:r>
      <w:r>
        <w:rPr>
          <w:rStyle w:val="FootnoteAnchor"/>
          <w:rtl w:val="true"/>
        </w:rPr>
        <w:footnoteReference w:id="1482"/>
      </w:r>
      <w:r>
        <w:rPr>
          <w:rFonts w:ascii="Amiri" w:hAnsi="Amiri" w:eastAsia="Amiri" w:cs="Amiri"/>
          <w:color w:val="111111"/>
          <w:sz w:val="28"/>
          <w:sz w:val="28"/>
          <w:szCs w:val="28"/>
          <w:rtl w:val="true"/>
          <w:lang w:bidi="ar-SA"/>
        </w:rPr>
        <w:t>تعلّقه بالاُمّ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صحیحتا زرارة وجمیل </w:t>
      </w:r>
      <w:r>
        <w:rPr>
          <w:rStyle w:val="FootnoteAnchor"/>
          <w:rtl w:val="true"/>
        </w:rPr>
        <w:footnoteReference w:id="1483"/>
      </w:r>
      <w:r>
        <w:rPr>
          <w:rFonts w:ascii="Amiri" w:hAnsi="Amiri" w:eastAsia="Amiri" w:cs="Amiri"/>
          <w:color w:val="111111"/>
          <w:sz w:val="28"/>
          <w:sz w:val="28"/>
          <w:szCs w:val="28"/>
          <w:rtl w:val="true"/>
          <w:lang w:bidi="ar-SA"/>
        </w:rPr>
        <w:t>عن الباقر والصادق علیهما السلام الدالّتان علیه صریحاً، ولا شاهد للمخصّص بالاُمّ النسبیّة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 xml:space="preserve">) </w:t>
      </w:r>
      <w:r>
        <w:rPr>
          <w:rStyle w:val="FootnoteAnchor"/>
          <w:rtl w:val="true"/>
        </w:rPr>
        <w:footnoteReference w:id="1484"/>
      </w:r>
      <w:r>
        <w:rPr>
          <w:rFonts w:ascii="IRNazanin" w:hAnsi="IRNazanin" w:eastAsia="IRNazanin"/>
          <w:color w:val="111111"/>
          <w:sz w:val="28"/>
          <w:sz w:val="28"/>
          <w:szCs w:val="28"/>
          <w:rtl w:val="true"/>
          <w:lang w:bidi="fa-IR"/>
        </w:rPr>
        <w:t xml:space="preserve">لأنّه لا ینفی غیر الاُمّ ونحن نُثبت غیرها بالأخبار الصحیحة لا بالآیة، ولا فی صحیحة </w:t>
      </w:r>
      <w:r>
        <w:rPr>
          <w:rStyle w:val="FootnoteAnchor"/>
          <w:rtl w:val="true"/>
        </w:rPr>
        <w:footnoteReference w:id="1485"/>
      </w:r>
      <w:r>
        <w:rPr>
          <w:rFonts w:ascii="IRNazanin" w:hAnsi="IRNazanin" w:eastAsia="IRNazanin"/>
          <w:color w:val="111111"/>
          <w:sz w:val="28"/>
          <w:sz w:val="28"/>
          <w:szCs w:val="28"/>
          <w:rtl w:val="true"/>
          <w:lang w:bidi="fa-IR"/>
        </w:rPr>
        <w:t xml:space="preserve">سیف </w:t>
      </w:r>
      <w:r>
        <w:rPr>
          <w:rStyle w:val="FootnoteAnchor"/>
          <w:rtl w:val="true"/>
        </w:rPr>
        <w:footnoteReference w:id="1486"/>
      </w:r>
      <w:r>
        <w:rPr>
          <w:rFonts w:ascii="IRNazanin" w:hAnsi="IRNazanin" w:eastAsia="IRNazanin"/>
          <w:color w:val="111111"/>
          <w:sz w:val="28"/>
          <w:sz w:val="28"/>
          <w:szCs w:val="28"/>
          <w:rtl w:val="true"/>
          <w:lang w:bidi="fa-IR"/>
        </w:rPr>
        <w:t xml:space="preserve">التمّار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اُختی أو عمّتی أو خالتی،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 اللّٰه تعالی الاُمّهات وإنّ هذا لحرام</w:t>
      </w:r>
      <w:r>
        <w:rPr>
          <w:rFonts w:eastAsia="IRNazanin" w:cs="IRNazanin"/>
          <w:color w:val="111111"/>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لأنّ عدم ذکره لغیرهنّ لا یدلّ علی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تأخیر البیان عن وقت الحاجة أو الخطاب؛ لأنّه أجاب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السائل استفاد مقصوده منه؛ إذ لیس فی السؤال ما یدلّ علی موضع حاجته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ومستند عمومه فی الثانی </w:t>
      </w:r>
      <w:r>
        <w:rPr>
          <w:rStyle w:val="FootnoteAnchor"/>
          <w:rtl w:val="true"/>
        </w:rPr>
        <w:footnoteReference w:id="1488"/>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w:t>
      </w:r>
    </w:p>
    <w:p>
      <w:pPr>
        <w:pStyle w:val="BookText"/>
        <w:rPr/>
      </w:pPr>
      <w:r>
        <w:rPr>
          <w:rFonts w:ascii="IRNazanin" w:hAnsi="IRNazanin" w:eastAsia="IRNazanin"/>
          <w:color w:val="111111"/>
          <w:sz w:val="28"/>
          <w:sz w:val="28"/>
          <w:szCs w:val="28"/>
          <w:rtl w:val="true"/>
          <w:lang w:bidi="fa-IR"/>
        </w:rPr>
        <w:t>من النسب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الباقر علیه السلام فی صحیحة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کلّ ذی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أو اُختاً </w:t>
      </w:r>
      <w:r>
        <w:rPr>
          <w:rStyle w:val="FootnoteAnchor"/>
          <w:rtl w:val="true"/>
        </w:rPr>
        <w:footnoteReference w:id="1490"/>
      </w:r>
      <w:r>
        <w:rPr>
          <w:rFonts w:ascii="IRNazanin" w:hAnsi="IRNazanin" w:eastAsia="IRNazanin"/>
          <w:color w:val="111111"/>
          <w:sz w:val="28"/>
          <w:sz w:val="28"/>
          <w:szCs w:val="28"/>
          <w:rtl w:val="true"/>
          <w:lang w:bidi="fa-IR"/>
        </w:rPr>
        <w:t>أو عمّة أو خالة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الحدیث </w:t>
      </w:r>
      <w:r>
        <w:rPr>
          <w:rStyle w:val="FootnoteAnchor"/>
          <w:rtl w:val="true"/>
        </w:rPr>
        <w:footnoteReference w:id="14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العموم یشمل المحرَّمة </w:t>
      </w:r>
      <w:r>
        <w:rPr>
          <w:rStyle w:val="FootnoteAnchor"/>
          <w:rtl w:val="true"/>
        </w:rPr>
        <w:footnoteReference w:id="1492"/>
      </w:r>
      <w:r>
        <w:rPr>
          <w:rFonts w:ascii="IRNazanin" w:hAnsi="IRNazanin" w:eastAsia="IRNazanin"/>
          <w:color w:val="111111"/>
          <w:sz w:val="28"/>
          <w:sz w:val="28"/>
          <w:szCs w:val="28"/>
          <w:rtl w:val="true"/>
          <w:lang w:bidi="fa-IR"/>
        </w:rPr>
        <w:t xml:space="preserve">رضاعاً،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w:t>
      </w:r>
      <w:r>
        <w:rPr>
          <w:rStyle w:val="FootnoteAnchor"/>
          <w:rtl w:val="true"/>
        </w:rPr>
        <w:footnoteReference w:id="1493"/>
      </w:r>
      <w:r>
        <w:rPr>
          <w:rFonts w:ascii="Amiri" w:hAnsi="Amiri" w:eastAsia="Amiri" w:cs="Amiri"/>
          <w:color w:val="111111"/>
          <w:sz w:val="28"/>
          <w:sz w:val="28"/>
          <w:szCs w:val="28"/>
          <w:rtl w:val="true"/>
          <w:lang w:bidi="ar-SA"/>
        </w:rPr>
        <w:t>تعلیلیّة، مثلها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خَطِیئٰاتِهِمْ أُغْرِقُوا</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ویُغضیٰ من مهابته</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أو بمعنی الباء، مثلها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یَنْظُرُونَ مِنْ طَرْفٍ خَفِیٍّ</w:t>
      </w:r>
      <w:r>
        <w:rPr>
          <w:rFonts w:eastAsia="Amiri" w:cs="Amiri" w:ascii="Amiri" w:hAnsi="Amiri"/>
          <w:color w:val="111111"/>
          <w:sz w:val="28"/>
          <w:szCs w:val="28"/>
          <w:rtl w:val="true"/>
          <w:lang w:bidi="ar-SA"/>
        </w:rPr>
        <w:t xml:space="preserve">) </w:t>
      </w:r>
      <w:r>
        <w:rPr>
          <w:rStyle w:val="FootnoteAnchor"/>
          <w:rtl w:val="true"/>
        </w:rPr>
        <w:footnoteReference w:id="1496"/>
      </w:r>
      <w:r>
        <w:rPr>
          <w:rFonts w:ascii="IRNazanin" w:hAnsi="IRNazanin" w:eastAsia="IRNazanin"/>
          <w:color w:val="111111"/>
          <w:sz w:val="28"/>
          <w:sz w:val="28"/>
          <w:szCs w:val="28"/>
          <w:rtl w:val="true"/>
          <w:lang w:bidi="fa-IR"/>
        </w:rPr>
        <w:t>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لأجل الرضاع أو بسببه ما یحرم لأجل النسب أو بسببه، والتحریم فی الظهار بسبب النسب ثابت فی الجملة إجماعاً، فیثبت بسبب الرضاع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فیندفع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الظهار سببه التشبیه بالنسب لا نفس النسب، فلا یلزم من کون التشبیه بالنسب سبباً فی التحریم کونُ التشبیه بالرضاع سبباً فیه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لما قد عرفت من الملازمة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ینبّه بالأشهر علی ثالث وهو اختصاص التشبیه بمن ذکر، وهو محرّمات النسب والرضاع، دون غیرهنّ </w:t>
      </w:r>
      <w:r>
        <w:rPr>
          <w:rStyle w:val="FootnoteAnchor"/>
          <w:rtl w:val="true"/>
        </w:rPr>
        <w:footnoteReference w:id="1499"/>
      </w:r>
      <w:r>
        <w:rPr>
          <w:rFonts w:ascii="IRNazanin" w:hAnsi="IRNazanin" w:eastAsia="IRNazanin"/>
          <w:color w:val="111111"/>
          <w:sz w:val="28"/>
          <w:sz w:val="28"/>
          <w:szCs w:val="28"/>
          <w:rtl w:val="true"/>
          <w:lang w:bidi="fa-IR"/>
        </w:rPr>
        <w:t xml:space="preserve">لتخرج المحرّمات مؤبّداً بالمصاهرة، فقد قیل بوقوعه بالتشبیه بهنّ للاشتراک فی العلّة </w:t>
      </w:r>
      <w:r>
        <w:rPr>
          <w:rStyle w:val="FootnoteAnchor"/>
          <w:rtl w:val="true"/>
        </w:rPr>
        <w:footnoteReference w:id="1500"/>
      </w:r>
      <w:r>
        <w:rPr>
          <w:rFonts w:ascii="IRNazanin" w:hAnsi="IRNazanin" w:eastAsia="IRNazanin"/>
          <w:color w:val="111111"/>
          <w:sz w:val="28"/>
          <w:sz w:val="28"/>
          <w:szCs w:val="28"/>
          <w:rtl w:val="true"/>
          <w:lang w:bidi="fa-IR"/>
        </w:rPr>
        <w:t>وهی التحریم المؤبَّد، ولعموم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کلّ ذی محرم</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ولا ینافیه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أو اُختاً أو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ذکرهنّ للمثال لا للحصر؛ إذ المحرم النسبی أیضاً غیر منحصر فیهنّ، ولم یقل أحد باختصاص الحکم بالثلاثة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المشهور عدم وقوعه متعلّقاً بهنّ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اعتبار بغیر لفظ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أجزاء البدن،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کبطن اُمّی أو یدها أو رِجلها أو فرجها؛ لأصالة الإباحة وعدم التحریم بشیءٍ من الأقوال إلّا ما أخرجه الدلیل، ولدلالة الآیة </w:t>
      </w:r>
      <w:r>
        <w:rPr>
          <w:rStyle w:val="FootnoteAnchor"/>
          <w:rtl w:val="true"/>
        </w:rPr>
        <w:footnoteReference w:id="1503"/>
      </w:r>
      <w:r>
        <w:rPr>
          <w:rFonts w:ascii="IRNazanin" w:hAnsi="IRNazanin" w:eastAsia="IRNazanin"/>
          <w:color w:val="111111"/>
          <w:sz w:val="28"/>
          <w:sz w:val="28"/>
          <w:szCs w:val="28"/>
          <w:rtl w:val="true"/>
          <w:lang w:bidi="fa-IR"/>
        </w:rPr>
        <w:t xml:space="preserve">والروایة </w:t>
      </w:r>
      <w:r>
        <w:rPr>
          <w:rStyle w:val="FootnoteAnchor"/>
          <w:rtl w:val="true"/>
        </w:rPr>
        <w:footnoteReference w:id="1504"/>
      </w:r>
      <w:r>
        <w:rPr>
          <w:rFonts w:ascii="IRNazanin" w:hAnsi="IRNazanin" w:eastAsia="IRNazanin"/>
          <w:color w:val="111111"/>
          <w:sz w:val="28"/>
          <w:sz w:val="28"/>
          <w:szCs w:val="28"/>
          <w:rtl w:val="true"/>
          <w:lang w:bidi="fa-IR"/>
        </w:rPr>
        <w:t>علی الظَهر، ولأ نّه مشتقّ منه فلا یصدق بدونه</w:t>
      </w:r>
      <w:r>
        <w:rPr>
          <w:rFonts w:eastAsia="IRNazanin" w:cs="IRNazanin"/>
          <w:color w:val="111111"/>
          <w:sz w:val="28"/>
          <w:szCs w:val="28"/>
          <w:rtl w:val="true"/>
          <w:lang w:bidi="fa-IR"/>
        </w:rPr>
        <w:t>.</w:t>
      </w:r>
      <w:bookmarkStart w:id="534" w:name="pg19810_214611"/>
    </w:p>
    <w:p>
      <w:pPr>
        <w:pStyle w:val="BookText"/>
        <w:rPr/>
      </w:pPr>
      <w:bookmarkEnd w:id="534"/>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بجمیع ذلک </w:t>
      </w:r>
      <w:r>
        <w:rPr>
          <w:rStyle w:val="FootnoteAnchor"/>
          <w:rtl w:val="true"/>
        </w:rPr>
        <w:footnoteReference w:id="1505"/>
      </w:r>
      <w:r>
        <w:rPr>
          <w:rFonts w:ascii="IRNazanin" w:hAnsi="IRNazanin" w:eastAsia="IRNazanin"/>
          <w:color w:val="111111"/>
          <w:sz w:val="28"/>
          <w:sz w:val="28"/>
          <w:szCs w:val="28"/>
          <w:rtl w:val="true"/>
          <w:lang w:bidi="fa-IR"/>
        </w:rPr>
        <w:t xml:space="preserve">استناداً إلی روایة ضعیفة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علّقه بما یشمل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کالبدن والجسم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فالوجهان وأولی بالوقوع</w:t>
      </w:r>
      <w:r>
        <w:rPr>
          <w:rFonts w:eastAsia="IRNazanin" w:cs="IRNazanin"/>
          <w:color w:val="111111"/>
          <w:sz w:val="28"/>
          <w:szCs w:val="28"/>
          <w:rtl w:val="true"/>
          <w:lang w:bidi="fa-IR"/>
        </w:rPr>
        <w:t>.</w:t>
      </w:r>
    </w:p>
    <w:p>
      <w:pPr>
        <w:pStyle w:val="Heading3"/>
        <w:numPr>
          <w:ilvl w:val="2"/>
          <w:numId w:val="1"/>
        </w:numPr>
        <w:rPr/>
      </w:pPr>
      <w:bookmarkStart w:id="535" w:name="__RefHeading___Toc2175653_2314609296"/>
      <w:bookmarkStart w:id="536" w:name="_Toc201"/>
      <w:bookmarkEnd w:id="535"/>
      <w:r>
        <w:rPr>
          <w:rtl w:val="true"/>
        </w:rPr>
        <w:t>[</w:t>
      </w:r>
      <w:r>
        <w:rPr>
          <w:rtl w:val="true"/>
        </w:rPr>
        <w:t>شروطه و احکامه</w:t>
      </w:r>
      <w:r>
        <w:rPr>
          <w:rtl w:val="true"/>
        </w:rPr>
        <w:t>]</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التشبیه </w:t>
      </w:r>
      <w:r>
        <w:rPr>
          <w:rStyle w:val="FootnoteAnchor"/>
          <w:rtl w:val="true"/>
        </w:rPr>
        <w:footnoteReference w:id="1507"/>
      </w:r>
      <w:r>
        <w:rPr>
          <w:rFonts w:ascii="IRNazanin" w:hAnsi="IRNazanin" w:eastAsia="IRNazanin"/>
          <w:color w:val="111111"/>
          <w:sz w:val="28"/>
          <w:sz w:val="28"/>
          <w:szCs w:val="28"/>
          <w:rtl w:val="true"/>
          <w:lang w:bidi="fa-IR"/>
        </w:rPr>
        <w:t>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عیّن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شارکا فی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تحریمها غیر 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تخصیصها بالذکر من بین المحرّمات بالمصاهرة المیل إلی التحریم بهنّ، وإلّا لکان التمثیل بمن حرم منهنّ مؤبّداً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مظاهرتها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التحریم فی ذلک کلّه وکون التحریم حکماً شرعیّاً یقف علی مورده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یقع إلّامنجّزاً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معلّق علی شرط ولا صفة، کقدوم زید وطلوع الشمس، کما لا یقع الطلاق معلّقاً إجماعاً، وإنّما کان مثله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الظهار إلّاعلی مثل موقع الطلاق</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ولروایة القاسم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ظاهرت من امرأتی،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اُمّی إن فعلت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علیک</w:t>
      </w:r>
    </w:p>
    <w:p>
      <w:pPr>
        <w:pStyle w:val="BookText"/>
        <w:rPr/>
      </w:pPr>
      <w:r>
        <w:rPr>
          <w:rFonts w:ascii="IRNazanin" w:hAnsi="IRNazanin" w:eastAsia="IRNazanin"/>
          <w:color w:val="111111"/>
          <w:sz w:val="28"/>
          <w:sz w:val="28"/>
          <w:szCs w:val="28"/>
          <w:rtl w:val="true"/>
          <w:lang w:bidi="fa-IR"/>
        </w:rPr>
        <w:t>ولا تعد</w:t>
      </w:r>
      <w:r>
        <w:rPr>
          <w:rFonts w:eastAsia="IRNazanin" w:cs="IRNazanin"/>
          <w:color w:val="111111"/>
          <w:sz w:val="28"/>
          <w:szCs w:val="28"/>
          <w:rtl w:val="true"/>
          <w:lang w:bidi="fa-IR"/>
        </w:rPr>
        <w:t>»</w:t>
      </w:r>
    </w:p>
    <w:p>
      <w:pPr>
        <w:pStyle w:val="BookText"/>
        <w:rPr/>
      </w:pP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روی ابن بکیر عن أبی الحسن علیه السلام </w:t>
      </w:r>
      <w:r>
        <w:rPr>
          <w:rStyle w:val="FootnoteAnchor"/>
          <w:rtl w:val="true"/>
        </w:rPr>
        <w:footnoteReference w:id="15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1511"/>
      </w:r>
      <w:r>
        <w:rPr>
          <w:rFonts w:ascii="Amiri" w:hAnsi="Amiri" w:eastAsia="Amiri" w:cs="Amiri"/>
          <w:color w:val="111111"/>
          <w:sz w:val="28"/>
          <w:sz w:val="28"/>
          <w:szCs w:val="28"/>
          <w:rtl w:val="true"/>
          <w:lang w:bidi="ar-SA"/>
        </w:rPr>
        <w:t xml:space="preserve">وجماعة </w:t>
      </w:r>
      <w:r>
        <w:rPr>
          <w:rStyle w:val="FootnoteAnchor"/>
          <w:rtl w:val="true"/>
        </w:rPr>
        <w:footnoteReference w:id="15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تعلیقه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یجوز وقوعه فی الحال وعدمه کدخول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لا یقع فی الحال قطعاً، بل فی المستقبل کانقضاء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حریز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ظهاران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فأحدهما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اُمّی ثمّ یسکت، فذلک الذی یکفّر قبل أن یواقع،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اُمّی إن فعلتُ کذا وکذا ففعل، وجبت علیه الکفّارة حین یحنث</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 xml:space="preserve">وقریب منها صحیحة عبد الرحمن بن الحجّاج عنه علیه السلام </w:t>
      </w:r>
      <w:r>
        <w:rPr>
          <w:rStyle w:val="FootnoteAnchor"/>
          <w:rtl w:val="true"/>
        </w:rPr>
        <w:footnoteReference w:id="1514"/>
      </w:r>
      <w:r>
        <w:rPr>
          <w:rFonts w:ascii="Amiri" w:hAnsi="Amiri" w:eastAsia="Amiri" w:cs="Amiri"/>
          <w:color w:val="111111"/>
          <w:sz w:val="28"/>
          <w:sz w:val="28"/>
          <w:szCs w:val="28"/>
          <w:rtl w:val="true"/>
          <w:lang w:bidi="ar-SA"/>
        </w:rPr>
        <w:t xml:space="preserve">أیضاً </w:t>
      </w:r>
      <w:r>
        <w:rPr>
          <w:rStyle w:val="FootnoteAnchor"/>
          <w:rtl w:val="true"/>
        </w:rPr>
        <w:footnoteReference w:id="1515"/>
      </w:r>
      <w:r>
        <w:rPr>
          <w:rFonts w:ascii="IRNazanin" w:hAnsi="IRNazanin" w:eastAsia="IRNazanin"/>
          <w:color w:val="111111"/>
          <w:sz w:val="28"/>
          <w:sz w:val="28"/>
          <w:szCs w:val="28"/>
          <w:rtl w:val="true"/>
          <w:lang w:bidi="fa-IR"/>
        </w:rPr>
        <w:t>فخرج الشرط عن المنع بهما وبقی غیره علی أصل المنع</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أخبار المنع من التعلیق مطلقاً فضعیفة جدّاً </w:t>
      </w:r>
      <w:r>
        <w:rPr>
          <w:rStyle w:val="FootnoteAnchor"/>
          <w:rtl w:val="true"/>
        </w:rPr>
        <w:footnoteReference w:id="1516"/>
      </w:r>
      <w:r>
        <w:rPr>
          <w:rFonts w:ascii="IRNazanin" w:hAnsi="IRNazanin" w:eastAsia="IRNazanin"/>
          <w:color w:val="111111"/>
          <w:sz w:val="28"/>
          <w:sz w:val="28"/>
          <w:szCs w:val="28"/>
          <w:rtl w:val="true"/>
          <w:lang w:bidi="fa-IR"/>
        </w:rPr>
        <w:t>لا تعارض الصحیح، مع</w:t>
      </w:r>
    </w:p>
    <w:p>
      <w:pPr>
        <w:pStyle w:val="BookText"/>
        <w:rPr/>
      </w:pPr>
      <w:r>
        <w:rPr>
          <w:rFonts w:ascii="IRNazanin" w:hAnsi="IRNazanin" w:eastAsia="IRNazanin"/>
          <w:color w:val="111111"/>
          <w:sz w:val="28"/>
          <w:sz w:val="28"/>
          <w:szCs w:val="28"/>
          <w:rtl w:val="true"/>
          <w:lang w:bidi="fa-IR"/>
        </w:rPr>
        <w:t xml:space="preserve">إمکان حملها علی اختلال بعض الشروط غیر الصیغة کسماع الشاهدین </w:t>
      </w:r>
      <w:r>
        <w:rPr>
          <w:rStyle w:val="FootnoteAnchor"/>
          <w:rtl w:val="true"/>
        </w:rPr>
        <w:footnoteReference w:id="1517"/>
      </w:r>
      <w:r>
        <w:rPr>
          <w:rFonts w:ascii="IRNazanin" w:hAnsi="IRNazanin" w:eastAsia="IRNazanin"/>
          <w:color w:val="111111"/>
          <w:sz w:val="28"/>
          <w:sz w:val="28"/>
          <w:szCs w:val="28"/>
          <w:rtl w:val="true"/>
          <w:lang w:bidi="fa-IR"/>
        </w:rPr>
        <w:t xml:space="preserve">فإنّه لو لم یکن ظاهراً لوجب جمعاً بینها </w:t>
      </w:r>
      <w:r>
        <w:rPr>
          <w:rStyle w:val="FootnoteAnchor"/>
          <w:rtl w:val="true"/>
        </w:rPr>
        <w:footnoteReference w:id="1518"/>
      </w:r>
      <w:r>
        <w:rPr>
          <w:rFonts w:ascii="IRNazanin" w:hAnsi="IRNazanin" w:eastAsia="IRNazanin"/>
          <w:color w:val="111111"/>
          <w:sz w:val="28"/>
          <w:sz w:val="28"/>
          <w:szCs w:val="28"/>
          <w:rtl w:val="true"/>
          <w:lang w:bidi="fa-IR"/>
        </w:rPr>
        <w:t>لو اعتبرت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صحّة توقیته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کظهر اُمّی إلی شهر أو سنة مثلاً؛ لعموم الآیات </w:t>
      </w:r>
      <w:r>
        <w:rPr>
          <w:rStyle w:val="FootnoteAnchor"/>
          <w:rtl w:val="true"/>
        </w:rPr>
        <w:footnoteReference w:id="1519"/>
      </w:r>
      <w:r>
        <w:rPr>
          <w:rFonts w:ascii="IRNazanin" w:hAnsi="IRNazanin" w:eastAsia="IRNazanin"/>
          <w:color w:val="111111"/>
          <w:sz w:val="28"/>
          <w:sz w:val="28"/>
          <w:szCs w:val="28"/>
          <w:rtl w:val="true"/>
          <w:lang w:bidi="fa-IR"/>
        </w:rPr>
        <w:t xml:space="preserve">والروایات </w:t>
      </w:r>
      <w:r>
        <w:rPr>
          <w:rStyle w:val="FootnoteAnchor"/>
          <w:rtl w:val="true"/>
        </w:rPr>
        <w:footnoteReference w:id="1520"/>
      </w:r>
      <w:r>
        <w:rPr>
          <w:rFonts w:ascii="IRNazanin" w:hAnsi="IRNazanin" w:eastAsia="IRNazanin"/>
          <w:color w:val="111111"/>
          <w:sz w:val="28"/>
          <w:sz w:val="28"/>
          <w:szCs w:val="28"/>
          <w:rtl w:val="true"/>
          <w:lang w:bidi="fa-IR"/>
        </w:rPr>
        <w:t>ولأنّ الظهار کالیمین القابلة للاقتران بالمدّة، وللأصل، ولحدیث سلمة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ظاهر من امرأته إلی سلخ رمضان وأقرّه النبیّ صلی الله علیه و آله وأمره بالتکفیر للمواقعة قبله </w:t>
      </w:r>
      <w:r>
        <w:rPr>
          <w:rStyle w:val="FootnoteAnchor"/>
          <w:rtl w:val="true"/>
        </w:rPr>
        <w:footnoteReference w:id="1521"/>
      </w:r>
      <w:r>
        <w:rPr>
          <w:rFonts w:ascii="IRNazanin" w:hAnsi="IRNazanin" w:eastAsia="IRNazanin"/>
          <w:color w:val="111111"/>
          <w:sz w:val="28"/>
          <w:sz w:val="28"/>
          <w:szCs w:val="28"/>
          <w:rtl w:val="true"/>
          <w:lang w:bidi="fa-IR"/>
        </w:rPr>
        <w:t>وإقراره حجّة کفعله وقوله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یقع مطلقاً </w:t>
      </w:r>
      <w:r>
        <w:rPr>
          <w:rStyle w:val="FootnoteAnchor"/>
          <w:rtl w:val="true"/>
        </w:rPr>
        <w:footnoteReference w:id="1522"/>
      </w:r>
      <w:r>
        <w:rPr>
          <w:rFonts w:ascii="Amiri" w:hAnsi="Amiri" w:eastAsia="Amiri" w:cs="Amiri"/>
          <w:color w:val="111111"/>
          <w:sz w:val="28"/>
          <w:sz w:val="28"/>
          <w:szCs w:val="28"/>
          <w:rtl w:val="true"/>
          <w:lang w:bidi="ar-SA"/>
        </w:rPr>
        <w:t>لأنّ اللّٰه تعالی علّق حِلّ الوطء فی کلّ المظاهرین بالتکفیر، ولو وقع مؤقّتاً أفضی إلی الحِلّ بغیره، واللازم کالملزوم فی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فُرّق بین المدّة الزائدة علی ثلاثة أشهر وغیرها؛ لعدم المطالبة بالوطء قبلها وهی من لوازم وقوعه </w:t>
      </w:r>
      <w:r>
        <w:rPr>
          <w:rStyle w:val="FootnoteAnchor"/>
          <w:rtl w:val="true"/>
        </w:rPr>
        <w:footnoteReference w:id="1523"/>
      </w:r>
      <w:r>
        <w:rPr>
          <w:rFonts w:ascii="IRNazanin" w:hAnsi="IRNazanin" w:eastAsia="IRNazanin"/>
          <w:color w:val="111111"/>
          <w:sz w:val="28"/>
          <w:sz w:val="28"/>
          <w:szCs w:val="28"/>
          <w:rtl w:val="true"/>
          <w:lang w:bidi="fa-IR"/>
        </w:rPr>
        <w:t>وهو غیر کافٍ فی تخصیص العموم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حضور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یسمعان الصیغة کالطلاق، فلو ظاهر ولم یسمعه الشاهدان وقع لاغیاً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وکونها طاهراً من الحیض والنفاس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حضور الزوج أو حکمه وعدمِ الحَبَل کالطلاق، وکان علیه أن ینبّه علیه، ولعلّه أهمله لظهور أنّ هذه شرائط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یکون قد قربها فی ذلک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حضوره أیضاً کما سبق </w:t>
      </w:r>
      <w:r>
        <w:rPr>
          <w:rStyle w:val="FootnoteAnchor"/>
          <w:rtl w:val="true"/>
        </w:rPr>
        <w:footnoteReference w:id="1524"/>
      </w:r>
      <w:r>
        <w:rPr>
          <w:rFonts w:ascii="IRNazanin" w:hAnsi="IRNazanin" w:eastAsia="IRNazanin"/>
          <w:color w:val="111111"/>
          <w:sz w:val="28"/>
          <w:sz w:val="28"/>
          <w:szCs w:val="28"/>
          <w:rtl w:val="true"/>
          <w:lang w:bidi="fa-IR"/>
        </w:rPr>
        <w:t xml:space="preserve">فلو غاب وظنّ انتقالها منه إلی غیره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Style w:val="FootnoteAnchor"/>
          <w:rtl w:val="true"/>
        </w:rPr>
        <w:footnoteReference w:id="1525"/>
      </w:r>
      <w:r>
        <w:rPr>
          <w:rFonts w:ascii="Amiri" w:hAnsi="Amiri" w:eastAsia="Amiri" w:cs="Amiri"/>
          <w:color w:val="111111"/>
          <w:sz w:val="28"/>
          <w:sz w:val="28"/>
          <w:szCs w:val="28"/>
          <w:rtl w:val="true"/>
          <w:lang w:bidi="ar-SA"/>
        </w:rPr>
        <w:t xml:space="preserve">مطلقاً </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المظاهر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ظهار الصبیّ والمجنون وفاقد القصد بالإکراه والسکر والإغماء والغضب إن اتّفق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1527"/>
      </w:r>
      <w:r>
        <w:rPr>
          <w:rFonts w:ascii="IRNazanin" w:hAnsi="IRNazanin" w:eastAsia="IRNazanin"/>
          <w:color w:val="111111"/>
          <w:sz w:val="28"/>
          <w:sz w:val="28"/>
          <w:szCs w:val="28"/>
          <w:rtl w:val="true"/>
          <w:lang w:bidi="fa-IR"/>
        </w:rPr>
        <w:t xml:space="preserve">للأصل والعموم </w:t>
      </w:r>
      <w:r>
        <w:rPr>
          <w:rStyle w:val="FootnoteAnchor"/>
          <w:rtl w:val="true"/>
        </w:rPr>
        <w:footnoteReference w:id="1528"/>
      </w:r>
      <w:r>
        <w:rPr>
          <w:rFonts w:ascii="IRNazanin" w:hAnsi="IRNazanin" w:eastAsia="IRNazanin"/>
          <w:color w:val="111111"/>
          <w:sz w:val="28"/>
          <w:sz w:val="28"/>
          <w:szCs w:val="28"/>
          <w:rtl w:val="true"/>
          <w:lang w:bidi="fa-IR"/>
        </w:rPr>
        <w:t>وعدم المانع؛ إذ لیس عبادة یمتنع وقوعها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الشیخ؛ لأنّه لا یقرّ بالشرع، والظهار حکم شرعیٌّ، ولأ نّه لا تصحّ منه الکفّارة لاشتراط نیّة القربة فیها فیمتنع منه الفئة، وهی من لوازم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بأ نّه من قبیل الأسباب وهی لا تتوقّف علی اعتقادها، والتمکّن من التکفیر متحقّق بتقدیمه الإسلام؛ لأنّه قادر علیه، ولو لم یقدر علی العبادات لامتنع تکلیفه بها عندنا، وإنّما تقع منه باطلة لفقد شرطٍ مقدور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صحّته بملک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مدبَّرة أو اُمّ ولد؛ لدخولها فی 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w:t>
      </w:r>
    </w:p>
    <w:p>
      <w:pPr>
        <w:pStyle w:val="BookText"/>
        <w:rPr/>
      </w:pP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کدخولها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نِسٰائِکُمْ </w:t>
      </w:r>
      <w:r>
        <w:rPr>
          <w:rStyle w:val="FootnoteAnchor"/>
          <w:rtl w:val="true"/>
        </w:rPr>
        <w:footnoteReference w:id="1530"/>
      </w:r>
      <w:r>
        <w:rPr>
          <w:rFonts w:ascii="IRNazanin" w:hAnsi="IRNazanin" w:eastAsia="IRNazanin"/>
          <w:color w:val="111111"/>
          <w:sz w:val="28"/>
          <w:sz w:val="28"/>
          <w:szCs w:val="28"/>
          <w:rtl w:val="true"/>
          <w:lang w:bidi="fa-IR"/>
        </w:rPr>
        <w:t>فحرمت اُمّ الموطوءة بالملک، ولصحیحة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الظهار علی الحرّة والأمة؟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وهی تشمل الموطوءة بالملک والزوجیّة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1532"/>
      </w:r>
      <w:r>
        <w:rPr>
          <w:rFonts w:ascii="IRNazanin" w:hAnsi="IRNazanin" w:eastAsia="IRNazanin"/>
          <w:color w:val="111111"/>
          <w:sz w:val="28"/>
          <w:sz w:val="28"/>
          <w:szCs w:val="28"/>
          <w:rtl w:val="true"/>
          <w:lang w:bidi="fa-IR"/>
        </w:rPr>
        <w:t>إلی عدم وقوعه علی ما لا یقع علیه الطلاق؛ لأنّ المفهوم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ولورود السبب </w:t>
      </w:r>
      <w:r>
        <w:rPr>
          <w:rStyle w:val="FootnoteAnchor"/>
          <w:rtl w:val="true"/>
        </w:rPr>
        <w:footnoteReference w:id="1533"/>
      </w:r>
      <w:r>
        <w:rPr>
          <w:rFonts w:ascii="IRNazanin" w:hAnsi="IRNazanin" w:eastAsia="IRNazanin"/>
          <w:color w:val="111111"/>
          <w:sz w:val="28"/>
          <w:sz w:val="28"/>
          <w:szCs w:val="28"/>
          <w:rtl w:val="true"/>
          <w:lang w:bidi="fa-IR"/>
        </w:rPr>
        <w:t>فیها، ولروایة حمزة بن حمران عن الصادق علیه السلام فی من یظاهر من أمته،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یأتیها ولیس علیه شیء</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ولأنّ الظهار کان فی الجاهلیّة طلاقاً وهو لا یقع بها، وللأصل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ویُضعَّف بمنع الحمل علی الزوجة، وقد سلف، والسبب لا یخصِّص وقد حُقّق فی الاُصول </w:t>
      </w:r>
      <w:r>
        <w:rPr>
          <w:rStyle w:val="FootnoteAnchor"/>
          <w:rtl w:val="true"/>
        </w:rPr>
        <w:footnoteReference w:id="1535"/>
      </w:r>
      <w:r>
        <w:rPr>
          <w:rFonts w:ascii="IRNazanin" w:hAnsi="IRNazanin" w:eastAsia="IRNazanin"/>
          <w:color w:val="111111"/>
          <w:sz w:val="28"/>
          <w:sz w:val="28"/>
          <w:szCs w:val="28"/>
          <w:rtl w:val="true"/>
          <w:lang w:bidi="fa-IR"/>
        </w:rPr>
        <w:t xml:space="preserve">والروایة ضعیفة السند </w:t>
      </w:r>
      <w:r>
        <w:rPr>
          <w:rStyle w:val="FootnoteAnchor"/>
          <w:rtl w:val="true"/>
        </w:rPr>
        <w:footnoteReference w:id="1536"/>
      </w:r>
      <w:r>
        <w:rPr>
          <w:rFonts w:ascii="IRNazanin" w:hAnsi="IRNazanin" w:eastAsia="IRNazanin"/>
          <w:color w:val="111111"/>
          <w:sz w:val="28"/>
          <w:sz w:val="28"/>
          <w:szCs w:val="28"/>
          <w:rtl w:val="true"/>
          <w:lang w:bidi="fa-IR"/>
        </w:rPr>
        <w:t xml:space="preserve">وفعل الجاهلیّة لا حجّة فیه، وقد نقل أ نّهم کانوا یُظاهرون من الأمة أیضاً </w:t>
      </w:r>
      <w:r>
        <w:rPr>
          <w:rStyle w:val="FootnoteAnchor"/>
          <w:rtl w:val="true"/>
        </w:rPr>
        <w:footnoteReference w:id="1537"/>
      </w:r>
      <w:r>
        <w:rPr>
          <w:rFonts w:ascii="IRNazanin" w:hAnsi="IRNazanin" w:eastAsia="IRNazanin"/>
          <w:color w:val="111111"/>
          <w:sz w:val="28"/>
          <w:sz w:val="28"/>
          <w:szCs w:val="28"/>
          <w:rtl w:val="true"/>
          <w:lang w:bidi="fa-IR"/>
        </w:rPr>
        <w:t>والأصل قد اندفع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یشترط کونها مدخولاً بها؟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538"/>
      </w:r>
      <w:r>
        <w:rPr>
          <w:rFonts w:ascii="IRNazanin" w:hAnsi="IRNazanin" w:eastAsia="IRNazanin"/>
          <w:color w:val="111111"/>
          <w:sz w:val="28"/>
          <w:sz w:val="28"/>
          <w:szCs w:val="28"/>
          <w:rtl w:val="true"/>
          <w:lang w:bidi="fa-IR"/>
        </w:rPr>
        <w:t xml:space="preserve">للأصل والعموم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محمّد بن مسلم فی الصحیح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یکون ظهاراً </w:t>
      </w:r>
      <w:r>
        <w:rPr>
          <w:rStyle w:val="FootnoteAnchor"/>
          <w:rtl w:val="true"/>
        </w:rPr>
        <w:footnoteReference w:id="1540"/>
      </w:r>
      <w:r>
        <w:rPr>
          <w:rFonts w:ascii="IRNazanin" w:hAnsi="IRNazanin" w:eastAsia="IRNazanin"/>
          <w:color w:val="111111"/>
          <w:sz w:val="28"/>
          <w:sz w:val="28"/>
          <w:szCs w:val="28"/>
          <w:rtl w:val="true"/>
          <w:lang w:bidi="fa-IR"/>
        </w:rPr>
        <w:t>ولا إیلاء حتّی یدخل بها</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وفی صحیحة الفضل بن یسار أنّ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یکون ظهاراً </w:t>
      </w:r>
      <w:r>
        <w:rPr>
          <w:rStyle w:val="FootnoteAnchor"/>
          <w:rtl w:val="true"/>
        </w:rPr>
        <w:footnoteReference w:id="1542"/>
      </w:r>
      <w:r>
        <w:rPr>
          <w:rFonts w:ascii="IRNazanin" w:hAnsi="IRNazanin" w:eastAsia="IRNazanin"/>
          <w:color w:val="111111"/>
          <w:sz w:val="28"/>
          <w:sz w:val="28"/>
          <w:szCs w:val="28"/>
          <w:rtl w:val="true"/>
          <w:lang w:bidi="fa-IR"/>
        </w:rPr>
        <w:t>ولا إیلاء حتّی یدخل بها</w:t>
      </w:r>
      <w:r>
        <w:rPr>
          <w:rFonts w:eastAsia="IRNazanin" w:cs="IRNazanin"/>
          <w:color w:val="111111"/>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 xml:space="preserve">وهذا هو الأصحّ، وهو مخصّص للعموم بناءً علی أنّ خبر الواحد حجّة ویخصّص عموم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الوطء به کالقبل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ویقع الظهار بالرتقاء والقرناء والمریضة التی لا توطأ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المصنّف وجماعة </w:t>
      </w:r>
      <w:r>
        <w:rPr>
          <w:rStyle w:val="FootnoteAnchor"/>
          <w:rtl w:val="true"/>
        </w:rPr>
        <w:footnoteReference w:id="1544"/>
      </w:r>
      <w:r>
        <w:rPr>
          <w:rFonts w:ascii="IRNazanin" w:hAnsi="IRNazanin" w:eastAsia="IRNazanin"/>
          <w:color w:val="111111"/>
          <w:sz w:val="28"/>
          <w:sz w:val="28"/>
          <w:szCs w:val="28"/>
          <w:rtl w:val="true"/>
          <w:lang w:bidi="fa-IR"/>
        </w:rPr>
        <w:t>وهو یتمّ علی عدم اشتراط الدخول، أمّا علیه فلا؛ لإطلاق</w:t>
      </w:r>
    </w:p>
    <w:p>
      <w:pPr>
        <w:pStyle w:val="BookText"/>
        <w:rPr/>
      </w:pPr>
      <w:r>
        <w:rPr>
          <w:rFonts w:ascii="Amiri" w:hAnsi="Amiri" w:eastAsia="Amiri" w:cs="Amiri"/>
          <w:color w:val="111111"/>
          <w:sz w:val="28"/>
          <w:sz w:val="28"/>
          <w:szCs w:val="28"/>
          <w:rtl w:val="true"/>
          <w:lang w:bidi="ar-SA"/>
        </w:rPr>
        <w:t xml:space="preserve">النصّ </w:t>
      </w:r>
      <w:r>
        <w:rPr>
          <w:rStyle w:val="FootnoteAnchor"/>
          <w:rtl w:val="true"/>
        </w:rPr>
        <w:footnoteReference w:id="1545"/>
      </w:r>
      <w:r>
        <w:rPr>
          <w:rFonts w:ascii="IRNazanin" w:hAnsi="IRNazanin" w:eastAsia="IRNazanin"/>
          <w:color w:val="111111"/>
          <w:sz w:val="28"/>
          <w:sz w:val="28"/>
          <w:szCs w:val="28"/>
          <w:rtl w:val="true"/>
          <w:lang w:bidi="fa-IR"/>
        </w:rPr>
        <w:t xml:space="preserve">باشتراطه من غیر فرق بین من یمکن ذلک فی حقّه بالنظر إلیه وإلیها وغیره، ولکن ذکر ذلک من اشترط الدخول کالمصنّف، ومن توقّف کالعلّامة </w:t>
      </w:r>
      <w:r>
        <w:rPr>
          <w:rStyle w:val="FootnoteAnchor"/>
          <w:rtl w:val="true"/>
        </w:rPr>
        <w:footnoteReference w:id="1546"/>
      </w:r>
      <w:r>
        <w:rPr>
          <w:rFonts w:ascii="Amiri" w:hAnsi="Amiri" w:eastAsia="Amiri" w:cs="Amiri"/>
          <w:color w:val="111111"/>
          <w:sz w:val="28"/>
          <w:sz w:val="28"/>
          <w:szCs w:val="28"/>
          <w:rtl w:val="true"/>
          <w:lang w:bidi="ar-SA"/>
        </w:rPr>
        <w:t xml:space="preserve">والمحقّق </w:t>
      </w:r>
      <w:r>
        <w:rPr>
          <w:rStyle w:val="FootnoteAnchor"/>
          <w:rtl w:val="true"/>
        </w:rPr>
        <w:footnoteReference w:id="1547"/>
      </w:r>
      <w:r>
        <w:rPr>
          <w:rFonts w:ascii="IRNazanin" w:hAnsi="IRNazanin" w:eastAsia="IRNazanin"/>
          <w:color w:val="111111"/>
          <w:sz w:val="28"/>
          <w:sz w:val="28"/>
          <w:szCs w:val="28"/>
          <w:rtl w:val="true"/>
          <w:lang w:bidi="fa-IR"/>
        </w:rPr>
        <w:t xml:space="preserve">ویمکن أن یکون قول المصنّف هنا من هذا القبیل </w:t>
      </w:r>
      <w:r>
        <w:rPr>
          <w:rStyle w:val="FootnoteAnchor"/>
          <w:rtl w:val="true"/>
        </w:rPr>
        <w:footnoteReference w:id="1548"/>
      </w:r>
      <w:r>
        <w:rPr>
          <w:rFonts w:ascii="IRNazanin" w:hAnsi="IRNazanin" w:eastAsia="IRNazanin"/>
          <w:color w:val="111111"/>
          <w:sz w:val="28"/>
          <w:sz w:val="28"/>
          <w:szCs w:val="28"/>
          <w:rtl w:val="true"/>
          <w:lang w:bidi="fa-IR"/>
        </w:rPr>
        <w:t>وکیف کان فبناء الحکم علی اشتراط الدخول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 نّه إنّما یشترط حیث یمکن تحکّم، ومثله حکمهم </w:t>
      </w:r>
      <w:r>
        <w:rPr>
          <w:rStyle w:val="FootnoteAnchor"/>
          <w:rtl w:val="true"/>
        </w:rPr>
        <w:footnoteReference w:id="1549"/>
      </w:r>
      <w:r>
        <w:rPr>
          <w:rFonts w:ascii="IRNazanin" w:hAnsi="IRNazanin" w:eastAsia="IRNazanin"/>
          <w:color w:val="111111"/>
          <w:sz w:val="28"/>
          <w:sz w:val="28"/>
          <w:szCs w:val="28"/>
          <w:rtl w:val="true"/>
          <w:lang w:bidi="fa-IR"/>
        </w:rPr>
        <w:t>بوقوعه من الخصیّ والمجبوب حیث یمتنع الوطء منهما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وتجب الکفّارة بالعود، وهی </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نَّث الضمیر لتوسّطه بین مذکّر ومؤنّث أحدهما مفسّر للآخر قاعدة مطّردة، أی المراد من العود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بمعنی وجوبها مستقرّاً بإرادته،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تحریم وطئها حتّی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عزم ولم یفعل ولم یکفّر ثمّ بدا له فی ذلک فطلّقها سقطت عنه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 فی التحریر </w:t>
      </w:r>
      <w:r>
        <w:rPr>
          <w:rStyle w:val="FootnoteAnchor"/>
          <w:rtl w:val="true"/>
        </w:rPr>
        <w:footnoteReference w:id="1551"/>
      </w:r>
      <w:r>
        <w:rPr>
          <w:rFonts w:ascii="Amiri" w:hAnsi="Amiri" w:eastAsia="Amiri" w:cs="Amiri"/>
          <w:color w:val="111111"/>
          <w:sz w:val="28"/>
          <w:sz w:val="28"/>
          <w:szCs w:val="28"/>
          <w:rtl w:val="true"/>
          <w:lang w:bidi="ar-SA"/>
        </w:rPr>
        <w:t>استقرارها به محتجّاً بدلالة الآیة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یَعُودُونَ لِمٰا قٰالُوا فَتَحْرِیرُ رَقَبَةٍ </w:t>
      </w:r>
      <w:r>
        <w:rPr>
          <w:rStyle w:val="FootnoteAnchor"/>
          <w:rtl w:val="true"/>
        </w:rPr>
        <w:footnoteReference w:id="1552"/>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الدلالة علیه نظر، وإنّما ظاهرها وجوبها بالعود قبل أن یتماسّا،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یحرم الوطء علیه به لا علیها، إلّاأن تکون معاونة له علی الإثم فیحرم لذلک، لا للظهار، فلو تشبّهت علیه علی وجه لا یحرم علیه، أو استدخلته وهو نائم لم یحرم علیها؛ لثبوت الحلّ لها قبله والأصل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تحریم وطئها حتّی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غیر الوطء من ضروب الاستمتاع لا یحرم علیه، وهو أحد القولین فی المسألة </w:t>
      </w:r>
      <w:r>
        <w:rPr>
          <w:rStyle w:val="FootnoteAnchor"/>
          <w:rtl w:val="true"/>
        </w:rPr>
        <w:footnoteReference w:id="1553"/>
      </w:r>
      <w:r>
        <w:rPr>
          <w:rFonts w:ascii="Amiri" w:hAnsi="Amiri" w:eastAsia="Amiri" w:cs="Amiri"/>
          <w:color w:val="111111"/>
          <w:sz w:val="28"/>
          <w:sz w:val="28"/>
          <w:szCs w:val="28"/>
          <w:rtl w:val="true"/>
          <w:lang w:bidi="ar-SA"/>
        </w:rPr>
        <w:t>لظاهر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أَنْ یَتَمَاسّٰا </w:t>
      </w:r>
      <w:r>
        <w:rPr>
          <w:rStyle w:val="FootnoteAnchor"/>
          <w:rtl w:val="true"/>
        </w:rPr>
        <w:footnoteReference w:id="1554"/>
      </w:r>
      <w:r>
        <w:rPr>
          <w:rFonts w:ascii="Amiri" w:hAnsi="Amiri" w:eastAsia="Amiri" w:cs="Amiri"/>
          <w:color w:val="111111"/>
          <w:sz w:val="28"/>
          <w:sz w:val="28"/>
          <w:szCs w:val="28"/>
          <w:rtl w:val="true"/>
          <w:lang w:bidi="ar-SA"/>
        </w:rPr>
        <w:t>إذ الظاهر منها الوطء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تَمَسُّوهُنَّ </w:t>
      </w:r>
      <w:r>
        <w:rPr>
          <w:rStyle w:val="FootnoteAnchor"/>
          <w:rtl w:val="true"/>
        </w:rPr>
        <w:footnoteReference w:id="1555"/>
      </w:r>
      <w:r>
        <w:rPr>
          <w:rFonts w:ascii="IRNazanin" w:hAnsi="IRNazanin" w:eastAsia="IRNazanin"/>
          <w:color w:val="111111"/>
          <w:sz w:val="28"/>
          <w:sz w:val="28"/>
          <w:szCs w:val="28"/>
          <w:rtl w:val="true"/>
          <w:lang w:bidi="fa-IR"/>
        </w:rPr>
        <w:t>وإن کان بحسب اللغة أعمّ منه، حذراً من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استلزامه النقل، والاشتراک خیر منه؛ لأنّا نجعله متواطئاً علی معنی یشترک فیه کثیر وهو تلاقی الأبدان مطلقاً، وإطلاقه علی الوطء استعمال اللفظ فی بعض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أولی منهما ومن المجاز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جواب ما احتجّ به الشیخ علی تحریم الجمیع استناداً إلی إطلاق المسیس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الاستناد إلی تنزیلها منزلة المحرّمة مؤبّداً </w:t>
      </w:r>
      <w:r>
        <w:rPr>
          <w:rStyle w:val="FootnoteAnchor"/>
          <w:rtl w:val="true"/>
        </w:rPr>
        <w:footnoteReference w:id="1557"/>
      </w:r>
      <w:r>
        <w:rPr>
          <w:rFonts w:ascii="Amiri" w:hAnsi="Amiri" w:eastAsia="Amiri" w:cs="Amiri"/>
          <w:color w:val="111111"/>
          <w:sz w:val="28"/>
          <w:sz w:val="28"/>
          <w:szCs w:val="28"/>
          <w:rtl w:val="true"/>
          <w:lang w:bidi="ar-SA"/>
        </w:rPr>
        <w:t>فهو مصادرة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إذا کان الظهار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مشروطاً لم یحرم حتّی یقع الشرط، سواء کان الشرط الوطء أم غیره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هو الوطء تحقّق بالنزع، فتحرم المعاودة قبلها ولا تجب قبله وإن</w:t>
      </w:r>
    </w:p>
    <w:p>
      <w:pPr>
        <w:pStyle w:val="BookText"/>
        <w:rPr/>
      </w:pPr>
      <w:r>
        <w:rPr>
          <w:rFonts w:ascii="IRNazanin" w:hAnsi="IRNazanin" w:eastAsia="IRNazanin"/>
          <w:color w:val="111111"/>
          <w:sz w:val="28"/>
          <w:sz w:val="28"/>
          <w:szCs w:val="28"/>
          <w:rtl w:val="true"/>
          <w:lang w:bidi="fa-IR"/>
        </w:rPr>
        <w:t xml:space="preserve">طالت مدّته علی أصحّ القولین </w:t>
      </w:r>
      <w:r>
        <w:rPr>
          <w:rStyle w:val="FootnoteAnchor"/>
          <w:rtl w:val="true"/>
        </w:rPr>
        <w:footnoteReference w:id="1558"/>
      </w:r>
      <w:r>
        <w:rPr>
          <w:rFonts w:ascii="IRNazanin" w:hAnsi="IRNazanin" w:eastAsia="IRNazanin"/>
          <w:color w:val="111111"/>
          <w:sz w:val="28"/>
          <w:sz w:val="28"/>
          <w:szCs w:val="28"/>
          <w:rtl w:val="true"/>
          <w:lang w:bidi="fa-IR"/>
        </w:rPr>
        <w:t>حملاً علی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وطئ قبل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عامداً حیث یتحقّق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للوطء، والاُخری للظهار، وهی الواجبة بالعزم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علی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الجاهل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 عامد، وعذره فی کثیر من نظائره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الوطء قبل التکفیر عن الظهار وإن کان قد کفّر عن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تکرّرت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وجبت للوطء، دون کفّارة الظهار، فیجب علیه ثلاث للوطء الثانی، وأربع للثالث،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ویتحقّق تکراره بالعود بعد النزع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وکفّارة الظهار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تتکرّر بتکرّر الوطء</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 أو رجعیّاً وانقضت العدّة حلّت له من غیر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برید العجلی </w:t>
      </w:r>
      <w:r>
        <w:rPr>
          <w:rStyle w:val="FootnoteAnchor"/>
          <w:rtl w:val="true"/>
        </w:rPr>
        <w:footnoteReference w:id="1559"/>
      </w:r>
      <w:r>
        <w:rPr>
          <w:rFonts w:ascii="IRNazanin" w:hAnsi="IRNazanin" w:eastAsia="IRNazanin"/>
          <w:color w:val="111111"/>
          <w:sz w:val="28"/>
          <w:sz w:val="28"/>
          <w:szCs w:val="28"/>
          <w:rtl w:val="true"/>
          <w:lang w:bidi="fa-IR"/>
        </w:rPr>
        <w:t xml:space="preserve">وغیره </w:t>
      </w:r>
      <w:r>
        <w:rPr>
          <w:rStyle w:val="FootnoteAnchor"/>
          <w:rtl w:val="true"/>
        </w:rPr>
        <w:footnoteReference w:id="1560"/>
      </w:r>
      <w:r>
        <w:rPr>
          <w:rFonts w:ascii="IRNazanin" w:hAnsi="IRNazanin" w:eastAsia="IRNazanin"/>
          <w:color w:val="111111"/>
          <w:sz w:val="28"/>
          <w:sz w:val="28"/>
          <w:szCs w:val="28"/>
          <w:rtl w:val="true"/>
          <w:lang w:bidi="fa-IR"/>
        </w:rPr>
        <w:t>ولصیرورته بذلک کالأجنبیّ، واستباحة الوطء لیس بالعقد الذی لحقه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ذلک لا یسقطها </w:t>
      </w:r>
      <w:r>
        <w:rPr>
          <w:rStyle w:val="FootnoteAnchor"/>
          <w:rtl w:val="true"/>
        </w:rPr>
        <w:footnoteReference w:id="1561"/>
      </w:r>
      <w:r>
        <w:rPr>
          <w:rFonts w:ascii="IRNazanin" w:hAnsi="IRNazanin" w:eastAsia="IRNazanin"/>
          <w:color w:val="111111"/>
          <w:sz w:val="28"/>
          <w:sz w:val="28"/>
          <w:szCs w:val="28"/>
          <w:rtl w:val="true"/>
          <w:lang w:bidi="fa-IR"/>
        </w:rPr>
        <w:t xml:space="preserve">وحملت علی الاستحباب </w:t>
      </w:r>
      <w:r>
        <w:rPr>
          <w:rStyle w:val="FootnoteAnchor"/>
          <w:rtl w:val="true"/>
        </w:rPr>
        <w:footnoteReference w:id="1562"/>
      </w:r>
      <w:r>
        <w:rPr>
          <w:rFonts w:ascii="IRNazanin" w:hAnsi="IRNazanin" w:eastAsia="IRNazanin"/>
          <w:color w:val="111111"/>
          <w:sz w:val="28"/>
          <w:sz w:val="28"/>
          <w:szCs w:val="28"/>
          <w:rtl w:val="true"/>
          <w:lang w:bidi="fa-IR"/>
        </w:rPr>
        <w:t xml:space="preserve">ولو راجع فی الرجعیّة عاد التحریم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ظاهر من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مولاها؛ لاستباحتها حینئذٍ بالملک وبطلان</w:t>
      </w:r>
    </w:p>
    <w:p>
      <w:pPr>
        <w:pStyle w:val="BookText"/>
        <w:rPr/>
      </w:pPr>
      <w:r>
        <w:rPr>
          <w:rFonts w:ascii="IRNazanin" w:hAnsi="IRNazanin" w:eastAsia="IRNazanin"/>
          <w:color w:val="111111"/>
          <w:sz w:val="28"/>
          <w:sz w:val="28"/>
          <w:szCs w:val="28"/>
          <w:rtl w:val="true"/>
          <w:lang w:bidi="fa-IR"/>
        </w:rPr>
        <w:t xml:space="preserve">حکم العقد کما بطل حکم السابق فی السابق </w:t>
      </w:r>
      <w:r>
        <w:rPr>
          <w:rStyle w:val="FootnoteAnchor"/>
          <w:rtl w:val="true"/>
        </w:rPr>
        <w:footnoteReference w:id="1563"/>
      </w:r>
      <w:r>
        <w:rPr>
          <w:rFonts w:ascii="IRNazanin" w:hAnsi="IRNazanin" w:eastAsia="IRNazanin"/>
          <w:color w:val="111111"/>
          <w:sz w:val="28"/>
          <w:sz w:val="28"/>
          <w:szCs w:val="28"/>
          <w:rtl w:val="true"/>
          <w:lang w:bidi="fa-IR"/>
        </w:rPr>
        <w:t>وکذا یسقط حکم الظهار لو اشتراها غیره وفسخ العقد ثمّ تزوّجها المظاهر بعقد جدید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ویجب تقدیم الکفّارة علی المسیس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أَنْ یَتَمَاسّٰا </w:t>
      </w:r>
      <w:r>
        <w:rPr>
          <w:rStyle w:val="FootnoteAnchor"/>
          <w:rtl w:val="true"/>
        </w:rPr>
        <w:footnoteReference w:id="1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بالعود أو التکفیر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رافعته إلی الحاکم فیُنظِره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المرافعة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یُکفّر ویفیء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یرجع عن الظهار مقدّماً للرجعة علی الکفّارة کما مرّ </w:t>
      </w:r>
      <w:r>
        <w:rPr>
          <w:rStyle w:val="FootnoteAnchor"/>
          <w:rtl w:val="true"/>
        </w:rPr>
        <w:footnoteReference w:id="1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یطلّق ویُجبره علی ذلک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یختر أحدهما ضیّق علیه فی المطعم والمشرب حتّی یختار أحدهما، ولا یجبره علی أحدهما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یطلّق عنه، کما لا یعترضه لو صبرت</w:t>
      </w:r>
      <w:r>
        <w:rPr>
          <w:rFonts w:eastAsia="IRNazanin" w:cs="IRNazanin"/>
          <w:color w:val="111111"/>
          <w:sz w:val="28"/>
          <w:szCs w:val="28"/>
          <w:rtl w:val="true"/>
          <w:lang w:bidi="fa-IR"/>
        </w:rPr>
        <w:t>.</w:t>
      </w:r>
      <w:bookmarkStart w:id="537" w:name="pg19810_214621"/>
    </w:p>
    <w:p>
      <w:pPr>
        <w:pStyle w:val="Heading2"/>
        <w:numPr>
          <w:ilvl w:val="1"/>
          <w:numId w:val="1"/>
        </w:numPr>
        <w:rPr/>
      </w:pPr>
      <w:bookmarkStart w:id="538" w:name="__RefHeading___Toc2175655_2314609296"/>
      <w:bookmarkStart w:id="539" w:name="_Toc202"/>
      <w:bookmarkEnd w:id="537"/>
      <w:bookmarkEnd w:id="538"/>
      <w:r>
        <w:rPr>
          <w:rtl w:val="true"/>
        </w:rPr>
        <w:t>کتاب الإیلاء</w:t>
      </w:r>
      <w:bookmarkEnd w:id="53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0" w:name="__RefHeading___Toc2175657_2314609296"/>
      <w:bookmarkStart w:id="541" w:name="_Toc203"/>
      <w:bookmarkEnd w:id="540"/>
      <w:r>
        <w:rPr>
          <w:rtl w:val="true"/>
        </w:rPr>
        <w:t>اشارة</w:t>
      </w:r>
      <w:bookmarkStart w:id="542" w:name="pg19810_214623"/>
      <w:bookmarkEnd w:id="541"/>
    </w:p>
    <w:p>
      <w:pPr>
        <w:pStyle w:val="BookText"/>
        <w:rPr/>
      </w:pPr>
      <w:bookmarkEnd w:id="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الإیلاء</w:t>
      </w:r>
      <w:r>
        <w:rPr>
          <w:rFonts w:eastAsia="IRNazanin" w:cs="IRNazanin"/>
          <w:color w:val="111111"/>
          <w:sz w:val="28"/>
          <w:szCs w:val="28"/>
          <w:rtl w:val="true"/>
          <w:lang w:bidi="fa-IR"/>
        </w:rPr>
        <w:t>»</w:t>
      </w:r>
    </w:p>
    <w:p>
      <w:pPr>
        <w:pStyle w:val="Heading3"/>
        <w:numPr>
          <w:ilvl w:val="2"/>
          <w:numId w:val="1"/>
        </w:numPr>
        <w:rPr/>
      </w:pPr>
      <w:bookmarkStart w:id="543" w:name="__RefHeading___Toc2175659_2314609296"/>
      <w:bookmarkStart w:id="544" w:name="_Toc204"/>
      <w:bookmarkEnd w:id="543"/>
      <w:r>
        <w:rPr>
          <w:rtl w:val="true"/>
        </w:rPr>
        <w:t>[</w:t>
      </w:r>
      <w:r>
        <w:rPr>
          <w:rtl w:val="true"/>
        </w:rPr>
        <w:t>تعریفه و صیغتة</w:t>
      </w:r>
      <w:r>
        <w:rPr>
          <w:rtl w:val="true"/>
        </w:rPr>
        <w:t>]</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مصدر آلی یولی إذا حلف مطلقاً، وشرعاً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الحلف علی ترک وطء الزوجة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المدخول بها قُبُلاً أو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تقیید بزمان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زیادة علی أربعة أشهر؛ للإضرار بها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جزئیّ من جزئیّات الإیلاء الکلّی اُطلق علیه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والحلف فیه کالجنس یشمل الإیلاء الشرعیّ وغیره، والمراد الحلف باللّٰه تعالی،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وتقییده بترک وطء الزوجة یُخرج الیمین علی غیره، فإنّه لا یلحقه أحکام الإیلاء الخاصّة به، بل </w:t>
      </w:r>
      <w:r>
        <w:rPr>
          <w:rStyle w:val="FootnoteAnchor"/>
          <w:rtl w:val="true"/>
        </w:rPr>
        <w:footnoteReference w:id="1567"/>
      </w:r>
      <w:r>
        <w:rPr>
          <w:rFonts w:ascii="IRNazanin" w:hAnsi="IRNazanin" w:eastAsia="IRNazanin"/>
          <w:color w:val="111111"/>
          <w:sz w:val="28"/>
          <w:sz w:val="28"/>
          <w:szCs w:val="28"/>
          <w:rtl w:val="true"/>
          <w:lang w:bidi="fa-IR"/>
        </w:rPr>
        <w:t>حکم مطلق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الحرّة والأمة المسلمة والکافرة، وخرج بها الحلف علی ترک وطء الأمة الموطوءة بالملک، وبتقییدها بالدائمة المتمتّع بها فإنّ الحلف علی ترک وطئها </w:t>
      </w:r>
      <w:r>
        <w:rPr>
          <w:rStyle w:val="FootnoteAnchor"/>
          <w:rtl w:val="true"/>
        </w:rPr>
        <w:footnoteReference w:id="1568"/>
      </w:r>
      <w:r>
        <w:rPr>
          <w:rFonts w:ascii="IRNazanin" w:hAnsi="IRNazanin" w:eastAsia="IRNazanin"/>
          <w:color w:val="111111"/>
          <w:sz w:val="28"/>
          <w:sz w:val="28"/>
          <w:szCs w:val="28"/>
          <w:rtl w:val="true"/>
          <w:lang w:bidi="fa-IR"/>
        </w:rPr>
        <w:t>لا یُعدّ إیلاءً، بل یمیناً مطلقاً، فیتبع الأولی فی الدین أو الدنیا، فإن تساویا انعقد یمیناً یلزمه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الحلف علی ترک وطء الدائمة مدّة لا تزید عن</w:t>
      </w:r>
    </w:p>
    <w:p>
      <w:pPr>
        <w:pStyle w:val="BookText"/>
        <w:rPr/>
      </w:pP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وزدنا فی التعریف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المدخول بها</w:t>
      </w:r>
      <w:r>
        <w:rPr>
          <w:rFonts w:eastAsia="IRNazanin" w:cs="IRNazanin"/>
          <w:color w:val="111111"/>
          <w:sz w:val="28"/>
          <w:szCs w:val="28"/>
          <w:rtl w:val="true"/>
          <w:lang w:bidi="fa-IR"/>
        </w:rPr>
        <w:t xml:space="preserve">» </w:t>
      </w:r>
      <w:r>
        <w:rPr>
          <w:rStyle w:val="FootnoteAnchor"/>
          <w:rtl w:val="true"/>
        </w:rPr>
        <w:footnoteReference w:id="1569"/>
      </w:r>
      <w:r>
        <w:rPr>
          <w:rFonts w:ascii="IRNazanin" w:hAnsi="IRNazanin" w:eastAsia="IRNazanin"/>
          <w:color w:val="111111"/>
          <w:sz w:val="28"/>
          <w:sz w:val="28"/>
          <w:szCs w:val="28"/>
          <w:rtl w:val="true"/>
          <w:lang w:bidi="fa-IR"/>
        </w:rPr>
        <w:t xml:space="preserve">لما هو المشهور بین الأصحاب من اشتراطه </w:t>
      </w:r>
      <w:r>
        <w:rPr>
          <w:rStyle w:val="FootnoteAnchor"/>
          <w:rtl w:val="true"/>
        </w:rPr>
        <w:footnoteReference w:id="1570"/>
      </w:r>
      <w:r>
        <w:rPr>
          <w:rFonts w:ascii="IRNazanin" w:hAnsi="IRNazanin" w:eastAsia="IRNazanin"/>
          <w:color w:val="111111"/>
          <w:sz w:val="28"/>
          <w:sz w:val="28"/>
          <w:szCs w:val="28"/>
          <w:rtl w:val="true"/>
          <w:lang w:bidi="fa-IR"/>
        </w:rPr>
        <w:t>من غیر نقل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المصنّف فی بعض تحقیقاته </w:t>
      </w:r>
      <w:r>
        <w:rPr>
          <w:rStyle w:val="FootnoteAnchor"/>
          <w:rtl w:val="true"/>
        </w:rPr>
        <w:footnoteReference w:id="1571"/>
      </w:r>
      <w:r>
        <w:rPr>
          <w:rFonts w:ascii="IRNazanin" w:hAnsi="IRNazanin" w:eastAsia="IRNazanin"/>
          <w:color w:val="111111"/>
          <w:sz w:val="28"/>
          <w:sz w:val="28"/>
          <w:szCs w:val="28"/>
          <w:rtl w:val="true"/>
          <w:lang w:bidi="fa-IR"/>
        </w:rPr>
        <w:t xml:space="preserve">بعدم وقوفه علی خلاف فیه، والأخبار الصحیحة مصرّحة باشتراطه فیه وفی الظهار </w:t>
      </w:r>
      <w:r>
        <w:rPr>
          <w:rStyle w:val="FootnoteAnchor"/>
          <w:rtl w:val="true"/>
        </w:rPr>
        <w:footnoteReference w:id="1572"/>
      </w:r>
      <w:r>
        <w:rPr>
          <w:rFonts w:ascii="IRNazanin" w:hAnsi="IRNazanin" w:eastAsia="IRNazanin"/>
          <w:color w:val="111111"/>
          <w:sz w:val="28"/>
          <w:sz w:val="28"/>
          <w:szCs w:val="28"/>
          <w:rtl w:val="true"/>
          <w:lang w:bidi="fa-IR"/>
        </w:rPr>
        <w:t xml:space="preserve">وقد تقدّم بعضها </w:t>
      </w:r>
      <w:r>
        <w:rPr>
          <w:rStyle w:val="FootnoteAnchor"/>
          <w:rtl w:val="true"/>
        </w:rPr>
        <w:footnoteReference w:id="1573"/>
      </w:r>
      <w:r>
        <w:rPr>
          <w:rFonts w:ascii="IRNazanin" w:hAnsi="IRNazanin" w:eastAsia="IRNazanin"/>
          <w:color w:val="111111"/>
          <w:sz w:val="28"/>
          <w:sz w:val="28"/>
          <w:szCs w:val="28"/>
          <w:rtl w:val="true"/>
          <w:lang w:bidi="fa-IR"/>
        </w:rPr>
        <w:t xml:space="preserve">وقید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عمّا لو حلف علی ترک وطئها دبراً، فإنّه لا ینعقد إیلاءً کما لا تحصل الفئة به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کلّ موضع لا ینعقد إیلاءً مع اجتماع شرائط الیمین یکون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الیمین والإیلاء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أصل الحلف والکفّارة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مخالفة الیمین فی الإیلاء، بل وجوبها علی وجه مع الکفّارة، دون الیمین المطلقة، وعدمُ اشتراط انعقاده مع تعلّقه بالمباح بأولویّته دیناً أو دنیاً أو تساوی طرفیه، بخلاف الیمین؛ واشتراطُه بالإضرار بالزوجة کما عُلم من تعریفه، فلو حلف علی ترک وطئها لمصلحتها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کإصلاح لبنها أو کونها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یمیناً لا إیلاءً، واشتراطُه بدوام عقد الزوجة، دون مطلق الیمین، وانحلالُ الیمین علی ترک وطئها بالوطء دبراً مع الکفّارة، دون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الأحکام</w:t>
      </w:r>
    </w:p>
    <w:p>
      <w:pPr>
        <w:pStyle w:val="BookText"/>
        <w:rPr/>
      </w:pPr>
      <w:r>
        <w:rPr>
          <w:rFonts w:ascii="IRNazanin" w:hAnsi="IRNazanin" w:eastAsia="IRNazanin"/>
          <w:color w:val="111111"/>
          <w:sz w:val="28"/>
          <w:sz w:val="28"/>
          <w:szCs w:val="28"/>
          <w:rtl w:val="true"/>
          <w:lang w:bidi="fa-IR"/>
        </w:rPr>
        <w:t>المختصّة بالإیلاء المذکورة فی 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الإیلاء کمطلق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إلّاباسم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 به أو الغالب کما سبق تحقیقه فی الیمین </w:t>
      </w:r>
      <w:r>
        <w:rPr>
          <w:rStyle w:val="FootnoteAnchor"/>
          <w:rtl w:val="true"/>
        </w:rPr>
        <w:footnoteReference w:id="1574"/>
      </w:r>
      <w:r>
        <w:rPr>
          <w:rFonts w:ascii="IRNazanin" w:hAnsi="IRNazanin" w:eastAsia="IRNazanin"/>
          <w:color w:val="111111"/>
          <w:sz w:val="28"/>
          <w:sz w:val="28"/>
          <w:szCs w:val="28"/>
          <w:rtl w:val="true"/>
          <w:lang w:bidi="fa-IR"/>
        </w:rPr>
        <w:t>لا بغیره من الأسماء وإن کانت معظّمة؛ لأ نّه حلف خاصّ، وقد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حالفاً فلیحلف باللّٰه، أو فلیصمت</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 xml:space="preserve">ولا تکفی نیّته، بل یعتبر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متلفّظاً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یختصّ بلغة، بل ینعقد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لصدقه عرفاً بأیّ لسان اتّفق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المحلوف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الجماع فی القبل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کإدخال الفرج فی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تغییب الحشفة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اللفظة المختصّة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وعرفاً، وهی 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تلفّظ بالجماع والوطء وأراد الإیلاء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فلا؛ لاحتمالهما إرادة غیره، فإنّهما وُضعا لغةً لغیره وإنّما کُنّی بهما عنه </w:t>
      </w:r>
      <w:r>
        <w:rPr>
          <w:rStyle w:val="FootnoteAnchor"/>
          <w:rtl w:val="true"/>
        </w:rPr>
        <w:footnoteReference w:id="1576"/>
      </w:r>
      <w:r>
        <w:rPr>
          <w:rFonts w:ascii="IRNazanin" w:hAnsi="IRNazanin" w:eastAsia="IRNazanin"/>
          <w:color w:val="111111"/>
          <w:sz w:val="28"/>
          <w:sz w:val="28"/>
          <w:szCs w:val="28"/>
          <w:rtl w:val="true"/>
          <w:lang w:bidi="fa-IR"/>
        </w:rPr>
        <w:t>عدولاً عمّا یُستهجن إلی بعض لوازمه ثمّ اشتهر فیه عرفاً فوقع به مع قصده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القصد معتبر فی جمیع الألفاظ وإن کانت صریحة، فلا وجه لتخصیص اللفظین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واشتراکهما أو إطلاقهما لغة علی غیره لا یضرّ مع إطباق العرف علی انصرافهما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أبو بصیر فی الصحیح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الإیلاء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یقول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اُجامعک کذا وکذا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الحدیث </w:t>
      </w:r>
      <w:r>
        <w:rPr>
          <w:rStyle w:val="FootnoteAnchor"/>
          <w:rtl w:val="true"/>
        </w:rPr>
        <w:footnoteReference w:id="1577"/>
      </w:r>
      <w:r>
        <w:rPr>
          <w:rFonts w:ascii="IRNazanin" w:hAnsi="IRNazanin" w:eastAsia="IRNazanin"/>
          <w:color w:val="111111"/>
          <w:sz w:val="28"/>
          <w:sz w:val="28"/>
          <w:szCs w:val="28"/>
          <w:rtl w:val="true"/>
          <w:lang w:bidi="fa-IR"/>
        </w:rPr>
        <w:t>ولم یقیّده بالقصد فإنّه معتبر مطلقاً، بل أجاب</w:t>
      </w:r>
    </w:p>
    <w:p>
      <w:pPr>
        <w:pStyle w:val="BookText"/>
        <w:rPr/>
      </w:pPr>
      <w:r>
        <w:rPr>
          <w:rFonts w:ascii="IRNazanin" w:hAnsi="IRNazanin" w:eastAsia="IRNazanin"/>
          <w:color w:val="111111"/>
          <w:sz w:val="28"/>
          <w:sz w:val="28"/>
          <w:szCs w:val="28"/>
          <w:rtl w:val="true"/>
          <w:lang w:bidi="fa-IR"/>
        </w:rPr>
        <w:t xml:space="preserve">به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علی نفس الماهیّة، فیکون حقیقةَ الإیلاء، ودخول غیره من الألفاظ الصریحة حینئذٍ بطریق أولی، فلا ینافیه خروجها عن الماهیّة المجاب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یستفاد منه أ نّه لا یقع بمثل المباضعة والملامسة والمباشرة التی یعبّر بها عنه کثیراً وإن قصده؛ لاشتهار اشتراکها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لجماعة </w:t>
      </w:r>
      <w:r>
        <w:rPr>
          <w:rStyle w:val="FootnoteAnchor"/>
          <w:rtl w:val="true"/>
        </w:rPr>
        <w:footnoteReference w:id="1578"/>
      </w:r>
      <w:r>
        <w:rPr>
          <w:rFonts w:ascii="IRNazanin" w:hAnsi="IRNazanin" w:eastAsia="IRNazanin"/>
          <w:color w:val="111111"/>
          <w:sz w:val="28"/>
          <w:sz w:val="28"/>
          <w:szCs w:val="28"/>
          <w:rtl w:val="true"/>
          <w:lang w:bidi="fa-IR"/>
        </w:rPr>
        <w:t>حیث حکموا بوقوعه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تحقّق فی العرف انصرافها أو بعضها إلیه وقع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تکون فائدة تقییده بالإرادة أ نّه لا یقع علیه ظاهراً بمجرّد سماعه موقعاً للصیغة بهما بل یُرجع إلیه فی قصده، فإن اعترف بإرادته حکم علیه به، وإن ادّعی عدمه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سُمع منه الصیغة الصریحة، فإنّه لا یُقبل منه دعوی عدم القصد، عملاً بالظاهر من حال العاقل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فیما بینه وبین اللّٰه تعالی فیرجع إلی نیّته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 رأسی ورأسک مخَدَّة أو </w:t>
      </w:r>
      <w:r>
        <w:rPr>
          <w:rStyle w:val="FootnoteAnchor"/>
          <w:rtl w:val="true"/>
        </w:rPr>
        <w:footnoteReference w:id="1579"/>
      </w:r>
      <w:r>
        <w:rPr>
          <w:rFonts w:ascii="IRNazanin" w:hAnsi="IRNazanin" w:eastAsia="IRNazanin"/>
          <w:color w:val="111111"/>
          <w:sz w:val="28"/>
          <w:sz w:val="28"/>
          <w:szCs w:val="28"/>
          <w:rtl w:val="true"/>
          <w:lang w:bidi="fa-IR"/>
        </w:rPr>
        <w:t>لا ساقفتکِ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جمعنی وإیّاک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وقصد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الحلف علی ترک وطئها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الشیخ</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 xml:space="preserve">والعلّامة فی المختلف </w:t>
      </w:r>
      <w:r>
        <w:rPr>
          <w:rStyle w:val="FootnoteAnchor"/>
          <w:rtl w:val="true"/>
        </w:rPr>
        <w:footnoteReference w:id="1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لفظ استعمل عرفاً فیما</w:t>
      </w:r>
    </w:p>
    <w:p>
      <w:pPr>
        <w:pStyle w:val="BookText"/>
        <w:rPr/>
      </w:pPr>
      <w:r>
        <w:rPr>
          <w:rFonts w:ascii="IRNazanin" w:hAnsi="IRNazanin" w:eastAsia="IRNazanin"/>
          <w:color w:val="111111"/>
          <w:sz w:val="28"/>
          <w:sz w:val="28"/>
          <w:szCs w:val="28"/>
          <w:rtl w:val="true"/>
          <w:lang w:bidi="fa-IR"/>
        </w:rPr>
        <w:t>نواه فیحمل علیه کغیره من الألفاظ، ولدلالة ظاهر الأخبار علیه حیث دلّت علی وقوعه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لأغیظنّک </w:t>
      </w:r>
      <w:r>
        <w:rPr>
          <w:rStyle w:val="FootnoteAnchor"/>
          <w:rtl w:val="true"/>
        </w:rPr>
        <w:footnoteReference w:id="1582"/>
      </w:r>
      <w:r>
        <w:rPr>
          <w:rFonts w:ascii="IRNazanin" w:hAnsi="IRNazanin" w:eastAsia="IRNazanin"/>
          <w:color w:val="111111"/>
          <w:sz w:val="28"/>
          <w:sz w:val="28"/>
          <w:szCs w:val="28"/>
          <w:rtl w:val="true"/>
          <w:lang w:bidi="fa-IR"/>
        </w:rPr>
        <w:t>فهذه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حسنة برید عن الصادق علیه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آلی أن لا یقرب امرأته ولا یمسّها ولا یجمع رأسه ورأسها، فهو فی سعة ما لم تمضِ أربعة أشهر</w:t>
      </w:r>
      <w:r>
        <w:rPr>
          <w:rFonts w:eastAsia="IRNazanin" w:cs="IRNazanin"/>
          <w:color w:val="111111"/>
          <w:sz w:val="28"/>
          <w:szCs w:val="28"/>
          <w:rtl w:val="true"/>
          <w:lang w:bidi="fa-IR"/>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والأشهر عدم الوقوع؛ لأصالة الحلّ واحتمال الألفاظ لغیره احتمالاً ظاهراً، فلا یزول الحِلّ المتحقّق بالمحتمل، والروایات </w:t>
      </w:r>
      <w:r>
        <w:rPr>
          <w:rStyle w:val="FootnoteAnchor"/>
          <w:rtl w:val="true"/>
        </w:rPr>
        <w:footnoteReference w:id="1584"/>
      </w:r>
      <w:r>
        <w:rPr>
          <w:rFonts w:ascii="IRNazanin" w:hAnsi="IRNazanin" w:eastAsia="IRNazanin"/>
          <w:color w:val="111111"/>
          <w:sz w:val="28"/>
          <w:sz w:val="28"/>
          <w:szCs w:val="28"/>
          <w:rtl w:val="true"/>
          <w:lang w:bidi="fa-IR"/>
        </w:rPr>
        <w:t>لیست صریحة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الأخیرة </w:t>
      </w:r>
      <w:r>
        <w:rPr>
          <w:rStyle w:val="FootnoteAnchor"/>
          <w:rtl w:val="true"/>
        </w:rPr>
        <w:footnoteReference w:id="1585"/>
      </w:r>
      <w:r>
        <w:rPr>
          <w:rFonts w:ascii="IRNazanin" w:hAnsi="IRNazanin" w:eastAsia="IRNazanin"/>
          <w:color w:val="111111"/>
          <w:sz w:val="28"/>
          <w:sz w:val="28"/>
          <w:szCs w:val="28"/>
          <w:rtl w:val="true"/>
          <w:lang w:bidi="fa-IR"/>
        </w:rPr>
        <w:t>للجمع فیتعلّق الإیلاء بالجمیع، ولا یلزم تعلّقه بکلّ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الیمین فی جمیع هذه المواضع تقع علی وفق ما قصده من مدلولاتها؛ لأنّ الیمین تتعیّن بالنیّة حیث تقع الألفاظ محتملة، فإن قصد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جمع رأسی ورأسک مخَدّة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نومهما مجتمعین علیها انعقدت کذلک حیث لا أولویّة فی خلافها، وإن قصد به الجماع انعقدت </w:t>
      </w:r>
      <w:r>
        <w:rPr>
          <w:rStyle w:val="FootnoteAnchor"/>
          <w:rtl w:val="true"/>
        </w:rPr>
        <w:footnoteReference w:id="1586"/>
      </w:r>
      <w:r>
        <w:rPr>
          <w:rFonts w:ascii="IRNazanin" w:hAnsi="IRNazanin" w:eastAsia="IRNazanin"/>
          <w:color w:val="111111"/>
          <w:sz w:val="28"/>
          <w:sz w:val="28"/>
          <w:szCs w:val="28"/>
          <w:rtl w:val="true"/>
          <w:lang w:bidi="fa-IR"/>
        </w:rPr>
        <w:t>کذلک، وکذا غیره من الألفاظ حیث لا یقع الإیلاء به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تجریده عن الشرط والصفة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أشهر القولین </w:t>
      </w:r>
      <w:r>
        <w:rPr>
          <w:rStyle w:val="FootnoteAnchor"/>
          <w:rtl w:val="true"/>
        </w:rPr>
        <w:footnoteReference w:id="1587"/>
      </w:r>
      <w:r>
        <w:rPr>
          <w:rFonts w:ascii="Amiri" w:hAnsi="Amiri" w:eastAsia="Amiri" w:cs="Amiri"/>
          <w:color w:val="111111"/>
          <w:sz w:val="28"/>
          <w:sz w:val="28"/>
          <w:szCs w:val="28"/>
          <w:rtl w:val="true"/>
          <w:lang w:bidi="ar-SA"/>
        </w:rPr>
        <w:t>لأصالة</w:t>
      </w:r>
      <w:bookmarkStart w:id="545" w:name="pg19810_214628"/>
    </w:p>
    <w:p>
      <w:pPr>
        <w:pStyle w:val="BookText"/>
        <w:rPr/>
      </w:pPr>
      <w:bookmarkEnd w:id="545"/>
      <w:r>
        <w:rPr>
          <w:rFonts w:ascii="IRNazanin" w:hAnsi="IRNazanin" w:eastAsia="IRNazanin"/>
          <w:color w:val="111111"/>
          <w:sz w:val="28"/>
          <w:sz w:val="28"/>
          <w:szCs w:val="28"/>
          <w:rtl w:val="true"/>
          <w:lang w:bidi="fa-IR"/>
        </w:rPr>
        <w:t>عدم الوقوع فی غیر المتّفق علیه، وهو المجرّد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Style w:val="FootnoteAnchor"/>
          <w:rtl w:val="true"/>
        </w:rPr>
        <w:footnoteReference w:id="1588"/>
      </w:r>
      <w:r>
        <w:rPr>
          <w:rFonts w:ascii="IRNazanin" w:hAnsi="IRNazanin" w:eastAsia="IRNazanin"/>
          <w:color w:val="111111"/>
          <w:sz w:val="28"/>
          <w:sz w:val="28"/>
          <w:szCs w:val="28"/>
          <w:rtl w:val="true"/>
          <w:lang w:bidi="fa-IR"/>
        </w:rPr>
        <w:t xml:space="preserve">والعلّامة فی المختلف </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معلّقاً علیهما؛ لعموم القرآن </w:t>
      </w:r>
      <w:r>
        <w:rPr>
          <w:rStyle w:val="FootnoteAnchor"/>
          <w:rtl w:val="true"/>
        </w:rPr>
        <w:footnoteReference w:id="1590"/>
      </w:r>
      <w:r>
        <w:rPr>
          <w:rFonts w:ascii="IRNazanin" w:hAnsi="IRNazanin" w:eastAsia="IRNazanin"/>
          <w:color w:val="111111"/>
          <w:sz w:val="28"/>
          <w:sz w:val="28"/>
          <w:szCs w:val="28"/>
          <w:rtl w:val="true"/>
          <w:lang w:bidi="fa-IR"/>
        </w:rPr>
        <w:t>السالم عن المعارض، والسلامة عزیزة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یقع لو جعله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فعلتِ کذا فواللّٰه لا جامعتکِ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تحقیق الفعل علی تقدیر المخالفة زجراً لها عمّا علّقه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یمتاز عن الشرط مع اشتراکهما فی مطلق التعلیق، فإنّه لا یرید من الشرط إلّامجرّد التعلیق، لا الالتزام فی المعلَّق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ویتمیّزان أیضاً بأنّ الشرط أعمّ من فعلهما، والیمین لا تکون متعلّقة إلّابفعلها أو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وقوعه یمیناً بعد اعتبار تجریده عن الشرط واختصاصُ الحلف باللّٰه تعالی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حلف بالطلاق أو العتاق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وطأتک ففلانة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أو عبده حرّ؛ لأنّه یمین بغیر اللّٰه تعالی</w:t>
      </w:r>
      <w:r>
        <w:rPr>
          <w:rFonts w:eastAsia="IRNazanin" w:cs="IRNazanin"/>
          <w:color w:val="111111"/>
          <w:sz w:val="28"/>
          <w:szCs w:val="28"/>
          <w:rtl w:val="true"/>
          <w:lang w:bidi="fa-IR"/>
        </w:rPr>
        <w:t>.</w:t>
      </w:r>
    </w:p>
    <w:p>
      <w:pPr>
        <w:pStyle w:val="Heading3"/>
        <w:numPr>
          <w:ilvl w:val="2"/>
          <w:numId w:val="1"/>
        </w:numPr>
        <w:rPr/>
      </w:pPr>
      <w:bookmarkStart w:id="546" w:name="__RefHeading___Toc2175661_2314609296"/>
      <w:bookmarkStart w:id="547" w:name="_Toc205"/>
      <w:bookmarkEnd w:id="546"/>
      <w:r>
        <w:rPr>
          <w:rtl w:val="true"/>
        </w:rPr>
        <w:t>[</w:t>
      </w:r>
      <w:r>
        <w:rPr>
          <w:rtl w:val="true"/>
        </w:rPr>
        <w:t xml:space="preserve">شروط المولی </w:t>
      </w:r>
      <w:r>
        <w:rPr>
          <w:rtl w:val="true"/>
        </w:rPr>
        <w:t>]</w:t>
      </w:r>
      <w:bookmarkEnd w:id="54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المؤلی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والاختیار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مدلول لفظه، فلا یقع من الصبیّ والمجنون والمکرَه والساهی والعابث ونحوهم ممّن لا یقصد الإیلاء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إذن مولاه اتّفاقاً حرّة کانت زوجته أم أمة؛ إذ لا حقّ لسیّده فی وطئه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Style w:val="FootnoteAnchor"/>
          <w:rtl w:val="true"/>
        </w:rPr>
        <w:footnoteReference w:id="1591"/>
      </w:r>
      <w:r>
        <w:rPr>
          <w:rFonts w:ascii="IRNazanin" w:hAnsi="IRNazanin" w:eastAsia="IRNazanin"/>
          <w:color w:val="111111"/>
          <w:sz w:val="28"/>
          <w:sz w:val="28"/>
          <w:szCs w:val="28"/>
          <w:rtl w:val="true"/>
          <w:lang w:bidi="fa-IR"/>
        </w:rPr>
        <w:t>بل له الامتناع منه</w:t>
      </w:r>
      <w:bookmarkStart w:id="548" w:name="pg19810_214629"/>
    </w:p>
    <w:p>
      <w:pPr>
        <w:pStyle w:val="BookText"/>
        <w:rPr/>
      </w:pPr>
      <w:bookmarkEnd w:id="548"/>
      <w:r>
        <w:rPr>
          <w:rFonts w:ascii="IRNazanin" w:hAnsi="IRNazanin" w:eastAsia="IRNazanin"/>
          <w:color w:val="111111"/>
          <w:sz w:val="28"/>
          <w:sz w:val="28"/>
          <w:szCs w:val="28"/>
          <w:rtl w:val="true"/>
          <w:lang w:bidi="fa-IR"/>
        </w:rPr>
        <w:t xml:space="preserve">وإن أمره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وقوعه منه حیث یقرّ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ینافیه وجوب الکفّارة المتعذّرة منه حالَ کفره؛ لإمکانها فی الجملة کما تقدّم فی الظهار </w:t>
      </w:r>
      <w:r>
        <w:rPr>
          <w:rStyle w:val="FootnoteAnchor"/>
          <w:rtl w:val="true"/>
        </w:rPr>
        <w:footnoteReference w:id="1592"/>
      </w:r>
      <w:r>
        <w:rPr>
          <w:rFonts w:ascii="IRNazanin" w:hAnsi="IRNazanin" w:eastAsia="IRNazanin"/>
          <w:color w:val="111111"/>
          <w:sz w:val="28"/>
          <w:sz w:val="28"/>
          <w:szCs w:val="28"/>
          <w:rtl w:val="true"/>
          <w:lang w:bidi="fa-IR"/>
        </w:rPr>
        <w:t>وکان ینبغی أن یکون فیه خلاف مثله؛ للاشتراک فی العلّة، لکن لم ینقل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للتقیید بالذمّی، بل الضابط الکافر المقرّ باللّٰه تعالی لیمکن حلفه به</w:t>
      </w:r>
      <w:r>
        <w:rPr>
          <w:rFonts w:eastAsia="IRNazanin" w:cs="IRNazanin"/>
          <w:color w:val="111111"/>
          <w:sz w:val="28"/>
          <w:szCs w:val="28"/>
          <w:rtl w:val="true"/>
          <w:lang w:bidi="fa-IR"/>
        </w:rPr>
        <w:t>.</w:t>
      </w:r>
    </w:p>
    <w:p>
      <w:pPr>
        <w:pStyle w:val="Heading3"/>
        <w:numPr>
          <w:ilvl w:val="2"/>
          <w:numId w:val="1"/>
        </w:numPr>
        <w:rPr/>
      </w:pPr>
      <w:bookmarkStart w:id="549" w:name="__RefHeading___Toc2175663_2314609296"/>
      <w:bookmarkStart w:id="550" w:name="_Toc206"/>
      <w:bookmarkEnd w:id="549"/>
      <w:r>
        <w:rPr>
          <w:rtl w:val="true"/>
        </w:rPr>
        <w:t>[</w:t>
      </w:r>
      <w:r>
        <w:rPr>
          <w:rtl w:val="true"/>
        </w:rPr>
        <w:t>احکام الایلاء</w:t>
      </w:r>
      <w:r>
        <w:rPr>
          <w:rtl w:val="true"/>
        </w:rPr>
        <w:t>]</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تمّ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بشرائطه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فللزوجة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امتناعه عن الوطء، فیُنظره الحاکم أربعة أشهر ثمّ یُجبره بعدها علی 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وطؤها قبلاً ولو بمسمّاه بأن تغیب الحشفة وإن لم یُنزل مع القدرة، أو إظهار العزم علیه أوّل أوقات الإمکان مع العجز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الطلاق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حقّها وإن امتنع منهما ضیّق علیه فی المطعم والمشرب ولو بالحبس حتّی یفعل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علیه السلام کان یحبسه فی حظیرة من قصب ویعطیه ربع قوته حتّی یطلّق </w:t>
      </w:r>
      <w:r>
        <w:rPr>
          <w:rStyle w:val="FootnoteAnchor"/>
          <w:rtl w:val="true"/>
        </w:rPr>
        <w:footnoteReference w:id="1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أحدهما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یطلّق عنه بل یخیّره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آلی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عن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یفعل أحد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حکم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لانحلال الیمین بانقضاء مدّته ولم تلزمه الکفّارة مع الوطء وإن أثم بالمدافعة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المضروبة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قول مدّعی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یمینه؛ لأصالة عدم 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زمان إیقاع الإیلاء حلف من یدّعی</w:t>
      </w:r>
    </w:p>
    <w:p>
      <w:pPr>
        <w:pStyle w:val="BookText"/>
        <w:rPr/>
      </w:pPr>
      <w:r>
        <w:rPr>
          <w:rFonts w:ascii="IRNazanin" w:hAnsi="IRNazanin" w:eastAsia="IRNazanin"/>
          <w:color w:val="111111"/>
          <w:sz w:val="28"/>
          <w:sz w:val="28"/>
          <w:szCs w:val="28"/>
          <w:rtl w:val="true"/>
          <w:lang w:bidi="fa-IR"/>
        </w:rPr>
        <w:t>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والمدّعی للانقضاء فی الأوّل هو الزوجة؛ لتطالبه بأحد الأمرین، ولا یتوجّه کونها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الثانی </w:t>
      </w:r>
      <w:r>
        <w:rPr>
          <w:rStyle w:val="FootnoteAnchor"/>
          <w:rtl w:val="true"/>
        </w:rPr>
        <w:footnoteReference w:id="1594"/>
      </w:r>
      <w:r>
        <w:rPr>
          <w:rFonts w:ascii="IRNazanin" w:hAnsi="IRNazanin" w:eastAsia="IRNazanin"/>
          <w:color w:val="111111"/>
          <w:sz w:val="28"/>
          <w:sz w:val="28"/>
          <w:szCs w:val="28"/>
          <w:rtl w:val="true"/>
          <w:lang w:bidi="fa-IR"/>
        </w:rPr>
        <w:t>فیمکن وقوعها من کلّ منهما، فتدّعی هی تأخّر زمانه إذا کان مقدّراً بمدّة لم تمضِ قبل المدّة المضروبة فترافعه لیُلزَم بأحدهما، ویدّعی تقدّمه علی وجه تنقضی مدّته قبل المدّة المضروبة لیسلم من الإلزام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یدّعی تأخّره علی وجه لا تتمّ الأربعة المضروبة لئلّا یُلزَم إذا جعلنا مبدأها من حین الإیلاء، وتدّعی هی تقدّمه لتتمّ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الإیلاء من الخصیّ والمجبوب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بقی منه قدر یمکن معه الوطء إجماعاً، ولو لم یبقَ ذلک فکذلک عند المصنّف وجماعة </w:t>
      </w:r>
      <w:r>
        <w:rPr>
          <w:rStyle w:val="FootnoteAnchor"/>
          <w:rtl w:val="true"/>
        </w:rPr>
        <w:footnoteReference w:id="1595"/>
      </w:r>
      <w:r>
        <w:rPr>
          <w:rFonts w:ascii="IRNazanin" w:hAnsi="IRNazanin" w:eastAsia="IRNazanin"/>
          <w:color w:val="111111"/>
          <w:sz w:val="28"/>
          <w:sz w:val="28"/>
          <w:szCs w:val="28"/>
          <w:rtl w:val="true"/>
          <w:lang w:bidi="fa-IR"/>
        </w:rPr>
        <w:t xml:space="preserve">لعموم الآیات </w:t>
      </w:r>
      <w:r>
        <w:rPr>
          <w:rStyle w:val="FootnoteAnchor"/>
          <w:rtl w:val="true"/>
        </w:rPr>
        <w:footnoteReference w:id="1596"/>
      </w:r>
      <w:r>
        <w:rPr>
          <w:rFonts w:ascii="IRNazanin" w:hAnsi="IRNazanin" w:eastAsia="IRNazanin"/>
          <w:color w:val="111111"/>
          <w:sz w:val="28"/>
          <w:sz w:val="28"/>
          <w:szCs w:val="28"/>
          <w:rtl w:val="true"/>
          <w:lang w:bidi="fa-IR"/>
        </w:rPr>
        <w:t xml:space="preserve">وإطلاق الروایات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الوقوع؛ لأنّ متعلّق الیمین ممتنع، کما لو حلف أن لا یصعد إلی السماء، ولأنّ شرطه الإضرار بها وهو غیر متصوّر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وقوعه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 علی الوطء مظهراً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للعزم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معتذراً من عجزه،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انقضت المدّة وله مانع من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کالمرض، أو شرعیّ کالحیض، أو عادیّ کالتعب والجوع والشبع</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ومتی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 الکفّارة، سواء کان فی مدّة 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قبلها لو جعلناها من حین المرافعة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الحنث فی الجمیع،</w:t>
      </w:r>
    </w:p>
    <w:p>
      <w:pPr>
        <w:pStyle w:val="BookText"/>
        <w:rPr/>
      </w:pPr>
      <w:r>
        <w:rPr>
          <w:rFonts w:ascii="IRNazanin" w:hAnsi="IRNazanin" w:eastAsia="IRNazanin"/>
          <w:color w:val="111111"/>
          <w:sz w:val="28"/>
          <w:sz w:val="28"/>
          <w:szCs w:val="28"/>
          <w:rtl w:val="true"/>
          <w:lang w:bidi="fa-IR"/>
        </w:rPr>
        <w:t xml:space="preserve">وهو فی غیر الأجیر موضع وفاق، ونفاها فیه الشیخ فی المبسوط </w:t>
      </w:r>
      <w:r>
        <w:rPr>
          <w:rStyle w:val="FootnoteAnchor"/>
          <w:rtl w:val="true"/>
        </w:rPr>
        <w:footnoteReference w:id="1598"/>
      </w:r>
      <w:r>
        <w:rPr>
          <w:rFonts w:ascii="Amiri" w:hAnsi="Amiri" w:eastAsia="Amiri" w:cs="Amiri"/>
          <w:color w:val="111111"/>
          <w:sz w:val="28"/>
          <w:sz w:val="28"/>
          <w:szCs w:val="28"/>
          <w:rtl w:val="true"/>
          <w:lang w:bidi="ar-SA"/>
        </w:rPr>
        <w:t>لأصالة البراءة، وأمره به المنافی للتحریم الموجب للکفّارة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 نّه کغیره؛ لما ذُکر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کَفّٰارَةُ أَیْمٰانِکُمْ إِذٰا حَلَفْتُمْ </w:t>
      </w:r>
      <w:r>
        <w:rPr>
          <w:rStyle w:val="FootnoteAnchor"/>
          <w:rtl w:val="true"/>
        </w:rPr>
        <w:footnoteReference w:id="1599"/>
      </w:r>
      <w:r>
        <w:rPr>
          <w:rFonts w:ascii="IRNazanin" w:hAnsi="IRNazanin" w:eastAsia="IRNazanin"/>
          <w:color w:val="111111"/>
          <w:sz w:val="28"/>
          <w:sz w:val="28"/>
          <w:szCs w:val="28"/>
          <w:rtl w:val="true"/>
          <w:lang w:bidi="fa-IR"/>
        </w:rPr>
        <w:t>ولم یفصّل، ولقول الصادق علیه السلام فی من آلی من امرأته فمضت أربعة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یوُقف فإن عزم الطلاق بانت منه، وإلّا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1600"/>
      </w:r>
      <w:r>
        <w:rPr>
          <w:rFonts w:ascii="IRNazanin" w:hAnsi="IRNazanin" w:eastAsia="IRNazanin"/>
          <w:color w:val="111111"/>
          <w:sz w:val="28"/>
          <w:sz w:val="28"/>
          <w:szCs w:val="28"/>
          <w:rtl w:val="true"/>
          <w:lang w:bidi="fa-IR"/>
        </w:rPr>
        <w:t>یمینه وأمسکها</w:t>
      </w:r>
      <w:r>
        <w:rPr>
          <w:rFonts w:eastAsia="IRNazanin" w:cs="IRNazanin"/>
          <w:color w:val="111111"/>
          <w:sz w:val="28"/>
          <w:szCs w:val="28"/>
          <w:rtl w:val="true"/>
          <w:lang w:bidi="fa-IR"/>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ومدّة الإیلاء من حین الترافع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کالظهار؛ لأنّ ضرب المدّة إلی الحاکم فلا یُحکم بها قبلها، ولأ نّه حقّها فیتوقّف علی مطالبتها، ولأصالة عدم التسلّط علی الزوج بحبس وغیره قبل تحقّق السبب</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من حین الإیلاء </w:t>
      </w:r>
      <w:r>
        <w:rPr>
          <w:rStyle w:val="FootnoteAnchor"/>
          <w:rtl w:val="true"/>
        </w:rPr>
        <w:footnoteReference w:id="1602"/>
      </w:r>
      <w:r>
        <w:rPr>
          <w:rFonts w:ascii="IRNazanin" w:hAnsi="IRNazanin" w:eastAsia="IRNazanin"/>
          <w:color w:val="111111"/>
          <w:sz w:val="28"/>
          <w:sz w:val="28"/>
          <w:szCs w:val="28"/>
          <w:rtl w:val="true"/>
          <w:lang w:bidi="fa-IR"/>
        </w:rPr>
        <w:t xml:space="preserve">عملاً بظاهر الآیة حیث رتّب التربّص علیه من غیر تعرّض للمرافعة، وکذا الأخبار </w:t>
      </w:r>
      <w:r>
        <w:rPr>
          <w:rStyle w:val="FootnoteAnchor"/>
          <w:rtl w:val="true"/>
        </w:rPr>
        <w:footnoteReference w:id="1603"/>
      </w:r>
      <w:r>
        <w:rPr>
          <w:rFonts w:ascii="IRNazanin" w:hAnsi="IRNazanin" w:eastAsia="IRNazanin"/>
          <w:color w:val="111111"/>
          <w:sz w:val="28"/>
          <w:sz w:val="28"/>
          <w:szCs w:val="28"/>
          <w:rtl w:val="true"/>
          <w:lang w:bidi="fa-IR"/>
        </w:rPr>
        <w:t>وقد تقدّم فی الخبر السابق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حسنة برید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إیلاء ما لم یمض أربعة أشهر، فإذا مضت وُقِفَ، فإمّا أن یفیء، وإمّا أن یعزم علی الطلاق</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فعلی هذا لو لم ترافعه</w:t>
      </w:r>
    </w:p>
    <w:p>
      <w:pPr>
        <w:pStyle w:val="BookText"/>
        <w:rPr/>
      </w:pPr>
      <w:r>
        <w:rPr>
          <w:rFonts w:ascii="Amiri" w:hAnsi="Amiri" w:eastAsia="Amiri" w:cs="Amiri"/>
          <w:color w:val="111111"/>
          <w:sz w:val="28"/>
          <w:sz w:val="28"/>
          <w:szCs w:val="28"/>
          <w:rtl w:val="true"/>
          <w:lang w:bidi="ar-SA"/>
        </w:rPr>
        <w:t>حتّی انقضت المدّة أمره بأحد الأمرین منجّزاً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ویزول حکم الإیلاء بالطلاق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لخروجها عن حکم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الحکم ثابت وإن عقد علیها ثانیاً فی العدّة؛ لأنّ العقد لم یرفع حکم الطلاق، بل أحدث نکاحاً جدیداً کما لو وقع بعد العدّة، بخلاف الرجعة فی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الطلاق رجعیّاً خرج من حقّها، لکن لا یزول حکم الإیلاء إلّا بانقضاء العدّة، فلو راجع فیها بقی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یُلزم حینئذٍ بأحد الأمرین بناءً علی المدّة السابقة أم یضرب له مدّة ثانیة ثمّ یوقف بعد انقضائها؟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بطلان حکم الطلاق وعود النکاح الأوّل بعینه ومن ثَمَّ جاز طلاقها قبل الدخول وکان الطلاق رجعیّاً، بناءً علی عود النکاح الأوّل وأ نّها فی حکم الزوجة، ومن سقوط الحکم عنه بالطلاق فیفتقر إلی حکم جدید، استصحاباً لما قد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جزم فی التحریر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طلّق وَفی وإن راجع ضربت له مدّة اُخری، وهکذا</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یزول </w:t>
      </w:r>
      <w:r>
        <w:rPr>
          <w:rFonts w:eastAsia="IRNazanin" w:cs="IRNazanin"/>
          <w:color w:val="111111"/>
          <w:sz w:val="28"/>
          <w:szCs w:val="28"/>
          <w:rtl w:val="true"/>
          <w:lang w:bidi="fa-IR"/>
        </w:rPr>
        <w:t xml:space="preserve">] </w:t>
      </w:r>
      <w:r>
        <w:rPr>
          <w:rStyle w:val="FootnoteAnchor"/>
          <w:rtl w:val="true"/>
        </w:rPr>
        <w:footnoteReference w:id="1606"/>
      </w:r>
      <w:r>
        <w:rPr>
          <w:rFonts w:ascii="IRNazanin" w:hAnsi="IRNazanin" w:eastAsia="IRNazanin"/>
          <w:color w:val="111111"/>
          <w:sz w:val="28"/>
          <w:sz w:val="28"/>
          <w:szCs w:val="28"/>
          <w:rtl w:val="true"/>
          <w:lang w:bidi="fa-IR"/>
        </w:rPr>
        <w:t xml:space="preserve">حکم الإیلاء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بشراء </w:t>
      </w:r>
      <w:r>
        <w:rPr>
          <w:rStyle w:val="FootnoteAnchor"/>
          <w:rtl w:val="true"/>
        </w:rPr>
        <w:footnoteReference w:id="1607"/>
      </w:r>
      <w:r>
        <w:rPr>
          <w:rFonts w:ascii="IRNazanin" w:hAnsi="IRNazanin" w:eastAsia="IRNazanin"/>
          <w:color w:val="111111"/>
          <w:sz w:val="28"/>
          <w:sz w:val="28"/>
          <w:szCs w:val="28"/>
          <w:rtl w:val="true"/>
          <w:lang w:bidi="fa-IR"/>
        </w:rPr>
        <w:t>الأمة ثمّ 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وتزویجها بعده </w:t>
      </w:r>
      <w:r>
        <w:rPr>
          <w:rStyle w:val="FootnoteAnchor"/>
          <w:rtl w:val="true"/>
        </w:rPr>
        <w:footnoteReference w:id="1608"/>
      </w:r>
      <w:r>
        <w:rPr>
          <w:rFonts w:ascii="IRNazanin" w:hAnsi="IRNazanin" w:eastAsia="IRNazanin"/>
          <w:color w:val="111111"/>
          <w:sz w:val="28"/>
          <w:sz w:val="28"/>
          <w:szCs w:val="28"/>
          <w:rtl w:val="true"/>
          <w:lang w:bidi="fa-IR"/>
        </w:rPr>
        <w:t>لبطلان العقد الأوّل بشرائها، وتزویجها بعد العتق حکم جدید کتزویجها بعد الطلاق البائن، بل أبعد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بین تزویجها بعد العتق وتزویجها به جاعلاً له مهراً؛ لاتّحاد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یزول بمجرّد شرائها من غیر عتق؟ الظاهر ذلک؛ لبطلان العقد بالشراء واستباحتها حینئذٍ بالملک، وهو حکم جدید غیر الأوّل، لکنّ الأصحاب فرضوا المسألة 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انعکس الفرض بأن کان المؤلی عبداً فاشترته الزوجة توقّف حلّها له علی عتقه، وتزویجه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بطلان الإیلاء هنا أیضاً بالشراء وإن توقّف حلّها له علی الأمرین کما بطل بالطلاق البائن وإن لم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فیما لو وطئها بعد ذلک بشبهة أو حراماً، فإنّه لا کفّارة إن أبطلناه بمجرّد الملک والطلاق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تتکرّر الکفّارة بتکرّر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تقویة الحکم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إحداث حکم آخر، أو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تغایر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زمان الإیلاء وهو الوقت المحلوف علی ترک الوطء فیه، لا زمان الصیغة،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وطئتک ستّة أشهر، فإذا انقضت فواللّٰه لا وطئتک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فیتعدّد الإیلاء إن قلنا بوقوعه معلّقاً علی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فلها المرافعة لکلّ منهما، فلو ماطل فی الأوّل حتّی انقضت مدّته انحلّ ودخل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اختاره المصنّف سابقاً من اشتراط تجریده عن الشرط والصفة </w:t>
      </w:r>
      <w:r>
        <w:rPr>
          <w:rStyle w:val="FootnoteAnchor"/>
          <w:rtl w:val="true"/>
        </w:rPr>
        <w:footnoteReference w:id="1609"/>
      </w:r>
      <w:r>
        <w:rPr>
          <w:rFonts w:ascii="IRNazanin" w:hAnsi="IRNazanin" w:eastAsia="IRNazanin"/>
          <w:color w:val="111111"/>
          <w:sz w:val="28"/>
          <w:sz w:val="28"/>
          <w:szCs w:val="28"/>
          <w:rtl w:val="true"/>
          <w:lang w:bidi="fa-IR"/>
        </w:rPr>
        <w:t>یبطل الثانی، ولا یتحقّق تعدّد الکفّارة بتعدّده ولا یقع الاستثناء موقعه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الظهار خلاف أقربه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بتکرّر الصیغة، سواء فرّق الظهار أم تابعه فی مجلس واحد، وسواء قصد التأسیس أم لم یقصد ما لم یقصد التأکید؛ لصحیحة محمّد بن مسلم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ظاهر من</w:t>
      </w:r>
    </w:p>
    <w:p>
      <w:pPr>
        <w:pStyle w:val="BookText"/>
        <w:rPr/>
      </w:pPr>
      <w:r>
        <w:rPr>
          <w:rFonts w:ascii="IRNazanin" w:hAnsi="IRNazanin" w:eastAsia="IRNazanin"/>
          <w:color w:val="111111"/>
          <w:sz w:val="28"/>
          <w:sz w:val="28"/>
          <w:szCs w:val="28"/>
          <w:rtl w:val="true"/>
          <w:lang w:bidi="fa-IR"/>
        </w:rPr>
        <w:t>امرأته خمس مرّات، أو أکثر؟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کلّ مرّة کفّارة</w:t>
      </w:r>
      <w:r>
        <w:rPr>
          <w:rFonts w:eastAsia="IRNazanin" w:cs="IRNazanin"/>
          <w:color w:val="111111"/>
          <w:sz w:val="28"/>
          <w:szCs w:val="28"/>
          <w:rtl w:val="true"/>
          <w:lang w:bidi="fa-IR"/>
        </w:rPr>
        <w:t>»</w:t>
      </w:r>
    </w:p>
    <w:p>
      <w:pPr>
        <w:pStyle w:val="BookText"/>
        <w:rPr/>
      </w:pPr>
      <w:r>
        <w:rPr>
          <w:rStyle w:val="FootnoteAnchor"/>
          <w:rtl w:val="true"/>
        </w:rPr>
        <w:footnoteReference w:id="1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الأخبار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تتکرّر إلّامع تغایر المشبّه بها، أو تخلّل التکفیر </w:t>
      </w:r>
      <w:r>
        <w:rPr>
          <w:rStyle w:val="FootnoteAnchor"/>
          <w:rtl w:val="true"/>
        </w:rPr>
        <w:footnoteReference w:id="1612"/>
      </w:r>
      <w:r>
        <w:rPr>
          <w:rFonts w:ascii="IRNazanin" w:hAnsi="IRNazanin" w:eastAsia="IRNazanin"/>
          <w:color w:val="111111"/>
          <w:sz w:val="28"/>
          <w:sz w:val="28"/>
          <w:szCs w:val="28"/>
          <w:rtl w:val="true"/>
          <w:lang w:bidi="fa-IR"/>
        </w:rPr>
        <w:t xml:space="preserve">استناداً إلی خبر </w:t>
      </w:r>
      <w:r>
        <w:rPr>
          <w:rStyle w:val="FootnoteAnchor"/>
          <w:rtl w:val="true"/>
        </w:rPr>
        <w:footnoteReference w:id="1613"/>
      </w:r>
      <w:r>
        <w:rPr>
          <w:rFonts w:ascii="IRNazanin" w:hAnsi="IRNazanin" w:eastAsia="IRNazanin"/>
          <w:color w:val="111111"/>
          <w:sz w:val="28"/>
          <w:sz w:val="28"/>
          <w:szCs w:val="28"/>
          <w:rtl w:val="true"/>
          <w:lang w:bidi="fa-IR"/>
        </w:rPr>
        <w:t>لا دلالة فیه علی مطلوبه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وطئ المؤلی ساهیاً أو مجنوناً أو 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تلزمه کفّارة؛ لعدم الحنث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 حکم الإیلاء عند الشیخ </w:t>
      </w:r>
      <w:r>
        <w:rPr>
          <w:rStyle w:val="FootnoteAnchor"/>
          <w:rtl w:val="true"/>
        </w:rPr>
        <w:footnoteReference w:id="1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الإصابة ومخالفة مقتضی الیمین، کما یبطل لو وطئ متعمّداً؛ لذلک، وإن وجبت الکفّارة، وتبعه علی هذا القول جماعة </w:t>
      </w:r>
      <w:r>
        <w:rPr>
          <w:rStyle w:val="FootnoteAnchor"/>
          <w:rtl w:val="true"/>
        </w:rPr>
        <w:footnoteReference w:id="1615"/>
      </w:r>
      <w:r>
        <w:rPr>
          <w:rFonts w:ascii="IRNazanin" w:hAnsi="IRNazanin" w:eastAsia="IRNazanin"/>
          <w:color w:val="111111"/>
          <w:sz w:val="28"/>
          <w:sz w:val="28"/>
          <w:szCs w:val="28"/>
          <w:rtl w:val="true"/>
          <w:lang w:bidi="fa-IR"/>
        </w:rPr>
        <w:t>ونسبة المصنّف القول إلیه یشعر بتمریضه، ووجهه أصالة البقاء، واغتفار الفعل بالأعذار، وکون الإیلاء یمیناً، وهی فی النفی تقتضی الدوام، والنسیان والجهل لم یدخلا تحت مقتضاها؛ لأنّ الغرض من البعث والزجر فی الیمین إنّما یکون عند ذکرها وذکر المحلوف علیه حتّی یکون ترکه لأجل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 نّه </w:t>
      </w:r>
      <w:r>
        <w:rPr>
          <w:rStyle w:val="FootnoteAnchor"/>
          <w:rtl w:val="true"/>
        </w:rPr>
        <w:footnoteReference w:id="1616"/>
      </w:r>
      <w:r>
        <w:rPr>
          <w:rFonts w:ascii="IRNazanin" w:hAnsi="IRNazanin" w:eastAsia="IRNazanin"/>
          <w:color w:val="111111"/>
          <w:sz w:val="28"/>
          <w:sz w:val="28"/>
          <w:szCs w:val="28"/>
          <w:rtl w:val="true"/>
          <w:lang w:bidi="fa-IR"/>
        </w:rPr>
        <w:t xml:space="preserve">فی قواعده استقرب انحلال الیمین مطلقاً بمخالفة مقتضاها نسیاناً وجهلاً وإکراهاً مع عدم الحنث محتجّاً بأنّ المخالفة قد حصلت وهی لا تتکرّر، وبحکم الأصحاب ببطلان الإیلاء بالوطء ساهیاً مع أ نّها یمین </w:t>
      </w:r>
      <w:r>
        <w:rPr>
          <w:rStyle w:val="FootnoteAnchor"/>
          <w:rtl w:val="true"/>
        </w:rPr>
        <w:footnoteReference w:id="1617"/>
      </w:r>
      <w:r>
        <w:rPr>
          <w:rFonts w:ascii="IRNazanin" w:hAnsi="IRNazanin" w:eastAsia="IRNazanin"/>
          <w:color w:val="111111"/>
          <w:sz w:val="28"/>
          <w:sz w:val="28"/>
          <w:szCs w:val="28"/>
          <w:rtl w:val="true"/>
          <w:lang w:bidi="fa-IR"/>
        </w:rPr>
        <w:t>فنسب الحکم المذکور هنا إلی الأصحاب، لا إلی الشیخ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وللتوقّف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ترافع الذمّیّان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الإیلاء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الحاکم المترافع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الحکم بینهم بما یحکم علی المؤلی المسلم </w:t>
      </w:r>
      <w:r>
        <w:rPr>
          <w:rStyle w:val="FootnoteAnchor"/>
          <w:rtl w:val="true"/>
        </w:rPr>
        <w:footnoteReference w:id="1618"/>
      </w:r>
      <w:r>
        <w:rPr>
          <w:rFonts w:ascii="IRNazanin" w:hAnsi="IRNazanin" w:eastAsia="IRNazanin"/>
          <w:color w:val="111111"/>
          <w:sz w:val="28"/>
          <w:sz w:val="28"/>
          <w:szCs w:val="28"/>
          <w:rtl w:val="true"/>
          <w:lang w:bidi="fa-IR"/>
        </w:rPr>
        <w:t xml:space="preserve">وبین ردّهم إلی أهل ملّتهم </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الضمیر للاسم المثنّی تجوّزاً، أو بناءً علی وقوع الجمع علیه حقیقة کما هو أحد القولین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آلی ثمّ 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علیه من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تُضرب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الردّة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لتمکّنه من الوطء بالرجوع عن الردّة، فلا تکون عذراً؛ لانتفاء معناه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یُحتسب علیه مدّة الردّة؛ لأنّ المنع بسبب الارتداد، لا بسبب الإیلاء، کما لا یُحتسب مدّة الطلاق منها لو راجع وإن کان یمکنه</w:t>
      </w:r>
    </w:p>
    <w:p>
      <w:pPr>
        <w:pStyle w:val="BookText"/>
        <w:rPr/>
      </w:pPr>
      <w:r>
        <w:rPr>
          <w:rFonts w:ascii="IRNazanin" w:hAnsi="IRNazanin" w:eastAsia="IRNazanin"/>
          <w:color w:val="111111"/>
          <w:sz w:val="28"/>
          <w:sz w:val="28"/>
          <w:szCs w:val="28"/>
          <w:rtl w:val="true"/>
          <w:lang w:bidi="fa-IR"/>
        </w:rPr>
        <w:t xml:space="preserve">المراجعة فی کلّ وقت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واُجیب بالفرق بینهما </w:t>
      </w:r>
      <w:r>
        <w:rPr>
          <w:rStyle w:val="FootnoteAnchor"/>
          <w:rtl w:val="true"/>
        </w:rPr>
        <w:footnoteReference w:id="1622"/>
      </w:r>
      <w:r>
        <w:rPr>
          <w:rFonts w:ascii="IRNazanin" w:hAnsi="IRNazanin" w:eastAsia="IRNazanin"/>
          <w:color w:val="111111"/>
          <w:sz w:val="28"/>
          <w:sz w:val="28"/>
          <w:szCs w:val="28"/>
          <w:rtl w:val="true"/>
          <w:lang w:bidi="fa-IR"/>
        </w:rPr>
        <w:t xml:space="preserve">فإنّ المرتدّ إذا عاد إلی الإسلام تبیّن أنّ النکاح لم یرتفع، بخلاف الطلاق، فإنّه لا ینهدم بالرجعة وإن عاد حکم النکاح السابق کما سبق </w:t>
      </w:r>
      <w:r>
        <w:rPr>
          <w:rStyle w:val="FootnoteAnchor"/>
          <w:rtl w:val="true"/>
        </w:rPr>
        <w:footnoteReference w:id="1623"/>
      </w:r>
      <w:r>
        <w:rPr>
          <w:rFonts w:ascii="IRNazanin" w:hAnsi="IRNazanin" w:eastAsia="IRNazanin"/>
          <w:color w:val="111111"/>
          <w:sz w:val="28"/>
          <w:sz w:val="28"/>
          <w:szCs w:val="28"/>
          <w:rtl w:val="true"/>
          <w:lang w:bidi="fa-IR"/>
        </w:rPr>
        <w:t>ولهذا لو راجع المطلّقة تبقی معه علی طلقتین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ارتداده عن فطرة فهو بمنزلة الموت یبطل معها </w:t>
      </w:r>
      <w:r>
        <w:rPr>
          <w:rStyle w:val="FootnoteAnchor"/>
          <w:rtl w:val="true"/>
        </w:rPr>
        <w:footnoteReference w:id="1624"/>
      </w:r>
      <w:r>
        <w:rPr>
          <w:rFonts w:ascii="IRNazanin" w:hAnsi="IRNazanin" w:eastAsia="IRNazanin"/>
          <w:color w:val="111111"/>
          <w:sz w:val="28"/>
          <w:sz w:val="28"/>
          <w:szCs w:val="28"/>
          <w:rtl w:val="true"/>
          <w:lang w:bidi="fa-IR"/>
        </w:rPr>
        <w:t>التربّص، وإنّما أطلقه؛ لظهور حکم الارتدادین</w:t>
      </w:r>
      <w:r>
        <w:rPr>
          <w:rFonts w:eastAsia="IRNazanin" w:cs="IRNazanin"/>
          <w:color w:val="111111"/>
          <w:sz w:val="28"/>
          <w:szCs w:val="28"/>
          <w:rtl w:val="true"/>
          <w:lang w:bidi="fa-IR"/>
        </w:rPr>
        <w:t>.</w:t>
      </w:r>
      <w:bookmarkStart w:id="551" w:name="pg19810_214637"/>
    </w:p>
    <w:p>
      <w:pPr>
        <w:pStyle w:val="Heading2"/>
        <w:numPr>
          <w:ilvl w:val="1"/>
          <w:numId w:val="1"/>
        </w:numPr>
        <w:rPr/>
      </w:pPr>
      <w:bookmarkStart w:id="552" w:name="__RefHeading___Toc2175665_2314609296"/>
      <w:bookmarkStart w:id="553" w:name="_Toc207"/>
      <w:bookmarkEnd w:id="551"/>
      <w:bookmarkEnd w:id="552"/>
      <w:r>
        <w:rPr>
          <w:rtl w:val="true"/>
        </w:rPr>
        <w:t>کتاب اللعان</w:t>
      </w:r>
      <w:bookmarkEnd w:id="55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4" w:name="__RefHeading___Toc2175667_2314609296"/>
      <w:bookmarkStart w:id="555" w:name="_Toc208"/>
      <w:bookmarkEnd w:id="554"/>
      <w:r>
        <w:rPr>
          <w:rtl w:val="true"/>
        </w:rPr>
        <w:t>اشارة</w:t>
      </w:r>
      <w:bookmarkStart w:id="556" w:name="pg19810_214639"/>
      <w:bookmarkEnd w:id="555"/>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المباهلة المطلقة أو فِعال من اللعن، أو جمع له وهو الطرد والإبعاد من الخیر، والاسم اللعنة </w:t>
      </w:r>
      <w:r>
        <w:rPr>
          <w:rStyle w:val="FootnoteAnchor"/>
          <w:rtl w:val="true"/>
        </w:rPr>
        <w:footnoteReference w:id="1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المباهلة بین الزوجین فی إزالة حدّ أو نفی ولد، بلفظ مخصوص عند الحاکم</w:t>
      </w:r>
      <w:r>
        <w:rPr>
          <w:rFonts w:eastAsia="IRNazanin" w:cs="IRNazanin"/>
          <w:color w:val="111111"/>
          <w:sz w:val="28"/>
          <w:szCs w:val="28"/>
          <w:rtl w:val="true"/>
          <w:lang w:bidi="fa-IR"/>
        </w:rPr>
        <w:t>.</w:t>
      </w:r>
    </w:p>
    <w:p>
      <w:pPr>
        <w:pStyle w:val="Heading3"/>
        <w:numPr>
          <w:ilvl w:val="2"/>
          <w:numId w:val="1"/>
        </w:numPr>
        <w:rPr/>
      </w:pPr>
      <w:bookmarkStart w:id="557" w:name="__RefHeading___Toc2175669_2314609296"/>
      <w:bookmarkStart w:id="558" w:name="_Toc209"/>
      <w:bookmarkEnd w:id="557"/>
      <w:r>
        <w:rPr>
          <w:rtl w:val="true"/>
        </w:rPr>
        <w:t>«</w:t>
      </w:r>
      <w:r>
        <w:rPr>
          <w:rtl w:val="true"/>
        </w:rPr>
        <w:t>سببان</w:t>
      </w:r>
      <w:r>
        <w:rPr>
          <w:rtl w:val="true"/>
        </w:rPr>
        <w:t>»</w:t>
      </w:r>
      <w:bookmarkEnd w:id="558"/>
    </w:p>
    <w:p>
      <w:pPr>
        <w:pStyle w:val="Heading4"/>
        <w:numPr>
          <w:ilvl w:val="3"/>
          <w:numId w:val="1"/>
        </w:numPr>
        <w:rPr/>
      </w:pPr>
      <w:bookmarkStart w:id="559" w:name="__RefHeading___Toc2175671_2314609296"/>
      <w:bookmarkStart w:id="560" w:name="_Toc210"/>
      <w:bookmarkEnd w:id="559"/>
      <w:r>
        <w:rPr>
          <w:rtl w:val="true"/>
        </w:rPr>
        <w:t>[</w:t>
      </w:r>
      <w:r>
        <w:rPr/>
        <w:t>1</w:t>
      </w:r>
      <w:r>
        <w:rPr>
          <w:rtl w:val="true"/>
        </w:rPr>
        <w:t xml:space="preserve">- </w:t>
      </w:r>
      <w:r>
        <w:rPr>
          <w:rtl w:val="true"/>
        </w:rPr>
        <w:t xml:space="preserve">القذف </w:t>
      </w:r>
      <w:r>
        <w:rPr>
          <w:rtl w:val="true"/>
        </w:rPr>
        <w:t>]</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الزوجة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وکسرها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دخولاً یوجب تمام المهر، وسیأتی الخلاف فی اشتراطه </w:t>
      </w:r>
      <w:r>
        <w:rPr>
          <w:rStyle w:val="FootnoteAnchor"/>
          <w:rtl w:val="true"/>
        </w:rPr>
        <w:footnoteReference w:id="1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بالزنا قُبلاً أو دُبُراً مع دعوی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للزنا، وسلامتها من الصَمَم والخَرَس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انتفی أحد الشرائط ثبت الحدّ من غیر لعان، إلّامع عدم الإحصان فالتعزیر، کما سیأتی </w:t>
      </w:r>
      <w:r>
        <w:rPr>
          <w:rStyle w:val="FootnoteAnchor"/>
          <w:rtl w:val="true"/>
        </w:rPr>
        <w:footnoteReference w:id="1627"/>
      </w:r>
      <w:r>
        <w:rPr>
          <w:rFonts w:ascii="IRNazanin" w:hAnsi="IRNazanin" w:eastAsia="IRNazanin"/>
          <w:color w:val="111111"/>
          <w:sz w:val="28"/>
          <w:sz w:val="28"/>
          <w:szCs w:val="28"/>
          <w:rtl w:val="true"/>
          <w:lang w:bidi="fa-IR"/>
        </w:rPr>
        <w:t>والمطلّقة رجعیّةً زوجة، بخلاف البائن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وشمل إطلاق رمیها ما إذا ادّعی وقوعه زمن الزوجیّة وقبله، وهو فی الأوّل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وفاق، وفی الثانی قولان </w:t>
      </w:r>
      <w:r>
        <w:rPr>
          <w:rStyle w:val="FootnoteAnchor"/>
          <w:rtl w:val="true"/>
        </w:rPr>
        <w:footnoteReference w:id="1628"/>
      </w:r>
      <w:r>
        <w:rPr>
          <w:rFonts w:ascii="IRNazanin" w:hAnsi="IRNazanin" w:eastAsia="IRNazanin"/>
          <w:color w:val="111111"/>
          <w:sz w:val="28"/>
          <w:sz w:val="28"/>
          <w:szCs w:val="28"/>
          <w:rtl w:val="true"/>
          <w:lang w:bidi="fa-IR"/>
        </w:rPr>
        <w:t>أجودهما ذلک اعتباراً بحال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1629"/>
      </w:r>
      <w:r>
        <w:rPr>
          <w:rFonts w:ascii="Amiri" w:hAnsi="Amiri" w:eastAsia="Amiri" w:cs="Amiri"/>
          <w:color w:val="111111"/>
          <w:sz w:val="28"/>
          <w:sz w:val="28"/>
          <w:szCs w:val="28"/>
          <w:rtl w:val="true"/>
          <w:lang w:bidi="ar-SA"/>
        </w:rPr>
        <w:t xml:space="preserve">والمحقّق </w:t>
      </w:r>
      <w:r>
        <w:rPr>
          <w:rStyle w:val="FootnoteAnchor"/>
          <w:rtl w:val="true"/>
        </w:rPr>
        <w:footnoteReference w:id="1630"/>
      </w:r>
      <w:r>
        <w:rPr>
          <w:rFonts w:ascii="Amiri" w:hAnsi="Amiri" w:eastAsia="Amiri" w:cs="Amiri"/>
          <w:color w:val="111111"/>
          <w:sz w:val="28"/>
          <w:sz w:val="28"/>
          <w:szCs w:val="28"/>
          <w:rtl w:val="true"/>
          <w:lang w:bidi="ar-SA"/>
        </w:rPr>
        <w:t xml:space="preserve">والعلّامة </w:t>
      </w:r>
      <w:r>
        <w:rPr>
          <w:rStyle w:val="FootnoteAnchor"/>
          <w:rtl w:val="true"/>
        </w:rPr>
        <w:footnoteReference w:id="1631"/>
      </w:r>
      <w:r>
        <w:rPr>
          <w:rFonts w:ascii="Amiri" w:hAnsi="Amiri" w:eastAsia="Amiri" w:cs="Amiri"/>
          <w:color w:val="111111"/>
          <w:sz w:val="28"/>
          <w:sz w:val="28"/>
          <w:szCs w:val="28"/>
          <w:rtl w:val="true"/>
          <w:lang w:bidi="ar-SA"/>
        </w:rPr>
        <w:t xml:space="preserve">وجماعة </w:t>
      </w:r>
      <w:r>
        <w:rPr>
          <w:rStyle w:val="FootnoteAnchor"/>
          <w:rtl w:val="true"/>
        </w:rPr>
        <w:footnoteReference w:id="16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زیادة علی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الزنا علی وجه یثبت بها، فلو کان له بیّنة لم یُشرع اللعان؛ لاشتراطه فی الآیة </w:t>
      </w:r>
      <w:r>
        <w:rPr>
          <w:rStyle w:val="FootnoteAnchor"/>
          <w:rtl w:val="true"/>
        </w:rPr>
        <w:footnoteReference w:id="1633"/>
      </w:r>
      <w:r>
        <w:rPr>
          <w:rFonts w:ascii="IRNazanin" w:hAnsi="IRNazanin" w:eastAsia="IRNazanin"/>
          <w:color w:val="111111"/>
          <w:sz w:val="28"/>
          <w:sz w:val="28"/>
          <w:szCs w:val="28"/>
          <w:rtl w:val="true"/>
          <w:lang w:bidi="fa-IR"/>
        </w:rPr>
        <w:t xml:space="preserve">بعدم الشهداء والمشروط عدمٌ عند عدم شرطه ولأنّ اللعان حجّة ضعیفة؛ لأنّه إمّا شهادة لنفسه أو یمین، فلا یُعمل به مع الحجّة القویّة وهی البیّنة، ولأنّ حدّ الزنا مبنیّ علی التخفیف </w:t>
      </w:r>
      <w:r>
        <w:rPr>
          <w:rStyle w:val="FootnoteAnchor"/>
          <w:rtl w:val="true"/>
        </w:rPr>
        <w:footnoteReference w:id="1634"/>
      </w:r>
      <w:r>
        <w:rPr>
          <w:rFonts w:ascii="IRNazanin" w:hAnsi="IRNazanin" w:eastAsia="IRNazanin"/>
          <w:color w:val="111111"/>
          <w:sz w:val="28"/>
          <w:sz w:val="28"/>
          <w:szCs w:val="28"/>
          <w:rtl w:val="true"/>
          <w:lang w:bidi="fa-IR"/>
        </w:rPr>
        <w:t>فناسب نفی</w:t>
      </w:r>
      <w:bookmarkStart w:id="561" w:name="pg19810_214641"/>
    </w:p>
    <w:p>
      <w:pPr>
        <w:pStyle w:val="BookText"/>
        <w:rPr/>
      </w:pPr>
      <w:bookmarkEnd w:id="561"/>
      <w:r>
        <w:rPr>
          <w:rFonts w:ascii="IRNazanin" w:hAnsi="IRNazanin" w:eastAsia="IRNazanin"/>
          <w:color w:val="111111"/>
          <w:sz w:val="28"/>
          <w:sz w:val="28"/>
          <w:szCs w:val="28"/>
          <w:rtl w:val="true"/>
          <w:lang w:bidi="fa-IR"/>
        </w:rPr>
        <w:t>الیمین فیه ونسبته إلی القول یؤذن بتوقّفه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ووجهه </w:t>
      </w:r>
      <w:r>
        <w:rPr>
          <w:rStyle w:val="FootnoteAnchor"/>
          <w:rtl w:val="true"/>
        </w:rPr>
        <w:footnoteReference w:id="1635"/>
      </w:r>
      <w:r>
        <w:rPr>
          <w:rFonts w:ascii="IRNazanin" w:hAnsi="IRNazanin" w:eastAsia="IRNazanin"/>
          <w:color w:val="111111"/>
          <w:sz w:val="28"/>
          <w:sz w:val="28"/>
          <w:szCs w:val="28"/>
          <w:rtl w:val="true"/>
          <w:lang w:bidi="fa-IR"/>
        </w:rPr>
        <w:t xml:space="preserve">أصالة عدم الاشتراط، والحکم فی الآیة وقع مقیّداً بالوصف وهو لا یدلّ علی نفیه عمّا عداه وجاز خروجه مخرج الأغلب، وقد روی أنّ النبیّ صلی الله علیه و آله لاعَنَ بین عویمر العجلانی وزوجته ولم یسألهما عن البیّنة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بالمحصنة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وطءٍ محرَّم لا یصادف ملکاً وإن اشتمل علی عقد، لا ما صادفه وإن حرم کوقت الحیض والإحرام والظهار، فلا تخرج به عن الإحصان، وکذا وطء الشبهة ومقدّمات الوطء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رمی المشهورة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حدّ ولا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یعزّر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القذف إلّامع 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لیترتّب علیه اللعان؛ إذ هو شهادة أو فی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بالشیاع، أو 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فإنّ ذلک لا یجوز الاعتماد علیه فی ثبوت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یُشترط فی الشیاع حصول العلم بالخبر، فإنّه حینئذٍ یکون کالبیّنة وهی لا تجوّز القذف أیضاً، أمّا لو اشترطنا فیه العلم لم یبعد الجواز به؛ لأنّه حینئذٍ کالمشاهدة</w:t>
      </w:r>
      <w:r>
        <w:rPr>
          <w:rFonts w:eastAsia="IRNazanin" w:cs="IRNazanin"/>
          <w:color w:val="111111"/>
          <w:sz w:val="28"/>
          <w:szCs w:val="28"/>
          <w:rtl w:val="true"/>
          <w:lang w:bidi="fa-IR"/>
        </w:rPr>
        <w:t>.</w:t>
      </w:r>
    </w:p>
    <w:p>
      <w:pPr>
        <w:pStyle w:val="Heading4"/>
        <w:numPr>
          <w:ilvl w:val="3"/>
          <w:numId w:val="1"/>
        </w:numPr>
        <w:rPr/>
      </w:pPr>
      <w:bookmarkStart w:id="562" w:name="__RefHeading___Toc2175673_2314609296"/>
      <w:bookmarkStart w:id="563" w:name="_Toc211"/>
      <w:bookmarkEnd w:id="562"/>
      <w:r>
        <w:rPr>
          <w:rtl w:val="true"/>
        </w:rPr>
        <w:t>[</w:t>
      </w:r>
      <w:r>
        <w:rPr/>
        <w:t>2</w:t>
      </w:r>
      <w:r>
        <w:rPr>
          <w:rtl w:val="true"/>
        </w:rPr>
        <w:t>-</w:t>
      </w:r>
      <w:r>
        <w:rPr>
          <w:rtl w:val="true"/>
        </w:rPr>
        <w:t xml:space="preserve">انکار الولد </w:t>
      </w:r>
      <w:r>
        <w:rPr>
          <w:rtl w:val="true"/>
        </w:rPr>
        <w:t>]</w:t>
      </w:r>
      <w:bookmarkEnd w:id="56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من ولد علی فراشه بالشرائط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فی إلحاق الولد به، وهی وضعه لستّة أشهر فصاعداً من حین وطئه، ولم یتجاوز حملها أقصی مدّته، وکونها موطوءة بالعقد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سکت حال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r>
        <w:rPr>
          <w:rStyle w:val="FootnoteAnchor"/>
          <w:rtl w:val="true"/>
        </w:rPr>
        <w:footnoteReference w:id="1637"/>
      </w:r>
      <w:r>
        <w:rPr>
          <w:rFonts w:ascii="IRNazanin" w:hAnsi="IRNazanin" w:eastAsia="IRNazanin"/>
          <w:color w:val="111111"/>
          <w:sz w:val="28"/>
          <w:sz w:val="28"/>
          <w:szCs w:val="28"/>
          <w:rtl w:val="true"/>
          <w:lang w:bidi="fa-IR"/>
        </w:rPr>
        <w:t>ینفه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السکوت أعمّ من الاعتراف به، فلا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إنکاره حینئذٍ؛ لحکم الشارع بإلحاقه به بمجرّد الولادة العاری عن النفی </w:t>
      </w:r>
      <w:r>
        <w:rPr>
          <w:rStyle w:val="FootnoteAnchor"/>
          <w:rtl w:val="true"/>
        </w:rPr>
        <w:footnoteReference w:id="1638"/>
      </w:r>
      <w:r>
        <w:rPr>
          <w:rFonts w:ascii="IRNazanin" w:hAnsi="IRNazanin" w:eastAsia="IRNazanin"/>
          <w:color w:val="111111"/>
          <w:sz w:val="28"/>
          <w:sz w:val="28"/>
          <w:szCs w:val="28"/>
          <w:rtl w:val="true"/>
          <w:lang w:bidi="fa-IR"/>
        </w:rPr>
        <w:t>إذ اللحوق لا یحتاج إلی غیر الفراش فیمتنع أن یزیل إنکاره حکم الشارع، ولأدائه إلی عدم استقرار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الشارع بالالتحاق </w:t>
      </w:r>
      <w:r>
        <w:rPr>
          <w:rStyle w:val="FootnoteAnchor"/>
          <w:rtl w:val="true"/>
        </w:rPr>
        <w:footnoteReference w:id="1639"/>
      </w:r>
      <w:r>
        <w:rPr>
          <w:rFonts w:ascii="IRNazanin" w:hAnsi="IRNazanin" w:eastAsia="IRNazanin"/>
          <w:color w:val="111111"/>
          <w:sz w:val="28"/>
          <w:sz w:val="28"/>
          <w:szCs w:val="28"/>
          <w:rtl w:val="true"/>
          <w:lang w:bidi="fa-IR"/>
        </w:rPr>
        <w:t>مبنیّ علی أصالة عدم النفی، أو علی الظاهر وقد ظهر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یمکنه النفی حالة الولادة إمّا لعدم قدرته علیه لمرض أو حبس أو اشتغال بحفظ ماله من حرق أو غرق أو لُصٍّ ولم یمکنه الإشهاد ونحو ذلک، أو لعدم علمه بأنّ له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لقرب عهده بالإسلام أو بُعده عن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إشکال فی قبوله عند زوال المانع، ولو ادّعی عدم العلم </w:t>
      </w:r>
      <w:r>
        <w:rPr>
          <w:rStyle w:val="FootnoteAnchor"/>
          <w:rtl w:val="true"/>
        </w:rPr>
        <w:footnoteReference w:id="1640"/>
      </w:r>
      <w:r>
        <w:rPr>
          <w:rFonts w:ascii="Amiri" w:hAnsi="Amiri" w:eastAsia="Amiri" w:cs="Amiri"/>
          <w:color w:val="111111"/>
          <w:sz w:val="28"/>
          <w:sz w:val="28"/>
          <w:szCs w:val="28"/>
          <w:rtl w:val="true"/>
          <w:lang w:bidi="ar-SA"/>
        </w:rPr>
        <w:t>قُبل مع إمکانه فی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یجوز له نفیه باللعان علی أیّ وجهٍ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یسبق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صریحاً أو 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ظاهر، والثانی أن یجیب المبشّر بما یدلّ علی الرضا به والاعتراف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 هذا الولد، فیؤمِّن،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فیک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 اللّٰه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یقتضی الإقرار؛ لاحتماله غیره احتمالاً ظاهراً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قذفها بالزنا ونفی الولد وأقام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bookmarkStart w:id="564" w:name="pg19810_214643"/>
    </w:p>
    <w:p>
      <w:pPr>
        <w:pStyle w:val="BookText"/>
        <w:rPr/>
      </w:pPr>
      <w:bookmarkEnd w:id="564"/>
      <w:r>
        <w:rPr>
          <w:rFonts w:ascii="IRNazanin" w:hAnsi="IRNazanin" w:eastAsia="IRNazanin"/>
          <w:color w:val="111111"/>
          <w:sz w:val="28"/>
          <w:sz w:val="28"/>
          <w:szCs w:val="28"/>
          <w:rtl w:val="true"/>
          <w:lang w:bidi="fa-IR"/>
        </w:rPr>
        <w:t xml:space="preserve">لأجل القذف 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ینتفِ عنه الولد إلّاباللعان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لاحق بالفراش وإن زنت اُمّه کما مرّ </w:t>
      </w:r>
      <w:r>
        <w:rPr>
          <w:rStyle w:val="FootnoteAnchor"/>
          <w:rtl w:val="true"/>
        </w:rPr>
        <w:footnoteReference w:id="1641"/>
      </w:r>
      <w:r>
        <w:rPr>
          <w:rFonts w:ascii="IRNazanin" w:hAnsi="IRNazanin" w:eastAsia="IRNazanin"/>
          <w:color w:val="111111"/>
          <w:sz w:val="28"/>
          <w:sz w:val="28"/>
          <w:szCs w:val="28"/>
          <w:rtl w:val="true"/>
          <w:lang w:bidi="fa-IR"/>
        </w:rPr>
        <w:t>ولو لم یُقم بیّنة کان له اللعان للأمرین معاً، وهل یُکتفی بلعان واحد أم یتعدّد؟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 کالشهادة أو الیمین، وهما کافیان علی ما سبق علیهما من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تعدّد السبب الموجب لتعدّد المسبّب إلّا ما أخرجه الدلیل</w:t>
      </w:r>
      <w:r>
        <w:rPr>
          <w:rFonts w:eastAsia="IRNazanin" w:cs="IRNazanin"/>
          <w:color w:val="111111"/>
          <w:sz w:val="28"/>
          <w:szCs w:val="28"/>
          <w:rtl w:val="true"/>
          <w:lang w:bidi="fa-IR"/>
        </w:rPr>
        <w:t>.</w:t>
      </w:r>
    </w:p>
    <w:p>
      <w:pPr>
        <w:pStyle w:val="Heading3"/>
        <w:numPr>
          <w:ilvl w:val="2"/>
          <w:numId w:val="1"/>
        </w:numPr>
        <w:rPr/>
      </w:pPr>
      <w:bookmarkStart w:id="565" w:name="__RefHeading___Toc2175675_2314609296"/>
      <w:bookmarkStart w:id="566" w:name="_Toc212"/>
      <w:bookmarkEnd w:id="565"/>
      <w:r>
        <w:rPr>
          <w:rtl w:val="true"/>
        </w:rPr>
        <w:t>[</w:t>
      </w:r>
      <w:r>
        <w:rPr>
          <w:rtl w:val="true"/>
        </w:rPr>
        <w:t xml:space="preserve">شروط الملاعن </w:t>
      </w:r>
      <w:r>
        <w:rPr>
          <w:rtl w:val="true"/>
        </w:rPr>
        <w:t>]</w:t>
      </w:r>
      <w:bookmarkEnd w:id="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کون الملاعن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العدالة، ولا الحرّیّة، ولا انتفاء الحدّ عن قذف، ولا الإسلام، بل یلاعن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مملوکاً أو فاسقاً؛ لعموم الآیة </w:t>
      </w:r>
      <w:r>
        <w:rPr>
          <w:rStyle w:val="FootnoteAnchor"/>
          <w:rtl w:val="true"/>
        </w:rPr>
        <w:footnoteReference w:id="1642"/>
      </w:r>
      <w:r>
        <w:rPr>
          <w:rFonts w:ascii="IRNazanin" w:hAnsi="IRNazanin" w:eastAsia="IRNazanin"/>
          <w:color w:val="111111"/>
          <w:sz w:val="28"/>
          <w:sz w:val="28"/>
          <w:szCs w:val="28"/>
          <w:rtl w:val="true"/>
          <w:lang w:bidi="fa-IR"/>
        </w:rPr>
        <w:t xml:space="preserve">ودلالة الروایات </w:t>
      </w:r>
      <w:r>
        <w:rPr>
          <w:rStyle w:val="FootnoteAnchor"/>
          <w:rtl w:val="true"/>
        </w:rPr>
        <w:footnoteReference w:id="1643"/>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یلاعن الکافر ولا المملوک </w:t>
      </w:r>
      <w:r>
        <w:rPr>
          <w:rStyle w:val="FootnoteAnchor"/>
          <w:rtl w:val="true"/>
        </w:rPr>
        <w:footnoteReference w:id="1644"/>
      </w:r>
      <w:r>
        <w:rPr>
          <w:rFonts w:ascii="Amiri" w:hAnsi="Amiri" w:eastAsia="Amiri" w:cs="Amiri"/>
          <w:color w:val="111111"/>
          <w:sz w:val="28"/>
          <w:sz w:val="28"/>
          <w:szCs w:val="28"/>
          <w:rtl w:val="true"/>
          <w:lang w:bidi="ar-SA"/>
        </w:rPr>
        <w:t>بناءً علی أ نّه شهادات کما یظهر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فَشَهٰادَةُ أَحَدِهِمْ </w:t>
      </w:r>
      <w:r>
        <w:rPr>
          <w:rStyle w:val="FootnoteAnchor"/>
          <w:rtl w:val="true"/>
        </w:rPr>
        <w:footnoteReference w:id="1645"/>
      </w:r>
      <w:r>
        <w:rPr>
          <w:rFonts w:ascii="IRNazanin" w:hAnsi="IRNazanin" w:eastAsia="IRNazanin"/>
          <w:color w:val="111111"/>
          <w:sz w:val="28"/>
          <w:sz w:val="28"/>
          <w:szCs w:val="28"/>
          <w:rtl w:val="true"/>
          <w:lang w:bidi="fa-IR"/>
        </w:rPr>
        <w:t>وهما لیسا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 لجواز کونه أیماناً؛ لافتقاره إلی ذکر اسم اللّٰه تعالی، والیمین یستوی فیه العدل والفاسق والحرّ والعبد والمسلم والکافر والذکر والاُنثی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ذکروه معارض بوقوعه من الفاسق إجماعاً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لعان الأخرس بالإشارة المعقولة إن أمکن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w:t>
      </w:r>
    </w:p>
    <w:p>
      <w:pPr>
        <w:pStyle w:val="BookText"/>
        <w:rPr/>
      </w:pPr>
      <w:r>
        <w:rPr>
          <w:rFonts w:ascii="IRNazanin" w:hAnsi="IRNazanin" w:eastAsia="IRNazanin"/>
          <w:color w:val="111111"/>
          <w:sz w:val="28"/>
          <w:sz w:val="28"/>
          <w:szCs w:val="28"/>
          <w:rtl w:val="true"/>
          <w:lang w:bidi="fa-IR"/>
        </w:rPr>
        <w:t>کما یصحّ منه إقامة الشهادة والأیمان والإقرار وغیرها من الأحکام، ولعموم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بالمنع </w:t>
      </w:r>
      <w:r>
        <w:rPr>
          <w:rStyle w:val="FootnoteAnchor"/>
          <w:rtl w:val="true"/>
        </w:rPr>
        <w:footnoteReference w:id="1646"/>
      </w:r>
      <w:r>
        <w:rPr>
          <w:rFonts w:ascii="IRNazanin" w:hAnsi="IRNazanin" w:eastAsia="IRNazanin"/>
          <w:color w:val="111111"/>
          <w:sz w:val="28"/>
          <w:sz w:val="28"/>
          <w:szCs w:val="28"/>
          <w:rtl w:val="true"/>
          <w:lang w:bidi="fa-IR"/>
        </w:rPr>
        <w:t xml:space="preserve">والفرق؛ لأنّه </w:t>
      </w:r>
      <w:r>
        <w:rPr>
          <w:rStyle w:val="FootnoteAnchor"/>
          <w:rtl w:val="true"/>
        </w:rPr>
        <w:footnoteReference w:id="1647"/>
      </w:r>
      <w:r>
        <w:rPr>
          <w:rFonts w:ascii="IRNazanin" w:hAnsi="IRNazanin" w:eastAsia="IRNazanin"/>
          <w:color w:val="111111"/>
          <w:sz w:val="28"/>
          <w:sz w:val="28"/>
          <w:szCs w:val="28"/>
          <w:rtl w:val="true"/>
          <w:lang w:bidi="fa-IR"/>
        </w:rPr>
        <w:t>مشروط بالألفاظ الخاصّة، دون الإقرار والشهادة فإنّهما یقعان بأیّ عبارة اتّفقت، ولأصالة عدم ثبوته إلّامع تیقّنه، وهو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بأنّ الألفاظ الخاصّة إنّما تعتبر مع الإمکان وإشارته قائمة مقامها، کما قامت فی الطلاق وغیره من الأحکام المعتبرة بألفاظ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استبعاد فهمه له موجَّه، لکنّه غیر مانع؛ لأنّ الحکم مبنیّ علیه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ذی الفراش مطلقاً </w:t>
      </w:r>
      <w:r>
        <w:rPr>
          <w:rStyle w:val="FootnoteAnchor"/>
          <w:rtl w:val="true"/>
        </w:rPr>
        <w:footnoteReference w:id="1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علی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 اختلال شروط الإلحاق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فیلاعن وجوباً؛ لأنّه لا ینتفی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بدون علمه باختلال شروط الإلحاق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ظنّ انتفاءه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بزنا اُمّه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خالفت صفاتُه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لا مدخل له فی الإلحاق، والخالق علی کلّ شیءٍ قدیر، والحکم مبنیّ علی الظاهر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ویلحق الولد بالفراش دون غیره، ولو لم یجد مَن عَلِم انتفاءه مَن یلاعن بینهما لم یفده نفیه مطلقاً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bookmarkStart w:id="567" w:name="pg19810_214645"/>
    </w:p>
    <w:p>
      <w:pPr>
        <w:pStyle w:val="BookText"/>
        <w:rPr/>
      </w:pPr>
      <w:bookmarkEnd w:id="567"/>
      <w:r>
        <w:rPr>
          <w:rFonts w:ascii="IRNazanin" w:hAnsi="IRNazanin" w:eastAsia="IRNazanin"/>
          <w:color w:val="111111"/>
          <w:sz w:val="28"/>
          <w:sz w:val="28"/>
          <w:szCs w:val="28"/>
          <w:rtl w:val="true"/>
          <w:lang w:bidi="fa-IR"/>
        </w:rPr>
        <w:t xml:space="preserve">وفی جواز التصریح به نظر؛ لانتفاء الفائدة مع التعریض بالقذف، وإن </w:t>
      </w:r>
      <w:r>
        <w:rPr>
          <w:rStyle w:val="FootnoteAnchor"/>
          <w:rtl w:val="true"/>
        </w:rPr>
        <w:footnoteReference w:id="1651"/>
      </w:r>
      <w:r>
        <w:rPr>
          <w:rFonts w:ascii="IRNazanin" w:hAnsi="IRNazanin" w:eastAsia="IRNazanin"/>
          <w:color w:val="111111"/>
          <w:sz w:val="28"/>
          <w:sz w:val="28"/>
          <w:szCs w:val="28"/>
          <w:rtl w:val="true"/>
          <w:lang w:bidi="fa-IR"/>
        </w:rPr>
        <w:t>لم یحصل التصریح</w:t>
      </w:r>
      <w:r>
        <w:rPr>
          <w:rFonts w:eastAsia="IRNazanin" w:cs="IRNazanin"/>
          <w:color w:val="111111"/>
          <w:sz w:val="28"/>
          <w:szCs w:val="28"/>
          <w:rtl w:val="true"/>
          <w:lang w:bidi="fa-IR"/>
        </w:rPr>
        <w:t>.</w:t>
      </w:r>
    </w:p>
    <w:p>
      <w:pPr>
        <w:pStyle w:val="Heading3"/>
        <w:numPr>
          <w:ilvl w:val="2"/>
          <w:numId w:val="1"/>
        </w:numPr>
        <w:rPr/>
      </w:pPr>
      <w:bookmarkStart w:id="568" w:name="__RefHeading___Toc2175677_2314609296"/>
      <w:bookmarkStart w:id="569" w:name="_Toc213"/>
      <w:bookmarkEnd w:id="568"/>
      <w:r>
        <w:rPr>
          <w:rtl w:val="true"/>
        </w:rPr>
        <w:t>[</w:t>
      </w:r>
      <w:r>
        <w:rPr>
          <w:rtl w:val="true"/>
        </w:rPr>
        <w:t>ما یعتبر فی الملاعنة</w:t>
      </w:r>
      <w:r>
        <w:rPr>
          <w:rtl w:val="true"/>
        </w:rPr>
        <w:t>]</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فی الملاعنة الکمال والسلامة من الصمم والخرس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قذف الصغیرة فلا لعان، بل یُحدّ إن کانت فی محلّ الوطء کبنت الثمانی، وإلّا عُزّر خاصّة للسبّ؛ لتیقّن </w:t>
      </w:r>
      <w:r>
        <w:rPr>
          <w:rStyle w:val="FootnoteAnchor"/>
          <w:rtl w:val="true"/>
        </w:rPr>
        <w:footnoteReference w:id="1652"/>
      </w:r>
      <w:r>
        <w:rPr>
          <w:rFonts w:ascii="IRNazanin" w:hAnsi="IRNazanin" w:eastAsia="IRNazanin"/>
          <w:color w:val="111111"/>
          <w:sz w:val="28"/>
          <w:sz w:val="28"/>
          <w:szCs w:val="28"/>
          <w:rtl w:val="true"/>
          <w:lang w:bidi="fa-IR"/>
        </w:rPr>
        <w:t>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قذف المجنونة بزنا أضافه إلی حالة الجنون عُزّر، أو حالة الصحّة فالحدّ، وله إسقاطه باللعان بعد إفاقتها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نفی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قذف الصمّاء والخرساء حرمتا علیه أبداً ولا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لعانهما لنفی الولد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النصّ فیرجع إلی الأصل، ومساواته للقذف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والأوجه الأوّل؛ لعموم النصّ ومنع المساواة مطلقاً، وقد تقدّم البحث فی ذلک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یقع بالمتمتّع بها </w:t>
      </w:r>
      <w:r>
        <w:rPr>
          <w:rStyle w:val="FootnoteAnchor"/>
          <w:rtl w:val="true"/>
        </w:rPr>
        <w:footnoteReference w:id="1653"/>
      </w:r>
      <w:r>
        <w:rPr>
          <w:rFonts w:ascii="IRNazanin" w:hAnsi="IRNazanin" w:eastAsia="IRNazanin"/>
          <w:color w:val="111111"/>
          <w:sz w:val="28"/>
          <w:sz w:val="28"/>
          <w:szCs w:val="28"/>
          <w:rtl w:val="true"/>
          <w:lang w:bidi="fa-IR"/>
        </w:rPr>
        <w:t xml:space="preserve">لأنّ ولدها ینتفی بنفیه من غیر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 اللعان لنفی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القذف فیثبت؛ لعدم المانع مع عموم النصّ وهذا جزمٌ من المصنّف بعد التردّد؛ لأنّه فیما سلف نسب الحکم به إلی قول </w:t>
      </w:r>
      <w:r>
        <w:rPr>
          <w:rStyle w:val="FootnoteAnchor"/>
          <w:rtl w:val="true"/>
        </w:rPr>
        <w:footnoteReference w:id="1654"/>
      </w:r>
      <w:r>
        <w:rPr>
          <w:rFonts w:ascii="IRNazanin" w:hAnsi="IRNazanin" w:eastAsia="IRNazanin"/>
          <w:color w:val="111111"/>
          <w:sz w:val="28"/>
          <w:sz w:val="28"/>
          <w:szCs w:val="28"/>
          <w:rtl w:val="true"/>
          <w:lang w:bidi="fa-IR"/>
        </w:rPr>
        <w:t xml:space="preserve">وقد </w:t>
      </w:r>
      <w:r>
        <w:rPr>
          <w:rStyle w:val="FootnoteAnchor"/>
          <w:rtl w:val="true"/>
        </w:rPr>
        <w:footnoteReference w:id="1655"/>
      </w:r>
      <w:r>
        <w:rPr>
          <w:rFonts w:ascii="IRNazanin" w:hAnsi="IRNazanin" w:eastAsia="IRNazanin"/>
          <w:color w:val="111111"/>
          <w:sz w:val="28"/>
          <w:sz w:val="28"/>
          <w:szCs w:val="28"/>
          <w:rtl w:val="true"/>
          <w:lang w:bidi="fa-IR"/>
        </w:rPr>
        <w:t xml:space="preserve">تقدّم أنّ الأقوی عدم ثبوت اللعان بالمتمتّع بها مطلقاً </w:t>
      </w:r>
      <w:r>
        <w:rPr>
          <w:rStyle w:val="FootnoteAnchor"/>
          <w:rtl w:val="true"/>
        </w:rPr>
        <w:footnoteReference w:id="1656"/>
      </w:r>
      <w:r>
        <w:rPr>
          <w:rFonts w:ascii="IRNazanin" w:hAnsi="IRNazanin" w:eastAsia="IRNazanin"/>
          <w:color w:val="111111"/>
          <w:sz w:val="28"/>
          <w:sz w:val="28"/>
          <w:szCs w:val="28"/>
          <w:rtl w:val="true"/>
          <w:lang w:bidi="fa-IR"/>
        </w:rPr>
        <w:t xml:space="preserve">وأنّ المخصّص للآیة صحیحة ابن سنان عن الصادق علیه السلام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بالزوجة فی لعانها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مأخذهما عموم الآیة، فإنّ لِأَزْوٰاجِهِمْ فیها جمع مضاف، فیعمّ المدخول بها وغیرها، وتخصیصها بروایة محمّد بن مصادف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لاعن امرأته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ملاعناً حتّی یدخل بها، یُضرب حدّاً وهی امرأته</w:t>
      </w:r>
      <w:r>
        <w:rPr>
          <w:rFonts w:eastAsia="IRNazanin" w:cs="IRNazanin"/>
          <w:color w:val="111111"/>
          <w:sz w:val="28"/>
          <w:szCs w:val="28"/>
          <w:rtl w:val="true"/>
          <w:lang w:bidi="fa-IR"/>
        </w:rPr>
        <w:t xml:space="preserve">» </w:t>
      </w:r>
      <w:r>
        <w:rPr>
          <w:rStyle w:val="FootnoteAnchor"/>
          <w:rtl w:val="true"/>
        </w:rPr>
        <w:footnoteReference w:id="1659"/>
      </w:r>
      <w:r>
        <w:rPr>
          <w:rFonts w:ascii="IRNazanin" w:hAnsi="IRNazanin" w:eastAsia="IRNazanin"/>
          <w:color w:val="111111"/>
          <w:sz w:val="28"/>
          <w:sz w:val="28"/>
          <w:szCs w:val="28"/>
          <w:rtl w:val="true"/>
          <w:lang w:bidi="fa-IR"/>
        </w:rPr>
        <w:t xml:space="preserve">والمستند إلیه </w:t>
      </w:r>
      <w:r>
        <w:rPr>
          <w:rStyle w:val="FootnoteAnchor"/>
          <w:rtl w:val="true"/>
        </w:rPr>
        <w:footnoteReference w:id="1660"/>
      </w:r>
      <w:r>
        <w:rPr>
          <w:rFonts w:ascii="IRNazanin" w:hAnsi="IRNazanin" w:eastAsia="IRNazanin"/>
          <w:color w:val="111111"/>
          <w:sz w:val="28"/>
          <w:sz w:val="28"/>
          <w:szCs w:val="28"/>
          <w:rtl w:val="true"/>
          <w:lang w:bidi="fa-IR"/>
        </w:rPr>
        <w:t>ضعیف أو متوقّف فیه، فالتخصیص غیر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یشکل ثبوته مطلقاً </w:t>
      </w:r>
      <w:r>
        <w:rPr>
          <w:rStyle w:val="FootnoteAnchor"/>
          <w:rtl w:val="true"/>
        </w:rPr>
        <w:footnoteReference w:id="1661"/>
      </w:r>
      <w:r>
        <w:rPr>
          <w:rFonts w:ascii="IRNazanin" w:hAnsi="IRNazanin" w:eastAsia="IRNazanin"/>
          <w:color w:val="111111"/>
          <w:sz w:val="28"/>
          <w:sz w:val="28"/>
          <w:szCs w:val="28"/>
          <w:rtl w:val="true"/>
          <w:lang w:bidi="fa-IR"/>
        </w:rPr>
        <w:t>لأنّ ولد غیر المدخول بها لا یُلحق بالزوج، فکیف یتوقّف نفیه علی اللعان؟ نعم یتمّ ذلک فی القذف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فالتفصیل کما ذهب إلیه ابن إدریس </w:t>
      </w:r>
      <w:r>
        <w:rPr>
          <w:rStyle w:val="FootnoteAnchor"/>
          <w:rtl w:val="true"/>
        </w:rPr>
        <w:footnoteReference w:id="1662"/>
      </w:r>
      <w:r>
        <w:rPr>
          <w:rFonts w:ascii="IRNazanin" w:hAnsi="IRNazanin" w:eastAsia="IRNazanin"/>
          <w:color w:val="111111"/>
          <w:sz w:val="28"/>
          <w:sz w:val="28"/>
          <w:szCs w:val="28"/>
          <w:rtl w:val="true"/>
          <w:lang w:bidi="fa-IR"/>
        </w:rPr>
        <w:t>حسن، لکنّه حمل اختلاف الأصحاب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صلح من غیر تراضی الخصمین؛ لأنّ النزاع معنویّ، لا لفظیّ بین الفریقین، بل النزاع لا یتحقّق إلّافی القذف؛ للإجماع علی انتفاء الولد عند عدم اجتماع شروط اللحوق بغیر لعان، وإن کان کلامهم هنا مطلقاً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المملوکة لنفی الولد 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بقذفها؛ للعموم وصحیحة محمّد بن مسلم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الحرّ یُلاعن المملوکة،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مولاها زوّجه إیّاها لاعَنَها</w:t>
      </w:r>
      <w:r>
        <w:rPr>
          <w:rFonts w:eastAsia="IRNazanin" w:cs="IRNazanin"/>
          <w:color w:val="111111"/>
          <w:sz w:val="28"/>
          <w:szCs w:val="28"/>
          <w:rtl w:val="true"/>
          <w:lang w:bidi="fa-IR"/>
        </w:rPr>
        <w:t xml:space="preserve">» </w:t>
      </w:r>
      <w:r>
        <w:rPr>
          <w:rStyle w:val="FootnoteAnchor"/>
          <w:rtl w:val="true"/>
        </w:rPr>
        <w:footnoteReference w:id="1663"/>
      </w:r>
      <w:r>
        <w:rPr>
          <w:rFonts w:ascii="IRNazanin" w:hAnsi="IRNazanin" w:eastAsia="IRNazanin"/>
          <w:color w:val="111111"/>
          <w:sz w:val="28"/>
          <w:sz w:val="28"/>
          <w:szCs w:val="28"/>
          <w:rtl w:val="true"/>
          <w:lang w:bidi="fa-IR"/>
        </w:rPr>
        <w:t xml:space="preserve">وغیره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لعان بینهما مطلقاً </w:t>
      </w:r>
      <w:r>
        <w:rPr>
          <w:rStyle w:val="FootnoteAnchor"/>
          <w:rtl w:val="true"/>
        </w:rPr>
        <w:footnoteReference w:id="1665"/>
      </w:r>
      <w:r>
        <w:rPr>
          <w:rFonts w:ascii="IRNazanin" w:hAnsi="IRNazanin" w:eastAsia="IRNazanin"/>
          <w:color w:val="111111"/>
          <w:sz w:val="28"/>
          <w:sz w:val="28"/>
          <w:szCs w:val="28"/>
          <w:rtl w:val="true"/>
          <w:lang w:bidi="fa-IR"/>
        </w:rPr>
        <w:t xml:space="preserve">استناداً إلی أخبار دلّت علی نفیه بین الحرّ والمملوکة </w:t>
      </w:r>
      <w:r>
        <w:rPr>
          <w:rStyle w:val="FootnoteAnchor"/>
          <w:rtl w:val="true"/>
        </w:rPr>
        <w:footnoteReference w:id="1666"/>
      </w:r>
      <w:r>
        <w:rPr>
          <w:rFonts w:ascii="IRNazanin" w:hAnsi="IRNazanin" w:eastAsia="IRNazanin"/>
          <w:color w:val="111111"/>
          <w:sz w:val="28"/>
          <w:sz w:val="28"/>
          <w:szCs w:val="28"/>
          <w:rtl w:val="true"/>
          <w:lang w:bidi="fa-IR"/>
        </w:rPr>
        <w:t>وحملها علی کونها مملوکة للقاذف طریق الجمع بینها وبین ما ذکرناه من وقوعه بالزوجة المملوکة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ابن إدریس هنا غیرُ جیّد، فأثبته مع نفی الولد، دون القذف، نظراً إلی عدم الحدّ به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دفع التعزیر به کافٍ، مضافاً إلی ما دلّ علیه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علیه فخر المحقّقین محتجّاً بأ نّه جامع بین الأخبار </w:t>
      </w:r>
      <w:r>
        <w:rPr>
          <w:rStyle w:val="FootnoteAnchor"/>
          <w:rtl w:val="true"/>
        </w:rPr>
        <w:footnoteReference w:id="1667"/>
      </w:r>
      <w:r>
        <w:rPr>
          <w:rFonts w:ascii="IRNazanin" w:hAnsi="IRNazanin" w:eastAsia="IRNazanin"/>
          <w:color w:val="111111"/>
          <w:sz w:val="28"/>
          <w:sz w:val="28"/>
          <w:szCs w:val="28"/>
          <w:rtl w:val="true"/>
          <w:lang w:bidi="fa-IR"/>
        </w:rPr>
        <w:t>والجمع بینهما بما ذکرناه أولی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یلحق ولد 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أشهر القولین </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 xml:space="preserve">والروایتین </w:t>
      </w:r>
      <w:r>
        <w:rPr>
          <w:rStyle w:val="FootnoteAnchor"/>
          <w:rtl w:val="true"/>
        </w:rPr>
        <w:footnoteReference w:id="1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اعترف بوطئها، ولو نفاه انتفی بغیر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الخلاف فی أ نّه هل یلحق به بمجرّد إمکان کونه منه وإن لم یُقِرّ به، أم لا بدّ من العلم بوطئه وإمکان لحوقه به، أو إقراره به؟ فعلی ما اختاره المصنّف والأکثر لا یُلحق به إلّابإقراره ووطئه وإمکان لحوقه به، وعلی القول الآخر لا ینتفی إلّابنفیه، أو العلم بانتفائه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العبارة وغیرها من عبارات المحقّق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یلحق به إلّا بإقراره </w:t>
      </w:r>
      <w:r>
        <w:rPr>
          <w:rStyle w:val="FootnoteAnchor"/>
          <w:rtl w:val="true"/>
        </w:rPr>
        <w:footnoteReference w:id="1670"/>
      </w:r>
      <w:r>
        <w:rPr>
          <w:rFonts w:ascii="IRNazanin" w:hAnsi="IRNazanin" w:eastAsia="IRNazanin"/>
          <w:color w:val="111111"/>
          <w:sz w:val="28"/>
          <w:sz w:val="28"/>
          <w:szCs w:val="28"/>
          <w:rtl w:val="true"/>
          <w:lang w:bidi="fa-IR"/>
        </w:rPr>
        <w:t>فلو سکت ولم ینفه ولم یقرّ به لم یلحق به، وجعلوا ذلک فائدة عدم کون الأمة فراشاً بالوطء</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حقّقه جماعة أ نّه یلحق به بإقراره، أو العلم بوطئه وإمکان لحوقه به وإن لم یقرّ به </w:t>
      </w:r>
      <w:r>
        <w:rPr>
          <w:rStyle w:val="FootnoteAnchor"/>
          <w:rtl w:val="true"/>
        </w:rPr>
        <w:footnoteReference w:id="1671"/>
      </w:r>
      <w:r>
        <w:rPr>
          <w:rFonts w:ascii="IRNazanin" w:hAnsi="IRNazanin" w:eastAsia="IRNazanin"/>
          <w:color w:val="111111"/>
          <w:sz w:val="28"/>
          <w:sz w:val="28"/>
          <w:szCs w:val="28"/>
          <w:rtl w:val="true"/>
          <w:lang w:bidi="fa-IR"/>
        </w:rPr>
        <w:t>وجعلوا الفرق بین الفراش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الفراش یلحق به الولد وإن لم یُعلم وطؤه مع إمکانه إلّامع النفی واللعان، وغیره من الأمة والمتمتّع بها یُلحق به الولد إلّامع النفی، وحملوا عدم لحوقه إلّابالإقرار علی اللحوق اللازم؛ لأنّه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الإقرار ینتفی بنفیه من غیر لعان، ولو أقرّ به استقرّ ولم یکن له نفیه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الظاهر، وقد سبق فی أحکام الأولاد ما ینبّه علیه </w:t>
      </w:r>
      <w:r>
        <w:rPr>
          <w:rStyle w:val="FootnoteAnchor"/>
          <w:rtl w:val="true"/>
        </w:rPr>
        <w:footnoteReference w:id="1672"/>
      </w:r>
      <w:r>
        <w:rPr>
          <w:rFonts w:ascii="IRNazanin" w:hAnsi="IRNazanin" w:eastAsia="IRNazanin"/>
          <w:color w:val="111111"/>
          <w:sz w:val="28"/>
          <w:sz w:val="28"/>
          <w:szCs w:val="28"/>
          <w:rtl w:val="true"/>
          <w:lang w:bidi="fa-IR"/>
        </w:rPr>
        <w:t>ولولا هذا المعنی لنافی ما ذکروه هنا ما حکموا به فیما سبق من لحوقه به بشرطه</w:t>
      </w:r>
      <w:r>
        <w:rPr>
          <w:rFonts w:eastAsia="IRNazanin" w:cs="IRNazanin"/>
          <w:color w:val="111111"/>
          <w:sz w:val="28"/>
          <w:szCs w:val="28"/>
          <w:rtl w:val="true"/>
          <w:lang w:bidi="fa-IR"/>
        </w:rPr>
        <w:t>.</w:t>
      </w:r>
      <w:bookmarkStart w:id="570" w:name="pg19810_214650"/>
    </w:p>
    <w:p>
      <w:pPr>
        <w:pStyle w:val="Heading3"/>
        <w:numPr>
          <w:ilvl w:val="2"/>
          <w:numId w:val="1"/>
        </w:numPr>
        <w:rPr/>
      </w:pPr>
      <w:bookmarkStart w:id="571" w:name="__RefHeading___Toc2175679_2314609296"/>
      <w:bookmarkStart w:id="572" w:name="_Toc214"/>
      <w:bookmarkEnd w:id="570"/>
      <w:bookmarkEnd w:id="571"/>
      <w:r>
        <w:rPr>
          <w:rtl w:val="true"/>
        </w:rPr>
        <w:t>«</w:t>
      </w:r>
      <w:r>
        <w:rPr>
          <w:rtl w:val="true"/>
        </w:rPr>
        <w:t>القول فی کیفیّة اللعان وأحکامه</w:t>
      </w:r>
      <w:r>
        <w:rPr>
          <w:rtl w:val="true"/>
        </w:rPr>
        <w:t>»</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کونه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للحکم أو اللعان بخصوصه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التحکیم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الإمام ومن نصبه موجودین، کما یجوز التحکیم فی غیره من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أطلق بعض الأصحاب علی المحکَّم هنا کونه عامّیّاً </w:t>
      </w:r>
      <w:r>
        <w:rPr>
          <w:rStyle w:val="FootnoteAnchor"/>
          <w:rtl w:val="true"/>
        </w:rPr>
        <w:footnoteReference w:id="1673"/>
      </w:r>
      <w:r>
        <w:rPr>
          <w:rFonts w:ascii="IRNazanin" w:hAnsi="IRNazanin" w:eastAsia="IRNazanin"/>
          <w:color w:val="111111"/>
          <w:sz w:val="28"/>
          <w:sz w:val="28"/>
          <w:szCs w:val="28"/>
          <w:rtl w:val="true"/>
          <w:lang w:bidi="fa-IR"/>
        </w:rPr>
        <w:t xml:space="preserve">نظراً إلی أ نّه غیر منصوب بخصوصه، فعامّیّته إضافیّة، لا أنّ المسألة خلافیّة، بل الإجماع علی اشتراط اجتهاد الحاکم مطلقاً، نعم منع بعض الأصحاب من التحکیم هنا </w:t>
      </w:r>
      <w:r>
        <w:rPr>
          <w:rStyle w:val="FootnoteAnchor"/>
          <w:rtl w:val="true"/>
        </w:rPr>
        <w:footnoteReference w:id="1674"/>
      </w:r>
      <w:r>
        <w:rPr>
          <w:rFonts w:ascii="IRNazanin" w:hAnsi="IRNazanin" w:eastAsia="IRNazanin"/>
          <w:color w:val="111111"/>
          <w:sz w:val="28"/>
          <w:sz w:val="28"/>
          <w:szCs w:val="28"/>
          <w:rtl w:val="true"/>
          <w:lang w:bidi="fa-IR"/>
        </w:rPr>
        <w:t xml:space="preserve">لأنّ أحکام اللعان لا تختصّ بالمتلاعنین فإنّ نفی الولد یتعلّق بحقّه، ومن ثَمّ لو تصادقا علی نفیه لم ینتفِ بدون اللعان، خصوصاً عند من یشترط تراضیهما بحکمه بعده </w:t>
      </w:r>
      <w:r>
        <w:rPr>
          <w:rStyle w:val="FootnoteAnchor"/>
          <w:rtl w:val="true"/>
        </w:rPr>
        <w:footnoteReference w:id="1675"/>
      </w:r>
      <w:r>
        <w:rPr>
          <w:rFonts w:ascii="IRNazanin" w:hAnsi="IRNazanin" w:eastAsia="IRNazanin"/>
          <w:color w:val="111111"/>
          <w:sz w:val="28"/>
          <w:sz w:val="28"/>
          <w:szCs w:val="28"/>
          <w:rtl w:val="true"/>
          <w:lang w:bidi="fa-IR"/>
        </w:rPr>
        <w:t>والأشهر الأوّل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حال حضور الإمام علیه السلام لما تقدّم فی باب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قاضی التحکیم لا یتحقّق إلّامع حضوره </w:t>
      </w:r>
      <w:r>
        <w:rPr>
          <w:rStyle w:val="FootnoteAnchor"/>
          <w:rtl w:val="true"/>
        </w:rPr>
        <w:footnoteReference w:id="1676"/>
      </w:r>
      <w:r>
        <w:rPr>
          <w:rFonts w:ascii="IRNazanin" w:hAnsi="IRNazanin" w:eastAsia="IRNazanin"/>
          <w:color w:val="111111"/>
          <w:sz w:val="28"/>
          <w:sz w:val="28"/>
          <w:szCs w:val="28"/>
          <w:rtl w:val="true"/>
          <w:lang w:bidi="fa-IR"/>
        </w:rPr>
        <w:t>أمّا مع غیبته فیتولّی ذلک الفقیه المجتهد؛ لأنّه منصوب من قِبل الإمام عموماً کما یتولّی غیره من الأحکام ولا یتوقّف علی تراضیهما بعده بحکمه؛ لاختصاص ذلک علی القول به بقاضی</w:t>
      </w:r>
    </w:p>
    <w:p>
      <w:pPr>
        <w:pStyle w:val="BookText"/>
        <w:rPr/>
      </w:pPr>
      <w:r>
        <w:rPr>
          <w:rFonts w:ascii="IRNazanin" w:hAnsi="IRNazanin" w:eastAsia="IRNazanin"/>
          <w:color w:val="111111"/>
          <w:sz w:val="28"/>
          <w:sz w:val="28"/>
          <w:szCs w:val="28"/>
          <w:rtl w:val="true"/>
          <w:lang w:bidi="fa-IR"/>
        </w:rPr>
        <w:t>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عدم اعتباره مطلقاً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حضرا بین یدی الحاکم فلیبدأ الرجل بعد تلقین الحاکم له الشهادة </w:t>
      </w:r>
      <w:r>
        <w:rPr>
          <w:rStyle w:val="FootnoteAnchor"/>
          <w:rtl w:val="true"/>
        </w:rPr>
        <w:footnoteReference w:id="1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فیشهد الرجل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لمن الصادقین فیما رماها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متلفّظاً بما رمی به فیقول له،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باللّٰه أ نّی </w:t>
      </w:r>
      <w:r>
        <w:rPr>
          <w:rStyle w:val="FootnoteAnchor"/>
          <w:rtl w:val="true"/>
        </w:rPr>
        <w:footnoteReference w:id="1679"/>
      </w:r>
      <w:r>
        <w:rPr>
          <w:rFonts w:ascii="IRNazanin" w:hAnsi="IRNazanin" w:eastAsia="IRNazanin"/>
          <w:color w:val="111111"/>
          <w:sz w:val="28"/>
          <w:sz w:val="28"/>
          <w:szCs w:val="28"/>
          <w:rtl w:val="true"/>
          <w:lang w:bidi="fa-IR"/>
        </w:rPr>
        <w:t>لمن الصادقین فیما رمیتها به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فیتبعه فیه؛ لأنّ اللعان یمین فلا یعتدّ بها قبل استحلاف الحاکم، وإن کان فیها شائبة الشهادة، أو شهادة فهی لا تؤدّی إلّابإذنه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نفی الولد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هذا الولد من زنا ولیس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عبّر فی التحریر، وزاد أ نّه لو اقتصر علی أحدهما لم یجز </w:t>
      </w:r>
      <w:r>
        <w:rPr>
          <w:rStyle w:val="FootnoteAnchor"/>
          <w:rtl w:val="true"/>
        </w:rPr>
        <w:footnoteReference w:id="1680"/>
      </w:r>
      <w:r>
        <w:rPr>
          <w:rFonts w:ascii="IRNazanin" w:hAnsi="IRNazanin" w:eastAsia="IRNazanin"/>
          <w:color w:val="111111"/>
          <w:sz w:val="28"/>
          <w:sz w:val="28"/>
          <w:szCs w:val="28"/>
          <w:rtl w:val="true"/>
          <w:lang w:bidi="fa-IR"/>
        </w:rPr>
        <w:t xml:space="preserve">ویشکل فیما لو کان اللعان لنفی الولد خاصّة من غیر قذف، فإنّه لا 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إلی الزنا؛ لجواز الشبهة، فینبغی أن یکتفی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 الولد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شهادته أربعاً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جاعلاً المجرور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رماها به من الزنا أو نفی الولد، کما ذُکر فی الشهادات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تشهد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فراغه من الشهادة واللعنة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لمن الکاذبین فیما رماها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أ نّه لمن الکاذبین فیما رمانی به من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غضب اللّٰه علیها إن کان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مقتصرة علی ذلک فیهما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التلفّظ بالشهادة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أبدلها بمعناها کاُقسم، أو أحلف، أو شهدت، أو أبدل الجلالة بغیرها من أسمائه تعالی، أو أبدل اللعن والغضب والصدق والکذب بمرادفها، أو حذف لام التأکید، أو علّقه علی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من التعبیرات لم یصحّ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الرجل قائماً عند إیراده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واللعن وإن کانت المرأة حینئذٍ جالسة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عند إیرادها الشهادة والغضب وإن کان الرجل حینئذٍ جالساً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یکونان معاً قائمین فی الإیرادین</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 xml:space="preserve">ومنشأ القولین اختلاف الروایات </w:t>
      </w:r>
      <w:r>
        <w:rPr>
          <w:rStyle w:val="FootnoteAnchor"/>
          <w:rtl w:val="true"/>
        </w:rPr>
        <w:footnoteReference w:id="1684"/>
      </w:r>
      <w:r>
        <w:rPr>
          <w:rFonts w:ascii="IRNazanin" w:hAnsi="IRNazanin" w:eastAsia="IRNazanin"/>
          <w:color w:val="111111"/>
          <w:sz w:val="28"/>
          <w:sz w:val="28"/>
          <w:szCs w:val="28"/>
          <w:rtl w:val="true"/>
          <w:lang w:bidi="fa-IR"/>
        </w:rPr>
        <w:t>وأشهرها وأصحّها ما دلّ علی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یتقدّم الرجل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تقدّمت المرأة لم یصحّ عملاً بالمنقول من فعل النبیّ صلی الله علیه و آله </w:t>
      </w:r>
      <w:r>
        <w:rPr>
          <w:rStyle w:val="FootnoteAnchor"/>
          <w:rtl w:val="true"/>
        </w:rPr>
        <w:footnoteReference w:id="1685"/>
      </w:r>
      <w:r>
        <w:rPr>
          <w:rFonts w:ascii="IRNazanin" w:hAnsi="IRNazanin" w:eastAsia="IRNazanin"/>
          <w:color w:val="111111"/>
          <w:sz w:val="28"/>
          <w:sz w:val="28"/>
          <w:szCs w:val="28"/>
          <w:rtl w:val="true"/>
          <w:lang w:bidi="fa-IR"/>
        </w:rPr>
        <w:t xml:space="preserve">وظاهر الآیة، ولأنّ لعانها لإسقاط الحدّ الذی وجب علیها بلعان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یمیّز الزوجة من غیرها تمییزاً یمنع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یذکر اسمها ویرفع نسبها بما یمیّزها، أو یصفها بما یمیّزها عن غیرها، أو یشیر إلیها إن کانت حاضرة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الإیراد بجمیع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باللفظ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إلّإ</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مع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فیجتزئ بمقدورهما منه، فإن تعذّر تلفّظهما بالعربیّة أصلاً أجزأ غیرُها من اللغات من غیر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فیفتقر الحاکم إلی مترجمین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یلقیان علیهما الصیغة بما یحسنانه من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باشرها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أقلّ من عدلین حیث یفتقر إلی الترجمة، ولا یحتاج إلی الأزید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البدءة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بالشهادة، ثمّ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المرأة بالشهادة ثمّ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یجب الترتیب المذکور تجب الموالاة بین کلماتهما </w:t>
      </w:r>
      <w:r>
        <w:rPr>
          <w:rStyle w:val="FootnoteAnchor"/>
          <w:rtl w:val="true"/>
        </w:rPr>
        <w:footnoteReference w:id="1686"/>
      </w:r>
      <w:r>
        <w:rPr>
          <w:rFonts w:ascii="IRNazanin" w:hAnsi="IRNazanin" w:eastAsia="IRNazanin"/>
          <w:color w:val="111111"/>
          <w:sz w:val="28"/>
          <w:sz w:val="28"/>
          <w:szCs w:val="28"/>
          <w:rtl w:val="true"/>
          <w:lang w:bidi="fa-IR"/>
        </w:rPr>
        <w:t>فلو تراخی بما یعدّ فصلاً أو تکلّم خلالَه بغیره بطل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أن یجلس الحاکم مستدبرَ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وجههما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یقف الرجل عن یمینه والمرأة عن یمین الرجل وأن 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یسمع</w:t>
      </w:r>
      <w:r>
        <w:rPr>
          <w:rFonts w:eastAsia="IRNazanin" w:cs="IRNazanin"/>
          <w:color w:val="111111"/>
          <w:sz w:val="28"/>
          <w:szCs w:val="28"/>
          <w:rtl w:val="true"/>
          <w:lang w:bidi="fa-IR"/>
        </w:rPr>
        <w:t xml:space="preserve">» </w:t>
      </w:r>
      <w:r>
        <w:rPr>
          <w:rStyle w:val="FootnoteAnchor"/>
          <w:rtl w:val="true"/>
        </w:rPr>
        <w:footnoteReference w:id="1687"/>
      </w:r>
      <w:r>
        <w:rPr>
          <w:rFonts w:ascii="Amiri" w:hAnsi="Amiri" w:eastAsia="Amiri" w:cs="Amiri"/>
          <w:color w:val="111111"/>
          <w:sz w:val="28"/>
          <w:sz w:val="28"/>
          <w:szCs w:val="28"/>
          <w:rtl w:val="true"/>
          <w:lang w:bidi="ar-SA"/>
        </w:rPr>
        <w:t xml:space="preserve">اللعان ولو أربعة، عددَ شهود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یعظه الحاکم قبل کلمة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ویخوّفه اللّٰه تعالی ویقول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الآخرة أشدّ من عذاب الدنیا، ویقرأ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یَشْتَرُونَ بِعَهْدِ اَللّٰهِ وَ أَیْمٰانِهِمْ ثَمَناً قَلِیلاً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الآیة </w:t>
      </w:r>
      <w:r>
        <w:rPr>
          <w:rStyle w:val="FootnoteAnchor"/>
          <w:rtl w:val="true"/>
        </w:rPr>
        <w:footnoteReference w:id="1688"/>
      </w:r>
      <w:r>
        <w:rPr>
          <w:rFonts w:ascii="IRNazanin" w:hAnsi="IRNazanin" w:eastAsia="IRNazanin"/>
          <w:color w:val="111111"/>
          <w:sz w:val="28"/>
          <w:sz w:val="28"/>
          <w:szCs w:val="28"/>
          <w:rtl w:val="true"/>
          <w:lang w:bidi="fa-IR"/>
        </w:rPr>
        <w:t xml:space="preserve">وإنّ لعنه لنفسه یوجب اللعنة إن کان کاذباً،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ویعظها قبل کلمة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یغلّظ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تکرار الشهادات أربع مرّات، وهو واجب، لکنّه أطلق الاستحباب نظراً إلی </w:t>
      </w:r>
      <w:r>
        <w:rPr>
          <w:rStyle w:val="FootnoteAnchor"/>
          <w:rtl w:val="true"/>
        </w:rPr>
        <w:footnoteReference w:id="1689"/>
      </w:r>
      <w:r>
        <w:rPr>
          <w:rFonts w:ascii="IRNazanin" w:hAnsi="IRNazanin" w:eastAsia="IRNazanin"/>
          <w:color w:val="111111"/>
          <w:sz w:val="28"/>
          <w:sz w:val="28"/>
          <w:szCs w:val="28"/>
          <w:rtl w:val="true"/>
          <w:lang w:bidi="fa-IR"/>
        </w:rPr>
        <w:t>التغلیظ بمجموع الاُمور الثلاثة من حیث هو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قرّرناه صرّح فی التحریر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حمله علی زیادة لفظ فی الشهادة أو الغضب علی نحو ما یُذکر فی الیمین المطلقة،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الطالب الغالب المهلک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ونحو ذلک، فإنّه وإن کان ممکناً لو نُصّ علیه، إلّاأ نّه یشکل بإخلاله بالموالاة المعتبرة فی اللفظ المنصوص مع عدم الإذن فی تخلّل المذکور بالخصوص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یلاعِنَ بینهما فی موضع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کبین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الحجر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المسمّی بالحطیم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وفی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بین القبر الشریف والمنبر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وتحت الصخرة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الأقصی </w:t>
      </w:r>
      <w:r>
        <w:rPr>
          <w:rStyle w:val="FootnoteAnchor"/>
          <w:rtl w:val="true"/>
        </w:rPr>
        <w:footnoteReference w:id="1691"/>
      </w:r>
      <w:r>
        <w:rPr>
          <w:rFonts w:ascii="IRNazanin" w:hAnsi="IRNazanin" w:eastAsia="IRNazanin"/>
          <w:color w:val="111111"/>
          <w:sz w:val="28"/>
          <w:sz w:val="28"/>
          <w:szCs w:val="28"/>
          <w:rtl w:val="true"/>
          <w:lang w:bidi="fa-IR"/>
        </w:rPr>
        <w:t>وفی المساجد بالأمصار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المشاهد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للأئمّة أو </w:t>
      </w:r>
      <w:r>
        <w:rPr>
          <w:rStyle w:val="FootnoteAnchor"/>
          <w:rtl w:val="true"/>
        </w:rPr>
        <w:footnoteReference w:id="1692"/>
      </w:r>
      <w:r>
        <w:rPr>
          <w:rFonts w:ascii="IRNazanin" w:hAnsi="IRNazanin" w:eastAsia="IRNazanin"/>
          <w:color w:val="111111"/>
          <w:sz w:val="28"/>
          <w:sz w:val="28"/>
          <w:szCs w:val="28"/>
          <w:rtl w:val="true"/>
          <w:lang w:bidi="fa-IR"/>
        </w:rPr>
        <w:t>الأنبیاء علیهم السلام إن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المرأة حائضاً فبباب المسجد فیخرج الحاکم إلیها أو یبعث نائباً، أو کانا ذمّیّین فبیعة أو کنیسة، أو مجوسیّین </w:t>
      </w:r>
      <w:r>
        <w:rPr>
          <w:rStyle w:val="FootnoteAnchor"/>
          <w:rtl w:val="true"/>
        </w:rPr>
        <w:footnoteReference w:id="1693"/>
      </w:r>
      <w:r>
        <w:rPr>
          <w:rFonts w:ascii="IRNazanin" w:hAnsi="IRNazanin" w:eastAsia="IRNazanin"/>
          <w:color w:val="111111"/>
          <w:sz w:val="28"/>
          <w:sz w:val="28"/>
          <w:szCs w:val="28"/>
          <w:rtl w:val="true"/>
          <w:lang w:bidi="fa-IR"/>
        </w:rPr>
        <w:t xml:space="preserve">فبیت نار، لا بیت صنم </w:t>
      </w:r>
      <w:r>
        <w:rPr>
          <w:rStyle w:val="FootnoteAnchor"/>
          <w:rtl w:val="true"/>
        </w:rPr>
        <w:footnoteReference w:id="1694"/>
      </w:r>
      <w:r>
        <w:rPr>
          <w:rFonts w:ascii="IRNazanin" w:hAnsi="IRNazanin" w:eastAsia="IRNazanin"/>
          <w:color w:val="111111"/>
          <w:sz w:val="28"/>
          <w:sz w:val="28"/>
          <w:szCs w:val="28"/>
          <w:rtl w:val="true"/>
          <w:lang w:bidi="fa-IR"/>
        </w:rPr>
        <w:t xml:space="preserve">لوثنیّ؛ إذ لا حرمة له، واعتقادهم </w:t>
      </w:r>
      <w:r>
        <w:rPr>
          <w:rStyle w:val="FootnoteAnchor"/>
          <w:rtl w:val="true"/>
        </w:rPr>
        <w:footnoteReference w:id="1695"/>
      </w:r>
      <w:r>
        <w:rPr>
          <w:rFonts w:ascii="Amiri" w:hAnsi="Amiri" w:eastAsia="Amiri" w:cs="Amiri"/>
          <w:color w:val="111111"/>
          <w:sz w:val="28"/>
          <w:sz w:val="28"/>
          <w:szCs w:val="28"/>
          <w:rtl w:val="true"/>
          <w:lang w:bidi="ar-SA"/>
        </w:rPr>
        <w:t>غیر مرعیّ</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لاعَنَ الرجل سقط عنه الحدّ ووجب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لعانه حجّة کالبیّنة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تقرّ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وإن لاعنت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ویتعلّق بلعانهما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لا فی کلّ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الحدّین عنهما، وزوال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ثابتان فی کلّ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ونفی الولد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المرأة إن کان اللعان لنفیه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والتحریم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ثابت مطلقاً کالأوّلین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یُنتفی عنه الحدّ إلّابمجموع لعانه، وکذا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تثبت الأحکام أجمع إلّابمجموع لعانهما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أکذب نفسه فی أثناء اللعان وجب علیه حدّ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شیء من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أکذب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لعانها ففی وجوب الحدّ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Style w:val="FootnoteAnchor"/>
          <w:rtl w:val="true"/>
        </w:rPr>
        <w:footnoteReference w:id="1696"/>
      </w:r>
      <w:r>
        <w:rPr>
          <w:rFonts w:ascii="IRNazanin" w:hAnsi="IRNazanin" w:eastAsia="IRNazanin"/>
          <w:color w:val="111111"/>
          <w:sz w:val="28"/>
          <w:sz w:val="28"/>
          <w:szCs w:val="28"/>
          <w:rtl w:val="true"/>
          <w:lang w:bidi="fa-IR"/>
        </w:rPr>
        <w:t>منشؤهما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سقوط الحدّ عنه بلعانه ولم یتجدّد منه قذف بعده فلا وجه لوجوبه، ومن أ نّه قد أکّد القذف السابق باللعان لتکراره إیّاه فیه، والسقوط إنّما یکون مع علم صدقه أو اشتباه حاله، واعترافه بکذبه ینفیهما، فیکون لعانه قذفاً محضاً، فکیف یکون مسقطاً؟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القولان </w:t>
      </w:r>
      <w:r>
        <w:rPr>
          <w:rStyle w:val="FootnoteAnchor"/>
          <w:rtl w:val="true"/>
        </w:rPr>
        <w:footnoteReference w:id="1697"/>
      </w:r>
      <w:r>
        <w:rPr>
          <w:rFonts w:ascii="IRNazanin" w:hAnsi="IRNazanin" w:eastAsia="IRNazanin"/>
          <w:color w:val="111111"/>
          <w:sz w:val="28"/>
          <w:sz w:val="28"/>
          <w:szCs w:val="28"/>
          <w:rtl w:val="true"/>
          <w:lang w:bidi="fa-IR"/>
        </w:rPr>
        <w:t xml:space="preserve">لو أکذب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لعانهما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ما ذُکر فی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ثبوته فیهما؛ لما ذُکر، ولروایة محمّد بن الفضیل </w:t>
      </w:r>
      <w:r>
        <w:rPr>
          <w:rStyle w:val="FootnoteAnchor"/>
          <w:rtl w:val="true"/>
        </w:rPr>
        <w:footnoteReference w:id="1698"/>
      </w:r>
      <w:r>
        <w:rPr>
          <w:rFonts w:ascii="IRNazanin" w:hAnsi="IRNazanin" w:eastAsia="IRNazanin"/>
          <w:color w:val="111111"/>
          <w:sz w:val="28"/>
          <w:sz w:val="28"/>
          <w:szCs w:val="28"/>
          <w:rtl w:val="true"/>
          <w:lang w:bidi="fa-IR"/>
        </w:rPr>
        <w:t>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سأله عن رجل لاعن امرأته وانتفی من ولدها ثمّ أکذب نفسه هل یردّ علیه ولدها </w:t>
      </w:r>
      <w:r>
        <w:rPr>
          <w:rStyle w:val="FootnoteAnchor"/>
          <w:rtl w:val="true"/>
        </w:rPr>
        <w:footnoteReference w:id="16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أکذب نفسه جُلد الحدّ ورُدّ علیه ابنه، ولا ترجع إلیه امرأته أبداً</w:t>
      </w:r>
      <w:r>
        <w:rPr>
          <w:rFonts w:eastAsia="IRNazanin" w:cs="IRNazanin"/>
          <w:color w:val="111111"/>
          <w:sz w:val="28"/>
          <w:szCs w:val="28"/>
          <w:rtl w:val="true"/>
          <w:lang w:bidi="fa-IR"/>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رجوعه بعد لعانهما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للروایة، وللحکم بالتحریم شرعاً، واعترافه لا یصلح لإزالته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یرث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ورثه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اعترافه إقرار فی حقّ نفسه بإرثه منه، ودعوی ولادته قد انتفت شرعاً، فیثبت إقراره علی نفسه ولا تثبت دعواه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یرث الولدُ أقرباءَ الأب ولا یرثونه إلّامع تصدیقهم علی نسبه فی قول </w:t>
      </w:r>
      <w:r>
        <w:rPr>
          <w:rStyle w:val="FootnoteAnchor"/>
          <w:rtl w:val="true"/>
        </w:rPr>
        <w:footnoteReference w:id="1701"/>
      </w:r>
      <w:r>
        <w:rPr>
          <w:rFonts w:ascii="Amiri" w:hAnsi="Amiri" w:eastAsia="Amiri" w:cs="Amiri"/>
          <w:color w:val="111111"/>
          <w:sz w:val="28"/>
          <w:sz w:val="28"/>
          <w:szCs w:val="28"/>
          <w:rtl w:val="true"/>
          <w:lang w:bidi="ar-SA"/>
        </w:rPr>
        <w:t>لأنّ الإقرار لا یتعدّی المقرّ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أکذبت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 بعد لعانها فکذلک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یعود الفراش ولا یزول التحریم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حدّ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إکذابها نفسها؛ لأنّه إقرار بالزنا وهو لا یثبت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 تقرّ أربعاً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سیأتی إن شاء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أقرّت أربعاً حُدّت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منشؤه ما ذکرناه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الإقرار بالزنا أربعاً من الکامل الحرّ المختار یثبت حدّه، ومن سقوطه بلعانهما؛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یَدْرَؤُا عَنْهَا اَلْعَذٰابَ أَنْ تَشْهَدَ أَرْبَعَ شَهٰادٰاتٍ بِاللّٰهِ الآیة </w:t>
      </w:r>
      <w:r>
        <w:rPr>
          <w:rStyle w:val="FootnoteAnchor"/>
          <w:rtl w:val="true"/>
        </w:rPr>
        <w:footnoteReference w:id="1702"/>
      </w:r>
      <w:r>
        <w:rPr>
          <w:rFonts w:ascii="IRNazanin" w:hAnsi="IRNazanin" w:eastAsia="IRNazanin"/>
          <w:color w:val="111111"/>
          <w:sz w:val="28"/>
          <w:sz w:val="28"/>
          <w:szCs w:val="28"/>
          <w:rtl w:val="true"/>
          <w:lang w:bidi="fa-IR"/>
        </w:rPr>
        <w:t>فلا یعود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لها، والآخر للرجل؛ لأنّه قذفٌ 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إسقاط حدّها </w:t>
      </w:r>
      <w:r>
        <w:rPr>
          <w:rStyle w:val="FootnoteAnchor"/>
          <w:rtl w:val="true"/>
        </w:rPr>
        <w:footnoteReference w:id="1703"/>
      </w:r>
      <w:r>
        <w:rPr>
          <w:rFonts w:ascii="IRNazanin" w:hAnsi="IRNazanin" w:eastAsia="IRNazanin"/>
          <w:color w:val="111111"/>
          <w:sz w:val="28"/>
          <w:sz w:val="28"/>
          <w:szCs w:val="28"/>
          <w:rtl w:val="true"/>
          <w:lang w:bidi="fa-IR"/>
        </w:rPr>
        <w:t>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حدّ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أقام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یسقط حدّ کلّ قذف بإقامة البیّنة بالفعل المقذوف به، وکذا یسقط الحدّ لو عفی مستحقّه أو صدّق علی الفعل، لکن إن کانت هی المصدّقة وهناک نسب لم ینتفِ بتصدیقها؛ لأنّه إقرار فی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له أن یلاعن لنفیه؟ قولان </w:t>
      </w:r>
      <w:r>
        <w:rPr>
          <w:rStyle w:val="FootnoteAnchor"/>
          <w:rtl w:val="true"/>
        </w:rPr>
        <w:footnoteReference w:id="1704"/>
      </w:r>
      <w:r>
        <w:rPr>
          <w:rFonts w:ascii="IRNazanin" w:hAnsi="IRNazanin" w:eastAsia="IRNazanin"/>
          <w:color w:val="111111"/>
          <w:sz w:val="28"/>
          <w:sz w:val="28"/>
          <w:szCs w:val="28"/>
          <w:rtl w:val="true"/>
          <w:lang w:bidi="fa-IR"/>
        </w:rPr>
        <w:t>من عموم ثبوته لنفی الولد، وکونه غیر متصوّر هنا؛ إذ لا یمکن الزوجة أن تشهد باللّٰه أ نّه لمن الکاذبین بعد تصدیقها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صادقته علی أصل الزنا، دون کون الولد منه توجّه اللعان منها؛ لإمکان شهادتها بکذبه فی نفیه وإن ثبت زناها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قذفها فماتت قبل اللعان سقط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لتعذّره بموتها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الزوجیّة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الحدّ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القذف؛ لعدم تقدّم مسقطه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أن یلاعن لسقوطه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بحضور الوارث؛ لأنّه إمّا شهادات أو أیمان، وکلاهما لا یتوقّف علی حیاة المشهود علیه والمحلوف لأجله، ولعموم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لعانه یُسقط عنه الحدّ ویوجب الحدّ علیها، ولعانهما یوجب الأحکام الأربعة </w:t>
      </w:r>
      <w:r>
        <w:rPr>
          <w:rStyle w:val="FootnoteAnchor"/>
          <w:rtl w:val="true"/>
        </w:rPr>
        <w:footnoteReference w:id="1705"/>
      </w:r>
      <w:r>
        <w:rPr>
          <w:rFonts w:ascii="IRNazanin" w:hAnsi="IRNazanin" w:eastAsia="IRNazanin"/>
          <w:color w:val="111111"/>
          <w:sz w:val="28"/>
          <w:sz w:val="28"/>
          <w:szCs w:val="28"/>
          <w:rtl w:val="true"/>
          <w:lang w:bidi="fa-IR"/>
        </w:rPr>
        <w:t xml:space="preserve">فإذا انتفی الثانی بموتها بقی الأوّل خاصّة، فیسقط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ینتفی</w:t>
      </w:r>
    </w:p>
    <w:p>
      <w:pPr>
        <w:pStyle w:val="BookText"/>
        <w:rPr/>
      </w:pPr>
      <w:r>
        <w:rPr>
          <w:rFonts w:ascii="IRNazanin" w:hAnsi="IRNazanin" w:eastAsia="IRNazanin"/>
          <w:color w:val="111111"/>
          <w:sz w:val="28"/>
          <w:sz w:val="28"/>
          <w:szCs w:val="28"/>
          <w:rtl w:val="true"/>
          <w:lang w:bidi="fa-IR"/>
        </w:rPr>
        <w:t xml:space="preserve">الإرث </w:t>
      </w:r>
      <w:r>
        <w:rPr>
          <w:rStyle w:val="FootnoteAnchor"/>
          <w:rtl w:val="true"/>
        </w:rPr>
        <w:footnoteReference w:id="1706"/>
      </w:r>
      <w:r>
        <w:rPr>
          <w:rFonts w:ascii="IRNazanin" w:hAnsi="IRNazanin" w:eastAsia="IRNazanin"/>
          <w:color w:val="111111"/>
          <w:sz w:val="28"/>
          <w:sz w:val="28"/>
          <w:szCs w:val="28"/>
          <w:rtl w:val="true"/>
          <w:lang w:bidi="fa-IR"/>
        </w:rPr>
        <w:t>بلعانه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تنتفی الزوجیّة بلعانه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إلّاعلی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رجل من أهلها فلاعنه فلا میراث له، وإن أبی أحد منهم فله المیراث</w:t>
      </w:r>
      <w:r>
        <w:rPr>
          <w:rFonts w:eastAsia="IRNazanin" w:cs="IRNazanin"/>
          <w:color w:val="111111"/>
          <w:sz w:val="28"/>
          <w:szCs w:val="28"/>
          <w:rtl w:val="true"/>
          <w:lang w:bidi="fa-IR"/>
        </w:rPr>
        <w:t xml:space="preserve">» </w:t>
      </w:r>
      <w:r>
        <w:rPr>
          <w:rStyle w:val="FootnoteAnchor"/>
          <w:rtl w:val="true"/>
        </w:rPr>
        <w:footnoteReference w:id="1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روی عمرو بن خالد عن زید عن آبائه علیهم السلام </w:t>
      </w:r>
      <w:r>
        <w:rPr>
          <w:rStyle w:val="FootnoteAnchor"/>
          <w:rtl w:val="true"/>
        </w:rPr>
        <w:footnoteReference w:id="1708"/>
      </w:r>
      <w:r>
        <w:rPr>
          <w:rFonts w:ascii="Amiri" w:hAnsi="Amiri" w:eastAsia="Amiri" w:cs="Amiri"/>
          <w:color w:val="111111"/>
          <w:sz w:val="28"/>
          <w:sz w:val="28"/>
          <w:szCs w:val="28"/>
          <w:rtl w:val="true"/>
          <w:lang w:bidi="ar-SA"/>
        </w:rPr>
        <w:t xml:space="preserve">وبمضمونها عمل جماعة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والروایتان مع إرسال الاُولی </w:t>
      </w:r>
      <w:r>
        <w:rPr>
          <w:rStyle w:val="FootnoteAnchor"/>
          <w:rtl w:val="true"/>
        </w:rPr>
        <w:footnoteReference w:id="1710"/>
      </w:r>
      <w:r>
        <w:rPr>
          <w:rFonts w:ascii="IRNazanin" w:hAnsi="IRNazanin" w:eastAsia="IRNazanin"/>
          <w:color w:val="111111"/>
          <w:sz w:val="28"/>
          <w:sz w:val="28"/>
          <w:szCs w:val="28"/>
          <w:rtl w:val="true"/>
          <w:lang w:bidi="fa-IR"/>
        </w:rPr>
        <w:t xml:space="preserve">وضعف سند الثانیة </w:t>
      </w:r>
      <w:r>
        <w:rPr>
          <w:rStyle w:val="FootnoteAnchor"/>
          <w:rtl w:val="true"/>
        </w:rPr>
        <w:footnoteReference w:id="1711"/>
      </w:r>
      <w:r>
        <w:rPr>
          <w:rFonts w:ascii="IRNazanin" w:hAnsi="IRNazanin" w:eastAsia="IRNazanin"/>
          <w:color w:val="111111"/>
          <w:sz w:val="28"/>
          <w:sz w:val="28"/>
          <w:szCs w:val="28"/>
          <w:rtl w:val="true"/>
          <w:lang w:bidi="fa-IR"/>
        </w:rPr>
        <w:t xml:space="preserve">مخالفتان للأصل، من حیث إنّ اللعان شُرّع بین الزوجین فلا یتعدّی، وإنّ لعان الوارث متعذّر؛ لأنّه إن اُرید مجرّد حضوره فلیس بلعان حقیقی، وإن اُرید إیقاع الصیغ </w:t>
      </w:r>
      <w:r>
        <w:rPr>
          <w:rStyle w:val="FootnoteAnchor"/>
          <w:rtl w:val="true"/>
        </w:rPr>
        <w:footnoteReference w:id="1712"/>
      </w:r>
      <w:r>
        <w:rPr>
          <w:rFonts w:ascii="IRNazanin" w:hAnsi="IRNazanin" w:eastAsia="IRNazanin"/>
          <w:color w:val="111111"/>
          <w:sz w:val="28"/>
          <w:sz w:val="28"/>
          <w:szCs w:val="28"/>
          <w:rtl w:val="true"/>
          <w:lang w:bidi="fa-IR"/>
        </w:rPr>
        <w:t>المعهودة من الزوجة فبعید؛ لتعذّر القطع من الوارث علی نفی فعل غیره غالباً، وإیقاعه علی نفی العلم تغییر للصورة المنقولة شرعاً، ولأنّ الإرث قد استقرّ بالموت، فلا وجه لإسقاط اللعان المتجدّد له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الزوج أحد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الشهود 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 xml:space="preserve">شهادة الزوج مقبولة علی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تختلّ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فی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سبق الزوج بالقذف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شهادته تردّ لذلک، وهو من جملة اختلال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اختلّ غیره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کاختلاف کلامهم فی الشهادة، أو أدائهم الشهادة مختلفی المجلس، أو عداوة أحدهم لها، أو فسقه، أو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اجتماع شرائط ثبوت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ویلاعن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لإسقاط الحدّ عنه بالقذف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ویُحدّ باقی الشهود للفریة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الأخبار وکلام الأصحاب اختلف فی هذه المسألة فروی إبراهیم ابن نعیم عن الصادق علیه السلام جواز شهادة الأربعة الذین أحدهم الزوج </w:t>
      </w:r>
      <w:r>
        <w:rPr>
          <w:rStyle w:val="FootnoteAnchor"/>
          <w:rtl w:val="true"/>
        </w:rPr>
        <w:footnoteReference w:id="1713"/>
      </w:r>
      <w:r>
        <w:rPr>
          <w:rFonts w:ascii="IRNazanin" w:hAnsi="IRNazanin" w:eastAsia="IRNazanin"/>
          <w:color w:val="111111"/>
          <w:sz w:val="28"/>
          <w:sz w:val="28"/>
          <w:szCs w:val="28"/>
          <w:rtl w:val="true"/>
          <w:lang w:bidi="fa-IR"/>
        </w:rPr>
        <w:t xml:space="preserve">ولا معنی للجواز هنا إلّاالصحّة </w:t>
      </w:r>
      <w:r>
        <w:rPr>
          <w:rStyle w:val="FootnoteAnchor"/>
          <w:rtl w:val="true"/>
        </w:rPr>
        <w:footnoteReference w:id="1714"/>
      </w:r>
      <w:r>
        <w:rPr>
          <w:rFonts w:ascii="IRNazanin" w:hAnsi="IRNazanin" w:eastAsia="IRNazanin"/>
          <w:color w:val="111111"/>
          <w:sz w:val="28"/>
          <w:sz w:val="28"/>
          <w:szCs w:val="28"/>
          <w:rtl w:val="true"/>
          <w:lang w:bidi="fa-IR"/>
        </w:rPr>
        <w:t>التی یترتّب علیها أثرها، وهو حدّ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بها جماعة </w:t>
      </w:r>
      <w:r>
        <w:rPr>
          <w:rStyle w:val="FootnoteAnchor"/>
          <w:rtl w:val="true"/>
        </w:rPr>
        <w:footnoteReference w:id="1715"/>
      </w:r>
      <w:r>
        <w:rPr>
          <w:rFonts w:ascii="Amiri" w:hAnsi="Amiri" w:eastAsia="Amiri" w:cs="Amiri"/>
          <w:color w:val="111111"/>
          <w:sz w:val="28"/>
          <w:sz w:val="28"/>
          <w:szCs w:val="28"/>
          <w:rtl w:val="true"/>
          <w:lang w:bidi="ar-SA"/>
        </w:rPr>
        <w:t xml:space="preserve">ویؤیّدها </w:t>
      </w:r>
      <w:r>
        <w:rPr>
          <w:rStyle w:val="FootnoteAnchor"/>
          <w:rtl w:val="true"/>
        </w:rPr>
        <w:footnoteReference w:id="1716"/>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یَکُنْ لَهُمْ شُهَدٰاءُ إِلاّٰ أَنْفُسُهُمْ</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فإنّ ظاهرها أ نّه إذا کان غیره فلا لعان،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w:t>
      </w:r>
      <w:r>
        <w:rPr>
          <w:rFonts w:eastAsia="Amiri" w:cs="Amiri" w:ascii="Amiri" w:hAnsi="Amiri"/>
          <w:color w:val="111111"/>
          <w:sz w:val="28"/>
          <w:szCs w:val="28"/>
          <w:rtl w:val="true"/>
          <w:lang w:bidi="ar-SA"/>
        </w:rPr>
        <w:t xml:space="preserve">) </w:t>
      </w:r>
      <w:r>
        <w:rPr>
          <w:rStyle w:val="FootnoteAnchor"/>
          <w:rtl w:val="true"/>
        </w:rPr>
        <w:footnoteReference w:id="1718"/>
      </w:r>
      <w:r>
        <w:rPr>
          <w:rFonts w:ascii="IRNazanin" w:hAnsi="IRNazanin" w:eastAsia="IRNazanin"/>
          <w:color w:val="111111"/>
          <w:sz w:val="28"/>
          <w:sz w:val="28"/>
          <w:szCs w:val="28"/>
          <w:rtl w:val="true"/>
          <w:lang w:bidi="fa-IR"/>
        </w:rPr>
        <w:t>فإنّ الظاهر کون الخطاب للحاکم؛ لأنّه المرجع فی الشهادة، فیشمل الزوج وغیره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زرارة عن أحدهما علیهما السلام فی أربعة شهدوا علی امرأة بالزنا أحدهم</w:t>
      </w:r>
    </w:p>
    <w:p>
      <w:pPr>
        <w:pStyle w:val="BookText"/>
        <w:rPr/>
      </w:pPr>
      <w:r>
        <w:rPr>
          <w:rFonts w:ascii="IRNazanin" w:hAnsi="IRNazanin" w:eastAsia="IRNazanin"/>
          <w:color w:val="111111"/>
          <w:sz w:val="28"/>
          <w:sz w:val="28"/>
          <w:szCs w:val="28"/>
          <w:rtl w:val="true"/>
          <w:lang w:bidi="fa-IR"/>
        </w:rPr>
        <w:t>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یُلاعن ویُجلد الآخرون</w:t>
      </w:r>
      <w:r>
        <w:rPr>
          <w:rFonts w:eastAsia="IRNazanin" w:cs="IRNazanin"/>
          <w:color w:val="111111"/>
          <w:sz w:val="28"/>
          <w:szCs w:val="28"/>
          <w:rtl w:val="true"/>
          <w:lang w:bidi="fa-IR"/>
        </w:rPr>
        <w:t xml:space="preserve">» </w:t>
      </w:r>
      <w:r>
        <w:rPr>
          <w:rStyle w:val="FootnoteAnchor"/>
          <w:rtl w:val="true"/>
        </w:rPr>
        <w:footnoteReference w:id="1719"/>
      </w:r>
      <w:r>
        <w:rPr>
          <w:rFonts w:ascii="IRNazanin" w:hAnsi="IRNazanin" w:eastAsia="IRNazanin"/>
          <w:color w:val="111111"/>
          <w:sz w:val="28"/>
          <w:sz w:val="28"/>
          <w:szCs w:val="28"/>
          <w:rtl w:val="true"/>
          <w:lang w:bidi="fa-IR"/>
        </w:rPr>
        <w:t xml:space="preserve">وعمل بها الصدوق </w:t>
      </w:r>
      <w:r>
        <w:rPr>
          <w:rStyle w:val="FootnoteAnchor"/>
          <w:rtl w:val="true"/>
        </w:rPr>
        <w:footnoteReference w:id="1720"/>
      </w:r>
      <w:r>
        <w:rPr>
          <w:rFonts w:ascii="Amiri" w:hAnsi="Amiri" w:eastAsia="Amiri" w:cs="Amiri"/>
          <w:color w:val="111111"/>
          <w:sz w:val="28"/>
          <w:sz w:val="28"/>
          <w:szCs w:val="28"/>
          <w:rtl w:val="true"/>
          <w:lang w:bidi="ar-SA"/>
        </w:rPr>
        <w:t xml:space="preserve">وجماعة </w:t>
      </w:r>
      <w:r>
        <w:rPr>
          <w:rStyle w:val="FootnoteAnchor"/>
          <w:rtl w:val="true"/>
        </w:rPr>
        <w:footnoteReference w:id="1721"/>
      </w:r>
      <w:r>
        <w:rPr>
          <w:rFonts w:ascii="Amiri" w:hAnsi="Amiri" w:eastAsia="Amiri" w:cs="Amiri"/>
          <w:color w:val="111111"/>
          <w:sz w:val="28"/>
          <w:sz w:val="28"/>
          <w:szCs w:val="28"/>
          <w:rtl w:val="true"/>
          <w:lang w:bidi="ar-SA"/>
        </w:rPr>
        <w:t>ویؤیّدها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جٰاؤُ عَلَیْهِ بِأَرْبَعَةِ شُهَدٰاءَ</w:t>
      </w:r>
      <w:r>
        <w:rPr>
          <w:rFonts w:eastAsia="Amiri" w:cs="Amiri" w:ascii="Amiri" w:hAnsi="Amiri"/>
          <w:color w:val="111111"/>
          <w:sz w:val="28"/>
          <w:szCs w:val="28"/>
          <w:rtl w:val="true"/>
          <w:lang w:bidi="ar-SA"/>
        </w:rPr>
        <w:t xml:space="preserve">) </w:t>
      </w:r>
      <w:r>
        <w:rPr>
          <w:rStyle w:val="FootnoteAnchor"/>
          <w:rtl w:val="true"/>
        </w:rPr>
        <w:footnoteReference w:id="1722"/>
      </w:r>
      <w:r>
        <w:rPr>
          <w:rFonts w:ascii="IRNazanin" w:hAnsi="IRNazanin" w:eastAsia="IRNazanin"/>
          <w:color w:val="111111"/>
          <w:sz w:val="28"/>
          <w:sz w:val="28"/>
          <w:szCs w:val="28"/>
          <w:rtl w:val="true"/>
          <w:lang w:bidi="fa-IR"/>
        </w:rPr>
        <w:t>والمختار القبول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الجمع بین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إسنادهما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الثانیة علی اختلال شرائط الشهادة کسبق الزوج بالقذف أو غیره، کما نبّه علیه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تختلّ الشرائط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تعلیلها بکون الزوج خصماً لها فلا تُقبل شهادته علیها </w:t>
      </w:r>
      <w:r>
        <w:rPr>
          <w:rStyle w:val="FootnoteAnchor"/>
          <w:rtl w:val="true"/>
        </w:rPr>
        <w:footnoteReference w:id="1723"/>
      </w:r>
      <w:r>
        <w:rPr>
          <w:rFonts w:ascii="IRNazanin" w:hAnsi="IRNazanin" w:eastAsia="IRNazanin"/>
          <w:color w:val="111111"/>
          <w:sz w:val="28"/>
          <w:sz w:val="28"/>
          <w:szCs w:val="28"/>
          <w:rtl w:val="true"/>
          <w:lang w:bidi="fa-IR"/>
        </w:rPr>
        <w:t>، فهو فی حیّز المنع</w:t>
      </w:r>
      <w:r>
        <w:rPr>
          <w:rFonts w:eastAsia="IRNazanin" w:cs="IRNazanin"/>
          <w:color w:val="111111"/>
          <w:sz w:val="28"/>
          <w:szCs w:val="28"/>
          <w:rtl w:val="true"/>
          <w:lang w:bidi="fa-IR"/>
        </w:rPr>
        <w:t>.</w:t>
      </w:r>
      <w:bookmarkStart w:id="573" w:name="pg19810_214661"/>
    </w:p>
    <w:p>
      <w:pPr>
        <w:pStyle w:val="Heading2"/>
        <w:numPr>
          <w:ilvl w:val="1"/>
          <w:numId w:val="1"/>
        </w:numPr>
        <w:rPr/>
      </w:pPr>
      <w:bookmarkStart w:id="574" w:name="__RefHeading___Toc2175681_2314609296"/>
      <w:bookmarkStart w:id="575" w:name="_Toc215"/>
      <w:bookmarkEnd w:id="573"/>
      <w:bookmarkEnd w:id="574"/>
      <w:r>
        <w:rPr>
          <w:rtl w:val="true"/>
        </w:rPr>
        <w:t>کتاب العتق</w:t>
      </w:r>
      <w:bookmarkEnd w:id="57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2175683_2314609296"/>
      <w:bookmarkStart w:id="577" w:name="_Toc216"/>
      <w:bookmarkEnd w:id="576"/>
      <w:r>
        <w:rPr>
          <w:rtl w:val="true"/>
        </w:rPr>
        <w:t>اشارة</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الخلوص </w:t>
      </w:r>
      <w:r>
        <w:rPr>
          <w:rStyle w:val="FootnoteAnchor"/>
          <w:rtl w:val="true"/>
        </w:rPr>
        <w:footnoteReference w:id="1724"/>
      </w:r>
      <w:r>
        <w:rPr>
          <w:rFonts w:ascii="IRNazanin" w:hAnsi="IRNazanin" w:eastAsia="IRNazanin"/>
          <w:color w:val="111111"/>
          <w:sz w:val="28"/>
          <w:sz w:val="28"/>
          <w:szCs w:val="28"/>
          <w:rtl w:val="true"/>
          <w:lang w:bidi="fa-IR"/>
        </w:rPr>
        <w:t>ومنه سُمّیت جیاد الخیل عتاقاً، والبیت الشریف عتیقاً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المملوک الآدمی أو بعضه من الرقّ، وبالنسبة إلی عتق المباشرة المقصود بالذات من الکتاب تخلّص المملوک الآدمی، أو بعضه من الرقّ منجزاً بصیغة مخصوصة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أعتق مؤمناً أعتق اللّٰه العزیز الجبّار بکلّ عضوٍ عضواً له من النار؛ فإن کان اُنثی أعتق اللّٰه العزیز الجبّار بکلّ عضوین منها عضواً من النار؛ لأنّ المرأة نصف الرجل</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أعتق رقبةً مؤمنةً کانت فداه من النار</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ولما فیه من تخلیص الآدمی من ضرر الرقّ وتملّکه منافعَه، وتکمُّل أحکامه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ویحصل العتق باختیار سببه، وغیره</w:t>
      </w:r>
      <w:r>
        <w:rPr>
          <w:rFonts w:eastAsia="IRNazanin" w:cs="IRNazanin"/>
          <w:color w:val="111111"/>
          <w:sz w:val="28"/>
          <w:szCs w:val="28"/>
          <w:rtl w:val="true"/>
          <w:lang w:bidi="fa-IR"/>
        </w:rPr>
        <w:t>.</w:t>
      </w:r>
      <w:bookmarkStart w:id="578" w:name="pg19810_214664"/>
    </w:p>
    <w:p>
      <w:pPr>
        <w:pStyle w:val="BookText"/>
        <w:rPr/>
      </w:pPr>
      <w:bookmarkEnd w:id="578"/>
      <w:r>
        <w:rPr>
          <w:rFonts w:ascii="IRNazanin" w:hAnsi="IRNazanin" w:eastAsia="IRNazanin"/>
          <w:color w:val="111111"/>
          <w:sz w:val="28"/>
          <w:sz w:val="28"/>
          <w:szCs w:val="28"/>
          <w:rtl w:val="true"/>
          <w:lang w:bidi="fa-IR"/>
        </w:rPr>
        <w:t>فالأوّل بالصیغة المنجَّزة، والتدبیر، والکتابة، والاستیلاد، وشراء الذکر أحد العمودین أو المحارم من النساء، والاُنثی أحد العمودین، وإسلام المملوک فی دار الحرب قبل مولاه مع خروجه منها قبلَه، وتنکیل المولی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بالجذام، والعمی، والإقعاد، وموت المورِّث، وکون أحد الأبوین حرّاً إلّاأن یُشترطَ رقّه،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الأسباب منها تامّة فی العتق کالإعتاق بالصیغة، وشراء القریب، والتنکیل، والجذام والإقعاد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ناقصة تتوقّف علی أمر آخر، کالاستیلاد لتوقّفه علی موت المولی واُمور اُخر، والکتابة لتوقّفها علی أداء المال، والتدبیرِ لتوقّفه علی موت المولی ونفوذه من ثلث ماله، وموتِ المورّث لتوقّفه علی دفع القیمة إلی مالکه، وغیره ممّا یفصّل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ویفتقر الأوّل إلی صیغة مخصوصة</w:t>
      </w:r>
      <w:r>
        <w:rPr>
          <w:rFonts w:eastAsia="IRNazanin" w:cs="IRNazanin"/>
          <w:color w:val="111111"/>
          <w:sz w:val="28"/>
          <w:szCs w:val="28"/>
          <w:rtl w:val="true"/>
          <w:lang w:bidi="fa-IR"/>
        </w:rPr>
        <w:t>.</w:t>
      </w:r>
    </w:p>
    <w:p>
      <w:pPr>
        <w:pStyle w:val="Heading3"/>
        <w:numPr>
          <w:ilvl w:val="2"/>
          <w:numId w:val="1"/>
        </w:numPr>
        <w:rPr/>
      </w:pPr>
      <w:bookmarkStart w:id="579" w:name="__RefHeading___Toc2175685_2314609296"/>
      <w:bookmarkStart w:id="580" w:name="_Toc217"/>
      <w:bookmarkEnd w:id="579"/>
      <w:r>
        <w:rPr>
          <w:rtl w:val="true"/>
        </w:rPr>
        <w:t>[</w:t>
      </w:r>
      <w:r>
        <w:rPr>
          <w:rtl w:val="true"/>
        </w:rPr>
        <w:t>صیغته</w:t>
      </w:r>
      <w:r>
        <w:rPr>
          <w:rtl w:val="true"/>
        </w:rPr>
        <w:t>]</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وعبارته الصریحة التحریر، مثل أنت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أو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ووقوعه بلفظ التحریر موضع وفاق، وصراحته فیه واضحة،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فَتَحْرِیرُ رَقَبَةٍ مُؤْمِنَةٍ</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عتیق، أو معتق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منشؤه الشکّ فی کونه مرادفاً للتحریر فیدلّ علیه صریحاً، أو کنایة عنه فلا یقع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لغلبة استعماله فیه فی اللغة والحدیث والعرف، وقد تقدّم بعضه واتّفق الأصحاب علی صحّته فی قول السیّد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أعتقتکِ وتزوّجتکِ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عبرة بغیر ذلک من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توضع له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إزالة الرقّ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أزلت عنک الرقّ أو فککت رقبتک، أو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 xml:space="preserve">تحتمل غیر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ملک لی علیک، أو لا سلطان، أو لا سبیل، أو أنت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الإعتاق بلفظ الماضی الذی یقع به غیره کأعتقتک، بل الصریح محضاً کحرّرتک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وظاهرهم عدم وقوعه بهما، ولعلّه لبعد الماضی عن الإنشاء، وقیامه مقامه فی العقود علی وجه النقل خلاف الأصل، فیقتصر فیه علی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الوقوع به هنا؛ لظهوره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لا عبرة بالنداء مثل یا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عتیق ویا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قصد التحریر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من اللفظ غیر المنقول شرعاً، ومنه الکنایة والنداء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فی الحکم بالحرّیّة علی موضع الیقین، ولبعد النداء عن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احتمل الوقوع به من حیث إنّ حرف الإشارة إلی المملوک لم یعتبره الشارع بخصوصه، وإنّما الاعتبار بالتحریر والإعتاق،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القصد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بأنّ غایة ذلک أن یکون کنایة لا صریحاً، فلا یقع به، ولا یخرج الملک المعلوم عن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یکون اللفظ مؤثّراً شرعاً فی الحکم لا ینفعه ضمّ القصد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بالغایة </w:t>
      </w:r>
      <w:r>
        <w:rPr>
          <w:rStyle w:val="FootnoteAnchor"/>
          <w:rtl w:val="true"/>
        </w:rPr>
        <w:footnoteReference w:id="1728"/>
      </w:r>
      <w:r>
        <w:rPr>
          <w:rFonts w:ascii="IRNazanin" w:hAnsi="IRNazanin" w:eastAsia="IRNazanin"/>
          <w:color w:val="111111"/>
          <w:sz w:val="28"/>
          <w:sz w:val="28"/>
          <w:szCs w:val="28"/>
          <w:rtl w:val="true"/>
          <w:lang w:bidi="fa-IR"/>
        </w:rPr>
        <w:t xml:space="preserve">علی خلاف من اکتفی بغیر الصریح إذا انضمّ إلی النیّة من العامّة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ویقوی الإشکال لو کان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وشکّ فی قصده؛</w:t>
      </w:r>
    </w:p>
    <w:p>
      <w:pPr>
        <w:pStyle w:val="BookText"/>
        <w:rPr/>
      </w:pPr>
      <w:r>
        <w:rPr>
          <w:rFonts w:ascii="IRNazanin" w:hAnsi="IRNazanin" w:eastAsia="IRNazanin"/>
          <w:color w:val="111111"/>
          <w:sz w:val="28"/>
          <w:sz w:val="28"/>
          <w:szCs w:val="28"/>
          <w:rtl w:val="true"/>
          <w:lang w:bidi="fa-IR"/>
        </w:rPr>
        <w:t>لمطابقة اللفظ للمتّفق علی التحریر به، واحتمالِ الإخبار بالاسم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عدم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صرّح بقصد الإنشاء صحّ، کما أ نّه لو صرّح بقصد الإخبار قُبِل ولم یُعتق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اعتبار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عموم الأدلّة الدالّة علی وقوعه بالصیغة الخاصّة، وأصالة عدم التعیین، وعدم مانعیّة الإبهام فی العتق شرعاً، من حیث وقع لمریضٍ أعتق عبیداً یزیدون عن ثلث ماله ولم یُجز الورثة، والالتفات إلی أنّ العتق أمر معیَّن فلا بدّ له من محلّ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مثله فی الطلاق </w:t>
      </w:r>
      <w:r>
        <w:rPr>
          <w:rStyle w:val="FootnoteAnchor"/>
          <w:rtl w:val="true"/>
        </w:rPr>
        <w:footnoteReference w:id="1730"/>
      </w:r>
      <w:r>
        <w:rPr>
          <w:rFonts w:ascii="IRNazanin" w:hAnsi="IRNazanin" w:eastAsia="IRNazanin"/>
          <w:color w:val="111111"/>
          <w:sz w:val="28"/>
          <w:sz w:val="28"/>
          <w:szCs w:val="28"/>
          <w:rtl w:val="true"/>
          <w:lang w:bidi="fa-IR"/>
        </w:rPr>
        <w:t xml:space="preserve">والمصنّف رجّح فی شرح الإرشاد الوقوع </w:t>
      </w:r>
      <w:r>
        <w:rPr>
          <w:rStyle w:val="FootnoteAnchor"/>
          <w:rtl w:val="true"/>
        </w:rPr>
        <w:footnoteReference w:id="1731"/>
      </w:r>
      <w:r>
        <w:rPr>
          <w:rFonts w:ascii="IRNazanin" w:hAnsi="IRNazanin" w:eastAsia="IRNazanin"/>
          <w:color w:val="111111"/>
          <w:sz w:val="28"/>
          <w:sz w:val="28"/>
          <w:szCs w:val="28"/>
          <w:rtl w:val="true"/>
          <w:lang w:bidi="fa-IR"/>
        </w:rPr>
        <w:t>وهنا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وجه إن لم یترجّح اعتباره، فإن لم یعتبر التعیین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عبیدی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وعیّن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وجوب الإنفاق علیهم قبلَه، والمنع من استخدام أحدهم وبیعه،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ثبوت النفقة قبل العتق ولم یتحقّق بالنسبة </w:t>
      </w:r>
      <w:r>
        <w:rPr>
          <w:rStyle w:val="FootnoteAnchor"/>
          <w:rtl w:val="true"/>
        </w:rPr>
        <w:footnoteReference w:id="1732"/>
      </w:r>
      <w:r>
        <w:rPr>
          <w:rFonts w:ascii="IRNazanin" w:hAnsi="IRNazanin" w:eastAsia="IRNazanin"/>
          <w:color w:val="111111"/>
          <w:sz w:val="28"/>
          <w:sz w:val="28"/>
          <w:szCs w:val="28"/>
          <w:rtl w:val="true"/>
          <w:lang w:bidi="fa-IR"/>
        </w:rPr>
        <w:t>إلی کلّ واحد فیستصحب، واشتباه الحرّ منهم بالرقّ مع انحصارهم فیحرم استخدامهم وبیعهم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استلزام ذلک الإنفاق علی الحرّ بسبب الملک والمنع من استعمال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الأوّل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المصنّف استخراج المعتَق بالقرعة، وقطع بها لو مات قبل التعیین </w:t>
      </w:r>
      <w:r>
        <w:rPr>
          <w:rStyle w:val="FootnoteAnchor"/>
          <w:rtl w:val="true"/>
        </w:rPr>
        <w:footnoteReference w:id="1733"/>
      </w:r>
      <w:r>
        <w:rPr>
          <w:rFonts w:ascii="IRNazanin" w:hAnsi="IRNazanin" w:eastAsia="IRNazanin"/>
          <w:color w:val="111111"/>
          <w:sz w:val="28"/>
          <w:sz w:val="28"/>
          <w:szCs w:val="28"/>
          <w:rtl w:val="true"/>
          <w:lang w:bidi="fa-IR"/>
        </w:rPr>
        <w:t>ویشکل کلّ منهما بأنّ القرعة لاستخراج ما هو معیّن فی نفسه غیر متعیّن ظاهراً،</w:t>
      </w:r>
      <w:bookmarkStart w:id="581" w:name="pg19810_214667"/>
    </w:p>
    <w:p>
      <w:pPr>
        <w:pStyle w:val="BookText"/>
        <w:rPr/>
      </w:pPr>
      <w:bookmarkEnd w:id="581"/>
      <w:r>
        <w:rPr>
          <w:rFonts w:ascii="IRNazanin" w:hAnsi="IRNazanin" w:eastAsia="IRNazanin"/>
          <w:color w:val="111111"/>
          <w:sz w:val="28"/>
          <w:sz w:val="28"/>
          <w:szCs w:val="28"/>
          <w:rtl w:val="true"/>
          <w:lang w:bidi="fa-IR"/>
        </w:rPr>
        <w:t>لا لتحصیل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الرجوع إلیه فیه أو إلی وارثه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عدل المعیّن عن من عیّنه لم یُقبل ولم ینعتق الثانی؛ إذ لم یبقَ للعتق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أعتق معیّناً واشتبه ثمّ عدل فإنّهما ینعتقان</w:t>
      </w:r>
      <w:r>
        <w:rPr>
          <w:rFonts w:eastAsia="IRNazanin" w:cs="IRNazanin"/>
          <w:color w:val="111111"/>
          <w:sz w:val="28"/>
          <w:szCs w:val="28"/>
          <w:rtl w:val="true"/>
          <w:lang w:bidi="fa-IR"/>
        </w:rPr>
        <w:t>.</w:t>
      </w:r>
    </w:p>
    <w:p>
      <w:pPr>
        <w:pStyle w:val="Heading3"/>
        <w:numPr>
          <w:ilvl w:val="2"/>
          <w:numId w:val="1"/>
        </w:numPr>
        <w:rPr/>
      </w:pPr>
      <w:bookmarkStart w:id="582" w:name="__RefHeading___Toc2175687_2314609296"/>
      <w:bookmarkStart w:id="583" w:name="_Toc218"/>
      <w:bookmarkEnd w:id="582"/>
      <w:r>
        <w:rPr>
          <w:rtl w:val="true"/>
        </w:rPr>
        <w:t>[</w:t>
      </w:r>
      <w:r>
        <w:rPr>
          <w:rtl w:val="true"/>
        </w:rPr>
        <w:t xml:space="preserve">شروط المولی </w:t>
      </w:r>
      <w:r>
        <w:rPr>
          <w:rtl w:val="true"/>
        </w:rPr>
        <w:t>]</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بلوغ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واختیاره ورشده وقصده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والتقرّب به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عبادة ولقولهم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 ما اُرید به وجه اللّٰه تعالی</w:t>
      </w:r>
      <w:r>
        <w:rPr>
          <w:rFonts w:eastAsia="IRNazanin" w:cs="IRNazanin"/>
          <w:color w:val="111111"/>
          <w:sz w:val="28"/>
          <w:szCs w:val="28"/>
          <w:rtl w:val="true"/>
          <w:lang w:bidi="fa-IR"/>
        </w:rPr>
        <w:t xml:space="preserve">» </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وکونُه غیرَ محجور علیه بفَلَس، أو مرض فیما زاد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من الصبیّ وإن بلغ عشراً، ولا من المجنون المطبق، ولا غیره فی غیر وقت کماله، ولا المکره، ولا السفیه، ولا الناسی والغافل والسکران، ولا من غیر المتقرّب به إلی اللّٰه تعالی، سواء قصد الریاء أم لم یقصد شیئاً، ولا من المفلَّس بعد الحجر علیه أمّا قبلَه فیجوز وإن استوعب دینُه مالَه، ولا من المریض إذا استغرق دینُه ترکتَه أو زاد المعتَق عن ثلث ماله بعد الدین إن کان، إلّامع إجازة الغرماء والورثة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الاکتفاء بإجازة الغرماء فی الصورة الاُولی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المنع من العتق لحقّهم، ومن اختصاص الوارث بعین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w:t>
      </w:r>
      <w:r>
        <w:rPr>
          <w:rStyle w:val="FootnoteAnchor"/>
          <w:rtl w:val="true"/>
        </w:rPr>
        <w:footnoteReference w:id="1735"/>
      </w:r>
      <w:r>
        <w:rPr>
          <w:rFonts w:ascii="IRNazanin" w:hAnsi="IRNazanin" w:eastAsia="IRNazanin"/>
          <w:color w:val="111111"/>
          <w:sz w:val="28"/>
          <w:sz w:val="28"/>
          <w:szCs w:val="28"/>
          <w:rtl w:val="true"/>
          <w:lang w:bidi="fa-IR"/>
        </w:rPr>
        <w:t>التوقّف علی إجازة الجمیع</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صحّة مباشرة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للعتق؛ لإطلاق الأدلّة </w:t>
      </w:r>
      <w:r>
        <w:rPr>
          <w:rStyle w:val="FootnoteAnchor"/>
          <w:rtl w:val="true"/>
        </w:rPr>
        <w:footnoteReference w:id="1736"/>
      </w:r>
      <w:r>
        <w:rPr>
          <w:rFonts w:ascii="IRNazanin" w:hAnsi="IRNazanin" w:eastAsia="IRNazanin"/>
          <w:color w:val="111111"/>
          <w:sz w:val="28"/>
          <w:sz w:val="28"/>
          <w:szCs w:val="28"/>
          <w:rtl w:val="true"/>
          <w:lang w:bidi="fa-IR"/>
        </w:rPr>
        <w:t>أو عمومها، ولأنّ العتق إزالة ملک، وملک الکافر أضعف من ملک المسلم فهو أولی بقبول</w:t>
      </w:r>
    </w:p>
    <w:p>
      <w:pPr>
        <w:pStyle w:val="BookText"/>
        <w:rPr/>
      </w:pP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واشتراطه بنیّة القربة لا ینافیه؛ لأنّ ظاهر الخبر السالف أنّ المراد منها إرادة وجه اللّٰه تعالی، سواء حصل الثواب أم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القدر ممکن ممّن یقرّ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الکفر بجحد الإلهیّة مطلقاً توجّه إلیه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عبادة مطلقاً ممنوع، بل هو عبادة خاصّة یغلب فیها فکّ الملک، فلا یمتنع من الکافر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یقع من الکافر مطلقاً </w:t>
      </w:r>
      <w:r>
        <w:rPr>
          <w:rStyle w:val="FootnoteAnchor"/>
          <w:rtl w:val="true"/>
        </w:rPr>
        <w:footnoteReference w:id="1737"/>
      </w:r>
      <w:r>
        <w:rPr>
          <w:rFonts w:ascii="IRNazanin" w:hAnsi="IRNazanin" w:eastAsia="IRNazanin"/>
          <w:color w:val="111111"/>
          <w:sz w:val="28"/>
          <w:sz w:val="28"/>
          <w:szCs w:val="28"/>
          <w:rtl w:val="true"/>
          <w:lang w:bidi="fa-IR"/>
        </w:rPr>
        <w:t>نظراً إلی أ نّه عبادة تتوقّف علی القربة، وأنّ المعتبر من القربة ترتّب أثرها من الثواب، لا مطلق طلبها کما ینبّه علیه حکمهم ببطلان صلاته وصومه لتعذّر القربة منه، فإنّ القدر المتعذّر هو هذا المعنی، لا ما ادّعوه أوّلاً، ولأنّ العتق شرعاً ملزوم للولاء ولا یثبت ولاء الکافر علی المسلم؛ لأنّه سبیل منفیّ عنه، وانتفاء اللازم یستلزم انتفاء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الأوّل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أنّ الکفر مانع من الإرث کالقتل، کما هو مانع فی النسب</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اتّفاقهم علی بطلان عبادته من الصلاة ونحوها واختلافهم فی عتقه وصدقته ووقفه عند من یعتبر نیّة القربة فیه، یدلّ علی أنّ لهذا النوع من التصرّف المالی حکماً ناقصاً عن مطلق العبادة </w:t>
      </w:r>
      <w:r>
        <w:rPr>
          <w:rStyle w:val="FootnoteAnchor"/>
          <w:rtl w:val="true"/>
        </w:rPr>
        <w:footnoteReference w:id="1738"/>
      </w:r>
      <w:r>
        <w:rPr>
          <w:rFonts w:ascii="IRNazanin" w:hAnsi="IRNazanin" w:eastAsia="IRNazanin"/>
          <w:color w:val="111111"/>
          <w:sz w:val="28"/>
          <w:sz w:val="28"/>
          <w:szCs w:val="28"/>
          <w:rtl w:val="true"/>
          <w:lang w:bidi="fa-IR"/>
        </w:rPr>
        <w:t xml:space="preserve">من حیث المالیّة، وکونِ الغرض منها نفع الغیر فجانب المالیّة فیها أغلب من جانب العبادة، فمن ثمّ وقع الخلاف فیها دون غیرها من العبادة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بصحّة عتقه متّجه مع تحقّق قصده إلی القربة وإن لم یحصل لازمها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عطفاً علی مباشرة الکافر، أی والأقرب صحّة کون الکافر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للعتق بأن یکون العبد المعتَق کافراً،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ینذر عتق مملوک بعینه وهو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المنع من عتقه مطلقاً، فلأ نّه خبیث وعتقه إنفاق له فی سبیل اللّٰه وقد نهی اللّٰه تعالی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تَیَمَّمُوا اَلْخَبِیثَ مِنْهُ تُنْفِقُونَ</w:t>
      </w:r>
      <w:r>
        <w:rPr>
          <w:rFonts w:eastAsia="Amiri" w:cs="Amiri" w:ascii="Amiri" w:hAnsi="Amiri"/>
          <w:color w:val="111111"/>
          <w:sz w:val="28"/>
          <w:szCs w:val="28"/>
          <w:rtl w:val="true"/>
          <w:lang w:bidi="ar-SA"/>
        </w:rPr>
        <w:t xml:space="preserve">) </w:t>
      </w:r>
      <w:r>
        <w:rPr>
          <w:rStyle w:val="FootnoteAnchor"/>
          <w:rtl w:val="true"/>
        </w:rPr>
        <w:footnoteReference w:id="1739"/>
      </w:r>
      <w:r>
        <w:rPr>
          <w:rFonts w:ascii="IRNazanin" w:hAnsi="IRNazanin" w:eastAsia="IRNazanin"/>
          <w:color w:val="111111"/>
          <w:sz w:val="28"/>
          <w:sz w:val="28"/>
          <w:szCs w:val="28"/>
          <w:rtl w:val="true"/>
          <w:lang w:bidi="fa-IR"/>
        </w:rPr>
        <w:t>ولاشتراط القربة فیه کما مرّ، ولا قربة فی الکافر، ولروایة سیف بن عمیرة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أیجوز للمسلم أن یُعتِق مملوکاً مشرکاً؟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جوازه بالنذر، فللجمع بین ذلک وبین ما رُوی أنّ علیّاً علیه السلام أعتق عبداً نصرانیّاً فأسلم حین أعتقه </w:t>
      </w:r>
      <w:r>
        <w:rPr>
          <w:rStyle w:val="FootnoteAnchor"/>
          <w:rtl w:val="true"/>
        </w:rPr>
        <w:footnoteReference w:id="1741"/>
      </w:r>
      <w:r>
        <w:rPr>
          <w:rFonts w:ascii="IRNazanin" w:hAnsi="IRNazanin" w:eastAsia="IRNazanin"/>
          <w:color w:val="111111"/>
          <w:sz w:val="28"/>
          <w:sz w:val="28"/>
          <w:szCs w:val="28"/>
          <w:rtl w:val="true"/>
          <w:lang w:bidi="fa-IR"/>
        </w:rPr>
        <w:t>بحمله علی النذر، والاُولی علی عدمه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وفیهما معاً نظر؛ لأنّ ظاهر الآیة وقول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الخبیث هو الردیء من المال یُعطی الفقیر </w:t>
      </w:r>
      <w:r>
        <w:rPr>
          <w:rStyle w:val="FootnoteAnchor"/>
          <w:rtl w:val="true"/>
        </w:rPr>
        <w:footnoteReference w:id="1742"/>
      </w:r>
      <w:r>
        <w:rPr>
          <w:rFonts w:ascii="IRNazanin" w:hAnsi="IRNazanin" w:eastAsia="IRNazanin"/>
          <w:color w:val="111111"/>
          <w:sz w:val="28"/>
          <w:sz w:val="28"/>
          <w:szCs w:val="28"/>
          <w:rtl w:val="true"/>
          <w:lang w:bidi="fa-IR"/>
        </w:rPr>
        <w:t>وربما کانت المالیّة فی الکافر خیراً من العبد المسلم، والإنفاق؛ لمالیّته، لا لمعتقده الخبیث؛ ومع ذلک فالنهی مخصوص بالصدقة الواجبة؛ لعدم تحریم الصدقة المندوبة بما قلّ و رَدُؤَ حتّی بشقّ تمرة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والقربة یمکن تحقّقها فی عتق المولی الکافر المقرّ باللّٰه تعالی الموافق له فی الاعتقاد، فإنّه یقصد به وجه اللّٰه تعالی کما مرّ وإن لم یحصل الثواب، وفی المسلم إذا ظنّ القربة بالإحسان إلیه وفکّ رقبته من الرقّ وترغیبه فی الإسلام، کما روی من فعل علیّ علیه السلام وخبر سیف مع ضعف سنده </w:t>
      </w:r>
      <w:r>
        <w:rPr>
          <w:rStyle w:val="FootnoteAnchor"/>
          <w:rtl w:val="true"/>
        </w:rPr>
        <w:footnoteReference w:id="1743"/>
      </w:r>
      <w:r>
        <w:rPr>
          <w:rFonts w:ascii="IRNazanin" w:hAnsi="IRNazanin" w:eastAsia="IRNazanin"/>
          <w:color w:val="111111"/>
          <w:sz w:val="28"/>
          <w:sz w:val="28"/>
          <w:szCs w:val="28"/>
          <w:rtl w:val="true"/>
          <w:lang w:bidi="fa-IR"/>
        </w:rPr>
        <w:t>أخصّ من المدّعی، ولا ضرورة</w:t>
      </w:r>
      <w:bookmarkStart w:id="584" w:name="pg19810_214670"/>
    </w:p>
    <w:p>
      <w:pPr>
        <w:pStyle w:val="BookText"/>
        <w:rPr/>
      </w:pPr>
      <w:bookmarkEnd w:id="584"/>
      <w:r>
        <w:rPr>
          <w:rFonts w:ascii="IRNazanin" w:hAnsi="IRNazanin" w:eastAsia="IRNazanin"/>
          <w:color w:val="111111"/>
          <w:sz w:val="28"/>
          <w:sz w:val="28"/>
          <w:szCs w:val="28"/>
          <w:rtl w:val="true"/>
          <w:lang w:bidi="fa-IR"/>
        </w:rPr>
        <w:t xml:space="preserve">إلی الجمع حینئذٍ بما لا یدلّ علیه اللفظ أصلاً، فالقول بالصحّة مطلقاً مع تحقّق القربة متّجه، وهو مختار المصنّف فی الشرح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2175689_2314609296"/>
      <w:bookmarkStart w:id="586" w:name="_Toc219"/>
      <w:bookmarkEnd w:id="585"/>
      <w:r>
        <w:rPr>
          <w:rtl w:val="true"/>
        </w:rPr>
        <w:t>[</w:t>
      </w:r>
      <w:r>
        <w:rPr>
          <w:rtl w:val="true"/>
        </w:rPr>
        <w:t xml:space="preserve">احکام العتق </w:t>
      </w:r>
      <w:r>
        <w:rPr>
          <w:rtl w:val="true"/>
        </w:rPr>
        <w:t>]</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یقف العتق علی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لو وقع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یبطل عتق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رأسٍ إجماعاً، ولقوله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إلّافی ملک</w:t>
      </w:r>
      <w:r>
        <w:rPr>
          <w:rFonts w:eastAsia="IRNazanin" w:cs="IRNazanin"/>
          <w:color w:val="111111"/>
          <w:sz w:val="28"/>
          <w:szCs w:val="28"/>
          <w:rtl w:val="true"/>
          <w:lang w:bidi="fa-IR"/>
        </w:rPr>
        <w:t xml:space="preserve">» </w:t>
      </w:r>
      <w:r>
        <w:rPr>
          <w:rStyle w:val="FootnoteAnchor"/>
          <w:rtl w:val="true"/>
        </w:rPr>
        <w:footnoteReference w:id="1745"/>
      </w:r>
      <w:r>
        <w:rPr>
          <w:rFonts w:ascii="IRNazanin" w:hAnsi="IRNazanin" w:eastAsia="IRNazanin"/>
          <w:color w:val="111111"/>
          <w:sz w:val="28"/>
          <w:sz w:val="28"/>
          <w:szCs w:val="28"/>
          <w:rtl w:val="true"/>
          <w:lang w:bidi="fa-IR"/>
        </w:rPr>
        <w:t>ووقوعه من غیره بالسرایة خروج عن المتنازع، واستثناؤه إمّا منقطع، أو نظراً إلی مطلق الانعتاق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علّق غیر المالک العتق بالملک لغا، إلّاأن یجعله نذراً أو ما فی معناه،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للّٰه‌علیّ إعتاقه إن 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عند حصول الشرط، ویفتقر إلی صیغة العتق وإن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للّٰه‌علیَّ أ نّه حرّ إن 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بالاکتفاء هنا بالصیغة الاُولی </w:t>
      </w:r>
      <w:r>
        <w:rPr>
          <w:rStyle w:val="FootnoteAnchor"/>
          <w:rtl w:val="true"/>
        </w:rPr>
        <w:footnoteReference w:id="1746"/>
      </w:r>
      <w:r>
        <w:rPr>
          <w:rFonts w:ascii="Amiri" w:hAnsi="Amiri" w:eastAsia="Amiri" w:cs="Amiri"/>
          <w:color w:val="111111"/>
          <w:sz w:val="28"/>
          <w:sz w:val="28"/>
          <w:szCs w:val="28"/>
          <w:rtl w:val="true"/>
          <w:lang w:bidi="ar-SA"/>
        </w:rPr>
        <w:t>اکتفاءً بالملک الضمنیّ، کملک القریب آناً ثمّ یُعتَق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تعلیقه علی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إن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إلّافی التدبیر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یعلّق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فی النذر حیث لا یفتقر إلی صیغة إن قلنا به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نذر عتق عبده عند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سائغ علی ما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وانعتق مع وجود الشرط إن کانت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إن کان کذا من الشروط السائغة فعبدی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ووجب عتقه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علیَّ أن أعتقه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والمطابق للعبارة، الأوّل؛ لأنّه العتق المعلّق، لا الثانی فإنّه 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القول فیما إذا نذر أن یکون ماله صدقة، أو لزید، أو أن یتصدّق به، أو یعطیه لزید، فإنّه ینتقل عن ملکه بحصول الشرط فی الأوّل ویصیر ملکاً لزید قهریّاً، بخلاف الأخیر فإنّه لا یزول ملکه به، وإنّما یجب أن یتصدّق أو یعطی زیداً، فإن لم یفعل بقی علی ملکه وإن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 ذلک إبراؤه منه قبل القبض فیصحّ فی الأوّل، دون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صیغة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مضبوطة متّصلة بالعتق أو منفصلة أو متفرّقة مع الضبط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والعتق؛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747"/>
      </w:r>
      <w:r>
        <w:rPr>
          <w:rFonts w:ascii="IRNazanin" w:hAnsi="IRNazanin" w:eastAsia="IRNazanin"/>
          <w:color w:val="111111"/>
          <w:sz w:val="28"/>
          <w:sz w:val="28"/>
          <w:szCs w:val="28"/>
          <w:rtl w:val="true"/>
          <w:lang w:bidi="fa-IR"/>
        </w:rPr>
        <w:t>ولأنّ منافعه المتجدّدة ورقبته ملک للمولی، فإذا أعتقه بالشرط فقد فکّ رقبته وغیرَ المشترط من المنافع وأبقی المشترط علی ملکه، فیبقی استصحاباً للملک ووفاءً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یشترط قبول العبد؟ الأقوی العدم، وهو ظاهر إطلاق العبارة؛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اشتراط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الإعتاق یقتضی التحریر والمنافع تابعة، فلا یصحّ شرط شیء منها إلّابقبوله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تجب علی المولی نفقته فی المدّة المشترطة؟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748"/>
      </w:r>
      <w:r>
        <w:rPr>
          <w:rFonts w:ascii="IRNazanin" w:hAnsi="IRNazanin" w:eastAsia="IRNazanin"/>
          <w:color w:val="111111"/>
          <w:sz w:val="28"/>
          <w:sz w:val="28"/>
          <w:szCs w:val="28"/>
          <w:rtl w:val="true"/>
          <w:lang w:bidi="fa-IR"/>
        </w:rPr>
        <w:t>لقطعه بها عن التکسّب</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بأ نّه لا یستلزم وجوب النفقة کالأجیر والموصی بخدمته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والمناسب للأصل ثبوتها من بیت المال أو من الصدقات؛ لأنّ أسباب النفقة</w:t>
      </w:r>
    </w:p>
    <w:p>
      <w:pPr>
        <w:pStyle w:val="BookText"/>
        <w:rPr/>
      </w:pPr>
      <w:r>
        <w:rPr>
          <w:rFonts w:ascii="IRNazanin" w:hAnsi="IRNazanin" w:eastAsia="IRNazanin"/>
          <w:color w:val="111111"/>
          <w:sz w:val="28"/>
          <w:sz w:val="28"/>
          <w:szCs w:val="28"/>
          <w:rtl w:val="true"/>
          <w:lang w:bidi="fa-IR"/>
        </w:rPr>
        <w:t>مضبوطة شرعاً ولیس هذا منها، وللأصل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یصحّ اشتراط الخدمة یصحّ اشتراط شیء معیّن من المال؛ للعموم </w:t>
      </w:r>
      <w:r>
        <w:rPr>
          <w:rStyle w:val="FootnoteAnchor"/>
          <w:rtl w:val="true"/>
        </w:rPr>
        <w:footnoteReference w:id="1749"/>
      </w:r>
      <w:r>
        <w:rPr>
          <w:rFonts w:ascii="IRNazanin" w:hAnsi="IRNazanin" w:eastAsia="IRNazanin"/>
          <w:color w:val="111111"/>
          <w:sz w:val="28"/>
          <w:sz w:val="28"/>
          <w:szCs w:val="28"/>
          <w:rtl w:val="true"/>
          <w:lang w:bidi="fa-IR"/>
        </w:rPr>
        <w:t xml:space="preserve">لکن الأقوی هنا اشتراط قبوله؛ لأنّ المولی لا یملک إثبات مال فی ذمّة العبد، ولصحیحة حریز عن الصادق علیه السلام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کالخدمة </w:t>
      </w:r>
      <w:r>
        <w:rPr>
          <w:rStyle w:val="FootnoteAnchor"/>
          <w:rtl w:val="true"/>
        </w:rPr>
        <w:footnoteReference w:id="1751"/>
      </w:r>
      <w:r>
        <w:rPr>
          <w:rFonts w:ascii="IRNazanin" w:hAnsi="IRNazanin" w:eastAsia="IRNazanin"/>
          <w:color w:val="111111"/>
          <w:sz w:val="28"/>
          <w:sz w:val="28"/>
          <w:szCs w:val="28"/>
          <w:rtl w:val="true"/>
          <w:lang w:bidi="fa-IR"/>
        </w:rPr>
        <w:t>لاستحقاقه علیه رقّاً السعی فی الکسب کما یستحقّ الخدمة، فإذا شرط علیه مالاً فقد استثنی من منافعه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یشترط الخدمة لا یتوقّف انعتاقه علی استیفائها، فإن وفی بها فی وقتها، وإلّا استقرّت اُجرة مثلها فی ذمّته؛ لأنّها مستحقّة علیه وقد فاتت فیرجع إلی اُجرتها، ولا فرق بین المعتق ووارثه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عوده فی الرقّ إن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شرطاً شَرَطه علیه فی صیغة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بطلان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 الشرط عود من تثبت حرّیّته رقّاً وهو غیر جائز</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یرد مثله فی المکاتب المشروط؛ لأنّه لم یخرج عن الرقّیّة وإن تشبّث</w:t>
      </w:r>
    </w:p>
    <w:p>
      <w:pPr>
        <w:pStyle w:val="BookText"/>
        <w:rPr/>
      </w:pPr>
      <w:r>
        <w:rPr>
          <w:rFonts w:ascii="IRNazanin" w:hAnsi="IRNazanin" w:eastAsia="IRNazanin"/>
          <w:color w:val="111111"/>
          <w:sz w:val="28"/>
          <w:sz w:val="28"/>
          <w:szCs w:val="28"/>
          <w:rtl w:val="true"/>
          <w:lang w:bidi="fa-IR"/>
        </w:rPr>
        <w:t>بالحرّیّة بوجه ضعیف، بخلاف المعتَق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سیّد المکاتَب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ردّ فی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الرقّ المحض، لا مطلق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الشرط ویرجع بالإخلال </w:t>
      </w:r>
      <w:r>
        <w:rPr>
          <w:rStyle w:val="FootnoteAnchor"/>
          <w:rtl w:val="true"/>
        </w:rPr>
        <w:footnoteReference w:id="1752"/>
      </w:r>
      <w:r>
        <w:rPr>
          <w:rFonts w:ascii="IRNazanin" w:hAnsi="IRNazanin" w:eastAsia="IRNazanin"/>
          <w:color w:val="111111"/>
          <w:sz w:val="28"/>
          <w:sz w:val="28"/>
          <w:szCs w:val="28"/>
          <w:rtl w:val="true"/>
          <w:lang w:bidi="fa-IR"/>
        </w:rPr>
        <w:t xml:space="preserve">للعموم وروایة إسحاق بن عمّار عن الصادق علیه السلام أ نّه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یُعتق مملوکه ویزوّجه ابنته ویشترط علیه إن أغارها أن یردّه فی الرقّ؟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شرطه</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 xml:space="preserve">وطریق الروایة ضعیف </w:t>
      </w:r>
      <w:r>
        <w:rPr>
          <w:rStyle w:val="FootnoteAnchor"/>
          <w:rtl w:val="true"/>
        </w:rPr>
        <w:footnoteReference w:id="1754"/>
      </w:r>
      <w:r>
        <w:rPr>
          <w:rFonts w:ascii="IRNazanin" w:hAnsi="IRNazanin" w:eastAsia="IRNazanin"/>
          <w:color w:val="111111"/>
          <w:sz w:val="28"/>
          <w:sz w:val="28"/>
          <w:szCs w:val="28"/>
          <w:rtl w:val="true"/>
          <w:lang w:bidi="fa-IR"/>
        </w:rPr>
        <w:t>ومتنها منافٍ للاُصول، فالقول بالبطلان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بعض الأصحاب </w:t>
      </w:r>
      <w:r>
        <w:rPr>
          <w:rStyle w:val="FootnoteAnchor"/>
          <w:rtl w:val="true"/>
        </w:rPr>
        <w:footnoteReference w:id="1755"/>
      </w:r>
      <w:r>
        <w:rPr>
          <w:rFonts w:ascii="IRNazanin" w:hAnsi="IRNazanin" w:eastAsia="IRNazanin"/>
          <w:color w:val="111111"/>
          <w:sz w:val="28"/>
          <w:sz w:val="28"/>
          <w:szCs w:val="28"/>
          <w:rtl w:val="true"/>
          <w:lang w:bidi="fa-IR"/>
        </w:rPr>
        <w:t>إلی صحّة العتق وبطلان الشرط لبنائه علی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بعدم القصد إلیه مجرّداً عن الشرط وهو شرط الصحّة کغیره من الشروط</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أم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ملک المولی المندوب إلی عتقه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مؤمناً فقد عُتِق بعد سبع سنین، أعتقه صاحبه أم لم یعتقه، ولا تحلّ خدمة من کان مؤمناً بعد سبع سنین</w:t>
      </w:r>
      <w:r>
        <w:rPr>
          <w:rFonts w:eastAsia="IRNazanin" w:cs="IRNazanin"/>
          <w:color w:val="111111"/>
          <w:sz w:val="28"/>
          <w:szCs w:val="28"/>
          <w:rtl w:val="true"/>
          <w:lang w:bidi="fa-IR"/>
        </w:rPr>
        <w:t xml:space="preserve">» </w:t>
      </w:r>
      <w:r>
        <w:rPr>
          <w:rStyle w:val="FootnoteAnchor"/>
          <w:rtl w:val="true"/>
        </w:rPr>
        <w:footnoteReference w:id="1756"/>
      </w:r>
      <w:r>
        <w:rPr>
          <w:rFonts w:ascii="IRNazanin" w:hAnsi="IRNazanin" w:eastAsia="IRNazanin"/>
          <w:color w:val="111111"/>
          <w:sz w:val="28"/>
          <w:sz w:val="28"/>
          <w:szCs w:val="28"/>
          <w:rtl w:val="true"/>
          <w:lang w:bidi="fa-IR"/>
        </w:rPr>
        <w:t xml:space="preserve">وهو محمول علی تأکّد استحباب عتقه؛ للإجماع علی أ نّه لا یُعتق بدون الإعتاق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bookmarkStart w:id="587" w:name="pg19810_214674"/>
    </w:p>
    <w:p>
      <w:pPr>
        <w:pStyle w:val="BookText"/>
        <w:rPr/>
      </w:pPr>
      <w:bookmarkEnd w:id="587"/>
      <w:r>
        <w:rPr>
          <w:rFonts w:ascii="IRNazanin" w:hAnsi="IRNazanin" w:eastAsia="IRNazanin"/>
          <w:color w:val="111111"/>
          <w:sz w:val="28"/>
          <w:sz w:val="28"/>
          <w:szCs w:val="28"/>
          <w:rtl w:val="true"/>
          <w:lang w:bidi="fa-IR"/>
        </w:rPr>
        <w:t>خصوصاً للمؤمن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ویُکره عتق العاجز عن الاکتساب </w:t>
      </w:r>
      <w:r>
        <w:rPr>
          <w:rStyle w:val="FootnoteAnchor"/>
          <w:rtl w:val="true"/>
        </w:rPr>
        <w:footnoteReference w:id="1757"/>
      </w:r>
      <w:r>
        <w:rPr>
          <w:rFonts w:ascii="IRNazanin" w:hAnsi="IRNazanin" w:eastAsia="IRNazanin"/>
          <w:color w:val="111111"/>
          <w:sz w:val="28"/>
          <w:sz w:val="28"/>
          <w:szCs w:val="28"/>
          <w:rtl w:val="true"/>
          <w:lang w:bidi="fa-IR"/>
        </w:rPr>
        <w:t>إلّاأن یُعینه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بالإنفاق، 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أعتق مملوکاً لا حیلة له فإنّ علیه أن یعوله حتّی یستغنی عنه، وکذلک کان علیّ علیه السلام یفعل إذا أعتق الصغار ومن لا حیلة له</w:t>
      </w:r>
      <w:r>
        <w:rPr>
          <w:rFonts w:eastAsia="IRNazanin" w:cs="IRNazanin"/>
          <w:color w:val="111111"/>
          <w:sz w:val="28"/>
          <w:szCs w:val="28"/>
          <w:rtl w:val="true"/>
          <w:lang w:bidi="fa-IR"/>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فی الاعتقاد؛ للنهی عنه فی الأخبار، المحمول علی الکراهة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اللّٰه عن عتق أحدکم، تعتقون الیوم یکون علینا غداً، لا یجوز لکم أن تعتقوا إلّاعارفاً</w:t>
      </w:r>
      <w:r>
        <w:rPr>
          <w:rFonts w:eastAsia="IRNazanin" w:cs="IRNazanin"/>
          <w:color w:val="111111"/>
          <w:sz w:val="28"/>
          <w:szCs w:val="28"/>
          <w:rtl w:val="true"/>
          <w:lang w:bidi="fa-IR"/>
        </w:rPr>
        <w:t xml:space="preserve">» </w:t>
      </w:r>
      <w:r>
        <w:rPr>
          <w:rStyle w:val="FootnoteAnchor"/>
          <w:rtl w:val="true"/>
        </w:rPr>
        <w:footnoteReference w:id="1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یعرف الحقّ ولا یعاند فیه، ولا یوالی أحداً بعینه؛ لروایة الحلبی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تعتق من المستضعفین؟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2175691_2314609296"/>
      <w:bookmarkStart w:id="589" w:name="_Toc220"/>
      <w:bookmarkEnd w:id="588"/>
      <w:r>
        <w:rPr>
          <w:rtl w:val="true"/>
        </w:rPr>
        <w:t>[</w:t>
      </w:r>
      <w:r>
        <w:rPr>
          <w:rtl w:val="true"/>
        </w:rPr>
        <w:t>السرایة</w:t>
      </w:r>
      <w:r>
        <w:rPr>
          <w:rtl w:val="true"/>
        </w:rPr>
        <w:t>]</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خواصّ العتق السرایة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انعتاق باقی المملوک إذا اُعتق بعضه بشرائط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أعتق شِقصاً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جزءاً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قلّ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العتق فیه أجمع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یملک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مریضاً ولم یبرأ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مرضه الذی أعتق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ثلث مال المعتق، فلا یُعتق حینئذٍ أجمع، بل ما یسعه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الوارث فیُعتق أجمع إن أجازه، وإلّا فبحسب ما أجازه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وربما کان إجماعاً، ومستنده من الأخبار </w:t>
      </w:r>
      <w:r>
        <w:rPr>
          <w:rStyle w:val="FootnoteAnchor"/>
          <w:rtl w:val="true"/>
        </w:rPr>
        <w:footnoteReference w:id="1761"/>
      </w:r>
      <w:r>
        <w:rPr>
          <w:rFonts w:ascii="IRNazanin" w:hAnsi="IRNazanin" w:eastAsia="IRNazanin"/>
          <w:color w:val="111111"/>
          <w:sz w:val="28"/>
          <w:sz w:val="28"/>
          <w:szCs w:val="28"/>
          <w:rtl w:val="true"/>
          <w:lang w:bidi="fa-IR"/>
        </w:rPr>
        <w:t xml:space="preserve">ضعیف </w:t>
      </w:r>
      <w:r>
        <w:rPr>
          <w:rStyle w:val="FootnoteAnchor"/>
          <w:rtl w:val="true"/>
        </w:rPr>
        <w:footnoteReference w:id="1762"/>
      </w:r>
      <w:r>
        <w:rPr>
          <w:rFonts w:ascii="IRNazanin" w:hAnsi="IRNazanin" w:eastAsia="IRNazanin"/>
          <w:color w:val="111111"/>
          <w:sz w:val="28"/>
          <w:sz w:val="28"/>
          <w:szCs w:val="28"/>
          <w:rtl w:val="true"/>
          <w:lang w:bidi="fa-IR"/>
        </w:rPr>
        <w:t xml:space="preserve">ومن ثَمَّ ذهب السیّد جمال الدین بن طاووس إلی عدم السرایة بعتق البعض مطلقاً </w:t>
      </w:r>
      <w:r>
        <w:rPr>
          <w:rStyle w:val="FootnoteAnchor"/>
          <w:rtl w:val="true"/>
        </w:rPr>
        <w:footnoteReference w:id="1763"/>
      </w:r>
      <w:r>
        <w:rPr>
          <w:rFonts w:ascii="IRNazanin" w:hAnsi="IRNazanin" w:eastAsia="IRNazanin"/>
          <w:color w:val="111111"/>
          <w:sz w:val="28"/>
          <w:sz w:val="28"/>
          <w:szCs w:val="28"/>
          <w:rtl w:val="true"/>
          <w:lang w:bidi="fa-IR"/>
        </w:rPr>
        <w:t xml:space="preserve">استضعافاً للدلیل المخرج عن حکم الأصل، ولموافقته لمذهب العامّة </w:t>
      </w:r>
      <w:r>
        <w:rPr>
          <w:rStyle w:val="FootnoteAnchor"/>
          <w:rtl w:val="true"/>
        </w:rPr>
        <w:footnoteReference w:id="1764"/>
      </w:r>
      <w:r>
        <w:rPr>
          <w:rFonts w:ascii="IRNazanin" w:hAnsi="IRNazanin" w:eastAsia="IRNazanin"/>
          <w:color w:val="111111"/>
          <w:sz w:val="28"/>
          <w:sz w:val="28"/>
          <w:szCs w:val="28"/>
          <w:rtl w:val="true"/>
          <w:lang w:bidi="fa-IR"/>
        </w:rPr>
        <w:t>مع أ نّه قد روی حمزة بن حمران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أعتق نصف جاریته ثمّ قذفها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علیه خمسین جلدة ویستغفر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765"/>
      </w:r>
      <w:r>
        <w:rPr>
          <w:rFonts w:ascii="IRNazanin" w:hAnsi="IRNazanin" w:eastAsia="IRNazanin"/>
          <w:color w:val="111111"/>
          <w:sz w:val="28"/>
          <w:sz w:val="28"/>
          <w:szCs w:val="28"/>
          <w:rtl w:val="true"/>
          <w:lang w:bidi="fa-IR"/>
        </w:rPr>
        <w:t xml:space="preserve">وفی معناه خبران آخران </w:t>
      </w:r>
      <w:r>
        <w:rPr>
          <w:rStyle w:val="FootnoteAnchor"/>
          <w:rtl w:val="true"/>
        </w:rPr>
        <w:footnoteReference w:id="1766"/>
      </w:r>
      <w:r>
        <w:rPr>
          <w:rFonts w:ascii="IRNazanin" w:hAnsi="IRNazanin" w:eastAsia="IRNazanin"/>
          <w:color w:val="111111"/>
          <w:sz w:val="28"/>
          <w:sz w:val="28"/>
          <w:szCs w:val="28"/>
          <w:rtl w:val="true"/>
          <w:lang w:bidi="fa-IR"/>
        </w:rPr>
        <w:t xml:space="preserve">وحملها الشیخ علی أ نّه لا یملک نصفها الآخر مع إعساره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المملوک الذی اُعتق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قُوّم علیه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وعُتق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یسار المعتق بأن یملک حال العتق</w:t>
      </w:r>
    </w:p>
    <w:p>
      <w:pPr>
        <w:pStyle w:val="BookText"/>
        <w:rPr/>
      </w:pPr>
      <w:r>
        <w:rPr>
          <w:rFonts w:ascii="IRNazanin" w:hAnsi="IRNazanin" w:eastAsia="IRNazanin"/>
          <w:color w:val="111111"/>
          <w:sz w:val="28"/>
          <w:sz w:val="28"/>
          <w:szCs w:val="28"/>
          <w:rtl w:val="true"/>
          <w:lang w:bidi="fa-IR"/>
        </w:rPr>
        <w:t>زیادة عمّا یُستثنی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داره وخادمه ودابّته، وثیابه اللائقة بحاله کمّیّة وکیفیّة، وقوت یوم له ولعیاله ما یسع قیمة نصیب الشریک، فتدفع إلیه ویُعتق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مدیوناً یستغرق دینه ماله الذی یُصرف فیه، ففی کونه موسراً أو معسراً قولان </w:t>
      </w:r>
      <w:r>
        <w:rPr>
          <w:rStyle w:val="FootnoteAnchor"/>
          <w:rtl w:val="true"/>
        </w:rPr>
        <w:footnoteReference w:id="1768"/>
      </w:r>
      <w:r>
        <w:rPr>
          <w:rFonts w:ascii="IRNazanin" w:hAnsi="IRNazanin" w:eastAsia="IRNazanin"/>
          <w:color w:val="111111"/>
          <w:sz w:val="28"/>
          <w:sz w:val="28"/>
          <w:szCs w:val="28"/>
          <w:rtl w:val="true"/>
          <w:lang w:bidi="fa-IR"/>
        </w:rPr>
        <w:t>أوجههما الأوّل؛ لبقاء الملک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تنعتق حصّة الشریک بعتق المالک حصّته، أو بأداء قیمتها إلیه، أو بالعتق مراعی بالأداء؟ أقوال </w:t>
      </w:r>
      <w:r>
        <w:rPr>
          <w:rStyle w:val="FootnoteAnchor"/>
          <w:rtl w:val="true"/>
        </w:rPr>
        <w:footnoteReference w:id="1769"/>
      </w:r>
      <w:r>
        <w:rPr>
          <w:rFonts w:ascii="IRNazanin" w:hAnsi="IRNazanin" w:eastAsia="IRNazanin"/>
          <w:color w:val="111111"/>
          <w:sz w:val="28"/>
          <w:sz w:val="28"/>
          <w:szCs w:val="28"/>
          <w:rtl w:val="true"/>
          <w:lang w:bidi="fa-IR"/>
        </w:rPr>
        <w:t xml:space="preserve">وفی الأخبار </w:t>
      </w:r>
      <w:r>
        <w:rPr>
          <w:rStyle w:val="FootnoteAnchor"/>
          <w:rtl w:val="true"/>
        </w:rPr>
        <w:footnoteReference w:id="1770"/>
      </w:r>
      <w:r>
        <w:rPr>
          <w:rFonts w:ascii="IRNazanin" w:hAnsi="IRNazanin" w:eastAsia="IRNazanin"/>
          <w:color w:val="111111"/>
          <w:sz w:val="28"/>
          <w:sz w:val="28"/>
          <w:szCs w:val="28"/>
          <w:rtl w:val="true"/>
          <w:lang w:bidi="fa-IR"/>
        </w:rPr>
        <w:t>ما یدلّ علی الأوّلین، والأخیر طریق الجمع</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الفائدة فیما لو أعتق الشریک حصّته قبل الأداء، فیصحّ علی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اعتبار القیمة، فعلی الأوّل یوم العتق، وعلی الثانی یوم الأداء، والظاهر أنّ الثالث 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لو مات قبل الأداء، فیموت حرّاً علی الأوّل</w:t>
      </w:r>
    </w:p>
    <w:p>
      <w:pPr>
        <w:pStyle w:val="BookText"/>
        <w:rPr/>
      </w:pPr>
      <w:r>
        <w:rPr>
          <w:rFonts w:ascii="IRNazanin" w:hAnsi="IRNazanin" w:eastAsia="IRNazanin"/>
          <w:color w:val="111111"/>
          <w:sz w:val="28"/>
          <w:sz w:val="28"/>
          <w:szCs w:val="28"/>
          <w:rtl w:val="true"/>
          <w:lang w:bidi="fa-IR"/>
        </w:rPr>
        <w:t>ویرثه وارثه، دون الثانی، ویعتبر الأداء فی ظهور حرّیّته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لو وجب علیه حدّ قبله، فکالحرّ علی الأوّل، والمبعَّض علی الثانی، وفی الحکم علی الثالث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لو أیسر المباشر بعد العتق وقبل الأداء، فعلی الأوّل لا یجب علیه الفکّ، وعلی الثانی یجب، وفی الثالث نظر وإلحاقه بالأوّل مطلقاً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باقی قیمته بجمیع سعیه، لا بنصیب الحرّیّة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إعساره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أجمع، فإذا أدّی عُتق کالمکاتب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أیسر بالبعض سری علیه بقدره علی الأقوی، وسعی العبد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عتق الشریک بین وقوعه للإضرار بالشریک وعدمه مع تحقّق القربة المشترطة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للشیخ حیث شرط فی السرایة مع الیسار قصد الإضرار وأبطل العتق بالإعسار معه، وحکم بسعی العبد مطلقاً مع قصد القربة </w:t>
      </w:r>
      <w:r>
        <w:rPr>
          <w:rStyle w:val="FootnoteAnchor"/>
          <w:rtl w:val="true"/>
        </w:rPr>
        <w:footnoteReference w:id="1771"/>
      </w:r>
      <w:r>
        <w:rPr>
          <w:rFonts w:ascii="IRNazanin" w:hAnsi="IRNazanin" w:eastAsia="IRNazanin"/>
          <w:color w:val="111111"/>
          <w:sz w:val="28"/>
          <w:sz w:val="28"/>
          <w:szCs w:val="28"/>
          <w:rtl w:val="true"/>
          <w:lang w:bidi="fa-IR"/>
        </w:rPr>
        <w:t xml:space="preserve">استناداً إلی أخبار </w:t>
      </w:r>
      <w:r>
        <w:rPr>
          <w:rStyle w:val="FootnoteAnchor"/>
          <w:rtl w:val="true"/>
        </w:rPr>
        <w:footnoteReference w:id="1772"/>
      </w:r>
      <w:r>
        <w:rPr>
          <w:rFonts w:ascii="IRNazanin" w:hAnsi="IRNazanin" w:eastAsia="IRNazanin"/>
          <w:color w:val="111111"/>
          <w:sz w:val="28"/>
          <w:sz w:val="28"/>
          <w:szCs w:val="28"/>
          <w:rtl w:val="true"/>
          <w:lang w:bidi="fa-IR"/>
        </w:rPr>
        <w:t>تأویلها بما یدفع المنافاة بینها وبین ما دلّ علی المشهور طریق الجمع</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عجز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السعی أو امتنع منه ولم یمکن إجباره أو مطلقاً فی ظاهر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فالمهایأة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 نّهما یقتسمان الزمان بحسب ما یتّفقان علیه، ویکون کسبه فی کلّ وقت لمن ظهر له بالقسمة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المهایأة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الکسب کالاحتطاب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یتناول النادر </w:t>
      </w:r>
      <w:r>
        <w:rPr>
          <w:rStyle w:val="FootnoteAnchor"/>
          <w:rtl w:val="true"/>
        </w:rPr>
        <w:footnoteReference w:id="1773"/>
      </w:r>
      <w:r>
        <w:rPr>
          <w:rFonts w:ascii="Amiri" w:hAnsi="Amiri" w:eastAsia="Amiri" w:cs="Amiri"/>
          <w:color w:val="111111"/>
          <w:sz w:val="28"/>
          <w:sz w:val="28"/>
          <w:szCs w:val="28"/>
          <w:rtl w:val="true"/>
          <w:lang w:bidi="ar-SA"/>
        </w:rPr>
        <w:t xml:space="preserve">لأنّها معاوضة فلو تناولته تجهّلت </w:t>
      </w:r>
      <w:r>
        <w:rPr>
          <w:rStyle w:val="FootnoteAnchor"/>
          <w:rtl w:val="true"/>
        </w:rPr>
        <w:footnoteReference w:id="1774"/>
      </w:r>
      <w:r>
        <w:rPr>
          <w:rFonts w:ascii="Amiri" w:hAnsi="Amiri" w:eastAsia="Amiri" w:cs="Amiri"/>
          <w:color w:val="111111"/>
          <w:sz w:val="28"/>
          <w:sz w:val="28"/>
          <w:szCs w:val="28"/>
          <w:rtl w:val="true"/>
          <w:lang w:bidi="ar-SA"/>
        </w:rPr>
        <w:t xml:space="preserve">والمذهب خلافه، والأدلّة عامّة </w:t>
      </w:r>
      <w:r>
        <w:rPr>
          <w:rStyle w:val="FootnoteAnchor"/>
          <w:rtl w:val="true"/>
        </w:rPr>
        <w:footnoteReference w:id="1775"/>
      </w:r>
      <w:r>
        <w:rPr>
          <w:rFonts w:ascii="IRNazanin" w:hAnsi="IRNazanin" w:eastAsia="IRNazanin"/>
          <w:color w:val="111111"/>
          <w:sz w:val="28"/>
          <w:sz w:val="28"/>
          <w:szCs w:val="28"/>
          <w:rtl w:val="true"/>
          <w:lang w:bidi="fa-IR"/>
        </w:rPr>
        <w:t>والنفقة والفطرة علیهما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ملک بجزئه الحرّ مالاً کالإرث والوصیّة لم یشارکه المولی فیه وإن اتّفق فی نوبته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امتنعا أو أحدهما من المهایأة لم یجبر الممتنع، وکان علی المولی نصف اُجرة عمله الذی یأمره به، وعلی المبعَّض نصف اُجرة ما یغصبه </w:t>
      </w:r>
      <w:r>
        <w:rPr>
          <w:rStyle w:val="FootnoteAnchor"/>
          <w:rtl w:val="true"/>
        </w:rPr>
        <w:footnoteReference w:id="1776"/>
      </w:r>
      <w:r>
        <w:rPr>
          <w:rFonts w:ascii="Amiri" w:hAnsi="Amiri" w:eastAsia="Amiri" w:cs="Amiri"/>
          <w:color w:val="111111"/>
          <w:sz w:val="28"/>
          <w:sz w:val="28"/>
          <w:szCs w:val="28"/>
          <w:rtl w:val="true"/>
          <w:lang w:bidi="ar-SA"/>
        </w:rPr>
        <w:t>من المدّة ویفوّته اختیاراً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القیمة حلف الشریک؛ لأنّه یُنتزع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ینتزع إلّا بما یقوله؛ لأصالة عدم استحقاق ملکه إلّابعوض یختاره، کما یحلف المشتری لو نازعه الشفیع فیها؛ للعلّة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المعتق؛ لأنّه غارم </w:t>
      </w:r>
      <w:r>
        <w:rPr>
          <w:rStyle w:val="FootnoteAnchor"/>
          <w:rtl w:val="true"/>
        </w:rPr>
        <w:footnoteReference w:id="1777"/>
      </w:r>
      <w:r>
        <w:rPr>
          <w:rFonts w:ascii="IRNazanin" w:hAnsi="IRNazanin" w:eastAsia="IRNazanin"/>
          <w:color w:val="111111"/>
          <w:sz w:val="28"/>
          <w:sz w:val="28"/>
          <w:szCs w:val="28"/>
          <w:rtl w:val="true"/>
          <w:lang w:bidi="fa-IR"/>
        </w:rPr>
        <w:t xml:space="preserve">وربما بُنی الخلاف علی عتقه بالأداء أو الإعتاق، فعلی الأوّل الأوّل، وعلی الثانی الثانی، وعلیه المصنّف فی الدروس </w:t>
      </w:r>
      <w:r>
        <w:rPr>
          <w:rStyle w:val="FootnoteAnchor"/>
          <w:rtl w:val="true"/>
        </w:rPr>
        <w:footnoteReference w:id="1778"/>
      </w:r>
      <w:r>
        <w:rPr>
          <w:rFonts w:ascii="IRNazanin" w:hAnsi="IRNazanin" w:eastAsia="IRNazanin"/>
          <w:color w:val="111111"/>
          <w:sz w:val="28"/>
          <w:sz w:val="28"/>
          <w:szCs w:val="28"/>
          <w:rtl w:val="true"/>
          <w:lang w:bidi="fa-IR"/>
        </w:rPr>
        <w:t>لکن قدّم علی الحلف عرضه علی المقوّمین مع الإمکان</w:t>
      </w:r>
      <w:r>
        <w:rPr>
          <w:rFonts w:eastAsia="IRNazanin" w:cs="IRNazanin"/>
          <w:color w:val="111111"/>
          <w:sz w:val="28"/>
          <w:szCs w:val="28"/>
          <w:rtl w:val="true"/>
          <w:lang w:bidi="fa-IR"/>
        </w:rPr>
        <w:t>.</w:t>
      </w:r>
      <w:bookmarkStart w:id="590" w:name="pg19810_214679"/>
    </w:p>
    <w:p>
      <w:pPr>
        <w:pStyle w:val="BookText"/>
        <w:rPr/>
      </w:pPr>
      <w:bookmarkEnd w:id="590"/>
      <w:r>
        <w:rPr>
          <w:rFonts w:ascii="IRNazanin" w:hAnsi="IRNazanin" w:eastAsia="IRNazanin"/>
          <w:color w:val="111111"/>
          <w:sz w:val="28"/>
          <w:sz w:val="28"/>
          <w:szCs w:val="28"/>
          <w:rtl w:val="true"/>
          <w:lang w:bidi="fa-IR"/>
        </w:rPr>
        <w:t>والأقوی تقدیم قول المعتق؛ للأصل، ولأ نّه متلف فلا یقصر عن الغاصب المتلف</w:t>
      </w:r>
      <w:r>
        <w:rPr>
          <w:rFonts w:eastAsia="IRNazanin" w:cs="IRNazanin"/>
          <w:color w:val="111111"/>
          <w:sz w:val="28"/>
          <w:szCs w:val="28"/>
          <w:rtl w:val="true"/>
          <w:lang w:bidi="fa-IR"/>
        </w:rPr>
        <w:t>.</w:t>
      </w:r>
    </w:p>
    <w:p>
      <w:pPr>
        <w:pStyle w:val="Heading3"/>
        <w:numPr>
          <w:ilvl w:val="2"/>
          <w:numId w:val="1"/>
        </w:numPr>
        <w:rPr/>
      </w:pPr>
      <w:bookmarkStart w:id="591" w:name="__RefHeading___Toc2175693_2314609296"/>
      <w:bookmarkStart w:id="592" w:name="_Toc221"/>
      <w:bookmarkEnd w:id="591"/>
      <w:r>
        <w:rPr>
          <w:rtl w:val="true"/>
        </w:rPr>
        <w:t>[</w:t>
      </w:r>
      <w:r>
        <w:rPr>
          <w:rtl w:val="true"/>
        </w:rPr>
        <w:t xml:space="preserve">ما یحصل به العتق </w:t>
      </w:r>
      <w:r>
        <w:rPr>
          <w:rtl w:val="true"/>
        </w:rPr>
        <w:t>]</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یحصل العتق بالعمی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عمی المملوک بحیث لا یبصر أصلاً؛ لقول الصادق علیه السلام فی حسنة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عمی المملوک فقد اُعتق</w:t>
      </w:r>
      <w:r>
        <w:rPr>
          <w:rFonts w:eastAsia="IRNazanin" w:cs="IRNazanin"/>
          <w:color w:val="111111"/>
          <w:sz w:val="28"/>
          <w:szCs w:val="28"/>
          <w:rtl w:val="true"/>
          <w:lang w:bidi="fa-IR"/>
        </w:rPr>
        <w:t xml:space="preserve">» </w:t>
      </w:r>
      <w:r>
        <w:rPr>
          <w:rStyle w:val="FootnoteAnchor"/>
          <w:rtl w:val="true"/>
        </w:rPr>
        <w:footnoteReference w:id="1779"/>
      </w:r>
      <w:r>
        <w:rPr>
          <w:rFonts w:ascii="IRNazanin" w:hAnsi="IRNazanin" w:eastAsia="IRNazanin"/>
          <w:color w:val="111111"/>
          <w:sz w:val="28"/>
          <w:sz w:val="28"/>
          <w:szCs w:val="28"/>
          <w:rtl w:val="true"/>
          <w:lang w:bidi="fa-IR"/>
        </w:rPr>
        <w:t>وروی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عمی المملوک فلا رقّ علیه، والعبد إذا جُذم فلا رقّ علیه</w:t>
      </w:r>
      <w:r>
        <w:rPr>
          <w:rFonts w:eastAsia="IRNazanin" w:cs="IRNazanin"/>
          <w:color w:val="111111"/>
          <w:sz w:val="28"/>
          <w:szCs w:val="28"/>
          <w:rtl w:val="true"/>
          <w:lang w:bidi="fa-IR"/>
        </w:rPr>
        <w:t xml:space="preserve">» </w:t>
      </w:r>
      <w:r>
        <w:rPr>
          <w:rStyle w:val="FootnoteAnchor"/>
          <w:rtl w:val="true"/>
        </w:rPr>
        <w:footnoteReference w:id="1780"/>
      </w:r>
      <w:r>
        <w:rPr>
          <w:rFonts w:ascii="IRNazanin" w:hAnsi="IRNazanin" w:eastAsia="IRNazanin"/>
          <w:color w:val="111111"/>
          <w:sz w:val="28"/>
          <w:sz w:val="28"/>
          <w:szCs w:val="28"/>
          <w:rtl w:val="true"/>
          <w:lang w:bidi="fa-IR"/>
        </w:rPr>
        <w:t xml:space="preserve">وفی معناهما أخبار کثیرة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 نّه إجماع ومن ثمّ لم ینکره ابن إدریس </w:t>
      </w:r>
      <w:r>
        <w:rPr>
          <w:rStyle w:val="FootnoteAnchor"/>
          <w:rtl w:val="true"/>
        </w:rPr>
        <w:footnoteReference w:id="1782"/>
      </w:r>
      <w:r>
        <w:rPr>
          <w:rFonts w:ascii="IRNazanin" w:hAnsi="IRNazanin" w:eastAsia="IRNazanin"/>
          <w:color w:val="111111"/>
          <w:sz w:val="28"/>
          <w:sz w:val="28"/>
          <w:szCs w:val="28"/>
          <w:rtl w:val="true"/>
          <w:lang w:bidi="fa-IR"/>
        </w:rPr>
        <w:t xml:space="preserve">وإلّا فالمستند </w:t>
      </w:r>
      <w:r>
        <w:rPr>
          <w:rStyle w:val="FootnoteAnchor"/>
          <w:rtl w:val="true"/>
        </w:rPr>
        <w:footnoteReference w:id="1783"/>
      </w:r>
      <w:r>
        <w:rPr>
          <w:rFonts w:ascii="IRNazanin" w:hAnsi="IRNazanin" w:eastAsia="IRNazanin"/>
          <w:color w:val="111111"/>
          <w:sz w:val="28"/>
          <w:sz w:val="28"/>
          <w:szCs w:val="28"/>
          <w:rtl w:val="true"/>
          <w:lang w:bidi="fa-IR"/>
        </w:rPr>
        <w:t xml:space="preserve">ضعیف، وألحق به ابن حمزة البرص </w:t>
      </w:r>
      <w:r>
        <w:rPr>
          <w:rStyle w:val="FootnoteAnchor"/>
          <w:rtl w:val="true"/>
        </w:rPr>
        <w:footnoteReference w:id="1784"/>
      </w:r>
      <w:r>
        <w:rPr>
          <w:rFonts w:ascii="IRNazanin" w:hAnsi="IRNazanin" w:eastAsia="IRNazanin"/>
          <w:color w:val="111111"/>
          <w:sz w:val="28"/>
          <w:sz w:val="28"/>
          <w:szCs w:val="28"/>
          <w:rtl w:val="true"/>
          <w:lang w:bidi="fa-IR"/>
        </w:rPr>
        <w:t>ولم یثبت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والإقعاد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الأصحاب ولم نقف علی مستنده، وفی النافع نسبه إلی الأصحاب </w:t>
      </w:r>
      <w:r>
        <w:rPr>
          <w:rStyle w:val="FootnoteAnchor"/>
          <w:rtl w:val="true"/>
        </w:rPr>
        <w:footnoteReference w:id="1785"/>
      </w:r>
      <w:r>
        <w:rPr>
          <w:rFonts w:ascii="IRNazanin" w:hAnsi="IRNazanin" w:eastAsia="IRNazanin"/>
          <w:color w:val="111111"/>
          <w:sz w:val="28"/>
          <w:sz w:val="28"/>
          <w:szCs w:val="28"/>
          <w:rtl w:val="true"/>
          <w:lang w:bidi="fa-IR"/>
        </w:rPr>
        <w:t>مشعراً بتمریضه إن لم تکن إشارة إلی أ نّه إجماع وکونه المستند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وإسلام المملوک فی دار الحرب سابقاً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منها قبله علی أصحّ القولین </w:t>
      </w:r>
      <w:r>
        <w:rPr>
          <w:rStyle w:val="FootnoteAnchor"/>
          <w:rtl w:val="true"/>
        </w:rPr>
        <w:footnoteReference w:id="1786"/>
      </w:r>
      <w:r>
        <w:rPr>
          <w:rFonts w:ascii="IRNazanin" w:hAnsi="IRNazanin" w:eastAsia="IRNazanin"/>
          <w:color w:val="111111"/>
          <w:sz w:val="28"/>
          <w:sz w:val="28"/>
          <w:szCs w:val="28"/>
          <w:rtl w:val="true"/>
          <w:lang w:bidi="fa-IR"/>
        </w:rPr>
        <w:t xml:space="preserve">للخبر </w:t>
      </w:r>
      <w:r>
        <w:rPr>
          <w:rStyle w:val="FootnoteAnchor"/>
          <w:rtl w:val="true"/>
        </w:rPr>
        <w:footnoteReference w:id="1787"/>
      </w:r>
      <w:r>
        <w:rPr>
          <w:rFonts w:ascii="IRNazanin" w:hAnsi="IRNazanin" w:eastAsia="IRNazanin"/>
          <w:color w:val="111111"/>
          <w:sz w:val="28"/>
          <w:sz w:val="28"/>
          <w:szCs w:val="28"/>
          <w:rtl w:val="true"/>
          <w:lang w:bidi="fa-IR"/>
        </w:rPr>
        <w:t>ولأنّ إسلام المملوک لا ینافی ملک الکافر له، غایته أ نّه یُجبر علی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یملک نفسه بالقهر لسیّده، ولا یتحقّق ثَمَّ إلّابالخروج إلینا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 بعده لم یُعتق وإن خرج إلینا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ملک نفسه أمکن بعد ذلک أن یسترقّ مولاه إذا قهره، فتنعکس المولویّة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ودفعِ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سیّده لیُعتق 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العبارة انعتاقه بمجرّد دفع القیمة، حیث جعله سبب العتق، وکذا یظهر منها الاکتفاء فی عتقه بدفع القیمة من غیر عقد وسیأتی فی المیراث </w:t>
      </w:r>
      <w:r>
        <w:rPr>
          <w:rStyle w:val="FootnoteAnchor"/>
          <w:rtl w:val="true"/>
        </w:rPr>
        <w:footnoteReference w:id="1788"/>
      </w:r>
      <w:r>
        <w:rPr>
          <w:rFonts w:ascii="IRNazanin" w:hAnsi="IRNazanin" w:eastAsia="IRNazanin"/>
          <w:color w:val="111111"/>
          <w:sz w:val="28"/>
          <w:sz w:val="28"/>
          <w:szCs w:val="28"/>
          <w:rtl w:val="true"/>
          <w:lang w:bidi="fa-IR"/>
        </w:rPr>
        <w:t>أ نّه یُشتری ویُعتق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یُرید کون دفع القیمة من جملة أسباب العتق وإن توقّف علی أمر آخر، کسببیّة التدبیر والکتابة والاستیلاد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وتنکیلِ المولی بعبده</w:t>
      </w:r>
      <w:r>
        <w:rPr>
          <w:rFonts w:eastAsia="IRNazanin" w:cs="IRNazanin"/>
          <w:color w:val="111111"/>
          <w:sz w:val="28"/>
          <w:szCs w:val="28"/>
          <w:rtl w:val="true"/>
          <w:lang w:bidi="fa-IR"/>
        </w:rPr>
        <w:t xml:space="preserve">» </w:t>
      </w:r>
      <w:r>
        <w:rPr>
          <w:rStyle w:val="FootnoteAnchor"/>
          <w:rtl w:val="true"/>
        </w:rPr>
        <w:footnoteReference w:id="1789"/>
      </w:r>
      <w:r>
        <w:rPr>
          <w:rFonts w:ascii="IRNazanin" w:hAnsi="IRNazanin" w:eastAsia="IRNazanin"/>
          <w:color w:val="111111"/>
          <w:sz w:val="28"/>
          <w:sz w:val="28"/>
          <w:szCs w:val="28"/>
          <w:rtl w:val="true"/>
          <w:lang w:bidi="fa-IR"/>
        </w:rPr>
        <w:t>فی المشهور، وبه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bookmarkStart w:id="593" w:name="pg19810_214681"/>
    </w:p>
    <w:p>
      <w:pPr>
        <w:pStyle w:val="BookText"/>
        <w:rPr/>
      </w:pPr>
      <w:bookmarkEnd w:id="593"/>
      <w:r>
        <w:rPr>
          <w:rFonts w:ascii="Amiri" w:hAnsi="Amiri" w:eastAsia="Amiri" w:cs="Amiri"/>
          <w:color w:val="111111"/>
          <w:sz w:val="28"/>
          <w:sz w:val="28"/>
          <w:szCs w:val="28"/>
          <w:rtl w:val="true"/>
          <w:lang w:bidi="ar-SA"/>
        </w:rPr>
        <w:t xml:space="preserve">مرسلة </w:t>
      </w:r>
      <w:r>
        <w:rPr>
          <w:rStyle w:val="FootnoteAnchor"/>
          <w:rtl w:val="true"/>
        </w:rPr>
        <w:footnoteReference w:id="1790"/>
      </w:r>
      <w:r>
        <w:rPr>
          <w:rFonts w:ascii="IRNazanin" w:hAnsi="IRNazanin" w:eastAsia="IRNazanin"/>
          <w:color w:val="111111"/>
          <w:sz w:val="28"/>
          <w:sz w:val="28"/>
          <w:szCs w:val="28"/>
          <w:rtl w:val="true"/>
          <w:lang w:bidi="fa-IR"/>
        </w:rPr>
        <w:t xml:space="preserve">وفی بعض سند الاُخری جهالة </w:t>
      </w:r>
      <w:r>
        <w:rPr>
          <w:rStyle w:val="FootnoteAnchor"/>
          <w:rtl w:val="true"/>
        </w:rPr>
        <w:footnoteReference w:id="1791"/>
      </w:r>
      <w:r>
        <w:rPr>
          <w:rFonts w:ascii="Amiri" w:hAnsi="Amiri" w:eastAsia="Amiri" w:cs="Amiri"/>
          <w:color w:val="111111"/>
          <w:sz w:val="28"/>
          <w:sz w:val="28"/>
          <w:szCs w:val="28"/>
          <w:rtl w:val="true"/>
          <w:lang w:bidi="ar-SA"/>
        </w:rPr>
        <w:t xml:space="preserve">ومن ثَمَّ أنکره ابن إدریس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وأصل التنکیل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الأمر الفظیع بالغیر،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 به تنکیلاً إذا جعله نکالاً وعبرة لغیره، مثل أن یقطع أنفه أو لسانه أو اُذنیه أو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کلام الأصحاب هنا شیء محرَّر، بل اقتصروا علی مجرّد اللفظ فیرجع فیه إلی العرف، فما یُعدّ تنکیلاً عرفاً یترتّب علیه حکمه والأمة فی ذلک کالعبد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الروایة المملوک، فلو عبّر به المصنّف کان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یحصل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ملک الذکر أحد العمودین أو إحدی المحرّمات نسباً أو رضاعاً، والمرأة أحد العمودین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تحقیقه فی کتاب البیع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2175695_2314609296"/>
      <w:bookmarkStart w:id="595" w:name="_Toc222"/>
      <w:bookmarkEnd w:id="594"/>
      <w:r>
        <w:rPr>
          <w:rtl w:val="true"/>
        </w:rPr>
        <w:t>[ «</w:t>
      </w:r>
      <w:r>
        <w:rPr>
          <w:rtl w:val="true"/>
        </w:rPr>
        <w:t>ویلحق بذلک مسائل</w:t>
      </w:r>
      <w:r>
        <w:rPr>
          <w:rtl w:val="true"/>
        </w:rPr>
        <w:t>» :]</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لمن أعتق بعض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أأعتقتهم؟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عبیدک بصیغة العموم من غیر تخصیص بمن أعتقه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یُعتَق سوی من 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الصیغة لا تکفی فی العتق، وإنّما حُکِم بعتق من أعتقه بالصیغة السابقة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بحسب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الظاهر،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الاستفهام</w:t>
      </w:r>
    </w:p>
    <w:p>
      <w:pPr>
        <w:pStyle w:val="BookText"/>
        <w:rPr/>
      </w:pPr>
      <w:r>
        <w:rPr>
          <w:rFonts w:ascii="IRNazanin" w:hAnsi="IRNazanin" w:eastAsia="IRNazanin"/>
          <w:color w:val="111111"/>
          <w:sz w:val="28"/>
          <w:sz w:val="28"/>
          <w:szCs w:val="28"/>
          <w:rtl w:val="true"/>
          <w:lang w:bidi="fa-IR"/>
        </w:rPr>
        <w:t>عن عتق عبیده الذی هو جمع مضاف مفید للعموم عند المحقّقین، یفید الإقرار بعتق جمیع عبیده، من أوقع علیه منهم صیغة وغیره، عملاً بظاهر إقرار المسلم، فإنّ الإقرار وإن کان إخباراً عمّا سبق لا یصدق إلّامع مطابقته لأمر واقع فی الخارج سابق علیه، إلّاأ نّه لا یشترط العلم بوقوع السبب الخارجی، بل یکفی إمکانه وهو هنا حاصل، فیلزم الحکم علیه ظاهراً بعتق الجمیع لکلّ من لم یعلم بفساد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الأصحاب أطلقوا القول بأ نّه لا یُعتق إلّامن أعتقه من غیر فرق بین الظاهر ونفس الأمر تبعاً للروایة </w:t>
      </w:r>
      <w:r>
        <w:rPr>
          <w:rStyle w:val="FootnoteAnchor"/>
          <w:rtl w:val="true"/>
        </w:rPr>
        <w:footnoteReference w:id="1794"/>
      </w:r>
      <w:r>
        <w:rPr>
          <w:rFonts w:ascii="IRNazanin" w:hAnsi="IRNazanin" w:eastAsia="IRNazanin"/>
          <w:color w:val="111111"/>
          <w:sz w:val="28"/>
          <w:sz w:val="28"/>
          <w:szCs w:val="28"/>
          <w:rtl w:val="true"/>
          <w:lang w:bidi="fa-IR"/>
        </w:rPr>
        <w:t>وهی ضعیفة مقطوعة، وفیها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ویقوی الإشکال لوکان من أعتقه سابقاً لا یبلغ الجمع، فإنّ إقراره ینافیه من حیث الجمع والعموم، بل هو فی الحقیقة جمع کثرة لا یُطلق حقیقة إلّاعلی ما فوق العشرة، فکیف یُحمل علی الواحد بحسب مدلول اللفظ لو لم یکن أعتق غیره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یتمّ بحسب ما یعرفه المعتق ویدین به، لا بحسب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الأمر فی جمع الکثرة سهل؛ لأنّ العرف لا یفرّق بینه وبین جمع القلّة وهو المحکَّم فی هذا الباب</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واشترط بعضهم فی المحکوم بعتقه ظاهراً الکثرة </w:t>
      </w:r>
      <w:r>
        <w:rPr>
          <w:rStyle w:val="FootnoteAnchor"/>
          <w:rtl w:val="true"/>
        </w:rPr>
        <w:footnoteReference w:id="1795"/>
      </w:r>
      <w:r>
        <w:rPr>
          <w:rFonts w:ascii="IRNazanin" w:hAnsi="IRNazanin" w:eastAsia="IRNazanin"/>
          <w:color w:val="111111"/>
          <w:sz w:val="28"/>
          <w:sz w:val="28"/>
          <w:szCs w:val="28"/>
          <w:rtl w:val="true"/>
          <w:lang w:bidi="fa-IR"/>
        </w:rPr>
        <w:t>نظراً إلی مدلول لفظ الجمع، فیلزم عتق ما یصدق علیه الجمع حقیقة، ویکون فی غیر من أعتقه</w:t>
      </w:r>
    </w:p>
    <w:p>
      <w:pPr>
        <w:pStyle w:val="BookText"/>
        <w:rPr/>
      </w:pPr>
      <w:r>
        <w:rPr>
          <w:rFonts w:ascii="IRNazanin" w:hAnsi="IRNazanin" w:eastAsia="IRNazanin"/>
          <w:color w:val="111111"/>
          <w:sz w:val="28"/>
          <w:sz w:val="28"/>
          <w:szCs w:val="28"/>
          <w:rtl w:val="true"/>
          <w:lang w:bidi="fa-IR"/>
        </w:rPr>
        <w:t>کالمشتبه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واعتُذر لهم عمّا ذکرناه بأ نّه إذا أعتق ثلاثة من ممالیکه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ممالیکی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أأعتقت ممالیکک؟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وهی تقتضی إعادة السؤال وتقریره، فیکون إقراراً بعتق الممالیک الذین انعتقوا دون غیرهم؛ لأصالة البراءة، والإقرار إنّما یحمل علی المتیقّن لا علی ما فیه احتمال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قرّرناه یُعلم فساد الاعتذار للفرق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أعتقت ممالیکی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للعموم، وبین قوله 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ممالیکی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حینئذٍ یفید عموم المذکور دون غیره، بخلاف المطلق، فإنّه یفیده فی جمیع من یملکه بطریق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احتمال فیه من جهة مدلول اللفظ، فکیف یتخصّص بما لا دلیل علیه ظاهراً؟</w:t>
      </w:r>
    </w:p>
    <w:p>
      <w:pPr>
        <w:pStyle w:val="BookText"/>
        <w:rPr/>
      </w:pPr>
      <w:r>
        <w:rPr>
          <w:rFonts w:ascii="IRNazanin" w:hAnsi="IRNazanin" w:eastAsia="IRNazanin"/>
          <w:color w:val="111111"/>
          <w:sz w:val="28"/>
          <w:sz w:val="28"/>
          <w:szCs w:val="28"/>
          <w:rtl w:val="true"/>
          <w:lang w:bidi="fa-IR"/>
        </w:rPr>
        <w:t xml:space="preserve">نعم، لو کان الإقرار فی محلّ اضطرار </w:t>
      </w:r>
      <w:r>
        <w:rPr>
          <w:rStyle w:val="FootnoteAnchor"/>
          <w:rtl w:val="true"/>
        </w:rPr>
        <w:footnoteReference w:id="1797"/>
      </w:r>
      <w:r>
        <w:rPr>
          <w:rFonts w:ascii="IRNazanin" w:hAnsi="IRNazanin" w:eastAsia="IRNazanin"/>
          <w:color w:val="111111"/>
          <w:sz w:val="28"/>
          <w:sz w:val="28"/>
          <w:szCs w:val="28"/>
          <w:rtl w:val="true"/>
          <w:lang w:bidi="fa-IR"/>
        </w:rPr>
        <w:t xml:space="preserve">کما لو مرّ بعاشر فأخبر بعتقهم لیسلم منه اتّجه القول بأ نّه لا یُعتق إلّاما أعتقه عملاً بقرینة الحال فی الإقرار، وبه وردت الروایة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نذر عتق أوّل ما تلده فولدت توأمین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ولدین فی بطنٍ، واحِدُهما توأم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فَوْعل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إن ولدتهما دفعة واحدة؛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صیغ العموم فیشملهما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ولدتهما متعاقبین عتق الأوّل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w:t>
      </w:r>
    </w:p>
    <w:p>
      <w:pPr>
        <w:pStyle w:val="BookText"/>
        <w:rPr/>
      </w:pPr>
      <w:r>
        <w:rPr>
          <w:rFonts w:ascii="Amiri" w:hAnsi="Amiri" w:eastAsia="Amiri" w:cs="Amiri"/>
          <w:color w:val="111111"/>
          <w:sz w:val="28"/>
          <w:sz w:val="28"/>
          <w:szCs w:val="28"/>
          <w:rtl w:val="true"/>
          <w:lang w:bidi="ar-SA"/>
        </w:rPr>
        <w:t xml:space="preserve">لم یُقیّد بالدفعة </w:t>
      </w:r>
      <w:r>
        <w:rPr>
          <w:rStyle w:val="FootnoteAnchor"/>
          <w:rtl w:val="true"/>
        </w:rPr>
        <w:footnoteReference w:id="1799"/>
      </w:r>
      <w:r>
        <w:rPr>
          <w:rFonts w:ascii="IRNazanin" w:hAnsi="IRNazanin" w:eastAsia="IRNazanin"/>
          <w:color w:val="111111"/>
          <w:sz w:val="28"/>
          <w:sz w:val="28"/>
          <w:szCs w:val="28"/>
          <w:rtl w:val="true"/>
          <w:lang w:bidi="fa-IR"/>
        </w:rPr>
        <w:t xml:space="preserve">تبعاً للروایة </w:t>
      </w:r>
      <w:r>
        <w:rPr>
          <w:rStyle w:val="FootnoteAnchor"/>
          <w:rtl w:val="true"/>
        </w:rPr>
        <w:footnoteReference w:id="1800"/>
      </w:r>
      <w:r>
        <w:rPr>
          <w:rFonts w:ascii="Amiri" w:hAnsi="Amiri" w:eastAsia="Amiri" w:cs="Amiri"/>
          <w:color w:val="111111"/>
          <w:sz w:val="28"/>
          <w:sz w:val="28"/>
          <w:szCs w:val="28"/>
          <w:rtl w:val="true"/>
          <w:lang w:bidi="ar-SA"/>
        </w:rPr>
        <w:t xml:space="preserve">وتبعه جماعة </w:t>
      </w:r>
      <w:r>
        <w:rPr>
          <w:rStyle w:val="FootnoteAnchor"/>
          <w:rtl w:val="true"/>
        </w:rPr>
        <w:footnoteReference w:id="1801"/>
      </w:r>
      <w:r>
        <w:rPr>
          <w:rFonts w:ascii="IRNazanin" w:hAnsi="IRNazanin" w:eastAsia="IRNazanin"/>
          <w:color w:val="111111"/>
          <w:sz w:val="28"/>
          <w:sz w:val="28"/>
          <w:szCs w:val="28"/>
          <w:rtl w:val="true"/>
          <w:lang w:bidi="fa-IR"/>
        </w:rPr>
        <w:t>منهم المصنّف هنا، وحملت علی إرادة أوّل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ولدته حیّاً، وإلّا عتق الثانی؛ لأنّ المیّت لا یصلح للعتق، ونذره صحیحاً یدلّ علی حیاته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لفوات متعلّقه </w:t>
      </w:r>
      <w:r>
        <w:rPr>
          <w:rStyle w:val="FootnoteAnchor"/>
          <w:rtl w:val="true"/>
        </w:rPr>
        <w:footnoteReference w:id="1802"/>
      </w:r>
      <w:r>
        <w:rPr>
          <w:rFonts w:ascii="Amiri" w:hAnsi="Amiri" w:eastAsia="Amiri" w:cs="Amiri"/>
          <w:color w:val="111111"/>
          <w:sz w:val="28"/>
          <w:sz w:val="28"/>
          <w:szCs w:val="28"/>
          <w:rtl w:val="true"/>
          <w:lang w:bidi="ar-SA"/>
        </w:rPr>
        <w:t>ولو ولدته حرّاً أو مستحقّاً للعتق لعارضٍ فوجهان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نذر عتق أوّل ما یملکه فملک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دفعة واحدة بأن قبل شراءَهم، أو تملّکهم فی عقد واحد، أو ورثهم من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لما ذکرناه من العموم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مملوک أملکه فملک جماعة، أعتق أحدهم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مملوکاً نکرة واقعة فی الإثبات فلا یعمّ، بل یصدق بواحد فلا یتناول غیره؛ لأصالة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مولود تلده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حینئذٍ بین نذر ما تلده ویملکه فیهما نظراً إلی مدلول الصیغة فی العموم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خصّ إحداهما بإحدی العبارتین والاُخری بالاُخری فقد مثّل </w:t>
      </w:r>
      <w:r>
        <w:rPr>
          <w:rStyle w:val="FootnoteAnchor"/>
          <w:rtl w:val="true"/>
        </w:rPr>
        <w:footnoteReference w:id="1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بینهما من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بحث؛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تحتمل المصدریّة والنکرة المثبتة تحتمل الجنسیّة، فیُلحق الأوّل بالثانی، والثانی بالأوّل، ولا شبهة فیه عند قصده، إنّما الشکّ مع إطلاقه؛ لأنّه حینئذٍ مشترک فلا یخصّ </w:t>
      </w:r>
      <w:r>
        <w:rPr>
          <w:rStyle w:val="FootnoteAnchor"/>
          <w:rtl w:val="true"/>
        </w:rPr>
        <w:footnoteReference w:id="1804"/>
      </w:r>
      <w:r>
        <w:rPr>
          <w:rFonts w:ascii="IRNazanin" w:hAnsi="IRNazanin" w:eastAsia="IRNazanin"/>
          <w:color w:val="111111"/>
          <w:sz w:val="28"/>
          <w:sz w:val="28"/>
          <w:szCs w:val="28"/>
          <w:rtl w:val="true"/>
          <w:lang w:bidi="fa-IR"/>
        </w:rPr>
        <w:t>بأحد معانیه بدون القرینة، إلّاأن یُدّعی وجودها فیما ادّعوه من الأفراد، وغیر بعید ظهور الفرد المدّعی وإن احتمل خلافه، وهو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دلالة الجنسیّة علی تقدیر إرادتها أو دلالتها علی العموم نظراً؛ لأنّه صالح للقلیل والکثیر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التعدّد والحمل علی الواحد یُستخرج المعتَق بالقرعة کما ذُکر؛ لصحیحة الحلبی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مملوک أملکه فهو حرّ، فورث سبعة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ویُعتق الذی قُرع</w:t>
      </w:r>
      <w:r>
        <w:rPr>
          <w:rFonts w:eastAsia="IRNazanin" w:cs="IRNazanin"/>
          <w:color w:val="111111"/>
          <w:sz w:val="28"/>
          <w:szCs w:val="28"/>
          <w:rtl w:val="true"/>
          <w:lang w:bidi="fa-IR"/>
        </w:rPr>
        <w:t xml:space="preserve">» </w:t>
      </w:r>
      <w:r>
        <w:rPr>
          <w:rStyle w:val="FootnoteAnchor"/>
          <w:rtl w:val="true"/>
        </w:rPr>
        <w:footnoteReference w:id="1805"/>
      </w:r>
      <w:r>
        <w:rPr>
          <w:rFonts w:ascii="IRNazanin" w:hAnsi="IRNazanin" w:eastAsia="IRNazanin"/>
          <w:color w:val="111111"/>
          <w:sz w:val="28"/>
          <w:sz w:val="28"/>
          <w:szCs w:val="28"/>
          <w:rtl w:val="true"/>
          <w:lang w:bidi="fa-IR"/>
        </w:rPr>
        <w:t xml:space="preserve">والآخر </w:t>
      </w:r>
      <w:r>
        <w:rPr>
          <w:rStyle w:val="FootnoteAnchor"/>
          <w:rtl w:val="true"/>
        </w:rPr>
        <w:footnoteReference w:id="1806"/>
      </w:r>
      <w:r>
        <w:rPr>
          <w:rFonts w:ascii="IRNazanin" w:hAnsi="IRNazanin" w:eastAsia="IRNazanin"/>
          <w:color w:val="111111"/>
          <w:sz w:val="28"/>
          <w:sz w:val="28"/>
          <w:szCs w:val="28"/>
          <w:rtl w:val="true"/>
          <w:lang w:bidi="fa-IR"/>
        </w:rPr>
        <w:t>محمول علیه؛ لأنّه بمعناه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یشکل ذلک فی غیر مورد النصّ بأنّ القرعة لإخراج ما هو معلوم فی نفس الأمر مشتبه ظاهراً، وهنا الاشتباه واقع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تتوجّه القرعة فی غیر موضع النصّ، إلّاأن یمنع تخصیصها بما ذُکر نظراً إلی عموم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لکلّ أمر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خصوصیّة هذه العبارة لم تصل إلینا مستندة علی وجه یُعتمد </w:t>
      </w:r>
      <w:r>
        <w:rPr>
          <w:rStyle w:val="FootnoteAnchor"/>
          <w:rtl w:val="true"/>
        </w:rPr>
        <w:footnoteReference w:id="1807"/>
      </w:r>
      <w:r>
        <w:rPr>
          <w:rFonts w:ascii="IRNazanin" w:hAnsi="IRNazanin" w:eastAsia="IRNazanin"/>
          <w:color w:val="111111"/>
          <w:sz w:val="28"/>
          <w:sz w:val="28"/>
          <w:szCs w:val="28"/>
          <w:rtl w:val="true"/>
          <w:lang w:bidi="fa-IR"/>
        </w:rPr>
        <w:t>وإن کانت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فی تعیین من شاء </w:t>
      </w:r>
      <w:r>
        <w:rPr>
          <w:rStyle w:val="FootnoteAnchor"/>
          <w:rtl w:val="true"/>
        </w:rPr>
        <w:footnoteReference w:id="1808"/>
      </w:r>
      <w:r>
        <w:rPr>
          <w:rFonts w:ascii="IRNazanin" w:hAnsi="IRNazanin" w:eastAsia="IRNazanin"/>
          <w:color w:val="111111"/>
          <w:sz w:val="28"/>
          <w:sz w:val="28"/>
          <w:szCs w:val="28"/>
          <w:rtl w:val="true"/>
          <w:lang w:bidi="fa-IR"/>
        </w:rPr>
        <w:t xml:space="preserve">لروایة الحسن الصیقل عنه علیه السلام </w:t>
      </w:r>
      <w:r>
        <w:rPr>
          <w:rStyle w:val="FootnoteAnchor"/>
          <w:rtl w:val="true"/>
        </w:rPr>
        <w:footnoteReference w:id="1809"/>
      </w:r>
      <w:r>
        <w:rPr>
          <w:rFonts w:ascii="IRNazanin" w:hAnsi="IRNazanin" w:eastAsia="IRNazanin"/>
          <w:color w:val="111111"/>
          <w:sz w:val="28"/>
          <w:sz w:val="28"/>
          <w:szCs w:val="28"/>
          <w:rtl w:val="true"/>
          <w:lang w:bidi="fa-IR"/>
        </w:rPr>
        <w:t>فی المسألة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الروایة ضعیفة السند </w:t>
      </w:r>
      <w:r>
        <w:rPr>
          <w:rStyle w:val="FootnoteAnchor"/>
          <w:rtl w:val="true"/>
        </w:rPr>
        <w:footnoteReference w:id="1810"/>
      </w:r>
      <w:r>
        <w:rPr>
          <w:rFonts w:ascii="IRNazanin" w:hAnsi="IRNazanin" w:eastAsia="IRNazanin"/>
          <w:color w:val="111111"/>
          <w:sz w:val="28"/>
          <w:sz w:val="28"/>
          <w:szCs w:val="28"/>
          <w:rtl w:val="true"/>
          <w:lang w:bidi="fa-IR"/>
        </w:rPr>
        <w:t>ولولا ذلک لکان القول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القرعة علی الاستحباب طریق الجمع بین الأخبار، والمصنّف فی الشرح اختار التخییر </w:t>
      </w:r>
      <w:r>
        <w:rPr>
          <w:rStyle w:val="FootnoteAnchor"/>
          <w:rtl w:val="true"/>
        </w:rPr>
        <w:footnoteReference w:id="1811"/>
      </w:r>
      <w:r>
        <w:rPr>
          <w:rFonts w:ascii="IRNazanin" w:hAnsi="IRNazanin" w:eastAsia="IRNazanin"/>
          <w:color w:val="111111"/>
          <w:sz w:val="28"/>
          <w:sz w:val="28"/>
          <w:szCs w:val="28"/>
          <w:rtl w:val="true"/>
          <w:lang w:bidi="fa-IR"/>
        </w:rPr>
        <w:t>جمعاً مع اعترافه بضعف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ببطلان النذر </w:t>
      </w:r>
      <w:r>
        <w:rPr>
          <w:rStyle w:val="FootnoteAnchor"/>
          <w:rtl w:val="true"/>
        </w:rPr>
        <w:footnoteReference w:id="1812"/>
      </w:r>
      <w:r>
        <w:rPr>
          <w:rFonts w:ascii="IRNazanin" w:hAnsi="IRNazanin" w:eastAsia="IRNazanin"/>
          <w:color w:val="111111"/>
          <w:sz w:val="28"/>
          <w:sz w:val="28"/>
          <w:szCs w:val="28"/>
          <w:rtl w:val="true"/>
          <w:lang w:bidi="fa-IR"/>
        </w:rPr>
        <w:t>لإفادة الصیغة وحدة المعتَق ولم توجد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احتمل عتق الجمیع؛ لوجود الأوّلیّة فی کلّ واحد،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فسبق جماعة </w:t>
      </w:r>
      <w:r>
        <w:rPr>
          <w:rStyle w:val="FootnoteAnchor"/>
          <w:rtl w:val="true"/>
        </w:rPr>
        <w:footnoteReference w:id="1813"/>
      </w:r>
      <w:r>
        <w:rPr>
          <w:rFonts w:ascii="IRNazanin" w:hAnsi="IRNazanin" w:eastAsia="IRNazanin"/>
          <w:color w:val="111111"/>
          <w:sz w:val="28"/>
          <w:sz w:val="28"/>
          <w:szCs w:val="28"/>
          <w:rtl w:val="true"/>
          <w:lang w:bidi="fa-IR"/>
        </w:rPr>
        <w:t>والفرق واضح</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نذر عتق أمته إن وطئها فأخرجها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تکون له الأمة،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یأتیها فهی حرّة، ثمّ یبیعها من رجل، ثمّ یشتریها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یأتیها، قد خرجت</w:t>
      </w:r>
    </w:p>
    <w:p>
      <w:pPr>
        <w:pStyle w:val="BookText"/>
        <w:rPr/>
      </w:pPr>
      <w:r>
        <w:rPr>
          <w:rFonts w:ascii="IRNazanin" w:hAnsi="IRNazanin" w:eastAsia="IRNazanin"/>
          <w:color w:val="111111"/>
          <w:sz w:val="28"/>
          <w:sz w:val="28"/>
          <w:szCs w:val="28"/>
          <w:rtl w:val="true"/>
          <w:lang w:bidi="fa-IR"/>
        </w:rPr>
        <w:t>عن ملکه</w:t>
      </w:r>
      <w:r>
        <w:rPr>
          <w:rFonts w:eastAsia="IRNazanin" w:cs="IRNazanin"/>
          <w:color w:val="111111"/>
          <w:sz w:val="28"/>
          <w:szCs w:val="28"/>
          <w:rtl w:val="true"/>
          <w:lang w:bidi="fa-IR"/>
        </w:rPr>
        <w:t>»</w:t>
      </w:r>
    </w:p>
    <w:p>
      <w:pPr>
        <w:pStyle w:val="BookText"/>
        <w:rPr/>
      </w:pPr>
      <w:r>
        <w:rPr>
          <w:rStyle w:val="FootnoteAnchor"/>
          <w:rtl w:val="true"/>
        </w:rPr>
        <w:footnoteReference w:id="18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w:t>
      </w:r>
      <w:r>
        <w:rPr>
          <w:rStyle w:val="FootnoteAnchor"/>
          <w:rtl w:val="true"/>
        </w:rPr>
        <w:footnoteReference w:id="1815"/>
      </w:r>
      <w:r>
        <w:rPr>
          <w:rFonts w:ascii="IRNazanin" w:hAnsi="IRNazanin" w:eastAsia="IRNazanin"/>
          <w:color w:val="111111"/>
          <w:sz w:val="28"/>
          <w:sz w:val="28"/>
          <w:szCs w:val="28"/>
          <w:rtl w:val="true"/>
          <w:lang w:bidi="fa-IR"/>
        </w:rPr>
        <w:t>ما اُطلق فیها من التعلیق علی النذر، لیوافق الاُصول، ویشهد له أیضاً تعلیله علیه السلام الإتیان بخروجها عن ملکه، ولو لم یکن منذوراً لم یتوقّف ذلک علی الخروج،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عمّم النذر بما یشمل الملک العائد فلا إشکال فی بقاء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تعدیته إلی غیر الوطء من الأفعال وإلی غیر الأمة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قیاساً، وإیماء النصّ إلی العلّة، وهی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والمتّجه التعدّی، نظراً إلی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 ذلک أیضاً جواز التصرّف فی المنذور المعلّق علی شرطٍ لم یوجد، وهی مسألة إشکالیّة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اختار فی التحریر عتق العبد لو نذر إن فعل کذا فهو حرّ، فباعه قبل الفعل ثمّ اشتراه ثمّ فعل </w:t>
      </w:r>
      <w:r>
        <w:rPr>
          <w:rStyle w:val="FootnoteAnchor"/>
          <w:rtl w:val="true"/>
        </w:rPr>
        <w:footnoteReference w:id="1816"/>
      </w:r>
      <w:r>
        <w:rPr>
          <w:rFonts w:ascii="IRNazanin" w:hAnsi="IRNazanin" w:eastAsia="IRNazanin"/>
          <w:color w:val="111111"/>
          <w:sz w:val="28"/>
          <w:sz w:val="28"/>
          <w:szCs w:val="28"/>
          <w:rtl w:val="true"/>
          <w:lang w:bidi="fa-IR"/>
        </w:rPr>
        <w:t xml:space="preserve">وولده استقرب عدم جواز التصرّف فی المنذور المعلّق علی الشرط قبل حصوله </w:t>
      </w:r>
      <w:r>
        <w:rPr>
          <w:rStyle w:val="FootnoteAnchor"/>
          <w:rtl w:val="true"/>
        </w:rPr>
        <w:footnoteReference w:id="1817"/>
      </w:r>
      <w:r>
        <w:rPr>
          <w:rFonts w:ascii="IRNazanin" w:hAnsi="IRNazanin" w:eastAsia="IRNazanin"/>
          <w:color w:val="111111"/>
          <w:sz w:val="28"/>
          <w:sz w:val="28"/>
          <w:szCs w:val="28"/>
          <w:rtl w:val="true"/>
          <w:lang w:bidi="fa-IR"/>
        </w:rPr>
        <w:t>وهذا الخبر حجّة علیهما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نذر عتق کلّ مملوک قدیم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مضی علیه فی ملکه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1818"/>
      </w:r>
      <w:r>
        <w:rPr>
          <w:rFonts w:ascii="IRNazanin" w:hAnsi="IRNazanin" w:eastAsia="IRNazanin"/>
          <w:color w:val="111111"/>
          <w:sz w:val="28"/>
          <w:sz w:val="28"/>
          <w:szCs w:val="28"/>
          <w:rtl w:val="true"/>
          <w:lang w:bidi="fa-IR"/>
        </w:rPr>
        <w:t>ومستنده</w:t>
      </w:r>
    </w:p>
    <w:p>
      <w:pPr>
        <w:pStyle w:val="BookText"/>
        <w:rPr/>
      </w:pPr>
      <w:r>
        <w:rPr>
          <w:rFonts w:ascii="IRNazanin" w:hAnsi="IRNazanin" w:eastAsia="IRNazanin"/>
          <w:color w:val="111111"/>
          <w:sz w:val="28"/>
          <w:sz w:val="28"/>
          <w:szCs w:val="28"/>
          <w:rtl w:val="true"/>
          <w:lang w:bidi="fa-IR"/>
        </w:rPr>
        <w:t xml:space="preserve">روایة </w:t>
      </w:r>
      <w:r>
        <w:rPr>
          <w:rStyle w:val="FootnoteAnchor"/>
          <w:rtl w:val="true"/>
        </w:rPr>
        <w:footnoteReference w:id="1819"/>
      </w:r>
      <w:r>
        <w:rPr>
          <w:rFonts w:ascii="IRNazanin" w:hAnsi="IRNazanin" w:eastAsia="IRNazanin"/>
          <w:color w:val="111111"/>
          <w:sz w:val="28"/>
          <w:sz w:val="28"/>
          <w:szCs w:val="28"/>
          <w:rtl w:val="true"/>
          <w:lang w:bidi="fa-IR"/>
        </w:rPr>
        <w:t>ضعیفة السند واعتمادهم الآن علی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واختلفوا فی تعدیته إلی نذر الصدقة بالمال القدیم ونحوه، من حیث إنّ القدیم قد صار حقیقة شرعیّة فی ذلک فیتعدّی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 تعلیله فی الروایة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عٰادَ کَالْعُرْجُونِ اَلْقَدِیمِ</w:t>
      </w:r>
      <w:r>
        <w:rPr>
          <w:rFonts w:eastAsia="Amiri" w:cs="Amiri" w:ascii="Amiri" w:hAnsi="Amiri"/>
          <w:color w:val="111111"/>
          <w:sz w:val="28"/>
          <w:szCs w:val="28"/>
          <w:rtl w:val="true"/>
          <w:lang w:bidi="ar-SA"/>
        </w:rPr>
        <w:t xml:space="preserve">) </w:t>
      </w:r>
      <w:r>
        <w:rPr>
          <w:rStyle w:val="FootnoteAnchor"/>
          <w:rtl w:val="true"/>
        </w:rPr>
        <w:footnoteReference w:id="1820"/>
      </w:r>
      <w:r>
        <w:rPr>
          <w:rFonts w:ascii="IRNazanin" w:hAnsi="IRNazanin" w:eastAsia="IRNazanin"/>
          <w:color w:val="111111"/>
          <w:sz w:val="28"/>
          <w:sz w:val="28"/>
          <w:szCs w:val="28"/>
          <w:rtl w:val="true"/>
          <w:lang w:bidi="fa-IR"/>
        </w:rPr>
        <w:t>فإنّه یقتضی ثبوت القدم بالمدّة المذکورة مطلقاً، ومن معارضة اللغة والعرف ومنع تحقّقه شرعاً؛ لضعف المستند، والإجماع إن ثبت اختصّ بمورده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الرجوع فی غیر المنصوص إلی العرف، وفیه لو قصر الکلّ عن ستّة ففی عتق أوّلهم تملّکاً اتّحد أم تعدّد، أو بطلان النذر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لو اتّفق ملک الجمیع دفعة ففی انعتاق الجمیع أو البطلان لفقد الوصف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البطلان فیهما؛ لدلالة اللغة والعرف علی خلافه وفقد النصّ</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ظاهر العبارة کون موضع الوفاق نذر عتق المملوک، سواء فیه الذکر والاُنثی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لأنّ مستند الحکم عُبّر فیه بالمملوک، والعلّامة جعل مورده العبد، واستشکل الحکم فی الأمة کغیرها من المال </w:t>
      </w:r>
      <w:r>
        <w:rPr>
          <w:rStyle w:val="FootnoteAnchor"/>
          <w:rtl w:val="true"/>
        </w:rPr>
        <w:footnoteReference w:id="1821"/>
      </w:r>
      <w:r>
        <w:rPr>
          <w:rFonts w:ascii="IRNazanin" w:hAnsi="IRNazanin" w:eastAsia="IRNazanin"/>
          <w:color w:val="111111"/>
          <w:sz w:val="28"/>
          <w:sz w:val="28"/>
          <w:szCs w:val="28"/>
          <w:rtl w:val="true"/>
          <w:lang w:bidi="fa-IR"/>
        </w:rPr>
        <w:t xml:space="preserve">واعتذر له ولده بأنّ مورد الإجماع العبد وإن کان النصّ أعمّ </w:t>
      </w:r>
      <w:r>
        <w:rPr>
          <w:rStyle w:val="FootnoteAnchor"/>
          <w:rtl w:val="true"/>
        </w:rPr>
        <w:footnoteReference w:id="1822"/>
      </w:r>
      <w:r>
        <w:rPr>
          <w:rFonts w:ascii="IRNazanin" w:hAnsi="IRNazanin" w:eastAsia="IRNazanin"/>
          <w:color w:val="111111"/>
          <w:sz w:val="28"/>
          <w:sz w:val="28"/>
          <w:szCs w:val="28"/>
          <w:rtl w:val="true"/>
          <w:lang w:bidi="fa-IR"/>
        </w:rPr>
        <w:t>لضعفه، وإثبات موضع الإجماع فی</w:t>
      </w:r>
    </w:p>
    <w:p>
      <w:pPr>
        <w:pStyle w:val="BookText"/>
        <w:rPr/>
      </w:pPr>
      <w:r>
        <w:rPr>
          <w:rFonts w:ascii="Amiri" w:hAnsi="Amiri" w:eastAsia="Amiri" w:cs="Amiri"/>
          <w:color w:val="111111"/>
          <w:sz w:val="28"/>
          <w:sz w:val="28"/>
          <w:szCs w:val="28"/>
          <w:rtl w:val="true"/>
          <w:lang w:bidi="ar-SA"/>
        </w:rPr>
        <w:t xml:space="preserve">ذلک لو تمّ لا یخلو من عُسر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اشتری أمة نسیئة وأعتقها وتزوّجها وجعل عتقها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مورد الروایة </w:t>
      </w:r>
      <w:r>
        <w:rPr>
          <w:rStyle w:val="FootnoteAnchor"/>
          <w:rtl w:val="true"/>
        </w:rPr>
        <w:footnoteReference w:id="1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مفوّضة لاشتراک الجمیع فی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ولم یخلّف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لیوفی منه ثمنها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لوقوعه من أصله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تعود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الحرّ لا یطرأ علیه الرقّیّة فی غیر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رقّاً أیضاً؛ لانعقاده حرّاً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تقتضیه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الشرعیّة، فإنّ العتق والنکاح صادفا ملکاً صحیحاً والولد انعقد حرّاً، فلا وجه لبطلان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روایة هشام بن سالم الصحیحة عن أبی بصیر </w:t>
      </w:r>
      <w:r>
        <w:rPr>
          <w:rStyle w:val="FootnoteAnchor"/>
          <w:rtl w:val="true"/>
        </w:rPr>
        <w:footnoteReference w:id="1825"/>
      </w:r>
      <w:r>
        <w:rPr>
          <w:rFonts w:ascii="IRNazanin" w:hAnsi="IRNazanin" w:eastAsia="IRNazanin"/>
          <w:color w:val="111111"/>
          <w:sz w:val="28"/>
          <w:sz w:val="28"/>
          <w:szCs w:val="28"/>
          <w:rtl w:val="true"/>
          <w:lang w:bidi="fa-IR"/>
        </w:rPr>
        <w:t>عن أبی عبد اللّٰه علیه السلام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رقّها ورقّ ولدها لمولاها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باعها ولم یقبض ثمنها، ولفظ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وأنا حاضر عن رجل باع من رجل جاریة بکراً إلی سنة، فلمّا قبضها المشتری أعتقها من الغد وتزوّجها وجعل مهرها</w:t>
      </w:r>
    </w:p>
    <w:p>
      <w:pPr>
        <w:pStyle w:val="BookText"/>
        <w:rPr/>
      </w:pPr>
      <w:r>
        <w:rPr>
          <w:rFonts w:ascii="IRNazanin" w:hAnsi="IRNazanin" w:eastAsia="IRNazanin"/>
          <w:color w:val="111111"/>
          <w:sz w:val="28"/>
          <w:sz w:val="28"/>
          <w:szCs w:val="28"/>
          <w:rtl w:val="true"/>
          <w:lang w:bidi="fa-IR"/>
        </w:rPr>
        <w:t>عتقها، ثمّ مات بعد ذلک بشهر؟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اشتراها إلی سنة له مال أو عُقدة تحیط بقضاء ما علیه من الدین فی رقبتها، فإنّ عتقه ونکاحه جائز، وإن لم یملک مالاً أو عقدة تحیط بقضاء ما علیه من الدین فی رقبتها، فإنّ عتقه ونکاحه باطل؛ لأنّه أعتق ما لا یملک، وأری أ نّها رقّ لمولاها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قد علقت من الذی أعتقها وتزوّجها ما حال ما فی بطنها؟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بطنها مع اُمّه کهیئتها</w:t>
      </w:r>
      <w:r>
        <w:rPr>
          <w:rFonts w:eastAsia="IRNazanin" w:cs="IRNazanin"/>
          <w:color w:val="111111"/>
          <w:sz w:val="28"/>
          <w:szCs w:val="28"/>
          <w:rtl w:val="true"/>
          <w:lang w:bidi="fa-IR"/>
        </w:rPr>
        <w:t>»</w:t>
      </w:r>
    </w:p>
    <w:p>
      <w:pPr>
        <w:pStyle w:val="BookText"/>
        <w:rPr/>
      </w:pP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منافیة للاُصول بظاهرها؛ للإجماع علی أنّ المعسر یملک ما اشتراه فی الذمّة ویصحّ عتقه ویصیر ولده حرّاً، فالحکم بکون عتقه ونکاحه باطلین وأ نّه أعتق ما لا یملک لا یطابق الاُصول، ومقتضاها أ نّه متی قصر ماله عن مجموع ثمنها یکون الحکم کذلک وإن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عمل بمضمونها الشیخ </w:t>
      </w:r>
      <w:r>
        <w:rPr>
          <w:rStyle w:val="FootnoteAnchor"/>
          <w:rtl w:val="true"/>
        </w:rPr>
        <w:footnoteReference w:id="1827"/>
      </w:r>
      <w:r>
        <w:rPr>
          <w:rFonts w:ascii="Amiri" w:hAnsi="Amiri" w:eastAsia="Amiri" w:cs="Amiri"/>
          <w:color w:val="111111"/>
          <w:sz w:val="28"/>
          <w:sz w:val="28"/>
          <w:szCs w:val="28"/>
          <w:rtl w:val="true"/>
          <w:lang w:bidi="ar-SA"/>
        </w:rPr>
        <w:t xml:space="preserve">وجماعة </w:t>
      </w:r>
      <w:r>
        <w:rPr>
          <w:rStyle w:val="FootnoteAnchor"/>
          <w:rtl w:val="true"/>
        </w:rPr>
        <w:footnoteReference w:id="1828"/>
      </w:r>
      <w:r>
        <w:rPr>
          <w:rFonts w:ascii="IRNazanin" w:hAnsi="IRNazanin" w:eastAsia="IRNazanin"/>
          <w:color w:val="111111"/>
          <w:sz w:val="28"/>
          <w:sz w:val="28"/>
          <w:szCs w:val="28"/>
          <w:rtl w:val="true"/>
          <w:lang w:bidi="fa-IR"/>
        </w:rPr>
        <w:t>لصحّتها وجواز استثناء هذا الحکم من جمیع الاُصول لعلّة 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فرق بین من جعل عتقها مهرها وغیرها کما نبّه علیه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تزوّجها بمهر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یتقیّد الأجل بالسنة، ولا فرق بین البکر والثیّب، مع احتمال اختصاص الحکم بما قُیّد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بدلها عبداً قد اشتراه نسیئة ثمّ أعتقه، ففی إلحاقه بها وجه؛ لاتّحاد الطریق</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 تعدّی الحکم إلی الشراء نقداً أو بعضه ولم یدفع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w:t>
      </w:r>
    </w:p>
    <w:p>
      <w:pPr>
        <w:pStyle w:val="BookText"/>
        <w:rPr/>
      </w:pPr>
      <w:r>
        <w:rPr>
          <w:rFonts w:ascii="IRNazanin" w:hAnsi="IRNazanin" w:eastAsia="IRNazanin"/>
          <w:color w:val="111111"/>
          <w:sz w:val="28"/>
          <w:sz w:val="28"/>
          <w:szCs w:val="28"/>
          <w:rtl w:val="true"/>
          <w:lang w:bidi="fa-IR"/>
        </w:rPr>
        <w:t>الروایة موته قبل الولادة، فلو تقدّمت علی موته فأقوی إشکالاً فی عوده رقّاً؛ للحکم بحرّیّته حین ولادته، بخلاف الحمل؛ لإمکان توهّم کون الحکم لتبعیّة الحمل للحامل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خالف 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اختلفوا فی تنزیلها، فحملها العلّامة علی کون المشتری مریضاً وصادف عتقه ونکاحه وشراؤه مرض الوفاة فیکون الحکم ما ذکر فیها </w:t>
      </w:r>
      <w:r>
        <w:rPr>
          <w:rStyle w:val="FootnoteAnchor"/>
          <w:rtl w:val="true"/>
        </w:rPr>
        <w:footnoteReference w:id="1829"/>
      </w:r>
      <w:r>
        <w:rPr>
          <w:rFonts w:ascii="IRNazanin" w:hAnsi="IRNazanin" w:eastAsia="IRNazanin"/>
          <w:color w:val="111111"/>
          <w:sz w:val="28"/>
          <w:sz w:val="28"/>
          <w:szCs w:val="28"/>
          <w:rtl w:val="true"/>
          <w:lang w:bidi="fa-IR"/>
        </w:rPr>
        <w:t>لأنّه حینئذٍ یکون العتق مراعی، فإذا مات مُعسراً کذلک ظهر بطلانه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وردّه المصنّف بأنّ ذلک لا یتمّ فی الولد </w:t>
      </w:r>
      <w:r>
        <w:rPr>
          <w:rStyle w:val="FootnoteAnchor"/>
          <w:rtl w:val="true"/>
        </w:rPr>
        <w:footnoteReference w:id="1830"/>
      </w:r>
      <w:r>
        <w:rPr>
          <w:rFonts w:ascii="IRNazanin" w:hAnsi="IRNazanin" w:eastAsia="IRNazanin"/>
          <w:color w:val="111111"/>
          <w:sz w:val="28"/>
          <w:sz w:val="28"/>
          <w:szCs w:val="28"/>
          <w:rtl w:val="true"/>
          <w:lang w:bidi="fa-IR"/>
        </w:rPr>
        <w:t>لانعقاده حال الحکم بحرّیّة اُمّه، والحرّ المسلم لا یصیر رقّاً، وهو لا یقصر عمّن تولّد من وطء أمة الغیر بشبهة أو شراء فاسد مع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وحملها آخرون علی فساد البیع </w:t>
      </w:r>
      <w:r>
        <w:rPr>
          <w:rStyle w:val="FootnoteAnchor"/>
          <w:rtl w:val="true"/>
        </w:rPr>
        <w:footnoteReference w:id="1831"/>
      </w:r>
      <w:r>
        <w:rPr>
          <w:rFonts w:ascii="IRNazanin" w:hAnsi="IRNazanin" w:eastAsia="IRNazanin"/>
          <w:color w:val="111111"/>
          <w:sz w:val="28"/>
          <w:sz w:val="28"/>
          <w:szCs w:val="28"/>
          <w:rtl w:val="true"/>
          <w:lang w:bidi="fa-IR"/>
        </w:rPr>
        <w:t>وینافیه قوله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مال فعتقه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علی أ نّه فعل ذلک مضارّة والعتق یشترط فیه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الحمل نقله المصنّف عن الشیخ طومان بن أحمد العاملی المناری </w:t>
      </w:r>
      <w:r>
        <w:rPr>
          <w:rStyle w:val="FootnoteAnchor"/>
          <w:rtl w:val="true"/>
        </w:rPr>
        <w:footnoteReference w:id="1832"/>
      </w:r>
      <w:r>
        <w:rPr>
          <w:rFonts w:ascii="Amiri" w:hAnsi="Amiri" w:eastAsia="Amiri" w:cs="Amiri"/>
          <w:color w:val="111111"/>
          <w:sz w:val="28"/>
          <w:sz w:val="28"/>
          <w:szCs w:val="28"/>
          <w:rtl w:val="true"/>
          <w:lang w:bidi="ar-SA"/>
        </w:rPr>
        <w:t xml:space="preserve">وردّه بأ نّه لا یتمّ أیضاً فی الولد، وردّها ابن إدریس لذلک مطلقاً </w:t>
      </w:r>
      <w:r>
        <w:rPr>
          <w:rStyle w:val="FootnoteAnchor"/>
          <w:rtl w:val="true"/>
        </w:rPr>
        <w:footnoteReference w:id="1833"/>
      </w:r>
      <w:r>
        <w:rPr>
          <w:rFonts w:ascii="IRNazanin" w:hAnsi="IRNazanin" w:eastAsia="IRNazanin"/>
          <w:color w:val="111111"/>
          <w:sz w:val="28"/>
          <w:sz w:val="28"/>
          <w:szCs w:val="28"/>
          <w:rtl w:val="true"/>
          <w:lang w:bidi="fa-IR"/>
        </w:rPr>
        <w:t>وهو الأنسب</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وعتقُ الحامل لا یتناول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یتناوله البیع وغیره؛ للمغایرة، فلا یدخل أحدهما فی مفهوم الآخر، سواء استثناه أم لا وسواء علم به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إلّإعلی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عن أبی عبد اللّٰه علیه السلام عن أبیه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أعتق أمة وهی حبلی فاستثنی ما فی بطنها،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حرّة وما فی بطنها حرّ؛ لأنّ ما فی بطنها منها</w:t>
      </w:r>
      <w:r>
        <w:rPr>
          <w:rFonts w:eastAsia="IRNazanin" w:cs="IRNazanin"/>
          <w:color w:val="111111"/>
          <w:sz w:val="28"/>
          <w:szCs w:val="28"/>
          <w:rtl w:val="true"/>
          <w:lang w:bidi="fa-IR"/>
        </w:rPr>
        <w:t xml:space="preserve">» </w:t>
      </w:r>
      <w:r>
        <w:rPr>
          <w:rStyle w:val="FootnoteAnchor"/>
          <w:rtl w:val="true"/>
        </w:rPr>
        <w:footnoteReference w:id="1834"/>
      </w:r>
      <w:r>
        <w:rPr>
          <w:rFonts w:ascii="IRNazanin" w:hAnsi="IRNazanin" w:eastAsia="IRNazanin"/>
          <w:color w:val="111111"/>
          <w:sz w:val="28"/>
          <w:sz w:val="28"/>
          <w:szCs w:val="28"/>
          <w:rtl w:val="true"/>
          <w:lang w:bidi="fa-IR"/>
        </w:rPr>
        <w:t xml:space="preserve">وعمل بمضمونها الشیخ </w:t>
      </w:r>
      <w:r>
        <w:rPr>
          <w:rStyle w:val="FootnoteAnchor"/>
          <w:rtl w:val="true"/>
        </w:rPr>
        <w:footnoteReference w:id="1835"/>
      </w:r>
      <w:r>
        <w:rPr>
          <w:rFonts w:ascii="Amiri" w:hAnsi="Amiri" w:eastAsia="Amiri" w:cs="Amiri"/>
          <w:color w:val="111111"/>
          <w:sz w:val="28"/>
          <w:sz w:val="28"/>
          <w:szCs w:val="28"/>
          <w:rtl w:val="true"/>
          <w:lang w:bidi="ar-SA"/>
        </w:rPr>
        <w:t xml:space="preserve">وجماعة </w:t>
      </w:r>
      <w:r>
        <w:rPr>
          <w:rStyle w:val="FootnoteAnchor"/>
          <w:rtl w:val="true"/>
        </w:rPr>
        <w:footnoteReference w:id="1836"/>
      </w:r>
      <w:r>
        <w:rPr>
          <w:rFonts w:ascii="IRNazanin" w:hAnsi="IRNazanin" w:eastAsia="IRNazanin"/>
          <w:color w:val="111111"/>
          <w:sz w:val="28"/>
          <w:sz w:val="28"/>
          <w:szCs w:val="28"/>
          <w:rtl w:val="true"/>
          <w:lang w:bidi="fa-IR"/>
        </w:rPr>
        <w:t xml:space="preserve">وضعف سندها </w:t>
      </w:r>
      <w:r>
        <w:rPr>
          <w:rStyle w:val="FootnoteAnchor"/>
          <w:rtl w:val="true"/>
        </w:rPr>
        <w:footnoteReference w:id="1837"/>
      </w:r>
      <w:r>
        <w:rPr>
          <w:rFonts w:ascii="IRNazanin" w:hAnsi="IRNazanin" w:eastAsia="IRNazanin"/>
          <w:color w:val="111111"/>
          <w:sz w:val="28"/>
          <w:sz w:val="28"/>
          <w:szCs w:val="28"/>
          <w:rtl w:val="true"/>
          <w:lang w:bidi="fa-IR"/>
        </w:rPr>
        <w:t>یمنع من العمل بها، مع أ نّها ظاهرة فی التقیّة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التدبیر والمکاتبة والاستیلاد</w:t>
      </w:r>
      <w:bookmarkStart w:id="596" w:name="pg19810_214695"/>
    </w:p>
    <w:p>
      <w:pPr>
        <w:pStyle w:val="Heading2"/>
        <w:numPr>
          <w:ilvl w:val="1"/>
          <w:numId w:val="1"/>
        </w:numPr>
        <w:rPr/>
      </w:pPr>
      <w:bookmarkStart w:id="597" w:name="__RefHeading___Toc2175697_2314609296"/>
      <w:bookmarkStart w:id="598" w:name="_Toc223"/>
      <w:bookmarkEnd w:id="596"/>
      <w:bookmarkEnd w:id="597"/>
      <w:r>
        <w:rPr>
          <w:rtl w:val="true"/>
        </w:rPr>
        <w:t>«</w:t>
      </w:r>
      <w:r>
        <w:rPr>
          <w:rtl w:val="true"/>
        </w:rPr>
        <w:t>کتاب التدبیر والمکاتبة والاستیلاد</w:t>
      </w:r>
      <w:r>
        <w:rPr>
          <w:rtl w:val="true"/>
        </w:rPr>
        <w:t>»</w:t>
      </w:r>
      <w:bookmarkEnd w:id="598"/>
    </w:p>
    <w:p>
      <w:pPr>
        <w:pStyle w:val="Heading3"/>
        <w:numPr>
          <w:ilvl w:val="2"/>
          <w:numId w:val="1"/>
        </w:numPr>
        <w:rPr/>
      </w:pPr>
      <w:bookmarkStart w:id="599" w:name="__RefHeading___Toc2175699_2314609296"/>
      <w:bookmarkStart w:id="600" w:name="_Toc224"/>
      <w:bookmarkEnd w:id="599"/>
      <w:r>
        <w:rPr>
          <w:rtl w:val="true"/>
        </w:rPr>
        <w:t>اشارة</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 فی اُمور ثلاثة</w:t>
      </w:r>
      <w:r>
        <w:rPr>
          <w:rFonts w:eastAsia="IRNazanin" w:cs="IRNazanin"/>
          <w:color w:val="111111"/>
          <w:sz w:val="28"/>
          <w:szCs w:val="28"/>
          <w:rtl w:val="true"/>
          <w:lang w:bidi="fa-IR"/>
        </w:rPr>
        <w:t>» :</w:t>
      </w:r>
    </w:p>
    <w:p>
      <w:pPr>
        <w:pStyle w:val="Heading3"/>
        <w:numPr>
          <w:ilvl w:val="2"/>
          <w:numId w:val="1"/>
        </w:numPr>
        <w:rPr/>
      </w:pPr>
      <w:bookmarkStart w:id="601" w:name="__RefHeading___Toc2175701_2314609296"/>
      <w:bookmarkStart w:id="602" w:name="_Toc225"/>
      <w:bookmarkEnd w:id="601"/>
      <w:r>
        <w:rPr>
          <w:rtl w:val="true"/>
        </w:rPr>
        <w:t>«</w:t>
      </w:r>
      <w:r>
        <w:rPr>
          <w:rtl w:val="true"/>
        </w:rPr>
        <w:t>الأوّل</w:t>
      </w:r>
      <w:r>
        <w:rPr>
          <w:rtl w:val="true"/>
        </w:rPr>
        <w:t xml:space="preserve">: </w:t>
      </w:r>
      <w:r>
        <w:rPr>
          <w:rtl w:val="true"/>
        </w:rPr>
        <w:t>التدبیر</w:t>
      </w:r>
      <w:r>
        <w:rPr>
          <w:rtl w:val="true"/>
        </w:rPr>
        <w:t>»</w:t>
      </w:r>
      <w:bookmarkEnd w:id="602"/>
    </w:p>
    <w:p>
      <w:pPr>
        <w:pStyle w:val="Heading4"/>
        <w:numPr>
          <w:ilvl w:val="3"/>
          <w:numId w:val="1"/>
        </w:numPr>
        <w:rPr/>
      </w:pPr>
      <w:bookmarkStart w:id="603" w:name="__RefHeading___Toc2175703_2314609296"/>
      <w:bookmarkStart w:id="604" w:name="_Toc226"/>
      <w:bookmarkEnd w:id="603"/>
      <w:r>
        <w:rPr>
          <w:rtl w:val="true"/>
        </w:rPr>
        <w:t>[</w:t>
      </w:r>
      <w:r>
        <w:rPr>
          <w:rtl w:val="true"/>
        </w:rPr>
        <w:t>تعریفه</w:t>
      </w:r>
      <w:r>
        <w:rPr>
          <w:rtl w:val="true"/>
        </w:rPr>
        <w:t>]</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أو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تفعیل من الدبر، فإنّ الوفاة دبر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تعلیقه علی وفاة زوج 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دبّرها فعلّق عتقها علی وفاة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الأمة أیضاً؛ لجواز إعارتها للخدمة، بل هی المنصوصة کما سیأتی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وصحّته فی الأوّل إجماعیّ، وفی الأخیرین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 xml:space="preserve">» </w:t>
      </w:r>
      <w:r>
        <w:rPr>
          <w:rStyle w:val="FootnoteAnchor"/>
          <w:rtl w:val="true"/>
        </w:rPr>
        <w:footnoteReference w:id="1838"/>
      </w:r>
      <w:r>
        <w:rPr>
          <w:rFonts w:ascii="IRNazanin" w:hAnsi="IRNazanin" w:eastAsia="IRNazanin"/>
          <w:color w:val="111111"/>
          <w:sz w:val="28"/>
          <w:sz w:val="28"/>
          <w:szCs w:val="28"/>
          <w:rtl w:val="true"/>
          <w:lang w:bidi="fa-IR"/>
        </w:rPr>
        <w:t>لأنّ العتق لمّا قَبِل التأخیر کقبوله التنجیز ولا تفاوت بین الأشخاص جاز تعلیقه بوفاة غیر المالک ممّن له ملابسة، کزوجیّة وخدمة، وللأصل، ولصحیحة یعقوب بن</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سأل الصادق علیه السلام عن الرجل یکون له الخادم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لفلان تخدمه ما عاش فإذا مات فهی حرّة، فتأبق الأمة قبل أن یموت الرجل بخمس سنین أو ستّ سنین ثمّ یجدها ورثته، ألهم أن یستخدموها بعد ما أبقت؟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مات الرجل فقد عتقت</w:t>
      </w:r>
      <w:r>
        <w:rPr>
          <w:rFonts w:eastAsia="IRNazanin" w:cs="IRNazanin"/>
          <w:color w:val="111111"/>
          <w:sz w:val="28"/>
          <w:szCs w:val="28"/>
          <w:rtl w:val="true"/>
          <w:lang w:bidi="fa-IR"/>
        </w:rPr>
        <w:t xml:space="preserve">» </w:t>
      </w:r>
      <w:r>
        <w:rPr>
          <w:rStyle w:val="FootnoteAnchor"/>
          <w:rtl w:val="true"/>
        </w:rPr>
        <w:footnoteReference w:id="1839"/>
      </w:r>
      <w:r>
        <w:rPr>
          <w:rFonts w:ascii="IRNazanin" w:hAnsi="IRNazanin" w:eastAsia="IRNazanin"/>
          <w:color w:val="111111"/>
          <w:sz w:val="28"/>
          <w:sz w:val="28"/>
          <w:szCs w:val="28"/>
          <w:rtl w:val="true"/>
          <w:lang w:bidi="fa-IR"/>
        </w:rPr>
        <w:t>وحملت علیه الزوجیّة؛ لشدّة المشابهة، ولا یتعدّی إلی غیرهما لبُعده عن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بالتعدّی مطلقاً من غیر اعتبار الملابسة </w:t>
      </w:r>
      <w:r>
        <w:rPr>
          <w:rStyle w:val="FootnoteAnchor"/>
          <w:rtl w:val="true"/>
        </w:rPr>
        <w:footnoteReference w:id="1840"/>
      </w:r>
      <w:r>
        <w:rPr>
          <w:rFonts w:ascii="IRNazanin" w:hAnsi="IRNazanin" w:eastAsia="IRNazanin"/>
          <w:color w:val="111111"/>
          <w:sz w:val="28"/>
          <w:sz w:val="28"/>
          <w:szCs w:val="28"/>
          <w:rtl w:val="true"/>
          <w:lang w:bidi="fa-IR"/>
        </w:rPr>
        <w:t>لمفهوم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مقابلة المشهور قول ابن إدریس باختصاصه بوفاة المولی </w:t>
      </w:r>
      <w:r>
        <w:rPr>
          <w:rStyle w:val="FootnoteAnchor"/>
          <w:rtl w:val="true"/>
        </w:rPr>
        <w:footnoteReference w:id="1841"/>
      </w:r>
      <w:r>
        <w:rPr>
          <w:rFonts w:ascii="IRNazanin" w:hAnsi="IRNazanin" w:eastAsia="IRNazanin"/>
          <w:color w:val="111111"/>
          <w:sz w:val="28"/>
          <w:sz w:val="28"/>
          <w:szCs w:val="28"/>
          <w:rtl w:val="true"/>
          <w:lang w:bidi="fa-IR"/>
        </w:rPr>
        <w:t>عملاً بالمتیقّن، ودعوی أ نّه شرعاً کذلک، ولبطلانه بالإباق، والروایة تضمّنت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 الصحیح یدفع الاقتصار، والثانی مصادرة، والملازمة بین إباقه من المالک ومن المخدوم ممنوعة؛ للفرق بمقابلته نعمة السیّد بالکفران فقوبل بنقیضه، کقاتل العمد فی الإرث، بخلاف الأجنبیّ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القول المشهور هو تعدیته من موت المالک إلی المخدوم کما هو المنصوص، وأمّا إلحاق الزوج فلیس بمشهور کما اعترف به المصنّف فی الشرح </w:t>
      </w:r>
      <w:r>
        <w:rPr>
          <w:rStyle w:val="FootnoteAnchor"/>
          <w:rtl w:val="true"/>
        </w:rPr>
        <w:footnoteReference w:id="1842"/>
      </w:r>
      <w:r>
        <w:rPr>
          <w:rFonts w:ascii="IRNazanin" w:hAnsi="IRNazanin" w:eastAsia="IRNazanin"/>
          <w:color w:val="111111"/>
          <w:sz w:val="28"/>
          <w:sz w:val="28"/>
          <w:szCs w:val="28"/>
          <w:rtl w:val="true"/>
          <w:lang w:bidi="fa-IR"/>
        </w:rPr>
        <w:t>فالشهرة المحکیّة هنا إن عادت إلی الأخیر لزم القطع بالأوّل دونه، وهو خلاف الظاهر، بل ینبغی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عادت إلیهما لم تتمّ الشهرة فی الزوج إلّاأن یجعل له مع الزوجیّة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علی موضع النصّ والوفاق حسن</w:t>
      </w:r>
      <w:r>
        <w:rPr>
          <w:rFonts w:eastAsia="IRNazanin" w:cs="IRNazanin"/>
          <w:color w:val="111111"/>
          <w:sz w:val="28"/>
          <w:szCs w:val="28"/>
          <w:rtl w:val="true"/>
          <w:lang w:bidi="fa-IR"/>
        </w:rPr>
        <w:t>.</w:t>
      </w:r>
      <w:bookmarkStart w:id="605" w:name="pg19810_214697"/>
    </w:p>
    <w:p>
      <w:pPr>
        <w:pStyle w:val="BookText"/>
        <w:rPr/>
      </w:pPr>
      <w:bookmarkEnd w:id="6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مقیّدة بوقت ولا مکان ولا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تکون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بأحدها، کهذه السنة أو فی هذا البلد أو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والتعلیق علیهما جائز فلا یتحرّر فی المقیّد بدون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الوصیّة</w:t>
      </w:r>
      <w:r>
        <w:rPr>
          <w:rFonts w:eastAsia="IRNazanin" w:cs="IRNazanin"/>
          <w:color w:val="111111"/>
          <w:sz w:val="28"/>
          <w:szCs w:val="28"/>
          <w:rtl w:val="true"/>
          <w:lang w:bidi="fa-IR"/>
        </w:rPr>
        <w:t xml:space="preserve">» </w:t>
      </w:r>
      <w:r>
        <w:rPr>
          <w:rStyle w:val="FootnoteAnchor"/>
          <w:rtl w:val="true"/>
        </w:rPr>
        <w:footnoteReference w:id="1843"/>
      </w:r>
      <w:r>
        <w:rPr>
          <w:rFonts w:ascii="IRNazanin" w:hAnsi="IRNazanin" w:eastAsia="IRNazanin"/>
          <w:color w:val="111111"/>
          <w:sz w:val="28"/>
          <w:sz w:val="28"/>
          <w:szCs w:val="28"/>
          <w:rtl w:val="true"/>
          <w:lang w:bidi="fa-IR"/>
        </w:rPr>
        <w:t>من جوازها بعد الوفاة مطلقاً ومقیّداً</w:t>
      </w:r>
      <w:r>
        <w:rPr>
          <w:rFonts w:eastAsia="IRNazanin" w:cs="IRNazanin"/>
          <w:color w:val="111111"/>
          <w:sz w:val="28"/>
          <w:szCs w:val="28"/>
          <w:rtl w:val="true"/>
          <w:lang w:bidi="fa-IR"/>
        </w:rPr>
        <w:t>.</w:t>
      </w:r>
    </w:p>
    <w:p>
      <w:pPr>
        <w:pStyle w:val="Heading4"/>
        <w:numPr>
          <w:ilvl w:val="3"/>
          <w:numId w:val="1"/>
        </w:numPr>
        <w:rPr/>
      </w:pPr>
      <w:bookmarkStart w:id="606" w:name="__RefHeading___Toc2175705_2314609296"/>
      <w:bookmarkStart w:id="607" w:name="_Toc227"/>
      <w:bookmarkEnd w:id="606"/>
      <w:r>
        <w:rPr>
          <w:rtl w:val="true"/>
        </w:rPr>
        <w:t>[</w:t>
      </w:r>
      <w:r>
        <w:rPr>
          <w:rtl w:val="true"/>
        </w:rPr>
        <w:t>الصیغة</w:t>
      </w:r>
      <w:r>
        <w:rPr>
          <w:rtl w:val="true"/>
        </w:rPr>
        <w:t>]</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أو عتیق، أو مُعتَق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وفاة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الزوج أو المخدوم، أو بعد وفاتی هذه السنة، أو فی هذا المرض، أو فی سفری هذا، ونحو ذلک فی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حصر الصیغة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ینعقد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مقتصراً علیه، وهو أحد القولین فی المسألة </w:t>
      </w:r>
      <w:r>
        <w:rPr>
          <w:rStyle w:val="FootnoteAnchor"/>
          <w:rtl w:val="true"/>
        </w:rPr>
        <w:footnoteReference w:id="1844"/>
      </w:r>
      <w:r>
        <w:rPr>
          <w:rFonts w:ascii="IRNazanin" w:hAnsi="IRNazanin" w:eastAsia="IRNazanin"/>
          <w:color w:val="111111"/>
          <w:sz w:val="28"/>
          <w:sz w:val="28"/>
          <w:szCs w:val="28"/>
          <w:rtl w:val="true"/>
          <w:lang w:bidi="fa-IR"/>
        </w:rPr>
        <w:t>لأنّ التدبیر عتق مُعلّق علی الوفاة کما استفید من تعریفه فینحصر فی صیغة تفیده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الوقوع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التدبیر حقیقة شرعیّة فی العتق المخصوص، فیکون بمنزلة الصیغة الصریحة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اقتصر علی مجرّد نقل الخلاف </w:t>
      </w:r>
      <w:r>
        <w:rPr>
          <w:rStyle w:val="FootnoteAnchor"/>
          <w:rtl w:val="true"/>
        </w:rPr>
        <w:footnoteReference w:id="1845"/>
      </w:r>
      <w:r>
        <w:rPr>
          <w:rFonts w:ascii="IRNazanin" w:hAnsi="IRNazanin" w:eastAsia="IRNazanin"/>
          <w:color w:val="111111"/>
          <w:sz w:val="28"/>
          <w:sz w:val="28"/>
          <w:szCs w:val="28"/>
          <w:rtl w:val="true"/>
          <w:lang w:bidi="fa-IR"/>
        </w:rPr>
        <w:t>والوجه عدم الوقوع</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یقع باللفظ مجرّداً،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القصد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فلا عبرة بصیغة الغافل والساهی والنائم والمکرَه</w:t>
      </w:r>
      <w:r>
        <w:rPr>
          <w:rFonts w:eastAsia="IRNazanin" w:cs="IRNazanin"/>
          <w:color w:val="111111"/>
          <w:sz w:val="28"/>
          <w:szCs w:val="28"/>
          <w:rtl w:val="true"/>
          <w:lang w:bidi="fa-IR"/>
        </w:rPr>
        <w:t>.</w:t>
      </w:r>
      <w:bookmarkStart w:id="608" w:name="pg19810_214698"/>
    </w:p>
    <w:p>
      <w:pPr>
        <w:pStyle w:val="Heading4"/>
        <w:numPr>
          <w:ilvl w:val="3"/>
          <w:numId w:val="1"/>
        </w:numPr>
        <w:rPr/>
      </w:pPr>
      <w:bookmarkStart w:id="609" w:name="__RefHeading___Toc2175707_2314609296"/>
      <w:bookmarkStart w:id="610" w:name="_Toc228"/>
      <w:bookmarkEnd w:id="608"/>
      <w:bookmarkEnd w:id="609"/>
      <w:r>
        <w:rPr>
          <w:rtl w:val="true"/>
        </w:rPr>
        <w:t>[</w:t>
      </w:r>
      <w:r>
        <w:rPr>
          <w:rtl w:val="true"/>
        </w:rPr>
        <w:t xml:space="preserve">شروط المدبر </w:t>
      </w:r>
      <w:r>
        <w:rPr>
          <w:rtl w:val="true"/>
        </w:rPr>
        <w:t>]</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نیّة </w:t>
      </w:r>
      <w:r>
        <w:rPr>
          <w:rStyle w:val="FootnoteAnchor"/>
          <w:rtl w:val="true"/>
        </w:rPr>
        <w:footnoteReference w:id="1846"/>
      </w:r>
      <w:r>
        <w:rPr>
          <w:rFonts w:ascii="IRNazanin" w:hAnsi="IRNazanin" w:eastAsia="IRNazanin"/>
          <w:color w:val="111111"/>
          <w:sz w:val="28"/>
          <w:sz w:val="28"/>
          <w:szCs w:val="28"/>
          <w:rtl w:val="true"/>
          <w:lang w:bidi="fa-IR"/>
        </w:rPr>
        <w:t>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إلی اللّٰه تعالی وإن توقّف علیه حصول الثواب علی الأقوی؛ للأصل، ولأ نّه وصیّة لا عتق بصفة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Style w:val="FootnoteAnchor"/>
          <w:rtl w:val="true"/>
        </w:rPr>
        <w:footnoteReference w:id="1847"/>
      </w:r>
      <w:r>
        <w:rPr>
          <w:rFonts w:ascii="IRNazanin" w:hAnsi="IRNazanin" w:eastAsia="IRNazanin"/>
          <w:color w:val="111111"/>
          <w:sz w:val="28"/>
          <w:sz w:val="28"/>
          <w:szCs w:val="28"/>
          <w:rtl w:val="true"/>
          <w:lang w:bidi="fa-IR"/>
        </w:rPr>
        <w:t>بناءً علی أ نّه عتق، وإلّا لافتقر إلی صیغة بعد الوفاة وشرطه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ویتفرّع علیهما صحّة تدبیر الکافر مطلقاً أو مع إنکاره اللّٰهَ تعالی کما سلف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شرط صحّة التدبیر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علّقها بشرط أو صفة کإن فعلت کذا، أو طلعت الشمس فأنت حرّ بعد وفاتی،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یُعلَّق بعد الوفاة بلا فصل،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بعد وفاتی 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فیهما ویکون فی الثانی وصیّة بعتقه </w:t>
      </w:r>
      <w:r>
        <w:rPr>
          <w:rStyle w:val="FootnoteAnchor"/>
          <w:rtl w:val="true"/>
        </w:rPr>
        <w:footnoteReference w:id="1849"/>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المباشر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والاختیار، وجواز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من الصبیّ وإن بلغ عشراً، ولا المجنون المطبق مطلقاً، ولا ذی الأدوار فیه، ولا المکرَه، ولا المحجور علیه لسفهٍ مطلقاً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850"/>
      </w:r>
      <w:r>
        <w:rPr>
          <w:rFonts w:ascii="IRNazanin" w:hAnsi="IRNazanin" w:eastAsia="IRNazanin"/>
          <w:color w:val="111111"/>
          <w:sz w:val="28"/>
          <w:sz w:val="28"/>
          <w:szCs w:val="28"/>
          <w:rtl w:val="true"/>
          <w:lang w:bidi="fa-IR"/>
        </w:rPr>
        <w:t>لانتفاء معنی الحجر بعد الموت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ویُضعَّف بأنّ الحجر علیه حیّاً یمنع العبارة الواقعة حالتها، فلا تؤثّر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المحجور علیه لفلس فلا یمنع منه؛ إذ لا ضرر علی الغرماء، فإنّه إنّما یخرج بعد الموت من ثلث ماله بعد وفاء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مطلق وصیّته المتبرّع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التنبیه علی خروجه من اشتراط جواز التصرّف، إلّاأن یُدّعی أنّ المفلَّس جائز التصرّف بالنسبة إلی التدبیر وإن کان ممنوعاً منه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یخلو من 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یشترط فی مطلق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مباشرة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حربیّاً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جاحداً للربوبیّة؛ لما تقدّم من عدم اشتراط القربة، وللأصل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الحربیّ حربیّاً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واستُرق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کلاهما بطل التدبیر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مع استرقاق المملوک فظاهر؛ لبطلان ملک الحربی له المنافی للتدبیر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استرقاق المباشر فلخروجه عن أهلیّة الملک وهو یقتضی بطلان کلّ عقد وإیقاع جائزین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علی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وبطل 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لانتفاء السبیل له علی المسلم بالآیة </w:t>
      </w:r>
      <w:r>
        <w:rPr>
          <w:rStyle w:val="FootnoteAnchor"/>
          <w:rtl w:val="true"/>
        </w:rPr>
        <w:footnoteReference w:id="1851"/>
      </w:r>
      <w:r>
        <w:rPr>
          <w:rFonts w:ascii="IRNazanin" w:hAnsi="IRNazanin" w:eastAsia="IRNazanin"/>
          <w:color w:val="111111"/>
          <w:sz w:val="28"/>
          <w:sz w:val="28"/>
          <w:szCs w:val="28"/>
          <w:rtl w:val="true"/>
          <w:lang w:bidi="fa-IR"/>
        </w:rPr>
        <w:t>ولقوله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ولا یعلی علیه</w:t>
      </w:r>
      <w:r>
        <w:rPr>
          <w:rFonts w:eastAsia="IRNazanin" w:cs="IRNazanin"/>
          <w:color w:val="111111"/>
          <w:sz w:val="28"/>
          <w:szCs w:val="28"/>
          <w:rtl w:val="true"/>
          <w:lang w:bidi="fa-IR"/>
        </w:rPr>
        <w:t xml:space="preserve">» </w:t>
      </w:r>
      <w:r>
        <w:rPr>
          <w:rStyle w:val="FootnoteAnchor"/>
          <w:rtl w:val="true"/>
        </w:rPr>
        <w:footnoteReference w:id="1852"/>
      </w:r>
      <w:r>
        <w:rPr>
          <w:rFonts w:ascii="IRNazanin" w:hAnsi="IRNazanin" w:eastAsia="IRNazanin"/>
          <w:color w:val="111111"/>
          <w:sz w:val="28"/>
          <w:sz w:val="28"/>
          <w:szCs w:val="28"/>
          <w:rtl w:val="true"/>
          <w:lang w:bidi="fa-IR"/>
        </w:rPr>
        <w:t>وطاعة المولی علوٌّ منه، والتدبیر لم یخرجه عن الاستیلاء علیه بالاستخدام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المولی بین الرجوع فی التدبیر فیباع علیه وبین الحیلولة بینه وبینه وکسبه للمولی، وبین استسعائه فی قیمته </w:t>
      </w:r>
      <w:r>
        <w:rPr>
          <w:rStyle w:val="FootnoteAnchor"/>
          <w:rtl w:val="true"/>
        </w:rPr>
        <w:footnoteReference w:id="1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لا دلیل علیه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مات المولی قبل البیع عتق من ثلثه، ولو قصر ولم یُجز الوارث فالباقی رقّ، فإن کان الوارث مسلماً فله، وإلّا بیع علیه من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حملت المدبَّرة من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بزنا أو بشبهة أو عقد علی وجه یملکه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فولدها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فی الزنا مع علمها؛ لعدم لحوقه بها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الشیخ وجماعة أطلقوا الحکم </w:t>
      </w:r>
      <w:r>
        <w:rPr>
          <w:rStyle w:val="FootnoteAnchor"/>
          <w:rtl w:val="true"/>
        </w:rPr>
        <w:footnoteReference w:id="1854"/>
      </w:r>
      <w:r>
        <w:rPr>
          <w:rFonts w:ascii="IRNazanin" w:hAnsi="IRNazanin" w:eastAsia="IRNazanin"/>
          <w:color w:val="111111"/>
          <w:sz w:val="28"/>
          <w:sz w:val="28"/>
          <w:szCs w:val="28"/>
          <w:rtl w:val="true"/>
          <w:lang w:bidi="fa-IR"/>
        </w:rPr>
        <w:t xml:space="preserve">والمصنّف فی الدروس قیّده بکونه من مملوک المدبَّر فلو کان من غیره لم یکن مدبّراً، واستشکل حکم الزنا </w:t>
      </w:r>
      <w:r>
        <w:rPr>
          <w:rStyle w:val="FootnoteAnchor"/>
          <w:rtl w:val="true"/>
        </w:rPr>
        <w:footnoteReference w:id="1855"/>
      </w:r>
      <w:r>
        <w:rPr>
          <w:rFonts w:ascii="Amiri" w:hAnsi="Amiri" w:eastAsia="Amiri" w:cs="Amiri"/>
          <w:color w:val="111111"/>
          <w:sz w:val="28"/>
          <w:sz w:val="28"/>
          <w:szCs w:val="28"/>
          <w:rtl w:val="true"/>
          <w:lang w:bidi="ar-SA"/>
        </w:rPr>
        <w:t xml:space="preserve">والأخبار مطلقة </w:t>
      </w:r>
      <w:r>
        <w:rPr>
          <w:rStyle w:val="FootnoteAnchor"/>
          <w:rtl w:val="true"/>
        </w:rPr>
        <w:footnoteReference w:id="1856"/>
      </w:r>
      <w:r>
        <w:rPr>
          <w:rFonts w:ascii="IRNazanin" w:hAnsi="IRNazanin" w:eastAsia="IRNazanin"/>
          <w:color w:val="111111"/>
          <w:sz w:val="28"/>
          <w:sz w:val="28"/>
          <w:szCs w:val="28"/>
          <w:rtl w:val="true"/>
          <w:lang w:bidi="fa-IR"/>
        </w:rPr>
        <w:t>فی لحوق أولادها بها فی التدبیر حیث یکونون أرقّاء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بالإطلاق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اشتراط إلحاقهم بها فی النسب حسن؛ لیتحقّق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 واللام وبضمّها فسکونها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الواحد والجمع، وقد یکون الثانی جمعاً لوَلَد کأسَد واُسْد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وطء المدبَّرة ولا یکون رجوعاً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حملت من سیّدها صارت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یبطل التدبیر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قیمتها عن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نصیب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الباقی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رجوعه فی تدبیرها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رجوعاً فی تدبیر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الملازمة بینهما وتحقّق الانفکاک، وعدم دلالته علیه بإحدی الدلالات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صرّح بالرجوع فی 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تدبیر</w:t>
      </w:r>
    </w:p>
    <w:p>
      <w:pPr>
        <w:pStyle w:val="BookText"/>
        <w:rPr/>
      </w:pP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أحدهما الجواز </w:t>
      </w:r>
      <w:r>
        <w:rPr>
          <w:rStyle w:val="FootnoteAnchor"/>
          <w:rtl w:val="true"/>
        </w:rPr>
        <w:footnoteReference w:id="1857"/>
      </w:r>
      <w:r>
        <w:rPr>
          <w:rFonts w:ascii="IRNazanin" w:hAnsi="IRNazanin" w:eastAsia="IRNazanin"/>
          <w:color w:val="111111"/>
          <w:sz w:val="28"/>
          <w:sz w:val="28"/>
          <w:szCs w:val="28"/>
          <w:rtl w:val="true"/>
          <w:lang w:bidi="fa-IR"/>
        </w:rPr>
        <w:t>کما یجوز الرجوع فی تدبیرها؛ لکون التدبیر جائزاً فیصحّ الرجوع فیه، والفرع لا یزید علی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اختاره الشیخ مدّعیاً الإجماع </w:t>
      </w:r>
      <w:r>
        <w:rPr>
          <w:rStyle w:val="FootnoteAnchor"/>
          <w:rtl w:val="true"/>
        </w:rPr>
        <w:footnoteReference w:id="1858"/>
      </w:r>
      <w:r>
        <w:rPr>
          <w:rFonts w:ascii="Amiri" w:hAnsi="Amiri" w:eastAsia="Amiri" w:cs="Amiri"/>
          <w:color w:val="111111"/>
          <w:sz w:val="28"/>
          <w:sz w:val="28"/>
          <w:szCs w:val="28"/>
          <w:rtl w:val="true"/>
          <w:lang w:bidi="ar-SA"/>
        </w:rPr>
        <w:t xml:space="preserve">وجماعة </w:t>
      </w:r>
      <w:r>
        <w:rPr>
          <w:rStyle w:val="FootnoteAnchor"/>
          <w:rtl w:val="true"/>
        </w:rPr>
        <w:footnoteReference w:id="1859"/>
      </w:r>
      <w:r>
        <w:rPr>
          <w:rFonts w:ascii="IRNazanin" w:hAnsi="IRNazanin" w:eastAsia="IRNazanin"/>
          <w:color w:val="111111"/>
          <w:sz w:val="28"/>
          <w:sz w:val="28"/>
          <w:szCs w:val="28"/>
          <w:rtl w:val="true"/>
          <w:lang w:bidi="fa-IR"/>
        </w:rPr>
        <w:t xml:space="preserve">منهم المصنّف فی الدروس </w:t>
      </w:r>
      <w:r>
        <w:rPr>
          <w:rStyle w:val="FootnoteAnchor"/>
          <w:rtl w:val="true"/>
        </w:rPr>
        <w:footnoteReference w:id="1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عن أبان بن تغلب عن الصادق علیه السلام </w:t>
      </w:r>
      <w:r>
        <w:rPr>
          <w:rStyle w:val="FootnoteAnchor"/>
          <w:rtl w:val="true"/>
        </w:rPr>
        <w:footnoteReference w:id="18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 نّه لم یباشر تدبیره وإنّما حکم به شرعاً فلا یباشر ردّه فی الرقّ، وبهذا یحصل الفرق بین الأصل والفرع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 الحمل فی التدبیر للاُمّ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Style w:val="FootnoteAnchor"/>
          <w:rtl w:val="true"/>
        </w:rPr>
        <w:footnoteReference w:id="1862"/>
      </w:r>
      <w:r>
        <w:rPr>
          <w:rFonts w:ascii="IRNazanin" w:hAnsi="IRNazanin" w:eastAsia="IRNazanin"/>
          <w:color w:val="111111"/>
          <w:sz w:val="28"/>
          <w:sz w:val="28"/>
          <w:szCs w:val="28"/>
          <w:rtl w:val="true"/>
          <w:lang w:bidi="fa-IR"/>
        </w:rPr>
        <w:t>عن الحسن بن علیّ الوشّا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دبّر جاریته وهی حبلی؟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علم بحبل الجاریة فما فی بطنها بمنزلتها، وإن کان لم یعلم فما فی بطنها رقّ</w:t>
      </w:r>
      <w:r>
        <w:rPr>
          <w:rFonts w:eastAsia="IRNazanin" w:cs="IRNazanin"/>
          <w:color w:val="111111"/>
          <w:sz w:val="28"/>
          <w:szCs w:val="28"/>
          <w:rtl w:val="true"/>
          <w:lang w:bidi="fa-IR"/>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کما تری دالّة علی اشتراط دخوله بالعلم به، لا مطلقاً فکان علی المصنّف أن یقیّده حیث نسبه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ذهب بعض الأصحاب إلی دخوله فی تدبیرها مطلقاً </w:t>
      </w:r>
      <w:r>
        <w:rPr>
          <w:rStyle w:val="FootnoteAnchor"/>
          <w:rtl w:val="true"/>
        </w:rPr>
        <w:footnoteReference w:id="1864"/>
      </w:r>
      <w:r>
        <w:rPr>
          <w:rFonts w:ascii="IRNazanin" w:hAnsi="IRNazanin" w:eastAsia="IRNazanin"/>
          <w:color w:val="111111"/>
          <w:sz w:val="28"/>
          <w:sz w:val="28"/>
          <w:szCs w:val="28"/>
          <w:rtl w:val="true"/>
          <w:lang w:bidi="fa-IR"/>
        </w:rPr>
        <w:t xml:space="preserve">کما یدخل لو تجدّد، إلّاأ نّه غیر مرویّ، وبمضمون الروایة أفتی الشیخ فی النهایة </w:t>
      </w:r>
      <w:r>
        <w:rPr>
          <w:rStyle w:val="FootnoteAnchor"/>
          <w:rtl w:val="true"/>
        </w:rPr>
        <w:footnoteReference w:id="1865"/>
      </w:r>
      <w:r>
        <w:rPr>
          <w:rFonts w:ascii="Amiri" w:hAnsi="Amiri" w:eastAsia="Amiri" w:cs="Amiri"/>
          <w:color w:val="111111"/>
          <w:sz w:val="28"/>
          <w:sz w:val="28"/>
          <w:szCs w:val="28"/>
          <w:rtl w:val="true"/>
          <w:lang w:bidi="ar-SA"/>
        </w:rPr>
        <w:t xml:space="preserve">وجماعة </w:t>
      </w:r>
      <w:r>
        <w:rPr>
          <w:rStyle w:val="FootnoteAnchor"/>
          <w:rtl w:val="true"/>
        </w:rPr>
        <w:footnoteReference w:id="1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کعتق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یتبعها الحمل علی الروایة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عدم دخوله فیها مطلقاً وحملت هذه الروایة علی ما إذا قصد تدبیر الحمل مع الاُمّ واُطلق العلم علی القصد مجازاً؛ لأنّه مسبَّب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الشیخ أیضاً فی الموثّق عن الکاظم علیه السلام عدم دخوله مطلقاً </w:t>
      </w:r>
      <w:r>
        <w:rPr>
          <w:rStyle w:val="FootnoteAnchor"/>
          <w:rtl w:val="true"/>
        </w:rPr>
        <w:footnoteReference w:id="1867"/>
      </w:r>
      <w:r>
        <w:rPr>
          <w:rFonts w:ascii="IRNazanin" w:hAnsi="IRNazanin" w:eastAsia="IRNazanin"/>
          <w:color w:val="111111"/>
          <w:sz w:val="28"/>
          <w:sz w:val="28"/>
          <w:szCs w:val="28"/>
          <w:rtl w:val="true"/>
          <w:lang w:bidi="fa-IR"/>
        </w:rPr>
        <w:t>فالحمل طریق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ویتحرّر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جامع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کأحدها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الأوّل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فیها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علی المیّت دین قُدّم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الأصل، سواء کان متقدّماً علی التدبیر أم متأخّراً، ومنه الوصیّة بواجب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هناک وصیّة تُقدّم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من المدبَّر ثلثُ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یزد عن قیمته کغیره من الوصایا المتبرّع بها، حتّی لو لم یفضل سواه عتق ثلثه، فإن لم یفضل عن الدین شیء بطل التدبیر</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تعدّد المدبّر والتدبیر بُدئ بالأوّل فالأوّل، وبطل ما زاد عن الثلث إن لم یُجز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جُهل الترتیب أو دبّرهم بلفظ واحد استخرج الثلث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فحکمه حکم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التدبیر متبرّعاً به وعلّق علی وفاة المولی لیکون کالوصیّة، فلو کان واجباً بنذر وشبهه حال الصحّة أو معلّقاً علی وفاة غیره فمات فی حیاة المولی فهو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بعد المولی فهو من الثلث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النذر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للّٰه‌علیَّ عتق عبدی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للّٰه‌علیّ أن اُدبّر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إلحاقه به فی خروجه من الأصل نظر؛ لأنّ الواجب بمقتضی الصیغة هو إیقاع التدبیر علیه، فإذا فعله وَفی بنذره وصار التدبیر کغیره؛ لدخوله فی مطلق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لو نذر أن یوصی بشیء ثمّ أوصی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نذر جعله صدقة بعد وفاته أو فی وجه سائغ فکنذر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المصنّف عن ظاهر کلام الأصحاب تساوی القسمین فی الخروج من الأصل؛ لأنّ الغرض التزام الحرّیّة بعد الوفاة، لا مجرّد الصیغة، ونَقَل عن ابن نما رحمه الله الفرق بما حکیناه </w:t>
      </w:r>
      <w:r>
        <w:rPr>
          <w:rStyle w:val="FootnoteAnchor"/>
          <w:rtl w:val="true"/>
        </w:rPr>
        <w:footnoteReference w:id="1868"/>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التقدیرین لا یخرج بالنذر عن الملک، فیجوز له استخدامه ووطؤه إن کانت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نقله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فعل صحّ ولزمته الکفّارة مع العلم، ولو نقله عن ملکه ناسیاً فالظاهر الصحّة ولا کفّارة؛ لعدم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الجاهل وجهان، وإلحاقه بالناسی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 النذر فی مرض الموت فهو من الثلث مطلقاً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الرجوع فی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المتبرّع به ما دام حیّاً کما یجوز الرجوع فی</w:t>
      </w:r>
    </w:p>
    <w:p>
      <w:pPr>
        <w:pStyle w:val="BookText"/>
        <w:rPr/>
      </w:pP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جواز الرجوع فی الواجب بنذر وشبهه ما تقدّم من عدم الجواز إن کانت صیغته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للّٰه‌علیّ عتقه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ومجیء الوجهین لو کان متعلّق النذر هو التدبیر، من خروجه عن عهدة النذر بإیقاع الصیغة کما حقّقناه، ومن أ نّه تدبیر واجب وقد أطلقوا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والرجوع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مثل رجعت فی 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وأبطلته ونقضته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وفعلاً کأن 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المدبّر وإن لم یُقبِض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یبیع، أو 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وإن لم یفسخه قبل ذلک، أو یقصد به الرجوع علی أصحّ القولین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بین قبول الموصی له الوصیّة وردّها؛ لأنّ فسخه جاء من قِبل إیجاب المالک، ولا یعود التدبیر بعوده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وإنکاره لیس برجوع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حلف المولی؛ لعدم الملازمة، ولاختلاف اللوازم، فإنّ الرجوع یستلزم الاعتراف به، وإنکاره یستلزم عدمه، واختلاف اللوازم یقتضی اختلاف الملزومات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کونه رجوعاً؛ لاستلزامه رفعه مطلقاً، وهو أبلغ من رفعه فی بعض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قطع بکونه لیس برجوع إن جعلناه عتقاً، وتوقّف فیما لو جعلناه وصیّة، ونسب القول بکونه رجوعاً إلی الشیخ </w:t>
      </w:r>
      <w:r>
        <w:rPr>
          <w:rStyle w:val="FootnoteAnchor"/>
          <w:rtl w:val="true"/>
        </w:rPr>
        <w:footnoteReference w:id="1870"/>
      </w:r>
      <w:r>
        <w:rPr>
          <w:rFonts w:ascii="Amiri" w:hAnsi="Amiri" w:eastAsia="Amiri" w:cs="Amiri"/>
          <w:color w:val="111111"/>
          <w:sz w:val="28"/>
          <w:sz w:val="28"/>
          <w:szCs w:val="28"/>
          <w:rtl w:val="true"/>
          <w:lang w:bidi="ar-SA"/>
        </w:rPr>
        <w:t>وقد تقدّم اختیاره أنّ</w:t>
      </w:r>
    </w:p>
    <w:p>
      <w:pPr>
        <w:pStyle w:val="BookText"/>
        <w:rPr/>
      </w:pPr>
      <w:r>
        <w:rPr>
          <w:rFonts w:ascii="IRNazanin" w:hAnsi="IRNazanin" w:eastAsia="IRNazanin"/>
          <w:color w:val="111111"/>
          <w:sz w:val="28"/>
          <w:sz w:val="28"/>
          <w:szCs w:val="28"/>
          <w:rtl w:val="true"/>
          <w:lang w:bidi="fa-IR"/>
        </w:rPr>
        <w:t xml:space="preserve">إنکار الطلاق رجعة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حکم بأنّ إنکار سائر العقود الجائزة لیس برجوع إلّاالطلاق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 بینه وبین غیره غیر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ویبطل التدبیر بالإباق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مولاه، سواء فی ذلک الذکر والاُنثی، لا بالإباق من عند مخدومه المعلّق عتقه علی موته، وقد تقدّم ما یدلّ علیه </w:t>
      </w:r>
      <w:r>
        <w:rPr>
          <w:rStyle w:val="FootnoteAnchor"/>
          <w:rtl w:val="true"/>
        </w:rPr>
        <w:footnoteReference w:id="1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ولد له حال الإباق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من أمة لسیّده، أو غیره حیث یلحق به الولد، أو حرّة عالمة بتحریم نکاحه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أرقّاء </w:t>
      </w:r>
      <w:r>
        <w:rPr>
          <w:rStyle w:val="FootnoteAnchor"/>
          <w:rtl w:val="true"/>
        </w:rPr>
        <w:footnoteReference w:id="1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علی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بطل فی حقّه، استصحاباً للحکم السابق فیهم مع عدم المعارض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بارتداد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فطرة، فیعتق لو مات علی 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عن فطرة ففی بطلانه نظر، من انتقال ماله عنه فی حیاته، ومن تنزیلها منزلة الموت فیعتق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الأوّل، ولا یلزم من تنزیلها منزلة الموت فی بعض الأحکام ثبوته مطلقاً، وإطلاق العبارة یقتضی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استشکل الحکم فی الدروس </w:t>
      </w:r>
      <w:r>
        <w:rPr>
          <w:rStyle w:val="FootnoteAnchor"/>
          <w:rtl w:val="true"/>
        </w:rPr>
        <w:footnoteReference w:id="1875"/>
      </w:r>
      <w:r>
        <w:rPr>
          <w:rFonts w:ascii="IRNazanin" w:hAnsi="IRNazanin" w:eastAsia="IRNazanin"/>
          <w:color w:val="111111"/>
          <w:sz w:val="28"/>
          <w:sz w:val="28"/>
          <w:szCs w:val="28"/>
          <w:rtl w:val="true"/>
          <w:lang w:bidi="fa-IR"/>
        </w:rPr>
        <w:t>لما ذکرناه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بارتداد العبد، إلّاأن یلحق بدار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الموت؛ لأنّه إباق، ولو التحق بعده یتحرّر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بین الارتداد</w:t>
      </w:r>
    </w:p>
    <w:p>
      <w:pPr>
        <w:pStyle w:val="BookText"/>
        <w:rPr/>
      </w:pPr>
      <w:r>
        <w:rPr>
          <w:rFonts w:ascii="IRNazanin" w:hAnsi="IRNazanin" w:eastAsia="IRNazanin"/>
          <w:color w:val="111111"/>
          <w:sz w:val="28"/>
          <w:sz w:val="28"/>
          <w:szCs w:val="28"/>
          <w:rtl w:val="true"/>
          <w:lang w:bidi="fa-IR"/>
        </w:rPr>
        <w:t>والإباق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طاعة اللّٰه أقوی، فالخروج عنها أبلغ من الإباق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w:t>
      </w:r>
      <w:r>
        <w:rPr>
          <w:rStyle w:val="FootnoteAnchor"/>
          <w:rtl w:val="true"/>
        </w:rPr>
        <w:footnoteReference w:id="1876"/>
      </w:r>
      <w:r>
        <w:rPr>
          <w:rFonts w:ascii="IRNazanin" w:hAnsi="IRNazanin" w:eastAsia="IRNazanin"/>
          <w:color w:val="111111"/>
          <w:sz w:val="28"/>
          <w:sz w:val="28"/>
          <w:szCs w:val="28"/>
          <w:rtl w:val="true"/>
          <w:lang w:bidi="fa-IR"/>
        </w:rPr>
        <w:t>وقد یُقرَّب بغناء اللّٰه تعالی عن طاعته له بخلاف المولی، مع أنّ الإباق یجمع معصیة اللّٰه تعالی والمولی بخلاف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فقوّة الارتداد ممنوعة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وکسب المدبّر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حیاة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لأنّه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 بالتدبیر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استفاده بعد الوفاة فله جمیع کسبه إن خرج من الثلث، وإلّا فبنسبة ما عتق منه، والباقی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للوارث</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تدبیره معلَّقاً علی وفاة المولی، فلو کان معلَّقاً علی وفاة غیره وتأخّرت عن وفاة المولی فکسبه بعد وفاة مولاه ککسبه قبلها لبقائه علی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بعد الموت تأخّر الکسب وأنکره الوارث حلف المدبَّر؛ لأصالة عدم التقدّم</w:t>
      </w:r>
      <w:r>
        <w:rPr>
          <w:rFonts w:eastAsia="IRNazanin" w:cs="IRNazanin"/>
          <w:color w:val="111111"/>
          <w:sz w:val="28"/>
          <w:szCs w:val="28"/>
          <w:rtl w:val="true"/>
          <w:lang w:bidi="fa-IR"/>
        </w:rPr>
        <w:t>.</w:t>
      </w:r>
      <w:bookmarkStart w:id="611" w:name="pg19810_214707"/>
    </w:p>
    <w:p>
      <w:pPr>
        <w:pStyle w:val="Heading3"/>
        <w:numPr>
          <w:ilvl w:val="2"/>
          <w:numId w:val="1"/>
        </w:numPr>
        <w:rPr/>
      </w:pPr>
      <w:bookmarkStart w:id="612" w:name="__RefHeading___Toc2175709_2314609296"/>
      <w:bookmarkStart w:id="613" w:name="_Toc229"/>
      <w:bookmarkEnd w:id="611"/>
      <w:bookmarkEnd w:id="612"/>
      <w:r>
        <w:rPr>
          <w:rtl w:val="true"/>
        </w:rPr>
        <w:t>«</w:t>
      </w:r>
      <w:r>
        <w:rPr>
          <w:rtl w:val="true"/>
        </w:rPr>
        <w:t>النظر الثانی فی الکتابة</w:t>
      </w:r>
      <w:r>
        <w:rPr>
          <w:rtl w:val="true"/>
        </w:rPr>
        <w:t>»</w:t>
      </w:r>
      <w:bookmarkEnd w:id="613"/>
    </w:p>
    <w:p>
      <w:pPr>
        <w:pStyle w:val="Heading4"/>
        <w:numPr>
          <w:ilvl w:val="3"/>
          <w:numId w:val="1"/>
        </w:numPr>
        <w:rPr/>
      </w:pPr>
      <w:bookmarkStart w:id="614" w:name="__RefHeading___Toc2175711_2314609296"/>
      <w:bookmarkStart w:id="615" w:name="_Toc230"/>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 xml:space="preserve">واشتقاقها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الجمع، لانضمام بعض النجوم إلی بعض،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مبنیّ علی الغالب، أو الأصل من وضعها بآجال متعدّدة، وإلّا فهو لیس بمعتبر عندنا وإن اشترطنا الأجل</w:t>
      </w:r>
      <w:r>
        <w:rPr>
          <w:rFonts w:eastAsia="IRNazanin" w:cs="IRNazanin"/>
          <w:color w:val="111111"/>
          <w:sz w:val="28"/>
          <w:szCs w:val="28"/>
          <w:rtl w:val="true"/>
          <w:lang w:bidi="fa-IR"/>
        </w:rPr>
        <w:t>.</w:t>
      </w:r>
    </w:p>
    <w:p>
      <w:pPr>
        <w:pStyle w:val="Heading4"/>
        <w:numPr>
          <w:ilvl w:val="3"/>
          <w:numId w:val="1"/>
        </w:numPr>
        <w:rPr/>
      </w:pPr>
      <w:bookmarkStart w:id="616" w:name="__RefHeading___Toc2175713_2314609296"/>
      <w:bookmarkStart w:id="617" w:name="_Toc231"/>
      <w:bookmarkEnd w:id="616"/>
      <w:r>
        <w:rPr>
          <w:rtl w:val="true"/>
        </w:rPr>
        <w:t>[</w:t>
      </w:r>
      <w:r>
        <w:rPr>
          <w:rtl w:val="true"/>
        </w:rPr>
        <w:t>استحبابها</w:t>
      </w:r>
      <w:r>
        <w:rPr>
          <w:rtl w:val="true"/>
        </w:rPr>
        <w:t>]</w:t>
      </w:r>
      <w:bookmarkEnd w:id="617"/>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مستحبّة مع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الدیانة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بها فی الآیة </w:t>
      </w:r>
      <w:r>
        <w:rPr>
          <w:rStyle w:val="FootnoteAnchor"/>
          <w:rtl w:val="true"/>
        </w:rPr>
        <w:footnoteReference w:id="1877"/>
      </w:r>
      <w:r>
        <w:rPr>
          <w:rFonts w:ascii="IRNazanin" w:hAnsi="IRNazanin" w:eastAsia="IRNazanin"/>
          <w:color w:val="111111"/>
          <w:sz w:val="28"/>
          <w:sz w:val="28"/>
          <w:szCs w:val="28"/>
          <w:rtl w:val="true"/>
          <w:lang w:bidi="fa-IR"/>
        </w:rPr>
        <w:t xml:space="preserve">مع الخیر وأقلّ مراتبه الاستحباب وفُسّر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w:t>
      </w:r>
      <w:r>
        <w:rPr>
          <w:rStyle w:val="FootnoteAnchor"/>
          <w:rtl w:val="true"/>
        </w:rPr>
        <w:footnoteReference w:id="1878"/>
      </w:r>
      <w:r>
        <w:rPr>
          <w:rFonts w:ascii="Amiri" w:hAnsi="Amiri" w:eastAsia="Amiri" w:cs="Amiri"/>
          <w:color w:val="111111"/>
          <w:sz w:val="28"/>
          <w:sz w:val="28"/>
          <w:szCs w:val="28"/>
          <w:rtl w:val="true"/>
          <w:lang w:bidi="ar-SA"/>
        </w:rPr>
        <w:t>لإطلاقه علی الأوّل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تَفْعَلُوا مِنْ خَیْرٍ یَعْلَمْهُ اَللّٰهُ</w:t>
      </w:r>
      <w:r>
        <w:rPr>
          <w:rFonts w:eastAsia="Amiri" w:cs="Amiri" w:ascii="Amiri" w:hAnsi="Amiri"/>
          <w:color w:val="111111"/>
          <w:sz w:val="28"/>
          <w:szCs w:val="28"/>
          <w:rtl w:val="true"/>
          <w:lang w:bidi="ar-SA"/>
        </w:rPr>
        <w:t xml:space="preserve">) </w:t>
      </w:r>
      <w:r>
        <w:rPr>
          <w:rStyle w:val="FootnoteAnchor"/>
          <w:rtl w:val="true"/>
        </w:rPr>
        <w:footnoteReference w:id="18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Style w:val="FootnoteAnchor"/>
          <w:rtl w:val="true"/>
        </w:rPr>
        <w:footnoteReference w:id="1880"/>
      </w:r>
      <w:r>
        <w:rPr>
          <w:rFonts w:ascii="Amiri" w:hAnsi="Amiri" w:eastAsia="Amiri" w:cs="Amiri"/>
          <w:color w:val="111111"/>
          <w:sz w:val="28"/>
          <w:sz w:val="28"/>
          <w:szCs w:val="28"/>
          <w:rtl w:val="true"/>
          <w:lang w:bidi="ar-SA"/>
        </w:rPr>
        <w:t>وعلی الثانی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لِحُبِّ اَلْخَیْرِ لَشَدِیدٌ</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خَیْراً</w:t>
      </w:r>
      <w:r>
        <w:rPr>
          <w:rFonts w:eastAsia="Amiri" w:cs="Amiri" w:ascii="Amiri" w:hAnsi="Amiri"/>
          <w:color w:val="111111"/>
          <w:sz w:val="28"/>
          <w:szCs w:val="28"/>
          <w:rtl w:val="true"/>
          <w:lang w:bidi="ar-SA"/>
        </w:rPr>
        <w:t xml:space="preserve">) </w:t>
      </w:r>
      <w:r>
        <w:rPr>
          <w:rStyle w:val="FootnoteAnchor"/>
          <w:rtl w:val="true"/>
        </w:rPr>
        <w:footnoteReference w:id="1882"/>
      </w:r>
      <w:r>
        <w:rPr>
          <w:rFonts w:ascii="Amiri" w:hAnsi="Amiri" w:eastAsia="Amiri" w:cs="Amiri"/>
          <w:color w:val="111111"/>
          <w:sz w:val="28"/>
          <w:sz w:val="28"/>
          <w:szCs w:val="28"/>
          <w:rtl w:val="true"/>
          <w:lang w:bidi="ar-SA"/>
        </w:rPr>
        <w:t>فحمل علیهما، بناءً علی جواز حمل المشترک علی کلا معنییه، إمّا مطلقاً أو مع القرینة، وهی موجودة؛ لصحیحة الحلبی عن أبی عبد اللّٰه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عَلِمْتُمْ فِیهِمْ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علمتم لهم دینا و مالا</w:t>
      </w:r>
      <w:r>
        <w:rPr>
          <w:rFonts w:eastAsia="Amiri" w:cs="Amiri" w:ascii="Amiri" w:hAnsi="Amiri"/>
          <w:color w:val="111111"/>
          <w:sz w:val="28"/>
          <w:szCs w:val="28"/>
          <w:rtl w:val="true"/>
          <w:lang w:bidi="ar-SA"/>
        </w:rPr>
        <w:t xml:space="preserve">» </w:t>
      </w:r>
      <w:r>
        <w:rPr>
          <w:rStyle w:val="FootnoteAnchor"/>
          <w:rtl w:val="true"/>
        </w:rPr>
        <w:footnoteReference w:id="1883"/>
      </w:r>
      <w:r>
        <w:rPr>
          <w:rFonts w:ascii="IRNazanin" w:hAnsi="IRNazanin" w:eastAsia="IRNazanin"/>
          <w:color w:val="111111"/>
          <w:sz w:val="28"/>
          <w:sz w:val="28"/>
          <w:szCs w:val="28"/>
          <w:rtl w:val="true"/>
          <w:lang w:bidi="fa-IR"/>
        </w:rPr>
        <w:t xml:space="preserve">ورواه الکلینی بسند صحیح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یندفع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استعمال المشترک فی معنییه مرجوح، أو مجاز لا یصار إلیه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روی فی التهذیب عن الحلبی صحیحاً عنه علیه السلام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علمتم لهم مالا </w:t>
      </w:r>
      <w:r>
        <w:rPr>
          <w:rStyle w:val="FootnoteAnchor"/>
          <w:rtl w:val="true"/>
        </w:rPr>
        <w:footnoteReference w:id="1886"/>
      </w:r>
      <w:r>
        <w:rPr>
          <w:rFonts w:ascii="IRNazanin" w:hAnsi="IRNazanin" w:eastAsia="IRNazanin"/>
          <w:color w:val="111111"/>
          <w:sz w:val="28"/>
          <w:sz w:val="28"/>
          <w:szCs w:val="28"/>
          <w:rtl w:val="true"/>
          <w:lang w:bidi="fa-IR"/>
        </w:rPr>
        <w:t xml:space="preserve">بغیر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والمثبت مقدّم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ومتأکّدة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بالتماس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جمعه للوصفین، أمّا مع عدمهما أو أحدهما فلا فی ظاهر 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نّها تتأکّد بسؤال المملوک ولو کان عاجزاً </w:t>
      </w:r>
      <w:r>
        <w:rPr>
          <w:rStyle w:val="FootnoteAnchor"/>
          <w:rtl w:val="true"/>
        </w:rPr>
        <w:footnoteReference w:id="1887"/>
      </w:r>
      <w:r>
        <w:rPr>
          <w:rFonts w:ascii="IRNazanin" w:hAnsi="IRNazanin" w:eastAsia="IRNazanin"/>
          <w:color w:val="111111"/>
          <w:sz w:val="28"/>
          <w:sz w:val="28"/>
          <w:szCs w:val="28"/>
          <w:rtl w:val="true"/>
          <w:lang w:bidi="fa-IR"/>
        </w:rPr>
        <w:t xml:space="preserve">فجعل الاستحباب مع عدم سؤاله مشروطاً بالشرطین، ومعه یکتفی بالأوّل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عدم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بعدم أحدهما وعدمهما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مکروهة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المولی والمملوک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وتختصّ بوقوعها بین المالک ومملوکه، وأنّ العوض والمعوّض ملک السیّد، وأنّ المکاتَب علی درجة بین الاستقلال وعدمه، وأ نّه یملک من بین العبید، ویثبت له أرش الجنایة علی سیّده، وعلیه الأرش للسیّد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وتفارق البیعَ باعتبار الأجل فی المشهور، وسقوط خیار المجلس والحیوان، وعدم قبولها لخیار الشرط</w:t>
      </w:r>
      <w:r>
        <w:rPr>
          <w:rFonts w:eastAsia="IRNazanin" w:cs="IRNazanin"/>
          <w:color w:val="111111"/>
          <w:sz w:val="28"/>
          <w:szCs w:val="28"/>
          <w:rtl w:val="true"/>
          <w:lang w:bidi="fa-IR"/>
        </w:rPr>
        <w:t>.</w:t>
      </w:r>
      <w:bookmarkStart w:id="618" w:name="pg19810_214709"/>
    </w:p>
    <w:p>
      <w:pPr>
        <w:pStyle w:val="BookText"/>
        <w:rPr/>
      </w:pPr>
      <w:bookmarkEnd w:id="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 بیعاً للعبد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أشبهته فی اعتبار العوض المعلوم والأجل المضبوط علی تقدیر ذکره فی البیع؛ لمخالفتها له فی الأحکام، ولبعد ملک الإنسان نفسَه، فلو باعه نفسه بثمن مؤجّل لم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عتقاً بصفة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شرط عوضٍ معلوم علی المملوک فی أجلٍ مضبوط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وفاق، خلافاً لبعض العامّة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2175715_2314609296"/>
      <w:bookmarkStart w:id="620" w:name="_Toc232"/>
      <w:bookmarkEnd w:id="619"/>
      <w:r>
        <w:rPr>
          <w:rtl w:val="true"/>
        </w:rPr>
        <w:t>[</w:t>
      </w:r>
      <w:r>
        <w:rPr>
          <w:rtl w:val="true"/>
        </w:rPr>
        <w:t xml:space="preserve">شروط المتعاقدین </w:t>
      </w:r>
      <w:r>
        <w:rPr>
          <w:rtl w:val="true"/>
        </w:rPr>
        <w:t>]</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المتعاقدین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 والعقل، فلا یقع من الصبیّ وإن بلغ عشراً وجوّزنا عتقه، ولا من المجنون المطبق، ولا الدائر جنونه فی غیر وقت الإفاقة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مشترکان بین المولی والمکاتب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یُتخیّل عدم اشتراطهما فی المکاتب؛ لأنّ المولی ولیّه، فیمکن قبوله عنه، وکذا الأب والجدّ والحاکم مع الغبطة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وجه وإن استبعده المصنّف فی الدروس </w:t>
      </w:r>
      <w:r>
        <w:rPr>
          <w:rStyle w:val="FootnoteAnchor"/>
          <w:rtl w:val="true"/>
        </w:rPr>
        <w:footnoteReference w:id="1890"/>
      </w:r>
      <w:r>
        <w:rPr>
          <w:rFonts w:ascii="Amiri" w:hAnsi="Amiri" w:eastAsia="Amiri" w:cs="Amiri"/>
          <w:color w:val="111111"/>
          <w:sz w:val="28"/>
          <w:sz w:val="28"/>
          <w:szCs w:val="28"/>
          <w:rtl w:val="true"/>
          <w:lang w:bidi="ar-SA"/>
        </w:rPr>
        <w:t>غیرَ مبیِّن وجهَ البُعد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وجواز تصرّف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من السفیه بدون إذن الولیّ، ولا المفلَّس بدون إذن الغرماء، ولا من المریض فیما زاد منه عن الثلث بدون إجازة الوارث وإن کان العوض بقدر قیمته؛ لأنّهما ملک المولی، فلیست معاوضة حقیقیّة، بل فی معنی التبرّع ترجع إلی معاملة المولی علی ماله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تخصیص الشرط بالمولی جوازُ کتابة المملوک السفیه؛ إذ لا مال له یمنع من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یمنع من المعاملة المالیّة ومن قبض المال لو ملکه بعد تحقّق الکتابة</w:t>
      </w:r>
      <w:r>
        <w:rPr>
          <w:rFonts w:eastAsia="IRNazanin" w:cs="IRNazanin"/>
          <w:color w:val="111111"/>
          <w:sz w:val="28"/>
          <w:szCs w:val="28"/>
          <w:rtl w:val="true"/>
          <w:lang w:bidi="fa-IR"/>
        </w:rPr>
        <w:t>.</w:t>
      </w:r>
    </w:p>
    <w:p>
      <w:pPr>
        <w:pStyle w:val="Heading4"/>
        <w:numPr>
          <w:ilvl w:val="3"/>
          <w:numId w:val="1"/>
        </w:numPr>
        <w:rPr/>
      </w:pPr>
      <w:bookmarkStart w:id="621" w:name="__RefHeading___Toc2175717_2314609296"/>
      <w:bookmarkStart w:id="622" w:name="_Toc233"/>
      <w:bookmarkEnd w:id="621"/>
      <w:r>
        <w:rPr>
          <w:rtl w:val="true"/>
        </w:rPr>
        <w:t>[</w:t>
      </w:r>
      <w:r>
        <w:rPr>
          <w:rtl w:val="true"/>
        </w:rPr>
        <w:t xml:space="preserve">الایجاب و القبول </w:t>
      </w:r>
      <w:r>
        <w:rPr>
          <w:rtl w:val="true"/>
        </w:rPr>
        <w:t>]</w:t>
      </w:r>
      <w:bookmarkEnd w:id="62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العقد المشتمل علی الإیجاب، مثل کاتبتک علی أن تؤدّی إلیَّ کذا فی وقت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اتّحد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أوقات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أدّیتَ فأنت حرّ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یفتقر إلی إضافة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أدّیت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یکفی قصده؛ لأنّ التحریر غایة الکتابة، فهی دالّة علیه، فلا یجب ذکره کما لا یجب ذکر غایة البیع وغیره، خصوصاً لو جعلناها بیعاً للعبد من نفسه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بأنّ القصد إلیه إذا کان معتبراً لزم اعتبار التلفّظ بما یدلّ علیه؛ لأنّ هذا هو الدلیل الدالّ علی اعتبار الإیجاب والقبول اللفظیّین فی کلّ عقد، ولا یکفی قصد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بعدم اعتبار قصده أیضاً کما فی غیره من غایات العقود اتّجه، لکن لا یظهر به 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والقبول مثل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وتوقّف هذه المعاملة علی الإیجاب والقبول یُلحقها بقسم العقود، فذکرُها فی باب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یکفی فیها الصیغة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 تبعاً للعتق، ولو فصلوها ووضعوها فی باب العقود کان 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فی الإیجاب مضافاً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عجزتَ فأنت 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الراء وتشدید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بمعنی المفعول أی 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 فهی مشروطة،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 ذلک، بل اقتصر علی الإیجاب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القید یظهر وجه التسمیة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ویشترک القسمان فی جمیع الشرائط وأکثر الأحکام، ویفترقان فی أنّ المکاتَب فی المطلقة ینعتق منه بقدر ما یؤدّی من مال الکتابة، والمشروط لا ینعتق منه شیء حتّی یؤدّی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علی لزوم المطلقة، وفی المشروطة</w:t>
      </w:r>
      <w:bookmarkStart w:id="623" w:name="pg19810_214711"/>
    </w:p>
    <w:p>
      <w:pPr>
        <w:pStyle w:val="BookText"/>
        <w:rPr/>
      </w:pPr>
      <w:bookmarkEnd w:id="623"/>
      <w:r>
        <w:rPr>
          <w:rFonts w:ascii="IRNazanin" w:hAnsi="IRNazanin" w:eastAsia="IRNazanin"/>
          <w:color w:val="111111"/>
          <w:sz w:val="28"/>
          <w:sz w:val="28"/>
          <w:szCs w:val="28"/>
          <w:rtl w:val="true"/>
          <w:lang w:bidi="fa-IR"/>
        </w:rPr>
        <w:t>خلاف، وسیأتی</w:t>
      </w:r>
      <w:r>
        <w:rPr>
          <w:rFonts w:eastAsia="IRNazanin" w:cs="IRNazanin"/>
          <w:color w:val="111111"/>
          <w:sz w:val="28"/>
          <w:szCs w:val="28"/>
          <w:rtl w:val="true"/>
          <w:lang w:bidi="fa-IR"/>
        </w:rPr>
        <w:t>.</w:t>
      </w:r>
    </w:p>
    <w:p>
      <w:pPr>
        <w:pStyle w:val="Heading4"/>
        <w:numPr>
          <w:ilvl w:val="3"/>
          <w:numId w:val="1"/>
        </w:numPr>
        <w:rPr/>
      </w:pPr>
      <w:bookmarkStart w:id="624" w:name="__RefHeading___Toc2175719_2314609296"/>
      <w:bookmarkStart w:id="625" w:name="_Toc234"/>
      <w:bookmarkEnd w:id="624"/>
      <w:r>
        <w:rPr>
          <w:rtl w:val="true"/>
        </w:rPr>
        <w:t>[</w:t>
      </w:r>
      <w:r>
        <w:rPr>
          <w:rtl w:val="true"/>
        </w:rPr>
        <w:t>احکام المکاتبه</w:t>
      </w:r>
      <w:r>
        <w:rPr>
          <w:rtl w:val="true"/>
        </w:rPr>
        <w:t>]</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اشتراط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الکتابة مطلقاً بناءً علی أنّ العبد لا یملک شیئاً فعجزه حالة العقد عن العوض حاصل، ووقت الحصول متوقّع مجهول، فلا بدّ من تأجیله بوقت یمکن فیه حصوله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لإمکان التملّک عاجلاً ولو بالاقتراض کشراء من لا یملک شیئاً من الأحرار، خصوصاً لو فرض حضور شخص یوعده بدفع المال عنه بوجهٍ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ذلک کلّه بأنّ العجز حالة العقد حاصل وهو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بعضه حرّاً وبیده مال فکاتبه علی قدره فما دون حالّاً فالمتّجه الصحّة؛ لأنّه کالسعایة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واقفاً علی معدن مباح یمکنه تحصیل العوض منه فی الحال، فعلی التعلیل بجهالة وقت الحصول یصحّ، وبالعجز حالةَ العقد 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الأجل مطلقاً </w:t>
      </w:r>
      <w:r>
        <w:rPr>
          <w:rStyle w:val="FootnoteAnchor"/>
          <w:rtl w:val="true"/>
        </w:rPr>
        <w:footnoteReference w:id="1892"/>
      </w:r>
      <w:r>
        <w:rPr>
          <w:rFonts w:ascii="IRNazanin" w:hAnsi="IRNazanin" w:eastAsia="IRNazanin"/>
          <w:color w:val="111111"/>
          <w:sz w:val="28"/>
          <w:sz w:val="28"/>
          <w:szCs w:val="28"/>
          <w:rtl w:val="true"/>
          <w:lang w:bidi="fa-IR"/>
        </w:rPr>
        <w:t>للأصل، وإطلاقِ الأمر بها، خصوصاً علی القول بکونها بیعاً، ویمنع اعتبار القدرة علی العوض حالة العقد، بل غایته إمکانها بعده، وهو حاصل هنا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یعتبر أو یراد یشترط ضبطه کأجل النسیئة بما لا یحتمل الزیادة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زیادته عن أجل </w:t>
      </w:r>
      <w:r>
        <w:rPr>
          <w:rStyle w:val="FootnoteAnchor"/>
          <w:rtl w:val="true"/>
        </w:rPr>
        <w:footnoteReference w:id="1893"/>
      </w:r>
      <w:r>
        <w:rPr>
          <w:rFonts w:ascii="IRNazanin" w:hAnsi="IRNazanin" w:eastAsia="IRNazanin"/>
          <w:color w:val="111111"/>
          <w:sz w:val="28"/>
          <w:sz w:val="28"/>
          <w:szCs w:val="28"/>
          <w:rtl w:val="true"/>
          <w:lang w:bidi="fa-IR"/>
        </w:rPr>
        <w:t>عندنا؛ لحصول الغرض، ولو قصر الأجل بحیث یتعذّر حصول المال فیه عادة بطل إن عُلّل بالجهالة، وصحّ إن عُلّل بالعجز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اشتراط اتّصاله بالعقد قولان </w:t>
      </w:r>
      <w:r>
        <w:rPr>
          <w:rStyle w:val="FootnoteAnchor"/>
          <w:rtl w:val="true"/>
        </w:rPr>
        <w:footnoteReference w:id="1894"/>
      </w:r>
      <w:r>
        <w:rPr>
          <w:rFonts w:ascii="IRNazanin" w:hAnsi="IRNazanin" w:eastAsia="IRNazanin"/>
          <w:color w:val="111111"/>
          <w:sz w:val="28"/>
          <w:sz w:val="28"/>
          <w:szCs w:val="28"/>
          <w:rtl w:val="true"/>
          <w:lang w:bidi="fa-IR"/>
        </w:rPr>
        <w:t>أجودهما العدم؛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للفسخ فی المشروطة بمخالفة شرطه، فإن شرط علیه التعجیز عند تأخیر نجم عن محلّه، أو إلی نجم آخر أو إلی مدّة مضبوطة اتّبع شرطه، وإن أطلق فحدّه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یؤخّر نجماً عن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أو السبب الدالّ علی العجز، لا الحدّ المصطلح، وبالنجم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المؤدّی فی المدّة المخصوصة، ویطلق علی نفس المدّة، وبتأخیره عن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أدائه فی أوّل وقت حلوله، وتحدیده بذلک هو الوارد فی الأخبار الصحیحة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المسألة أقوال اُخر </w:t>
      </w:r>
      <w:r>
        <w:rPr>
          <w:rStyle w:val="FootnoteAnchor"/>
          <w:rtl w:val="true"/>
        </w:rPr>
        <w:footnoteReference w:id="1896"/>
      </w:r>
      <w:r>
        <w:rPr>
          <w:rFonts w:ascii="IRNazanin" w:hAnsi="IRNazanin" w:eastAsia="IRNazanin"/>
          <w:color w:val="111111"/>
          <w:sz w:val="28"/>
          <w:sz w:val="28"/>
          <w:szCs w:val="28"/>
          <w:rtl w:val="true"/>
          <w:lang w:bidi="fa-IR"/>
        </w:rPr>
        <w:t xml:space="preserve">مستندة إلی أخبار ضعیفة </w:t>
      </w:r>
      <w:r>
        <w:rPr>
          <w:rStyle w:val="FootnoteAnchor"/>
          <w:rtl w:val="true"/>
        </w:rPr>
        <w:footnoteReference w:id="1897"/>
      </w:r>
      <w:r>
        <w:rPr>
          <w:rFonts w:ascii="IRNazanin" w:hAnsi="IRNazanin" w:eastAsia="IRNazanin"/>
          <w:color w:val="111111"/>
          <w:sz w:val="28"/>
          <w:sz w:val="28"/>
          <w:szCs w:val="28"/>
          <w:rtl w:val="true"/>
          <w:lang w:bidi="fa-IR"/>
        </w:rPr>
        <w:t>أو اعتبار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المطلقة فإذا نفذ بعض النجوم ولم یؤدّ قسطه فُکّ من سهم الرقاب، فإن تعذّرَ استرقّ إن لم یکن أدّی شیئاً، وإلّا فبحسب ما عجز عنه، فحدّ العجز المذکور</w:t>
      </w:r>
    </w:p>
    <w:p>
      <w:pPr>
        <w:pStyle w:val="BookText"/>
        <w:rPr/>
      </w:pPr>
      <w:r>
        <w:rPr>
          <w:rFonts w:ascii="IRNazanin" w:hAnsi="IRNazanin" w:eastAsia="IRNazanin"/>
          <w:color w:val="111111"/>
          <w:sz w:val="28"/>
          <w:sz w:val="28"/>
          <w:szCs w:val="28"/>
          <w:rtl w:val="true"/>
          <w:lang w:bidi="fa-IR"/>
        </w:rPr>
        <w:t>یصلح له بوجهه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العجز؛ للأمر بإنظاره سنة وسنتین وثلاثاً </w:t>
      </w:r>
      <w:r>
        <w:rPr>
          <w:rStyle w:val="FootnoteAnchor"/>
          <w:rtl w:val="true"/>
        </w:rPr>
        <w:footnoteReference w:id="1898"/>
      </w:r>
      <w:r>
        <w:rPr>
          <w:rFonts w:ascii="IRNazanin" w:hAnsi="IRNazanin" w:eastAsia="IRNazanin"/>
          <w:color w:val="111111"/>
          <w:sz w:val="28"/>
          <w:sz w:val="28"/>
          <w:szCs w:val="28"/>
          <w:rtl w:val="true"/>
          <w:lang w:bidi="fa-IR"/>
        </w:rPr>
        <w:t>المحمول علی الاستحباب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لزوم الکتابة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السیّد والمکاتب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المطلقة والمشروطة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 نّه لیس لأحدهما فسخها إلّابالتقایل مع قدرة المکاتب علی الأداء، ووجوب السعی علیه فی أداء المال؛ لعموم الأمر بالوفاء بالعقود، والکتابة منها، والجمع المحلّی مفید للعموم، وخروج نحو الودیعة والعاریة بنصّ </w:t>
      </w:r>
      <w:r>
        <w:rPr>
          <w:rStyle w:val="FootnoteAnchor"/>
          <w:rtl w:val="true"/>
        </w:rPr>
        <w:footnoteReference w:id="1899"/>
      </w:r>
      <w:r>
        <w:rPr>
          <w:rFonts w:ascii="Amiri" w:hAnsi="Amiri" w:eastAsia="Amiri" w:cs="Amiri"/>
          <w:color w:val="111111"/>
          <w:sz w:val="28"/>
          <w:sz w:val="28"/>
          <w:szCs w:val="28"/>
          <w:rtl w:val="true"/>
          <w:lang w:bidi="ar-SA"/>
        </w:rPr>
        <w:t xml:space="preserve">یُبقی </w:t>
      </w:r>
      <w:r>
        <w:rPr>
          <w:rStyle w:val="FootnoteAnchor"/>
          <w:rtl w:val="true"/>
        </w:rPr>
        <w:footnoteReference w:id="1900"/>
      </w:r>
      <w:r>
        <w:rPr>
          <w:rFonts w:ascii="IRNazanin" w:hAnsi="IRNazanin" w:eastAsia="IRNazanin"/>
          <w:color w:val="111111"/>
          <w:sz w:val="28"/>
          <w:sz w:val="28"/>
          <w:szCs w:val="28"/>
          <w:rtl w:val="true"/>
          <w:lang w:bidi="fa-IR"/>
        </w:rPr>
        <w:t>الباقی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الشیخ </w:t>
      </w:r>
      <w:r>
        <w:rPr>
          <w:rStyle w:val="FootnoteAnchor"/>
          <w:rtl w:val="true"/>
        </w:rPr>
        <w:footnoteReference w:id="1901"/>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902"/>
      </w:r>
      <w:r>
        <w:rPr>
          <w:rFonts w:ascii="IRNazanin" w:hAnsi="IRNazanin" w:eastAsia="IRNazanin"/>
          <w:color w:val="111111"/>
          <w:sz w:val="28"/>
          <w:sz w:val="28"/>
          <w:szCs w:val="28"/>
          <w:rtl w:val="true"/>
          <w:lang w:bidi="fa-IR"/>
        </w:rPr>
        <w:t>إلی جواز المشروطة من جهة العبد، بمعنی أنّ له الامتناع من أداء ما علیه فیتخیّر السیّد بین الفسخ والبقاء، ولزومها من طرف السیّد إلّاعلی الوجه المذکور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ابن حمزة إلی جواز المشروطة مطلقاً </w:t>
      </w:r>
      <w:r>
        <w:rPr>
          <w:rStyle w:val="FootnoteAnchor"/>
          <w:rtl w:val="true"/>
        </w:rPr>
        <w:footnoteReference w:id="1903"/>
      </w:r>
      <w:r>
        <w:rPr>
          <w:rFonts w:ascii="IRNazanin" w:hAnsi="IRNazanin" w:eastAsia="IRNazanin"/>
          <w:color w:val="111111"/>
          <w:sz w:val="28"/>
          <w:sz w:val="28"/>
          <w:szCs w:val="28"/>
          <w:rtl w:val="true"/>
          <w:lang w:bidi="fa-IR"/>
        </w:rPr>
        <w:t>والمطلقة من طرف السیّد خاصّة، وهو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خواصّ العقود اللازمة أ نّها لا تبطل بموت المتعاقدین، وهو هنا کذلک بالنسبة إلی المولی، أمّا موت المکاتب فإنّه یبطلها من حیث العجز عن الاکتساب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فیها التقایل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 من عقود المعاوضات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الإسلام فی السیّد، ولا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 نّها معاملة مستقلّة، والأصل یقتضی جوازها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جعلناها عتقاً بُنی علی ما سلف فی عتق الکافر فاعلاً وقابلاً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المولی کافراً والعبد مسلماً، وإلّا اُشکل جواز المکاتبة من حیث عدم استلزامها رفع سلطنته عنه خصوصاً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عدم جوازها؛ لعدم الاکتفاء بها فی رفع ید الکافر عن المسلم؛ لأ نّها لا ترفع أصل السبیل وهو بمنزلة الرقّ فی کثیر من الأحکام بل هو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کفر المولی بالارتداد، فإن کان عن فطرة فعدم صحّة کتابته واضح؛ لانتقال ماله عنه، وإن کان عن ملّة ففی صحّتها مطلقاً أو مراعاةً بعوده إلی الإسلام أو البطلان، أوجه أوجهها الجواز ما لم یکن العبد مسلماً، بتقریب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إسلام العبد مطلقاً </w:t>
      </w:r>
      <w:r>
        <w:rPr>
          <w:rStyle w:val="FootnoteAnchor"/>
          <w:rtl w:val="true"/>
        </w:rPr>
        <w:footnoteReference w:id="1904"/>
      </w:r>
      <w:r>
        <w:rPr>
          <w:rFonts w:ascii="IRNazanin" w:hAnsi="IRNazanin" w:eastAsia="IRNazanin"/>
          <w:color w:val="111111"/>
          <w:sz w:val="28"/>
          <w:sz w:val="28"/>
          <w:szCs w:val="28"/>
          <w:rtl w:val="true"/>
          <w:lang w:bidi="fa-IR"/>
        </w:rPr>
        <w:t xml:space="preserve">نظراً إلی أنّ الدین داخل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شرطها، ولأنّ المکاتب یؤتی من الزکاة ویتعذّر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فی الأمر بها، لا فی أصل شرعیّتها، والإیتاء من الزکاة مشروط باستحقاقه لها وهو منفیّ مع الکفر کما ینتفی مع عدم حاجته إلیها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لولیّ الیتیم أن یکاتب رقیقه مع الغبطة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للیتیم فی المکاتبة، کما یصحّ بیعه وعتقه معها، ولصحیحة معاویة بن وهب عن الصادق علیه السلام فی مکاتبة جاریة الأیتام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بالمنع؛ لأنّ الکتابة شبیهة بالتبرّع من حیث إنّها معاملة علی ماله بماله </w:t>
      </w:r>
      <w:r>
        <w:rPr>
          <w:rStyle w:val="FootnoteAnchor"/>
          <w:rtl w:val="true"/>
        </w:rPr>
        <w:footnoteReference w:id="1906"/>
      </w:r>
      <w:r>
        <w:rPr>
          <w:rFonts w:ascii="IRNazanin" w:hAnsi="IRNazanin" w:eastAsia="IRNazanin"/>
          <w:color w:val="111111"/>
          <w:sz w:val="28"/>
          <w:sz w:val="28"/>
          <w:szCs w:val="28"/>
          <w:rtl w:val="true"/>
          <w:lang w:bidi="fa-IR"/>
        </w:rPr>
        <w:t>والخبر حجّة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تنجیمها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نجوماً متعدّدة بأن یؤدّی فی کلّ نجم قدراً من 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العلم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الغرر، سواء تساوت النجوم أجلاً ومالاً أم اختلفت؛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الأصل فیها، ولیس موضع الاشتباه حتّی یُختَصّ بالذکر، وإنّما موضعه النجم الواحد، ولا یجوز حمل مطلقه علیه؛ للعلم به من اشتراط 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جهالة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یعتبر ضبطه کالنسیئة، وإن کان عَرَضاً فکالسلم، ویمتنع فیما یمتنع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إن کانت للسیّد فلا معاوضة، وإن کانت لغیره فهی کجَعل ثمن المبیع من مال غیر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أذن الغیر فی الکتابة علی عین یملکها فهی فی قوّة بیع العبد بها، فإن جعلناها بیعاً صحّ، وإلّا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 وکونِه خلاف المعهود شرعاً کما عُلم من اشتراط الأجل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أن لا یتجاوز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الکتابة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المکاتبة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للمکاتَب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الزکاة إن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آتُوهُمْ مِنْ مٰالِ اَللّٰهِ اَلَّذِی آتٰاکُمْ</w:t>
      </w:r>
      <w:r>
        <w:rPr>
          <w:rFonts w:eastAsia="Amiri" w:cs="Amiri" w:ascii="Amiri" w:hAnsi="Amiri"/>
          <w:color w:val="111111"/>
          <w:sz w:val="28"/>
          <w:szCs w:val="28"/>
          <w:rtl w:val="true"/>
          <w:lang w:bidi="ar-SA"/>
        </w:rPr>
        <w:t xml:space="preserve">) </w:t>
      </w:r>
      <w:r>
        <w:rPr>
          <w:rStyle w:val="FootnoteAnchor"/>
          <w:rtl w:val="true"/>
        </w:rPr>
        <w:footnoteReference w:id="1907"/>
      </w:r>
      <w:r>
        <w:rPr>
          <w:rFonts w:ascii="IRNazanin" w:hAnsi="IRNazanin" w:eastAsia="IRNazanin"/>
          <w:color w:val="111111"/>
          <w:sz w:val="28"/>
          <w:sz w:val="28"/>
          <w:szCs w:val="28"/>
          <w:rtl w:val="true"/>
          <w:lang w:bidi="fa-IR"/>
        </w:rPr>
        <w:t xml:space="preserve">ولیکن من سهم الرقاب إن أوجبنا البسط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علیه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الإیتاء وهو إعطاؤه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للمؤتی قلّةً، بل</w:t>
      </w:r>
    </w:p>
    <w:p>
      <w:pPr>
        <w:pStyle w:val="BookText"/>
        <w:rPr/>
      </w:pPr>
      <w:r>
        <w:rPr>
          <w:rFonts w:ascii="IRNazanin" w:hAnsi="IRNazanin" w:eastAsia="IRNazanin"/>
          <w:color w:val="111111"/>
          <w:sz w:val="28"/>
          <w:sz w:val="28"/>
          <w:szCs w:val="28"/>
          <w:rtl w:val="true"/>
          <w:lang w:bidi="fa-IR"/>
        </w:rPr>
        <w:t>یکفی ما یطلق علیه اسم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الحطّ من النجوم عنه؛ لأنّه فی معناه، ویجب علی العبد القبول إن آتاه من عین مال الکتابة أو من جنسه، لا من غیره، ولو اُعتق قبل الإیتاء ففی وجوب القضاء وکونه دیناً علی المولی وجهٌ رجّحه المصنّف فی الدروس وجعله کالدین </w:t>
      </w:r>
      <w:r>
        <w:rPr>
          <w:rStyle w:val="FootnoteAnchor"/>
          <w:rtl w:val="true"/>
        </w:rPr>
        <w:footnoteReference w:id="1908"/>
      </w:r>
      <w:r>
        <w:rPr>
          <w:rFonts w:ascii="IRNazanin" w:hAnsi="IRNazanin" w:eastAsia="IRNazanin"/>
          <w:color w:val="111111"/>
          <w:sz w:val="28"/>
          <w:sz w:val="28"/>
          <w:szCs w:val="28"/>
          <w:rtl w:val="true"/>
          <w:lang w:bidi="fa-IR"/>
        </w:rPr>
        <w:t xml:space="preserve">ولو دفع إلیه من الزکاة وکان مشروطاً فعجّزه ففی وجوب إخراج الزکاة لغیره أو ردّها إلی دافعها لو کان غیره قول </w:t>
      </w:r>
      <w:r>
        <w:rPr>
          <w:rStyle w:val="FootnoteAnchor"/>
          <w:rtl w:val="true"/>
        </w:rPr>
        <w:footnoteReference w:id="1909"/>
      </w:r>
      <w:r>
        <w:rPr>
          <w:rFonts w:ascii="IRNazanin" w:hAnsi="IRNazanin" w:eastAsia="IRNazanin"/>
          <w:color w:val="111111"/>
          <w:sz w:val="28"/>
          <w:sz w:val="28"/>
          <w:szCs w:val="28"/>
          <w:rtl w:val="true"/>
          <w:lang w:bidi="fa-IR"/>
        </w:rPr>
        <w:t>ویحتمل ذلک لو کان من الغیر تبرّعاً وعدمه فیهما؛ لملکه له وقت الدفع وبراءة ذمّة الدافع، وعوده إلی المولی إحداث لا إبطال ما سلف، ومن ثَمَّ بقیت المعاملة السابقة بحالها وإن لم یرضَ بها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قبل کمال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 المولی ما وصل إلیه من المال وما ترکه المکاتب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مات المطلق ولم یؤدّ شیئاً فکذلک، وإن أدّی تحرّر منه بقدر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بنسبته من الجمیع، وبطل منه بنسبة المتخلّف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میراثه بین السیّد ووارثه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الوارث حرّاً فلا شیء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ویؤدّی الوارث التابع له فی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کولده من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مال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تحرّر منه بنسبة أبیه وبقی الباقی لازماً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وللمولی إجباره علی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له إجبار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دین فکان له إجباره علی أدائه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910"/>
      </w:r>
      <w:r>
        <w:rPr>
          <w:rFonts w:ascii="IRNazanin" w:hAnsi="IRNazanin" w:eastAsia="IRNazanin"/>
          <w:color w:val="111111"/>
          <w:sz w:val="28"/>
          <w:sz w:val="28"/>
          <w:szCs w:val="28"/>
          <w:rtl w:val="true"/>
          <w:lang w:bidi="fa-IR"/>
        </w:rPr>
        <w:t>لعدم وقوع المعاملة معه، وفی صحیحة ابن سنان وجمیل ابن درّاج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مال الکتابة من الأصل، ویرث وارثه</w:t>
      </w:r>
    </w:p>
    <w:p>
      <w:pPr>
        <w:pStyle w:val="BookText"/>
        <w:rPr/>
      </w:pP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w:t>
      </w:r>
    </w:p>
    <w:p>
      <w:pPr>
        <w:pStyle w:val="BookText"/>
        <w:rPr/>
      </w:pPr>
      <w:r>
        <w:rPr>
          <w:rStyle w:val="FootnoteAnchor"/>
          <w:rtl w:val="true"/>
        </w:rPr>
        <w:footnoteReference w:id="1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بعض الأصحاب </w:t>
      </w:r>
      <w:r>
        <w:rPr>
          <w:rStyle w:val="FootnoteAnchor"/>
          <w:rtl w:val="true"/>
        </w:rPr>
        <w:footnoteReference w:id="1912"/>
      </w:r>
      <w:r>
        <w:rPr>
          <w:rFonts w:ascii="IRNazanin" w:hAnsi="IRNazanin" w:eastAsia="IRNazanin"/>
          <w:color w:val="111111"/>
          <w:sz w:val="28"/>
          <w:sz w:val="28"/>
          <w:szCs w:val="28"/>
          <w:rtl w:val="true"/>
          <w:lang w:bidi="fa-IR"/>
        </w:rPr>
        <w:t>والمشهور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وتصحّ الوصیّة للمکاتب المطلق بحساب ما تحرّر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محمّد ابن قیس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مکاتب کان تحته امرأة حرّة فأوصت له عند موتها بوصیّة، فقضی أ نّه یرث بحساب ما اُعتق منه</w:t>
      </w:r>
      <w:r>
        <w:rPr>
          <w:rFonts w:eastAsia="IRNazanin" w:cs="IRNazanin"/>
          <w:color w:val="111111"/>
          <w:sz w:val="28"/>
          <w:szCs w:val="28"/>
          <w:rtl w:val="true"/>
          <w:lang w:bidi="fa-IR"/>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لم یتحرّر منه شیء أو کان مشروطاً، لم تصحّ الوصیّة له مطلقاً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المصنّف فی الدروس جواز الوصیّة للمکاتب مطلقاً </w:t>
      </w:r>
      <w:r>
        <w:rPr>
          <w:rStyle w:val="FootnoteAnchor"/>
          <w:rtl w:val="true"/>
        </w:rPr>
        <w:footnoteReference w:id="1914"/>
      </w:r>
      <w:r>
        <w:rPr>
          <w:rFonts w:ascii="IRNazanin" w:hAnsi="IRNazanin" w:eastAsia="IRNazanin"/>
          <w:color w:val="111111"/>
          <w:sz w:val="28"/>
          <w:sz w:val="28"/>
          <w:szCs w:val="28"/>
          <w:rtl w:val="true"/>
          <w:lang w:bidi="fa-IR"/>
        </w:rPr>
        <w:t>لأنّ قبولها نوع اکتساب وهو أهل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قوّة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الموصی غیر المولی، أمّا هو فتصحّ وصیّته مطلقاً، ویُعتق منه بقدر الوصیّة، فإن کانت بقدر النجوم عُتق أجمع، وإن زادت فالزائد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کون قیمته بقدر مال الکتابة، أو أقلّ؛ لأنّ الواجب الآن هو المال، مع احتمال اعتبار القیمة لو نقصت من الوصیّة فیعتق من الوصیّة، وله الزائد وإن لم تفِ بمال الکتابة؛ لأنّ ذلک حکم القنّ، والمکاتَب لا یقصر عنه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یشترط فی عقد الکتابة ممّا لا یخالف المشروع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الشرط فی العقد یصیر کالجزء منه، فالأمر بالوفاء به یتناوله، ولقوله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Style w:val="FootnoteAnchor"/>
          <w:rtl w:val="true"/>
        </w:rPr>
        <w:footnoteReference w:id="1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خالف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کشرط أن یطأ المکاتَبة أو أمةَ المکاتَب مطلقاً، أو یترک التکسّب، أو ردّ المطلق فی الرقّ حیث شاء،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الشرط، ویتبعه بطلان العقد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للمکاتَب بنوعیه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ماله ببیعٍ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 الاکتساب کالبیع نسیئة بغیر رهن ولا ضمین، أو محاباةً أو بغبن، لا مطلق البیع فإنّ له التصرّف بالبیع والشراء وغیرهما من أنواع التکسّب التی لا خطر فیها ولا 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تستلزم عوضاً زائداً عن الموهوب، وإلّا فلا منع؛ للغبطة، وفی صحّة العوض المساوی وجه؛ إذ لا ضرر حینئذٍ کالبیع بثمن المثل والشراء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تبرّع محض، ومنه شراء من ینعتق علیه، وله قبول هبته مع عدم الضرر بأن یکون مکتسباً قدر مؤونته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الغبطة، فلو کان فی طریق خطر یکون الإقراض فیه أغبط من بقاء المال، أو خاف تلفه قبل دفعه، أو بیعه ونحو ذلک، فالمتّجه الصحّة، ولکنّهم أطلقوا المنع فیما ذکر </w:t>
      </w:r>
      <w:r>
        <w:rPr>
          <w:rStyle w:val="FootnoteAnchor"/>
          <w:rtl w:val="true"/>
        </w:rPr>
        <w:footnoteReference w:id="1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إلّابإذن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أذن فی ذلک کلّه جاز؛ لأنّ الحقّ لهما، وحیث یُعتق بإذنه فالولاء له إن عتق، وإلّا فللمولی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من ینعتق علیه لم یُعتَق فی الحال فإن عُتِق تبعه، وإلّا استرقّهما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العتیق فی زمن الکتابة وقف میراثه توقّعاً لعتق المکاتَب</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لا یأذن المولی فیما لا غبطة فیه ولم یبطله حتّی عتق المکاتب نفذ؛</w:t>
      </w:r>
    </w:p>
    <w:p>
      <w:pPr>
        <w:pStyle w:val="BookText"/>
        <w:rPr/>
      </w:pPr>
      <w:r>
        <w:rPr>
          <w:rFonts w:ascii="IRNazanin" w:hAnsi="IRNazanin" w:eastAsia="IRNazanin"/>
          <w:color w:val="111111"/>
          <w:sz w:val="28"/>
          <w:sz w:val="28"/>
          <w:szCs w:val="28"/>
          <w:rtl w:val="true"/>
          <w:lang w:bidi="fa-IR"/>
        </w:rPr>
        <w:t>لزوال المانع کالفضولی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لوقوعه علی غیر الوجه المشروع </w:t>
      </w:r>
      <w:r>
        <w:rPr>
          <w:rStyle w:val="FootnoteAnchor"/>
          <w:rtl w:val="true"/>
        </w:rPr>
        <w:footnoteReference w:id="1918"/>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یتصرّف المولی فی ماله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ینافی الاکتساب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إلّابما یتعلّق بالاستیفاء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کانت أم مشروطة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علیه 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المکاتبة عقداً وملکاً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بإذنها وغیره، فلو وطئها فعلیه المهر وإن طاوعته؛ لأنّها لم تستقلّ بملکه لیسقط ببغیها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تکرّر المهر بتکرّر الوطء أوجه، ثالثها تکرّره مع تخلّل الأداء بین الوطأین، وإلّا فلا، وتصیر اُمّ ولد لو ولدت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وعلیها شیء من مال الکتابة عتق باقیها من نصیب ولدها فإن عجز النصیب بقی الباقی مکاتباً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تزویجها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المولی أنّ الملک له غیر تامّ؛ لتشبّثها بالحرّیّة، والعقد کذلک؛ لعدم استقلالها والبُضع لا یتبعّض، أمّا الأجنبیّ فلمّا کان الحقّ منحصراً فیهما وعقد له بإذنها فقد أباحه بوجهٍ واحد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بیع مال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حلوله ونقله بسائر وجوه النقل، فیجب علی المکاتَب تسلیمه إلی من صار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للمبسوط </w:t>
      </w:r>
      <w:r>
        <w:rPr>
          <w:rStyle w:val="FootnoteAnchor"/>
          <w:rtl w:val="true"/>
        </w:rPr>
        <w:footnoteReference w:id="1919"/>
      </w:r>
      <w:r>
        <w:rPr>
          <w:rFonts w:ascii="IRNazanin" w:hAnsi="IRNazanin" w:eastAsia="IRNazanin"/>
          <w:color w:val="111111"/>
          <w:sz w:val="28"/>
          <w:sz w:val="28"/>
          <w:szCs w:val="28"/>
          <w:rtl w:val="true"/>
          <w:lang w:bidi="fa-IR"/>
        </w:rPr>
        <w:t xml:space="preserve">استناداً إلی النهی عن بیع ما لم یُقبض </w:t>
      </w:r>
      <w:r>
        <w:rPr>
          <w:rStyle w:val="FootnoteAnchor"/>
          <w:rtl w:val="true"/>
        </w:rPr>
        <w:footnoteReference w:id="1920"/>
      </w:r>
      <w:r>
        <w:rPr>
          <w:rFonts w:ascii="IRNazanin" w:hAnsi="IRNazanin" w:eastAsia="IRNazanin"/>
          <w:color w:val="111111"/>
          <w:sz w:val="28"/>
          <w:sz w:val="28"/>
          <w:szCs w:val="28"/>
          <w:rtl w:val="true"/>
          <w:lang w:bidi="fa-IR"/>
        </w:rPr>
        <w:t xml:space="preserve">وإطلاقه ممنوع </w:t>
      </w:r>
      <w:r>
        <w:rPr>
          <w:rStyle w:val="FootnoteAnchor"/>
          <w:rtl w:val="true"/>
        </w:rPr>
        <w:footnoteReference w:id="1921"/>
      </w:r>
      <w:r>
        <w:rPr>
          <w:rFonts w:ascii="IRNazanin" w:hAnsi="IRNazanin" w:eastAsia="IRNazanin"/>
          <w:color w:val="111111"/>
          <w:sz w:val="28"/>
          <w:sz w:val="28"/>
          <w:szCs w:val="28"/>
          <w:rtl w:val="true"/>
          <w:lang w:bidi="fa-IR"/>
        </w:rPr>
        <w:t xml:space="preserve">لتقییده بانتقاله إلی البائع بالبیع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المشتری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قبضه کقبض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بالفساد، ففی عتقه بقبض المشتری مع إذنه له فی القبض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 کالوکیل، ومن أنّ قبضه لنفسه وهو غیر مستحقّ، ففارق الوکیل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والوجهان اختارهما العلّامة فی التحریر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قدر مال الکتابة، أو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الآجال إمّا فی قدر کلّ أجل مع اتّفاقهما علی عددها، أو فی عددها مع اتّفاقهما علی مقدار کلّ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المکاتب فی الأوّل والمولی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البراءة من الزائد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قول السیّد مطلقاً </w:t>
      </w:r>
      <w:r>
        <w:rPr>
          <w:rStyle w:val="FootnoteAnchor"/>
          <w:rtl w:val="true"/>
        </w:rPr>
        <w:footnoteReference w:id="1923"/>
      </w:r>
      <w:r>
        <w:rPr>
          <w:rFonts w:ascii="IRNazanin" w:hAnsi="IRNazanin" w:eastAsia="IRNazanin"/>
          <w:color w:val="111111"/>
          <w:sz w:val="28"/>
          <w:sz w:val="28"/>
          <w:szCs w:val="28"/>
          <w:rtl w:val="true"/>
          <w:lang w:bidi="fa-IR"/>
        </w:rPr>
        <w:t>لأصالة عدم العتق، إلّابما یتّفقان علیه</w:t>
      </w:r>
      <w:r>
        <w:rPr>
          <w:rFonts w:eastAsia="IRNazanin" w:cs="IRNazanin"/>
          <w:color w:val="111111"/>
          <w:sz w:val="28"/>
          <w:szCs w:val="28"/>
          <w:rtl w:val="true"/>
          <w:lang w:bidi="fa-IR"/>
        </w:rPr>
        <w:t>.</w:t>
      </w:r>
      <w:bookmarkStart w:id="626" w:name="pg19810_214721"/>
    </w:p>
    <w:p>
      <w:pPr>
        <w:pStyle w:val="Heading3"/>
        <w:numPr>
          <w:ilvl w:val="2"/>
          <w:numId w:val="1"/>
        </w:numPr>
        <w:rPr/>
      </w:pPr>
      <w:bookmarkStart w:id="627" w:name="__RefHeading___Toc2175721_2314609296"/>
      <w:bookmarkStart w:id="628" w:name="_Toc235"/>
      <w:bookmarkEnd w:id="626"/>
      <w:bookmarkEnd w:id="627"/>
      <w:r>
        <w:rPr>
          <w:rtl w:val="true"/>
        </w:rPr>
        <w:t>«</w:t>
      </w:r>
      <w:r>
        <w:rPr>
          <w:rtl w:val="true"/>
        </w:rPr>
        <w:t>النظر الثالث فی الاستیلاد</w:t>
      </w:r>
      <w:r>
        <w:rPr>
          <w:rtl w:val="true"/>
        </w:rPr>
        <w:t xml:space="preserve">» </w:t>
      </w:r>
      <w:r>
        <w:rPr>
          <w:rtl w:val="true"/>
        </w:rPr>
        <w:t>للإماء بملک الیمین</w:t>
      </w:r>
      <w:bookmarkEnd w:id="628"/>
    </w:p>
    <w:p>
      <w:pPr>
        <w:pStyle w:val="BookText"/>
        <w:rPr/>
      </w:pPr>
      <w:r>
        <w:rPr>
          <w:rFonts w:ascii="IRNazanin" w:hAnsi="IRNazanin" w:eastAsia="IRNazanin"/>
          <w:color w:val="111111"/>
          <w:sz w:val="28"/>
          <w:sz w:val="28"/>
          <w:szCs w:val="28"/>
          <w:rtl w:val="true"/>
          <w:lang w:bidi="fa-IR"/>
        </w:rPr>
        <w:t xml:space="preserve">ویترتّب علیه أحکام خاصّة، کإبطال کلّ تصرّفٍ ناقلٍ للملک عنه إلی غیره غیر مستلزم للعتق أو مستلزم للنقل کالرهن، وعتقِها بموت المولی قبلَها مع خلوّ ذمّته من ثمن رقبتها أو وفاء الترکة وحیاةِ الولد،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یحصل بعُلوق أمته منه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یکون مبدأ نشوء آدمیّ ولو مضغةً، لا بعُلوق الزوجة الأمةِ، ولا الموطوءة بشبهة وإن ولدته حرّاً أو ملکهما بعدُ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الوطء، بل یکفی مطلق العُلوق منه، ولا حلّ الوطء إذا کان التحریم عارضاً کالصوم والإحرام </w:t>
      </w:r>
      <w:r>
        <w:rPr>
          <w:rStyle w:val="FootnoteAnchor"/>
          <w:rtl w:val="true"/>
        </w:rPr>
        <w:footnoteReference w:id="1924"/>
      </w:r>
      <w:r>
        <w:rPr>
          <w:rFonts w:ascii="IRNazanin" w:hAnsi="IRNazanin" w:eastAsia="IRNazanin"/>
          <w:color w:val="111111"/>
          <w:sz w:val="28"/>
          <w:sz w:val="28"/>
          <w:szCs w:val="28"/>
          <w:rtl w:val="true"/>
          <w:lang w:bidi="fa-IR"/>
        </w:rPr>
        <w:t>والحیض والرهن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الأصلیّ بتزویج الأمة مع العلم بالتحریم فلا؛ لعدم لحوق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مع ذلک الحکم بحرّیّة الولد، فلا یحصل بوطء المکاتَب أمته قبل الحکم بعتقه، فلو عجز استرقّ المولی الجمیع، نعم لو عُتق صارت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بیعها قبل عجزه وعتقه؛ لتشبّثها بالحرّیّة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بوطء العبد أمته التی ملّکه إیّاها مولاه لو قلنا بملکه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استخدامها ووطؤها بالملک وتزویجها بغیر رضاها وإجارتها وعتقها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تتحرّر بموت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بمجرّد موته کما یتحرّر المدبَّر لو خرج من ثلث ماله أو أجازه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نصیب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میراثه من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قیمتها کما لو لم یخلّف سواها وخلّف وارثاً</w:t>
      </w:r>
    </w:p>
    <w:p>
      <w:pPr>
        <w:pStyle w:val="BookText"/>
        <w:rPr/>
      </w:pP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قیمتها عن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اعتبار بملک ولدها من غیر الإرث؛ لأنّ عتقها علیه قهریّ، فلا یسری علیه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علیه الباقی بناءً علی السرایة بمطلق الملک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بیعها ما دام ولدها حیّاً، إلّافیما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البیع </w:t>
      </w:r>
      <w:r>
        <w:rPr>
          <w:rStyle w:val="FootnoteAnchor"/>
          <w:rtl w:val="true"/>
        </w:rPr>
        <w:footnoteReference w:id="1926"/>
      </w:r>
      <w:r>
        <w:rPr>
          <w:rFonts w:ascii="IRNazanin" w:hAnsi="IRNazanin" w:eastAsia="IRNazanin"/>
          <w:color w:val="111111"/>
          <w:sz w:val="28"/>
          <w:sz w:val="28"/>
          <w:szCs w:val="28"/>
          <w:rtl w:val="true"/>
          <w:lang w:bidi="fa-IR"/>
        </w:rPr>
        <w:t>فإذا مات أو ولدته سقطاً زال حکم الاستیلاد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 الحکم به بوضع العلقة والمضغة وما فوقهما إبطال التصرّفات السابقة الواقعة حالة الحمل، وإن جاز تجدیدها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الولد خطأً تعلّقت الجنایة برقبتها علی المشهور،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 الأمرین من قیمتها وأرش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لأنّ الأقلّ إن کان هو الأرش فظاهر، وإن کان القیمة فهی بدل من العین فیقوم مقامها، وإلّا لم تکن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سبیل إلی الزائد؛ لأنّ المولی لا یَعقِلُ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لا یختصّ باُمّ الولد، بل بکلّ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یفکّها بأرش الجنایة مطلقاً </w:t>
      </w:r>
      <w:r>
        <w:rPr>
          <w:rStyle w:val="FootnoteAnchor"/>
          <w:rtl w:val="true"/>
        </w:rPr>
        <w:footnoteReference w:id="1927"/>
      </w:r>
      <w:r>
        <w:rPr>
          <w:rFonts w:ascii="IRNazanin" w:hAnsi="IRNazanin" w:eastAsia="IRNazanin"/>
          <w:color w:val="111111"/>
          <w:sz w:val="28"/>
          <w:sz w:val="28"/>
          <w:szCs w:val="28"/>
          <w:rtl w:val="true"/>
          <w:lang w:bidi="fa-IR"/>
        </w:rPr>
        <w:t>لتعلّقها برقبتها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یتعیّن علیه ذلک، بل یفکّها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المجنیّ علیه، أو وارثه لیتملّکها فیبطل حکم الاستیلاد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حینئذٍ بیعها والتصرّف فیها کیف شاء إن استغرقت الجنایة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یُسلّم ما قابل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تستغرق قیمتها</w:t>
      </w:r>
      <w:r>
        <w:rPr>
          <w:rFonts w:eastAsia="IRNazanin" w:cs="IRNazanin"/>
          <w:color w:val="111111"/>
          <w:sz w:val="28"/>
          <w:szCs w:val="28"/>
          <w:rtl w:val="true"/>
          <w:lang w:bidi="fa-IR"/>
        </w:rPr>
        <w:t>.</w:t>
      </w:r>
      <w:bookmarkStart w:id="629" w:name="pg19810_214723"/>
    </w:p>
    <w:p>
      <w:pPr>
        <w:pStyle w:val="Heading2"/>
        <w:numPr>
          <w:ilvl w:val="1"/>
          <w:numId w:val="1"/>
        </w:numPr>
        <w:rPr/>
      </w:pPr>
      <w:bookmarkStart w:id="630" w:name="__RefHeading___Toc2175723_2314609296"/>
      <w:bookmarkStart w:id="631" w:name="_Toc236"/>
      <w:bookmarkEnd w:id="629"/>
      <w:bookmarkEnd w:id="630"/>
      <w:r>
        <w:rPr>
          <w:rtl w:val="true"/>
        </w:rPr>
        <w:t>کتاب الإقرار</w:t>
      </w:r>
      <w:bookmarkEnd w:id="63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2" w:name="__RefHeading___Toc2175725_2314609296"/>
      <w:bookmarkStart w:id="633" w:name="_Toc237"/>
      <w:bookmarkEnd w:id="632"/>
      <w:r>
        <w:rPr>
          <w:rtl w:val="true"/>
        </w:rPr>
        <w:t>اشارة</w:t>
      </w:r>
      <w:bookmarkStart w:id="634" w:name="pg19810_214725"/>
      <w:bookmarkEnd w:id="633"/>
    </w:p>
    <w:p>
      <w:pPr>
        <w:pStyle w:val="BookText"/>
        <w:rPr/>
      </w:pPr>
      <w:bookmarkEnd w:id="6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w:t>
      </w:r>
    </w:p>
    <w:p>
      <w:pPr>
        <w:pStyle w:val="Heading3"/>
        <w:numPr>
          <w:ilvl w:val="2"/>
          <w:numId w:val="1"/>
        </w:numPr>
        <w:rPr/>
      </w:pPr>
      <w:bookmarkStart w:id="635" w:name="__RefHeading___Toc2175727_2314609296"/>
      <w:bookmarkStart w:id="636" w:name="_Toc238"/>
      <w:bookmarkEnd w:id="635"/>
      <w:r>
        <w:rPr>
          <w:rtl w:val="true"/>
        </w:rPr>
        <w:t xml:space="preserve">الفصل </w:t>
      </w:r>
      <w:r>
        <w:rPr>
          <w:rtl w:val="true"/>
        </w:rPr>
        <w:t>«</w:t>
      </w:r>
      <w:r>
        <w:rPr>
          <w:rtl w:val="true"/>
        </w:rPr>
        <w:t>الأوّل</w:t>
      </w:r>
      <w:r>
        <w:rPr>
          <w:rtl w:val="true"/>
        </w:rPr>
        <w:t>» «</w:t>
      </w:r>
      <w:r>
        <w:rPr>
          <w:rtl w:val="true"/>
        </w:rPr>
        <w:t>الصیغة، وتوابعها</w:t>
      </w:r>
      <w:r>
        <w:rPr>
          <w:rtl w:val="true"/>
        </w:rPr>
        <w:t>»</w:t>
      </w:r>
      <w:bookmarkEnd w:id="636"/>
    </w:p>
    <w:p>
      <w:pPr>
        <w:pStyle w:val="Heading4"/>
        <w:numPr>
          <w:ilvl w:val="3"/>
          <w:numId w:val="1"/>
        </w:numPr>
        <w:rPr/>
      </w:pPr>
      <w:bookmarkStart w:id="637" w:name="__RefHeading___Toc2175729_2314609296"/>
      <w:bookmarkStart w:id="638" w:name="_Toc239"/>
      <w:bookmarkEnd w:id="637"/>
      <w:r>
        <w:rPr>
          <w:rtl w:val="true"/>
        </w:rPr>
        <w:t>اشارة</w:t>
      </w:r>
      <w:bookmarkEnd w:id="638"/>
    </w:p>
    <w:p>
      <w:pPr>
        <w:pStyle w:val="BookText"/>
        <w:rPr/>
      </w:pPr>
      <w:r>
        <w:rPr>
          <w:rFonts w:ascii="IRNazanin" w:hAnsi="IRNazanin" w:eastAsia="IRNazanin"/>
          <w:color w:val="111111"/>
          <w:sz w:val="28"/>
          <w:sz w:val="28"/>
          <w:szCs w:val="28"/>
          <w:rtl w:val="true"/>
          <w:lang w:bidi="fa-IR"/>
        </w:rPr>
        <w:t>من شرائط المُقِرّ، وجملة من أحکامه المترتّبة علی الصیغة، ویندرج فیه بعض شرائط المُقَرّ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أن یدرج شرائط المُقَرّ له أیضاً فیه،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أهلیّته للتملّک وأن لا یکذّب المُقِرَّ، وأن یکون ممّن یملک المُقَرّ به، فلو أقرّ للحائط أو الدابّة لغا، ولو أکذبه لم یُعطَ، ولو لم یصلح لملکه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أقرّ لمسلم بخنزیر أو خمر غیر 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وإنّما أدرجنا ذلک لیتمّ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عندی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کهذا البیت أو البستان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لامتناع اجتماع مالکین مستوعبین علی شیءٍ واحد، والإقرار یقتضی سبق ملک المقَرّ له علی وقت الإقرار، فیجتمع النقیضان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کالشراء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لجواز أن یکون له حقّ</w:t>
      </w:r>
    </w:p>
    <w:p>
      <w:pPr>
        <w:pStyle w:val="BookText"/>
        <w:rPr/>
      </w:pPr>
      <w:r>
        <w:rPr>
          <w:rFonts w:ascii="IRNazanin" w:hAnsi="IRNazanin" w:eastAsia="IRNazanin"/>
          <w:color w:val="111111"/>
          <w:sz w:val="28"/>
          <w:sz w:val="28"/>
          <w:szCs w:val="28"/>
          <w:rtl w:val="true"/>
          <w:lang w:bidi="fa-IR"/>
        </w:rPr>
        <w:t>وقد جعل دارَه فی مقابلته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والأقوی الصحّة مطلقاً </w:t>
      </w:r>
      <w:r>
        <w:rPr>
          <w:rStyle w:val="FootnoteAnchor"/>
          <w:rtl w:val="true"/>
        </w:rPr>
        <w:footnoteReference w:id="1928"/>
      </w:r>
      <w:r>
        <w:rPr>
          <w:rFonts w:ascii="IRNazanin" w:hAnsi="IRNazanin" w:eastAsia="IRNazanin"/>
          <w:color w:val="111111"/>
          <w:sz w:val="28"/>
          <w:sz w:val="28"/>
          <w:szCs w:val="28"/>
          <w:rtl w:val="true"/>
          <w:lang w:bidi="fa-IR"/>
        </w:rPr>
        <w:t xml:space="preserve">لإمکان تنزیل الخالی من الضمیمة علیها؛ لأنّ الإقرار مطلقاً یُنزّل علی السبب الصحیح مع إمکان غیره، ولأنّ التناقض إنّما یتحقّق مع ثبوت الملک لهما فی نفس الأمر، أمّا ثبوت أحدهما ظاهراً والآخر فی نفس الأمر فلا، والحال هنا کذلک، فإنّ الإخبار بملک المُقَرّ له یقتضی ثبوت ملکه فی الواقع، ونسبة المُقَرّ به إلی نفسه یحمل علی الظاهر، فإنّه المطابق لحکم الإقرار؛ إذ لا بدّ فیه من کون المقَرّ به تحت ید المقِرّ، وهی تقتضی ظاهراً کونه ملکاً له، ولأنّ الإضافة یکفی فیهاأدنی ملابسة،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تُخْرِجُوهُنَّ مِنْ بُیُوتِهِنَّ</w:t>
      </w:r>
      <w:r>
        <w:rPr>
          <w:rFonts w:eastAsia="IRNazanin" w:cs="IRNazanin"/>
          <w:color w:val="111111"/>
          <w:sz w:val="28"/>
          <w:szCs w:val="28"/>
          <w:rtl w:val="true"/>
          <w:lang w:bidi="fa-IR"/>
        </w:rPr>
        <w:t xml:space="preserve">) </w:t>
      </w:r>
      <w:r>
        <w:rPr>
          <w:rStyle w:val="FootnoteAnchor"/>
          <w:rtl w:val="true"/>
        </w:rPr>
        <w:footnoteReference w:id="1929"/>
      </w:r>
      <w:r>
        <w:rPr>
          <w:rFonts w:ascii="IRNazanin" w:hAnsi="IRNazanin" w:eastAsia="IRNazanin"/>
          <w:color w:val="111111"/>
          <w:sz w:val="28"/>
          <w:sz w:val="28"/>
          <w:szCs w:val="28"/>
          <w:rtl w:val="true"/>
          <w:lang w:bidi="fa-IR"/>
        </w:rPr>
        <w:t>فإنّ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الأزواج واُضیفت إلی الزوجات بملابسة السکنی، ولو کان ملکاً لهنّ لما جاز إخراجهنّ عند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 أحد حاملی الخشبة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طرفَک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الخرقاء</w:t>
      </w:r>
      <w:r>
        <w:rPr>
          <w:rFonts w:eastAsia="IRNazanin" w:cs="IRNazanin"/>
          <w:color w:val="111111"/>
          <w:sz w:val="28"/>
          <w:szCs w:val="28"/>
          <w:rtl w:val="true"/>
          <w:lang w:bidi="fa-IR"/>
        </w:rPr>
        <w:t xml:space="preserve">» </w:t>
      </w:r>
      <w:r>
        <w:rPr>
          <w:rStyle w:val="FootnoteAnchor"/>
          <w:rtl w:val="true"/>
        </w:rPr>
        <w:footnoteReference w:id="19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دینه</w:t>
      </w:r>
      <w:r>
        <w:rPr>
          <w:rFonts w:eastAsia="Amiri" w:cs="Amiri" w:ascii="Amiri" w:hAnsi="Amiri"/>
          <w:color w:val="111111"/>
          <w:sz w:val="28"/>
          <w:szCs w:val="28"/>
          <w:rtl w:val="true"/>
          <w:lang w:bidi="ar-SA"/>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الإضافة لو کانت مجازاً لوجب الحمل علیه، لوجود القرینة الصارفة عن الحقیقة والمعیّنة له؛ لأنّ الحکم بصحّة إقرار العقلاء مع الإتیان باللام المفید</w:t>
      </w:r>
    </w:p>
    <w:p>
      <w:pPr>
        <w:pStyle w:val="BookText"/>
        <w:rPr/>
      </w:pPr>
      <w:r>
        <w:rPr>
          <w:rFonts w:ascii="IRNazanin" w:hAnsi="IRNazanin" w:eastAsia="IRNazanin"/>
          <w:color w:val="111111"/>
          <w:sz w:val="28"/>
          <w:sz w:val="28"/>
          <w:szCs w:val="28"/>
          <w:rtl w:val="true"/>
          <w:lang w:bidi="fa-IR"/>
        </w:rPr>
        <w:t>للملک والاستحقاق قرینة علی أنّ نسبة المال إلی المقرّ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 المصنّف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بالبطلان فی الأوّل وتوقّف فی الثانی </w:t>
      </w:r>
      <w:r>
        <w:rPr>
          <w:rStyle w:val="FootnoteAnchor"/>
          <w:rtl w:val="true"/>
        </w:rPr>
        <w:footnoteReference w:id="1931"/>
      </w:r>
      <w:r>
        <w:rPr>
          <w:rFonts w:ascii="IRNazanin" w:hAnsi="IRNazanin" w:eastAsia="IRNazanin"/>
          <w:color w:val="111111"/>
          <w:sz w:val="28"/>
          <w:sz w:val="28"/>
          <w:szCs w:val="28"/>
          <w:rtl w:val="true"/>
          <w:lang w:bidi="fa-IR"/>
        </w:rPr>
        <w:t>والأقوی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منه </w:t>
      </w:r>
      <w:r>
        <w:rPr>
          <w:rStyle w:val="FootnoteAnchor"/>
          <w:rtl w:val="true"/>
        </w:rPr>
        <w:footnoteReference w:id="1932"/>
      </w:r>
      <w:r>
        <w:rPr>
          <w:rFonts w:ascii="IRNazanin" w:hAnsi="IRNazanin" w:eastAsia="IRNazanin"/>
          <w:color w:val="111111"/>
          <w:sz w:val="28"/>
          <w:sz w:val="28"/>
          <w:szCs w:val="28"/>
          <w:rtl w:val="true"/>
          <w:lang w:bidi="fa-IR"/>
        </w:rPr>
        <w:t>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یقتضی الإقرار قطعاً؛ لأنّ إضافة السکنی لا تقتضی ملکیّة العین؛ لجواز أن یسکن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Style w:val="FootnoteAnchor"/>
          <w:rtl w:val="true"/>
        </w:rPr>
        <w:footnoteReference w:id="1933"/>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 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قِبَلی کذا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علّقه بالمشیئة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لأنّ الإقرار إخبار جازم عن حقّ لازم سابق علی وقت الصیغة، فالتعلیق ینافیه؛ لانتفاء الجزم فی المعلّق، إلّاأن یُقصد فی التعلیق علی مشیئة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التبرّک، فلا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البطلان فی الأوّل بأنّ الصیغة قبل التعلیق تامّة الإفادة لمقصود الإقرار، فیکون التعلیق بعدها کتعقیبه بما ینافیه، فینبغی أن یلغو المنافی، لا أن یبطل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والاعتذار بکون الکلام کالجملة الواحدة لا یتمّ إلّابآخره، واردٌ فی تعقیبه بالمنافی مع حکمهم بصحّته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یُفرَّق بین المقامین بأنّ المراد بالمنافی الذی 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بعد تمام صیغة جامعة لشرائط الصحّة، وهنا لیس کذلک؛ لأنّ من جملة الشرائط التنجیز وهو غیر متحقّق بالتعلیق فتلغو 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 اللغات فی التعبیر عمّا فی الضمیر، والدلالة علی المعانی الذهنیّة بحسب المواضعة، لکن یشترط فی تحقیق اللزوم علم اللافظ بالوضع، فلو أقرّ عربیٌّ بالعجمیّة أو بالعکس وهو لا یعلم مؤدّی اللفظ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ویُقبل قوله فی عدم العلم إن أمکن فی حقّه، أو صدَّقه المُقَرّ له، عملاً بالظاهر والأصلِ من عدم تجدّد العلم بغیر 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 فی الألفاظ الدالّة علی الإقرار إفادتها له عرفاً وإن لم یقع علی القانون العربیّ وقلنا باعتباره فی غیره من العقود والإیقاعات اللازمة لتوقّف تلک علی النقل، ومن ثَمَّ لم تصحّ </w:t>
      </w:r>
      <w:r>
        <w:rPr>
          <w:rStyle w:val="FootnoteAnchor"/>
          <w:rtl w:val="true"/>
        </w:rPr>
        <w:footnoteReference w:id="1934"/>
      </w:r>
      <w:r>
        <w:rPr>
          <w:rFonts w:ascii="IRNazanin" w:hAnsi="IRNazanin" w:eastAsia="IRNazanin"/>
          <w:color w:val="111111"/>
          <w:sz w:val="28"/>
          <w:sz w:val="28"/>
          <w:szCs w:val="28"/>
          <w:rtl w:val="true"/>
          <w:lang w:bidi="fa-IR"/>
        </w:rPr>
        <w:t>بغیر العربیّة مع إمکانها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علّقه بشهادة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شهد لک فلان علیَّ بکذا فهو لک 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کذا إن شهد لک به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فهو صِدق، أو حقّ، أو لازم لذمّتی،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قد علّق ثبوت الحقّ علی الشهادة، وذلک لا یصدق إلّا إذا کان ثابتاً فی ذمّته الآن وحکم بصدقه علی تقدیر شهادته، ولا یکون صادقاً إلّا إذا کان المشهود به فی ذمّته؛ لوجوب مطابقة الخبر الصادق لمُخبَره بحسب الواقع؛ إذ لیس للشهادة أثر فی ثبوت الصدق ولا عدمه، فلولا حصول الصدق عند المُقرّ لما علّقه علی الشهادة؛ لاستحالة أن تجعله الشهادة صادقاً ولیس بصادق، وإذا لم یکن للشهادة تأثیر فی حصول الصدق عند المُقرّ </w:t>
      </w:r>
      <w:r>
        <w:rPr>
          <w:rStyle w:val="FootnoteAnchor"/>
          <w:rtl w:val="true"/>
        </w:rPr>
        <w:footnoteReference w:id="1935"/>
      </w:r>
      <w:r>
        <w:rPr>
          <w:rFonts w:ascii="IRNazanin" w:hAnsi="IRNazanin" w:eastAsia="IRNazanin"/>
          <w:color w:val="111111"/>
          <w:sz w:val="28"/>
          <w:sz w:val="28"/>
          <w:szCs w:val="28"/>
          <w:rtl w:val="true"/>
          <w:lang w:bidi="fa-IR"/>
        </w:rPr>
        <w:t>وقد حکم به، وجب أن یلزمه المال وإن أنکر الشهادة، فضلاً عن شهادته أو عدم شهادته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لم یؤثّر 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أن یعتقد استحالة صدقه؛ لاستحالة شهادته</w:t>
      </w:r>
      <w:bookmarkStart w:id="639" w:name="pg19810_214729"/>
    </w:p>
    <w:p>
      <w:pPr>
        <w:pStyle w:val="BookText"/>
        <w:rPr/>
      </w:pPr>
      <w:bookmarkEnd w:id="639"/>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محاورات العوام کثیر، یقول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شهد فلان أ نّی لست لأبی فهو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یرید إلّاأ نّه لا تصدر عنه الشهادة؛ للقطع بعدم تصدیقه إیّاه علی کونه لیس لأبیه، وغایته قیام الاحتمال، وهو کافٍ فی عدم اللزوم وعدم صراحة الصیغة فی المطلوب، معتضداً بأصالة براءة الذمّة، مع أنّ ما ذکر فی توجیه اللزوم معارَض بالإقرار المعلَّق علی شرط بتقریب ما ذکر </w:t>
      </w:r>
      <w:r>
        <w:rPr>
          <w:rStyle w:val="FootnoteAnchor"/>
          <w:rtl w:val="true"/>
        </w:rPr>
        <w:footnoteReference w:id="1936"/>
      </w:r>
      <w:r>
        <w:rPr>
          <w:rFonts w:ascii="IRNazanin" w:hAnsi="IRNazanin" w:eastAsia="IRNazanin"/>
          <w:color w:val="111111"/>
          <w:sz w:val="28"/>
          <w:sz w:val="28"/>
          <w:szCs w:val="28"/>
          <w:rtl w:val="true"/>
          <w:lang w:bidi="fa-IR"/>
        </w:rPr>
        <w:t>وکذا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لم یکن المال ثابتاً فی ذمّته لم یکن صادقاً علی تقدیر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وینعکس بعکس النقیض إلی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کان صادقاً علی تقدیر الشهادة کان ثابتاً فی ذمّته وإن لم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المقدَّم حقّ؛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937"/>
      </w:r>
      <w:r>
        <w:rPr>
          <w:rFonts w:ascii="IRNazanin" w:hAnsi="IRNazanin" w:eastAsia="IRNazanin"/>
          <w:color w:val="111111"/>
          <w:sz w:val="28"/>
          <w:sz w:val="28"/>
          <w:szCs w:val="28"/>
          <w:rtl w:val="true"/>
          <w:lang w:bidi="fa-IR"/>
        </w:rPr>
        <w:t>وقد أقرّ بصدقه علی تقدیر الشهادة، فالتالی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ثبوت المال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فإنّه معارَض بالمعلَّق ومنقوض بالاحتمال الظاهر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2175731_2314609296"/>
      <w:bookmarkStart w:id="641" w:name="_Toc240"/>
      <w:bookmarkEnd w:id="640"/>
      <w:r>
        <w:rPr>
          <w:rtl w:val="true"/>
        </w:rPr>
        <w:t>[</w:t>
      </w:r>
      <w:r>
        <w:rPr>
          <w:rtl w:val="true"/>
        </w:rPr>
        <w:t>شروط المقر</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کون المقرّ کاملاً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خالیاً من الحجر للسَفَه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الحجر للفَلَس فقد تقدّم فی باب الدین </w:t>
      </w:r>
      <w:r>
        <w:rPr>
          <w:rStyle w:val="FootnoteAnchor"/>
          <w:rtl w:val="true"/>
        </w:rPr>
        <w:footnoteReference w:id="1939"/>
      </w:r>
      <w:r>
        <w:rPr>
          <w:rFonts w:ascii="IRNazanin" w:hAnsi="IRNazanin" w:eastAsia="IRNazanin"/>
          <w:color w:val="111111"/>
          <w:sz w:val="28"/>
          <w:sz w:val="28"/>
          <w:szCs w:val="28"/>
          <w:rtl w:val="true"/>
          <w:lang w:bidi="fa-IR"/>
        </w:rPr>
        <w:t>اختیار المصنّف أ نّه مانع من الإقرار بالعین دون الدین؛ فلذا لم یذکره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مع ذلک القصدُ والاختیار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عبرة بإقرار الصبیّ وإن بلغ عشراً إن لم نُجز وصیّتَه ووقفَه وصدقتَه، وإلّا قُبل إقراره بها؛ لأنّ من ملک شیئاً ملک الإقرار به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أقرّ بالبلوغ استُفسِر فإن فَسَّره بالإمناء قُبل مع إمکانه، ولا یمین علیه حذراً من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ودفعُ المصنّف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یمینه موقوفة علی إمکان بلوغه، والموقوف علی یمینه هو وقوع بلوغه فتغایرت الجهة </w:t>
      </w:r>
      <w:r>
        <w:rPr>
          <w:rStyle w:val="FootnoteAnchor"/>
          <w:rtl w:val="true"/>
        </w:rPr>
        <w:footnoteReference w:id="1940"/>
      </w:r>
      <w:r>
        <w:rPr>
          <w:rFonts w:ascii="IRNazanin" w:hAnsi="IRNazanin" w:eastAsia="IRNazanin"/>
          <w:color w:val="111111"/>
          <w:sz w:val="28"/>
          <w:sz w:val="28"/>
          <w:szCs w:val="28"/>
          <w:rtl w:val="true"/>
          <w:lang w:bidi="fa-IR"/>
        </w:rPr>
        <w:t>مندفعٌ بأنّ إمکان البلوغ غیر کافٍ شرعاً فی اعتبار أفعال الصبیّ وأقواله التی منها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إقرار الصبیّة به أو بالحیض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ادّعاه بالسنّ کُلِّف البیّنة، سواء فی ذلک الغریب والخامل وغیرهما، خلافاً للتذکرة حیث ألحقهما فیه بمدّعی الاحتلام </w:t>
      </w:r>
      <w:r>
        <w:rPr>
          <w:rStyle w:val="FootnoteAnchor"/>
          <w:rtl w:val="true"/>
        </w:rPr>
        <w:footnoteReference w:id="1941"/>
      </w:r>
      <w:r>
        <w:rPr>
          <w:rFonts w:ascii="IRNazanin" w:hAnsi="IRNazanin" w:eastAsia="IRNazanin"/>
          <w:color w:val="111111"/>
          <w:sz w:val="28"/>
          <w:sz w:val="28"/>
          <w:szCs w:val="28"/>
          <w:rtl w:val="true"/>
          <w:lang w:bidi="fa-IR"/>
        </w:rPr>
        <w:t>لتعذّر إقامة البیّنة علیهما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بالإنبات اعتبر؛ فإنّ محلّه لیس من العورة، ولو فرض أ نّه منها فهو موضع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بإقرار المجنون إلّامن ذی الدور وقتَ الوثوق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بإقرار غیر القاصد، کالنائم والهازل والساهی والغالط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ادّعی المقرّ أحد هذه </w:t>
      </w:r>
      <w:r>
        <w:rPr>
          <w:rStyle w:val="FootnoteAnchor"/>
          <w:rtl w:val="true"/>
        </w:rPr>
        <w:footnoteReference w:id="1942"/>
      </w:r>
      <w:r>
        <w:rPr>
          <w:rFonts w:ascii="IRNazanin" w:hAnsi="IRNazanin" w:eastAsia="IRNazanin"/>
          <w:color w:val="111111"/>
          <w:sz w:val="28"/>
          <w:sz w:val="28"/>
          <w:szCs w:val="28"/>
          <w:rtl w:val="true"/>
          <w:lang w:bidi="fa-IR"/>
        </w:rPr>
        <w:t>ففی تقدیم قوله عملاً بالأصل، أو قول الآخر عملاً بالظاهر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دعواه بعد البلوغ وقوعه حالة الصِبا، والمجنونُ حالتَه مع العلم به، فلو لم یُعلم له حالة جنون حلف 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عدم القبول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بإقرار المکرَه فیما اُکره علی الإقرار به، إلّامع ظهور أمارة اختیاره، کأن یکره علی أمر فیقرّ بأزید منه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الخلوّ من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شرط فی الإقرار المالی، فلو أقرّ بغیره کجنایة توجب القصاص ونکاحٍ وطلاقٍ قُبل، ولو اجتمعا قُبل فی غیر المال کالسرقة بالنسبة إلی القطع، ولا یلزم بعد زوال حجره ما بطل قبلَه، وکذا یُقبل إقرار المفلَّس</w:t>
      </w:r>
    </w:p>
    <w:p>
      <w:pPr>
        <w:pStyle w:val="BookText"/>
        <w:rPr/>
      </w:pPr>
      <w:r>
        <w:rPr>
          <w:rFonts w:ascii="IRNazanin" w:hAnsi="IRNazanin" w:eastAsia="IRNazanin"/>
          <w:color w:val="111111"/>
          <w:sz w:val="28"/>
          <w:sz w:val="28"/>
          <w:szCs w:val="28"/>
          <w:rtl w:val="true"/>
          <w:lang w:bidi="fa-IR"/>
        </w:rPr>
        <w:t>فی غیر المال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وإقرار المریض من الثلث مع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الغالب بأ نّه إنّما یرید بالإقرار تخصیصَ المُقَرّ له بالمُقَرّ به، وأ نّه فی نفس الأمر کاذب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اختلف المقَرُّ له والوارثُ فیها فعلی المدّعی لها البیّنة؛ لأصالة عدمها، وعلی منکرها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یمین المُقَرّ له أ نّه لا یعلم التهمة، لا أ نّها لیست حاصلة فی نفس الأمر؛ لابتناء الإقرار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یکلّف الحلف علی استحقاق المقَرّ به من حیث إنّه یعلم بوجه استحقاقه؛ لأنّ ذلک غیر شرط فی استباحة المُقَرّ به، بل له أخذه ما لم یعلم فساد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کلّه مع موت المُقِرّ فی مرضه، فلو 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مرضه </w:t>
      </w:r>
      <w:r>
        <w:rPr>
          <w:rFonts w:eastAsia="Amiri" w:cs="Amiri" w:ascii="Amiri" w:hAnsi="Amiri"/>
          <w:color w:val="111111"/>
          <w:sz w:val="28"/>
          <w:szCs w:val="28"/>
          <w:rtl w:val="true"/>
          <w:lang w:bidi="ar-SA"/>
        </w:rPr>
        <w:t xml:space="preserve">] </w:t>
      </w:r>
      <w:r>
        <w:rPr>
          <w:rStyle w:val="FootnoteAnchor"/>
          <w:rtl w:val="true"/>
        </w:rPr>
        <w:footnoteReference w:id="1943"/>
      </w:r>
      <w:r>
        <w:rPr>
          <w:rFonts w:ascii="IRNazanin" w:hAnsi="IRNazanin" w:eastAsia="IRNazanin"/>
          <w:color w:val="111111"/>
          <w:sz w:val="28"/>
          <w:sz w:val="28"/>
          <w:szCs w:val="28"/>
          <w:rtl w:val="true"/>
          <w:lang w:bidi="fa-IR"/>
        </w:rPr>
        <w:t>نفذ من الأصل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الوارث والأجنبی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هناک تهمة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علی أصحّ الأقوال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bookmarkStart w:id="642" w:name="pg19810_214732"/>
    </w:p>
    <w:p>
      <w:pPr>
        <w:pStyle w:val="BookText"/>
        <w:rPr/>
      </w:pPr>
      <w:bookmarkEnd w:id="6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وإطلاق الکیل أو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الإقرار کأن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عندی کیل حنطة أو رطل سمن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الکیل والوزن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المتعارف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بلد المُقِرّ وإن خالف بلد المقَرّ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المکیال والمیزان فی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فی الاستعمال علی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تعذّر استفساره فالمتیقّن هو الأقلّ </w:t>
      </w:r>
      <w:r>
        <w:rPr>
          <w:rStyle w:val="FootnoteAnchor"/>
          <w:rtl w:val="true"/>
        </w:rPr>
        <w:footnoteReference w:id="1945"/>
      </w:r>
      <w:r>
        <w:rPr>
          <w:rFonts w:ascii="IRNazanin" w:hAnsi="IRNazanin" w:eastAsia="IRNazanin"/>
          <w:color w:val="111111"/>
          <w:sz w:val="28"/>
          <w:sz w:val="28"/>
          <w:szCs w:val="28"/>
          <w:rtl w:val="true"/>
          <w:lang w:bidi="fa-IR"/>
        </w:rPr>
        <w:t>وکذا القول فی النقد</w:t>
      </w:r>
      <w:r>
        <w:rPr>
          <w:rFonts w:eastAsia="IRNazanin" w:cs="IRNazanin"/>
          <w:color w:val="111111"/>
          <w:sz w:val="28"/>
          <w:szCs w:val="28"/>
          <w:rtl w:val="true"/>
          <w:lang w:bidi="fa-IR"/>
        </w:rPr>
        <w:t>.</w:t>
      </w:r>
    </w:p>
    <w:p>
      <w:pPr>
        <w:pStyle w:val="Heading4"/>
        <w:numPr>
          <w:ilvl w:val="3"/>
          <w:numId w:val="1"/>
        </w:numPr>
        <w:rPr/>
      </w:pPr>
      <w:bookmarkStart w:id="643" w:name="__RefHeading___Toc2175733_2314609296"/>
      <w:bookmarkStart w:id="644" w:name="_Toc241"/>
      <w:bookmarkEnd w:id="643"/>
      <w:r>
        <w:rPr>
          <w:rtl w:val="true"/>
        </w:rPr>
        <w:t>[</w:t>
      </w:r>
      <w:r>
        <w:rPr>
          <w:rtl w:val="true"/>
        </w:rPr>
        <w:t xml:space="preserve">حکم الاقرار بالفظ المبهم </w:t>
      </w:r>
      <w:r>
        <w:rPr>
          <w:rtl w:val="true"/>
        </w:rPr>
        <w:t>]</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 بلفظ مبهم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المبهم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کالمال والشیء والجزیل والعظیم والحقیر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والنفیس، ومال أیّ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ویُقبل تفسیره بما قلّ؛ لأنّ کلّ مال عظیم خطره شرعاً کما ینبّه علیه کفر مستحلّه </w:t>
      </w:r>
      <w:r>
        <w:rPr>
          <w:rStyle w:val="FootnoteAnchor"/>
          <w:rtl w:val="true"/>
        </w:rPr>
        <w:footnoteReference w:id="1946"/>
      </w:r>
      <w:r>
        <w:rPr>
          <w:rFonts w:ascii="Amiri" w:hAnsi="Amiri" w:eastAsia="Amiri" w:cs="Amiri"/>
          <w:color w:val="111111"/>
          <w:sz w:val="28"/>
          <w:sz w:val="28"/>
          <w:szCs w:val="28"/>
          <w:rtl w:val="true"/>
          <w:lang w:bidi="ar-SA"/>
        </w:rPr>
        <w:t xml:space="preserve">فیُقبل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Style w:val="FootnoteAnchor"/>
          <w:rtl w:val="true"/>
        </w:rPr>
        <w:footnoteReference w:id="1947"/>
      </w:r>
      <w:r>
        <w:rPr>
          <w:rFonts w:ascii="IRNazanin" w:hAnsi="IRNazanin" w:eastAsia="IRNazanin"/>
          <w:color w:val="111111"/>
          <w:sz w:val="28"/>
          <w:sz w:val="28"/>
          <w:szCs w:val="28"/>
          <w:rtl w:val="true"/>
          <w:lang w:bidi="fa-IR"/>
        </w:rPr>
        <w:t>هذه الأوصاف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کونه ممّا یتموَّل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یُعدّ مالاً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کقشر جوزة، أو حبّة 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حِنطة؛ إذ لا قیمة لذلک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بذلک؛ لأنّه مملوک شرعاً، والحقیقة الشرعیّة مقدّمة علی العرفیّة، ولتحریم أخذه بغیر إذن مالکه ووجوب ردِّه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بأنّ الملک لا یستلزم إطلاق اسم المال شرعاً، والعرف یأباه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یتَّجه ذلک تفسیراً للشیء، وإن وصفه بالأوصاف العظیمة؛ لما ذُکر </w:t>
      </w:r>
      <w:r>
        <w:rPr>
          <w:rStyle w:val="FootnoteAnchor"/>
          <w:rtl w:val="true"/>
        </w:rPr>
        <w:footnoteReference w:id="1949"/>
      </w:r>
      <w:r>
        <w:rPr>
          <w:rFonts w:ascii="IRNazanin" w:hAnsi="IRNazanin" w:eastAsia="IRNazanin"/>
          <w:color w:val="111111"/>
          <w:sz w:val="28"/>
          <w:sz w:val="28"/>
          <w:szCs w:val="28"/>
          <w:rtl w:val="true"/>
          <w:lang w:bidi="fa-IR"/>
        </w:rPr>
        <w:t xml:space="preserve">ویقرب منه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علیَّ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قبول تفسیرهما </w:t>
      </w:r>
      <w:r>
        <w:rPr>
          <w:rStyle w:val="FootnoteAnchor"/>
          <w:rtl w:val="true"/>
        </w:rPr>
        <w:footnoteReference w:id="1951"/>
      </w:r>
      <w:r>
        <w:rPr>
          <w:rFonts w:ascii="IRNazanin" w:hAnsi="IRNazanin" w:eastAsia="IRNazanin"/>
          <w:color w:val="111111"/>
          <w:sz w:val="28"/>
          <w:sz w:val="28"/>
          <w:szCs w:val="28"/>
          <w:rtl w:val="true"/>
          <w:lang w:bidi="fa-IR"/>
        </w:rPr>
        <w:t xml:space="preserve">بردّ السلام والعیادة وتسمیت العطاس </w:t>
      </w:r>
      <w:r>
        <w:rPr>
          <w:rStyle w:val="FootnoteAnchor"/>
          <w:rtl w:val="true"/>
        </w:rPr>
        <w:footnoteReference w:id="1952"/>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فی الأخبار </w:t>
      </w:r>
      <w:r>
        <w:rPr>
          <w:rStyle w:val="FootnoteAnchor"/>
          <w:rtl w:val="true"/>
        </w:rPr>
        <w:footnoteReference w:id="1953"/>
      </w:r>
      <w:r>
        <w:rPr>
          <w:rFonts w:ascii="IRNazanin" w:hAnsi="IRNazanin" w:eastAsia="IRNazanin"/>
          <w:color w:val="111111"/>
          <w:sz w:val="28"/>
          <w:sz w:val="28"/>
          <w:szCs w:val="28"/>
          <w:rtl w:val="true"/>
          <w:lang w:bidi="fa-IR"/>
        </w:rPr>
        <w:t xml:space="preserve">فیُطلَق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أعمّ، ومن أ نّه خلاف المتعارف وبُعدُهما عن الفهم فی معرض الإقرار وهو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امتنع من التفسیر حُبس وعُوقب علیه حتّی یفسِّر؛ لوجوبه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مات قبله طولب الوارث به إن علمه وخلَّف ترکة، فإن أنکر العلم وادّعاه علیه المُقَرُّ له حلف علی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الإبهام والرجوع إلیه فی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أو کثیر </w:t>
      </w:r>
      <w:r>
        <w:rPr>
          <w:rStyle w:val="FootnoteAnchor"/>
          <w:rtl w:val="true"/>
        </w:rPr>
        <w:footnoteReference w:id="1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لاشتراکهما فی الاحتمال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الشیخ </w:t>
      </w:r>
      <w:r>
        <w:rPr>
          <w:rStyle w:val="FootnoteAnchor"/>
          <w:rtl w:val="true"/>
        </w:rPr>
        <w:footnoteReference w:id="1955"/>
      </w:r>
      <w:r>
        <w:rPr>
          <w:rFonts w:ascii="Amiri" w:hAnsi="Amiri" w:eastAsia="Amiri" w:cs="Amiri"/>
          <w:color w:val="111111"/>
          <w:sz w:val="28"/>
          <w:sz w:val="28"/>
          <w:szCs w:val="28"/>
          <w:rtl w:val="true"/>
          <w:lang w:bidi="ar-SA"/>
        </w:rPr>
        <w:t xml:space="preserve">وجماعة </w:t>
      </w:r>
      <w:r>
        <w:rPr>
          <w:rStyle w:val="FootnoteAnchor"/>
          <w:rtl w:val="true"/>
        </w:rPr>
        <w:footnoteReference w:id="1956"/>
      </w:r>
      <w:r>
        <w:rPr>
          <w:rFonts w:ascii="IRNazanin" w:hAnsi="IRNazanin" w:eastAsia="IRNazanin"/>
          <w:color w:val="111111"/>
          <w:sz w:val="28"/>
          <w:sz w:val="28"/>
          <w:szCs w:val="28"/>
          <w:rtl w:val="true"/>
          <w:lang w:bidi="fa-IR"/>
        </w:rPr>
        <w:t xml:space="preserve">بالفرق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کالنذر؛ للروایة الواردة به فیه </w:t>
      </w:r>
      <w:r>
        <w:rPr>
          <w:rStyle w:val="FootnoteAnchor"/>
          <w:rtl w:val="true"/>
        </w:rPr>
        <w:footnoteReference w:id="1957"/>
      </w:r>
      <w:r>
        <w:rPr>
          <w:rFonts w:ascii="Amiri" w:hAnsi="Amiri" w:eastAsia="Amiri" w:cs="Amiri"/>
          <w:color w:val="111111"/>
          <w:sz w:val="28"/>
          <w:sz w:val="28"/>
          <w:szCs w:val="28"/>
          <w:rtl w:val="true"/>
          <w:lang w:bidi="ar-SA"/>
        </w:rPr>
        <w:t>والاستشهاد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 xml:space="preserve">) </w:t>
      </w:r>
      <w:r>
        <w:rPr>
          <w:rStyle w:val="FootnoteAnchor"/>
          <w:rtl w:val="true"/>
        </w:rPr>
        <w:footnoteReference w:id="1958"/>
      </w:r>
      <w:r>
        <w:rPr>
          <w:rFonts w:ascii="IRNazanin" w:hAnsi="IRNazanin" w:eastAsia="IRNazanin"/>
          <w:color w:val="111111"/>
          <w:sz w:val="28"/>
          <w:sz w:val="28"/>
          <w:szCs w:val="28"/>
          <w:rtl w:val="true"/>
          <w:lang w:bidi="fa-IR"/>
        </w:rPr>
        <w:t>ویضعّف مع تسلیمه ببطلان القیاس، ولاستعمال الکثیر فی القرآن</w:t>
      </w:r>
    </w:p>
    <w:p>
      <w:pPr>
        <w:pStyle w:val="BookText"/>
        <w:rPr/>
      </w:pPr>
      <w:r>
        <w:rPr>
          <w:rFonts w:ascii="Amiri" w:hAnsi="Amiri" w:eastAsia="Amiri" w:cs="Amiri"/>
          <w:color w:val="111111"/>
          <w:sz w:val="28"/>
          <w:sz w:val="28"/>
          <w:szCs w:val="28"/>
          <w:rtl w:val="true"/>
          <w:lang w:bidi="ar-SA"/>
        </w:rPr>
        <w:t xml:space="preserve">لغیر ذلک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 کَثِیرَةً</w:t>
      </w:r>
      <w:r>
        <w:rPr>
          <w:rFonts w:eastAsia="Amiri" w:cs="Amiri" w:ascii="Amiri" w:hAnsi="Amiri"/>
          <w:color w:val="111111"/>
          <w:sz w:val="28"/>
          <w:szCs w:val="28"/>
          <w:rtl w:val="true"/>
          <w:lang w:bidi="ar-SA"/>
        </w:rPr>
        <w:t xml:space="preserve">) </w:t>
      </w:r>
      <w:r>
        <w:rPr>
          <w:rStyle w:val="FootnoteAnchor"/>
          <w:rtl w:val="true"/>
        </w:rPr>
        <w:footnoteReference w:id="19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 کَثِیراً</w:t>
      </w:r>
      <w:r>
        <w:rPr>
          <w:rFonts w:eastAsia="Amiri" w:cs="Amiri" w:ascii="Amiri" w:hAnsi="Amiri"/>
          <w:color w:val="111111"/>
          <w:sz w:val="28"/>
          <w:szCs w:val="28"/>
          <w:rtl w:val="true"/>
          <w:lang w:bidi="ar-SA"/>
        </w:rPr>
        <w:t xml:space="preserve">) </w:t>
      </w:r>
      <w:r>
        <w:rPr>
          <w:rStyle w:val="FootnoteAnchor"/>
          <w:rtl w:val="true"/>
        </w:rPr>
        <w:footnoteReference w:id="1960"/>
      </w:r>
      <w:r>
        <w:rPr>
          <w:rFonts w:ascii="IRNazanin" w:hAnsi="IRNazanin" w:eastAsia="IRNazanin"/>
          <w:color w:val="111111"/>
          <w:sz w:val="28"/>
          <w:sz w:val="28"/>
          <w:szCs w:val="28"/>
          <w:rtl w:val="true"/>
          <w:lang w:bidi="fa-IR"/>
        </w:rPr>
        <w:t>ودعوی أ نّه عرف شرعیّ فلا قیاس،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غریب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أکثر من مال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لزمه بقدره وزیادة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فسّره بدونه وادّعی ظنَّ القلّة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علمه به مع ظهور أنّ المال من شأنه أن یخفی، وفسَّر </w:t>
      </w:r>
      <w:r>
        <w:rPr>
          <w:rStyle w:val="FootnoteAnchor"/>
          <w:rtl w:val="true"/>
        </w:rPr>
        <w:footnoteReference w:id="1962"/>
      </w:r>
      <w:r>
        <w:rPr>
          <w:rFonts w:ascii="IRNazanin" w:hAnsi="IRNazanin" w:eastAsia="IRNazanin"/>
          <w:color w:val="111111"/>
          <w:sz w:val="28"/>
          <w:sz w:val="28"/>
          <w:szCs w:val="28"/>
          <w:rtl w:val="true"/>
          <w:lang w:bidi="fa-IR"/>
        </w:rPr>
        <w:t>بما ظنّه وزاد علیه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تقییده بإمکان الجهل به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قوله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کان قد أقرّ بأ نّه قدرٌ یزید عمّا ادّعی ظنَّه، لم یقبل إنکاره ثانیاً، ولو تأوّل بأنّ </w:t>
      </w:r>
      <w:r>
        <w:rPr>
          <w:rStyle w:val="FootnoteAnchor"/>
          <w:rtl w:val="true"/>
        </w:rPr>
        <w:footnoteReference w:id="1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فلان حرام أو شبهة أو عین، وما أقررت به حلال أو دین، والحلال والدین أکثر نفعاً أو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قبوله قولان </w:t>
      </w:r>
      <w:r>
        <w:rPr>
          <w:rStyle w:val="FootnoteAnchor"/>
          <w:rtl w:val="true"/>
        </w:rPr>
        <w:footnoteReference w:id="1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المتبادر کثرة المقدار فیکون حقیقة فیها وهی مقدّمة علی المجاز مع عدم القرینة الصارفة، ومن إمکان إرادة المجاز ولا یُعلم قصده إلّامن لفظه فیرجع إلیه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قوّة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اتّصل التفسیر بالإقرار لم یبعد القبول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کذا دراهم، بالحرکات الثلاث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الرفع والنصب</w:t>
      </w:r>
    </w:p>
    <w:p>
      <w:pPr>
        <w:pStyle w:val="BookText"/>
        <w:rPr/>
      </w:pPr>
      <w:r>
        <w:rPr>
          <w:rFonts w:ascii="IRNazanin" w:hAnsi="IRNazanin" w:eastAsia="IRNazanin"/>
          <w:color w:val="111111"/>
          <w:sz w:val="28"/>
          <w:sz w:val="28"/>
          <w:szCs w:val="28"/>
          <w:rtl w:val="true"/>
          <w:lang w:bidi="fa-IR"/>
        </w:rPr>
        <w:t xml:space="preserve">والجرّ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بالسکون، وما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لاشتراکه بین الواحد فما زاد وضعاً، فیحمل علی الأقلّ؛ لأنّه المتیقّن إذا لم یفسّره بأزید،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فمع الرفع یکون الدرهم بدلاً منه، والتقدیر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درهمٌ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 النصب یکون تمییزاً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بعض أهل العربیّة نصبَه علی القطع </w:t>
      </w:r>
      <w:r>
        <w:rPr>
          <w:rStyle w:val="FootnoteAnchor"/>
          <w:rtl w:val="true"/>
        </w:rPr>
        <w:footnoteReference w:id="1965"/>
      </w:r>
      <w:r>
        <w:rPr>
          <w:rFonts w:ascii="IRNazanin" w:hAnsi="IRNazanin" w:eastAsia="IRNazanin"/>
          <w:color w:val="111111"/>
          <w:sz w:val="28"/>
          <w:sz w:val="28"/>
          <w:szCs w:val="28"/>
          <w:rtl w:val="true"/>
          <w:lang w:bidi="fa-IR"/>
        </w:rPr>
        <w:t>کأ نّه قطع ما ابتدأ به وأقرّ بدرهم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الجرّ تُقدّر الإضافة بیانیّة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والتقدیر شیء هو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ویشکل بأنّ ذلک وإن صحّ، إلّاأ نّه یمکن تقدیر ما هو أقلّ منه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من الدرهم اُضیف إلیه، فیلزمه جزء یرجع فی تفسیره إلیه؛ لأنّه المتیقّن، ولأصالة البراءة من الزائد، ومن ثَمّ حُمل الرفع والنصب علی الدرهم مع احتمالهما أزید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 لحنٌ یحمل علی أخویه فیلزمه حکمهما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مع الوقف فیحتمل الرفع والجرّ لو اُعرب، لا النصب؛ لوجوب إثبات الألِف فیه وقفاً، فیحمل علی مدلول ما احتمله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اختاره یشترکان فی احتمال الدرهم فیحمل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حقّقناه یلزمه جزء درهم خاصّة؛ لأنّه باحتماله الرفع والجرّ حصل الشکّ فیما زاد علی الجزء فیحمل علی المتیقّن، وهو ما دلّت علیه الإضافة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کذا درهماً، وکذا وکذا درهماً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حمله علی الدرهم مع الحرکات الثلاث والوقف؛ لاحتمال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تأکیداً للأوّل فی الأوّل، والحکم فی الإعراب ما سلف، وفی الوقف یُنزَّل علی أقلّ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مبهماً والثانی معطوفاً علیه فی الثانی، ومُیّزا بدرهم علی تقدیر</w:t>
      </w:r>
    </w:p>
    <w:p>
      <w:pPr>
        <w:pStyle w:val="BookText"/>
        <w:rPr/>
      </w:pPr>
      <w:r>
        <w:rPr>
          <w:rFonts w:ascii="IRNazanin" w:hAnsi="IRNazanin" w:eastAsia="IRNazanin"/>
          <w:color w:val="111111"/>
          <w:sz w:val="28"/>
          <w:sz w:val="28"/>
          <w:szCs w:val="28"/>
          <w:rtl w:val="true"/>
          <w:lang w:bidi="fa-IR"/>
        </w:rPr>
        <w:t>النصب، واُبدلا منه علی تقدیر الرفع، وبُیّنا معاً بالدرهم مع الجرّ، ونُزّل علی أحدهما مع الوقف، أو اُضیف الجزء إلی جزء الدرهم فی الجرّ علی ما اخترناه، وحُمل الوقف علیه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فسّر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الأقسام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درهم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لإمکانه وضعاً بجعل الشیء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Style w:val="FootnoteAnchor"/>
          <w:rtl w:val="true"/>
        </w:rPr>
        <w:footnoteReference w:id="1967"/>
      </w:r>
      <w:r>
        <w:rPr>
          <w:rFonts w:ascii="IRNazanin" w:hAnsi="IRNazanin" w:eastAsia="IRNazanin"/>
          <w:color w:val="111111"/>
          <w:sz w:val="28"/>
          <w:sz w:val="28"/>
          <w:szCs w:val="28"/>
          <w:rtl w:val="true"/>
          <w:lang w:bidi="fa-IR"/>
        </w:rPr>
        <w:t>وما اُلحق به کنایةً عن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قبول تفسیره به یقتضی صحّته بحسب الوضع، فکیف یحمل مع الإطلاق علی ما هو أکثر منه مع إمکان الأقلّ؟ فالحمل علیه مطلقاً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به الشیخ وجماعة </w:t>
      </w:r>
      <w:r>
        <w:rPr>
          <w:rStyle w:val="FootnoteAnchor"/>
          <w:rtl w:val="true"/>
        </w:rPr>
        <w:footnoteReference w:id="19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Style w:val="FootnoteAnchor"/>
          <w:rtl w:val="true"/>
        </w:rPr>
        <w:footnoteReference w:id="1969"/>
      </w:r>
      <w:r>
        <w:rPr>
          <w:rFonts w:ascii="IRNazanin" w:hAnsi="IRNazanin" w:eastAsia="IRNazanin"/>
          <w:color w:val="111111"/>
          <w:sz w:val="28"/>
          <w:sz w:val="28"/>
          <w:szCs w:val="28"/>
          <w:rtl w:val="true"/>
          <w:lang w:bidi="fa-IR"/>
        </w:rPr>
        <w:t>بالحرکات الثلاث والوقف وذلک اثنتا عشرة 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موازنه من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 لکذا کنایةً عن العدد، لا عن الشیء، فیکون الدرهم فی جمیع أحواله تمییزاً لذلک العدد، فیُنظر إلی ما یناسبه بحسب ما تقتضیه قواعد العربیّة من إعراب الممیِّز للعدد ویُحمل علیه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فیلزمه مع إفراد المبهم ورفع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لأنّ الممیّز لا یکون مرفوعاً، فیجعل بدلاً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درهماً؛ لأنّه أقلّ عدد مفرد ینصب مُمیّزه؛ إذ فوقه ثلاثون إلی تسعین، فیحمل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درهمٌ؛ لأنّه أقلّ عدد مفرد فُسّر بمفرد مجرور؛ إذ فوقه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لاحتماله</w:t>
      </w:r>
    </w:p>
    <w:p>
      <w:pPr>
        <w:pStyle w:val="BookText"/>
        <w:rPr/>
      </w:pPr>
      <w:r>
        <w:rPr>
          <w:rFonts w:ascii="IRNazanin" w:hAnsi="IRNazanin" w:eastAsia="IRNazanin"/>
          <w:color w:val="111111"/>
          <w:sz w:val="28"/>
          <w:sz w:val="28"/>
          <w:szCs w:val="28"/>
          <w:rtl w:val="true"/>
          <w:lang w:bidi="fa-IR"/>
        </w:rPr>
        <w:t xml:space="preserve">الرفع والجرّ، فیحمل علی الأقلّ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تکریره بغیر عطف ورفع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لما ذکر </w:t>
      </w:r>
      <w:r>
        <w:rPr>
          <w:rStyle w:val="FootnoteAnchor"/>
          <w:rtl w:val="true"/>
        </w:rPr>
        <w:footnoteReference w:id="1971"/>
      </w:r>
      <w:r>
        <w:rPr>
          <w:rFonts w:ascii="IRNazanin" w:hAnsi="IRNazanin" w:eastAsia="IRNazanin"/>
          <w:color w:val="111111"/>
          <w:sz w:val="28"/>
          <w:sz w:val="28"/>
          <w:szCs w:val="28"/>
          <w:rtl w:val="true"/>
          <w:lang w:bidi="fa-IR"/>
        </w:rPr>
        <w:t>فی الإفراد مع کون الثانی تأکیداً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لأنّه أقلّ عدد مرکَّب مع غیره یُنصب بعده ممیّزه؛ إذ فوقه اثنا عشر إلی تسعة عشر، فیحمل علی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ثلاثمئة درهم؛ لأنّه أقلّ عدد اُضیف إلی آخر ومُیِّز بمفرد مجرور؛ إذ فوقه أربعمئة إلی تسعمئة، ثمّ مئة مئة، ثمّ مئة ألف، ثمّ ألف ألف، فیحمل علی المتیقّن والترکیب هنا لا یأتی </w:t>
      </w:r>
      <w:r>
        <w:rPr>
          <w:rStyle w:val="FootnoteAnchor"/>
          <w:rtl w:val="true"/>
        </w:rPr>
        <w:footnoteReference w:id="1972"/>
      </w:r>
      <w:r>
        <w:rPr>
          <w:rFonts w:ascii="IRNazanin" w:hAnsi="IRNazanin" w:eastAsia="IRNazanin"/>
          <w:color w:val="111111"/>
          <w:sz w:val="28"/>
          <w:sz w:val="28"/>
          <w:szCs w:val="28"/>
          <w:rtl w:val="true"/>
          <w:lang w:bidi="fa-IR"/>
        </w:rPr>
        <w:t xml:space="preserve">لأنّ ممیّز المرکّب لم یرد مجروراً، وهذا القسم لم یصرّح به صاحب القول </w:t>
      </w:r>
      <w:r>
        <w:rPr>
          <w:rStyle w:val="FootnoteAnchor"/>
          <w:rtl w:val="true"/>
        </w:rPr>
        <w:footnoteReference w:id="1973"/>
      </w:r>
      <w:r>
        <w:rPr>
          <w:rFonts w:ascii="IRNazanin" w:hAnsi="IRNazanin" w:eastAsia="IRNazanin"/>
          <w:color w:val="111111"/>
          <w:sz w:val="28"/>
          <w:sz w:val="28"/>
          <w:szCs w:val="28"/>
          <w:rtl w:val="true"/>
          <w:lang w:bidi="fa-IR"/>
        </w:rPr>
        <w:t>ولکنّه لازم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الرفع والجرّ، فیحمل علی الأقلّ منهما وهو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تکریره معطوفاً ورفع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درهم؛ لما ذکر فی الإفراد بجعل الدرهم بدلاً من مجموع المعطوف والمعطوف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یلزمه درهم وزیادة؛ لأنّه ذکر شیئین متغایرین بالعطف، فیجعل الدرهم تفسیراً للقریب منهما وهو المعطوف، فیبقی المعطوف علیه علی إبهامه فیرجع إلیه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البراءة تدفعه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نصب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أحد وعشرون درهماً، لأنّه أقلّ عددین عُطف أحدهما علی الآخر وانتصب الممیّز بعدهما؛ إذ فوقه اثنان وعشرون إلی تسعة وتسعین فیحمل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جرّ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ألف ومئة؛ لأنّه أقلّ عددین عُطف أحدهما علی الآخر ومُیِّز بمفرد مجرور؛ إذ فوقه من الأعداد المعطوف علیها المئة والألف ما لا نهایة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جعل الدرهم ممیّزاً للمعطوف فیکون مئة ویبقی المعطوف علیه مبهماً فیرجع إلیه فی تفسیره، وجعله درهماً لمناسبة الأعداد الممیّزة، فیکون التقدیر درهم ومئة درهم؛ لأصالة البراءة من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أیضاً لم یصرّحوا بحکمه، ولکنّه لازم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الرفع والجرّ، فیحمل علی الأقلّ وهو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حملنا العبارة علی جمیع هذه الأقسام مع احتمال أن یرید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کذا درهماً وکذا وکذا درهماً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حکمهما فی حالة النصب؛ لأنّه الملفوظ، ویکون حکمهما فی غیر حالة النصب مسکوتاً عنه؛ لأنّه </w:t>
      </w:r>
      <w:r>
        <w:rPr>
          <w:rStyle w:val="FootnoteAnchor"/>
          <w:rtl w:val="true"/>
        </w:rPr>
        <w:footnoteReference w:id="1974"/>
      </w:r>
      <w:r>
        <w:rPr>
          <w:rFonts w:ascii="IRNazanin" w:hAnsi="IRNazanin" w:eastAsia="IRNazanin"/>
          <w:color w:val="111111"/>
          <w:sz w:val="28"/>
          <w:sz w:val="28"/>
          <w:szCs w:val="28"/>
          <w:rtl w:val="true"/>
          <w:lang w:bidi="fa-IR"/>
        </w:rPr>
        <w:t>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فسّر فی الجرّ ببعض درهم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یقتضی کون ما سبق شاملاً لحالة الجرّ؛ إذ یبعد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فسّر فی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تتمیماً 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لبُعده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التقدیرین </w:t>
      </w:r>
      <w:r>
        <w:rPr>
          <w:rStyle w:val="FootnoteAnchor"/>
          <w:rtl w:val="true"/>
        </w:rPr>
        <w:footnoteReference w:id="1975"/>
      </w:r>
      <w:r>
        <w:rPr>
          <w:rFonts w:ascii="IRNazanin" w:hAnsi="IRNazanin" w:eastAsia="IRNazanin"/>
          <w:color w:val="111111"/>
          <w:sz w:val="28"/>
          <w:sz w:val="28"/>
          <w:szCs w:val="28"/>
          <w:rtl w:val="true"/>
          <w:lang w:bidi="fa-IR"/>
        </w:rPr>
        <w:t>یترتّب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فی ذلک 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ما ذکرناه تتشعّب الصور إلی اثنی </w:t>
      </w:r>
      <w:r>
        <w:rPr>
          <w:rStyle w:val="FootnoteAnchor"/>
          <w:rtl w:val="true"/>
        </w:rPr>
        <w:footnoteReference w:id="1976"/>
      </w:r>
      <w:r>
        <w:rPr>
          <w:rFonts w:ascii="IRNazanin" w:hAnsi="IRNazanin" w:eastAsia="IRNazanin"/>
          <w:color w:val="111111"/>
          <w:sz w:val="28"/>
          <w:sz w:val="28"/>
          <w:szCs w:val="28"/>
          <w:rtl w:val="true"/>
          <w:lang w:bidi="fa-IR"/>
        </w:rPr>
        <w:t>عشرة،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الحاصلة من ضرب أقسام الإعراب الأربعة فی المسائل الثلاث،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والمکرّر بغیر عطف، ومع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الاحتمال </w:t>
      </w:r>
      <w:r>
        <w:rPr>
          <w:rStyle w:val="FootnoteAnchor"/>
          <w:rtl w:val="true"/>
        </w:rPr>
        <w:footnoteReference w:id="1977"/>
      </w:r>
      <w:r>
        <w:rPr>
          <w:rFonts w:ascii="IRNazanin" w:hAnsi="IRNazanin" w:eastAsia="IRNazanin"/>
          <w:color w:val="111111"/>
          <w:sz w:val="28"/>
          <w:sz w:val="28"/>
          <w:szCs w:val="28"/>
          <w:rtl w:val="true"/>
          <w:lang w:bidi="fa-IR"/>
        </w:rPr>
        <w:t>یسقط من القسمین الأخیرین ما زاد علی نصب الممیّز، فتنتصف الصور</w:t>
      </w:r>
      <w:r>
        <w:rPr>
          <w:rFonts w:eastAsia="IRNazanin" w:cs="IRNazanin"/>
          <w:color w:val="111111"/>
          <w:sz w:val="28"/>
          <w:szCs w:val="28"/>
          <w:rtl w:val="true"/>
          <w:lang w:bidi="fa-IR"/>
        </w:rPr>
        <w:t>.</w:t>
      </w:r>
      <w:bookmarkStart w:id="645" w:name="pg19810_214739"/>
    </w:p>
    <w:p>
      <w:pPr>
        <w:pStyle w:val="BookText"/>
        <w:rPr/>
      </w:pPr>
      <w:bookmarkEnd w:id="645"/>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القول </w:t>
      </w:r>
      <w:r>
        <w:rPr>
          <w:rStyle w:val="FootnoteAnchor"/>
          <w:rtl w:val="true"/>
        </w:rPr>
        <w:footnoteReference w:id="1978"/>
      </w:r>
      <w:r>
        <w:rPr>
          <w:rFonts w:ascii="IRNazanin" w:hAnsi="IRNazanin" w:eastAsia="IRNazanin"/>
          <w:color w:val="111111"/>
          <w:sz w:val="28"/>
          <w:sz w:val="28"/>
          <w:szCs w:val="28"/>
          <w:rtl w:val="true"/>
          <w:lang w:bidi="fa-IR"/>
        </w:rPr>
        <w:t>ضعیف، فإنّ هذه الألفاظ لم توضع لهذه المعانی لغةً ولا اصطلاحاً، ومناسبتها علی الوجه المذکور لا یوجب اشتغال الذمّة بمقتضاها، مع أصالة البراءة واحتمالها لغیرها علی الوجه الذی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کون المقرّ من أهل العربیّة وغیرهم؛ لاستعمالها علی الوجه المناسب للعربیّة فی غیر ما ادّعوه استعمالاً شهیراً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للعلّامة حیث فرّق، فحکم بما ادّعاه الشیخ علی المقرّ إذا کان من أهل اللسان </w:t>
      </w:r>
      <w:r>
        <w:rPr>
          <w:rStyle w:val="FootnoteAnchor"/>
          <w:rtl w:val="true"/>
        </w:rPr>
        <w:footnoteReference w:id="1979"/>
      </w:r>
      <w:r>
        <w:rPr>
          <w:rFonts w:ascii="IRNazanin" w:hAnsi="IRNazanin" w:eastAsia="IRNazanin"/>
          <w:color w:val="111111"/>
          <w:sz w:val="28"/>
          <w:sz w:val="28"/>
          <w:szCs w:val="28"/>
          <w:rtl w:val="true"/>
          <w:lang w:bidi="fa-IR"/>
        </w:rPr>
        <w:t>وقد ظهر ضعفه</w:t>
      </w:r>
      <w:r>
        <w:rPr>
          <w:rFonts w:eastAsia="IRNazanin" w:cs="IRNazanin"/>
          <w:color w:val="111111"/>
          <w:sz w:val="28"/>
          <w:szCs w:val="28"/>
          <w:rtl w:val="true"/>
          <w:lang w:bidi="fa-IR"/>
        </w:rPr>
        <w:t>.</w:t>
      </w:r>
    </w:p>
    <w:p>
      <w:pPr>
        <w:pStyle w:val="Heading4"/>
        <w:numPr>
          <w:ilvl w:val="3"/>
          <w:numId w:val="1"/>
        </w:numPr>
        <w:rPr/>
      </w:pPr>
      <w:bookmarkStart w:id="646" w:name="__RefHeading___Toc2175735_2314609296"/>
      <w:bookmarkStart w:id="647" w:name="_Toc242"/>
      <w:bookmarkEnd w:id="646"/>
      <w:r>
        <w:rPr>
          <w:rtl w:val="true"/>
        </w:rPr>
        <w:t>[</w:t>
      </w:r>
      <w:r>
        <w:rPr>
          <w:rtl w:val="true"/>
        </w:rPr>
        <w:t xml:space="preserve">حکم الاقرار المستفاد من الجواب </w:t>
      </w:r>
      <w:r>
        <w:rPr>
          <w:rtl w:val="true"/>
        </w:rPr>
        <w:t>]</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الاطّلاع علی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قصد المقرّ وأ نّه أراد ما ادّعاه القائل، ومع الاّطلاع لا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أجل أو بلی أو أنا مقرّ به،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لأنّ قول المجاب إن کان خبراً فهی بعده حرف تصدیق، وإن کان استفهاماً محذوف الهمزة فهی بعده للإثبات والإعلام؛ لأنّ الاستفهام عن الماضی إثباته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وإن کانت لإبطال النفی، إلّاأنّ الاستعمال العرفی جوّز وقوعها فی جواب الخبر المثبت کنعم، والإقرارُ جارٍ علیه لا علی دقائق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قدّر کون القول استفهاماً فقد وقع استعمالها فی جوابه لغة وإن قلّ، ومنه قول النبیّ صلی الله علیه و آله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أترضون أن تکونوا من أرفع أهل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والعرف قاضٍ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احتمل کونه مقرّاً به لغیره، وکونه وعداً بالإقرار، من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یحتمل الاستقبال، إلّاأنّ المتبادر منه کون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إلی ما ذکره المقرّ له وکونه إقراراً بالفعل عرفاً، والمرجع فیه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وقوّی المصنّف فی الدروس أ نّه لیس بإقرار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1981"/>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ذُکر أ نّه لا یدفع </w:t>
      </w:r>
      <w:r>
        <w:rPr>
          <w:rStyle w:val="FootnoteAnchor"/>
          <w:rtl w:val="true"/>
        </w:rPr>
        <w:footnoteReference w:id="1982"/>
      </w:r>
      <w:r>
        <w:rPr>
          <w:rFonts w:ascii="IRNazanin" w:hAnsi="IRNazanin" w:eastAsia="IRNazanin"/>
          <w:color w:val="111111"/>
          <w:sz w:val="28"/>
          <w:sz w:val="28"/>
          <w:szCs w:val="28"/>
          <w:rtl w:val="true"/>
          <w:lang w:bidi="fa-IR"/>
        </w:rPr>
        <w:t xml:space="preserve">لولا دلالة العرف، وهی واردة علی الأمرین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بدعواک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ادّعیت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منکراً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العرف، مع احتمال أن لا یکون الأخیر إقراراً؛ لأنّه 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أو انتقده، أو أنا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فلانتفاء دلالتهما علی الإقرار؛ لإمکان خروجهما مخرج الاستهزاء، فإنّه استعمال شائع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 نّه مع انتفاء احتماله الوعد یحتمل کون المقرّ به المدّعی وغیرَه، فإنّه لو وصل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ببطلان دعواک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یختلّ اللفظ؛ لأنّ المقرّ به غیر مذکور، فجاز تقدیره بما یطابق المدّعی وغیرَه معتضداً بأصالة البراءة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ویحتمل عدّه إقراراً؛ لأنّ صدوره عقیب الدعوی قرینة صرفه إلیها وقد استعمل لغةً کذلک،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أَقْرَرْتُمْ وَ أَخَذْتُمْ عَلیٰ ذٰلِکُمْ إِصْرِی قٰالُوا أَقْرَرْنٰا </w:t>
      </w:r>
      <w:r>
        <w:rPr>
          <w:rStyle w:val="FootnoteAnchor"/>
          <w:rtl w:val="true"/>
        </w:rPr>
        <w:footnoteReference w:id="198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فَاشْهَدُوا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 نّه لولاه لکان هذراً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القرینة؛ لوقوعه کثیراً علی خلاف ذلک، واحتمال الاستهزاء مندفع عن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الهذریّة إنّما یتمّ لو لم یکن الجواب بذلک مفیداً ولو بطریق الاستهزاء، ولا شبهة فی کونه من الاُمور المقصودة للعقلاء عرفاً المستعمل لغةً، وقیام الاحتمال یمنع لزوم الإقرار بذلک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لی علیک کذا؟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کان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یقتضی إبطال النفی، سواء کان مجرّداً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اَلَّذِینَ کَفَرُوا أَنْ لَنْ یُبْعَثُوا قُلْ بَلیٰ وَ رَبِّی</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 xml:space="preserve">أم مقروناً بالاستفهام الحقیقی کالمثال، أم التقریری،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یَأْتِکُمْ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w:t>
      </w:r>
      <w:r>
        <w:rPr>
          <w:rStyle w:val="FootnoteAnchor"/>
          <w:rtl w:val="true"/>
        </w:rPr>
        <w:footnoteReference w:id="1986"/>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xml:space="preserve">) </w:t>
      </w:r>
      <w:r>
        <w:rPr>
          <w:rStyle w:val="FootnoteAnchor"/>
          <w:rtl w:val="true"/>
        </w:rPr>
        <w:footnoteReference w:id="1987"/>
      </w:r>
      <w:r>
        <w:rPr>
          <w:rFonts w:ascii="IRNazanin" w:hAnsi="IRNazanin" w:eastAsia="IRNazanin"/>
          <w:color w:val="111111"/>
          <w:sz w:val="28"/>
          <w:sz w:val="28"/>
          <w:szCs w:val="28"/>
          <w:rtl w:val="true"/>
          <w:lang w:bidi="fa-IR"/>
        </w:rPr>
        <w:t xml:space="preserve">ولأنّ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زیدت علیها الألِف،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الذی دخل علیه حرف الاستفهام ونفی له، ونفی النفی إثبات فیکون إقراراً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لقیامها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وعرفاً، أمّا العرف فظاهر، وأمّا اللغة فمنها قول النبیّ صلی الله علیه و آله للأنصار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ترون لهم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988"/>
      </w:r>
      <w:r>
        <w:rPr>
          <w:rFonts w:ascii="IRNazanin" w:hAnsi="IRNazanin" w:eastAsia="IRNazanin"/>
          <w:color w:val="111111"/>
          <w:sz w:val="28"/>
          <w:sz w:val="28"/>
          <w:szCs w:val="28"/>
          <w:rtl w:val="true"/>
          <w:lang w:bidi="fa-IR"/>
        </w:rPr>
        <w:t>وقول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اللیل یجمع اُمّ عمرو</w:t>
      </w:r>
    </w:p>
    <w:p>
      <w:pPr>
        <w:pStyle w:val="BookText"/>
        <w:rPr/>
      </w:pPr>
      <w:r>
        <w:rPr>
          <w:rFonts w:ascii="IRNazanin" w:hAnsi="IRNazanin" w:eastAsia="IRNazanin"/>
          <w:color w:val="111111"/>
          <w:sz w:val="28"/>
          <w:sz w:val="28"/>
          <w:szCs w:val="28"/>
          <w:rtl w:val="true"/>
          <w:lang w:bidi="fa-IR"/>
        </w:rPr>
        <w:t xml:space="preserve">ونقل فی المغنی عن سیبویه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جماعة من المتقدّمین والمتأخّرین جوازه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یکون إقراراً؛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تصدیق کما مرّ، فإذا ورد علی النفی الداخل علیه الاستفهام کان تصدیقاً له فینافی الإقرار، ولهذا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إلی ابن عبّاس </w:t>
      </w:r>
      <w:r>
        <w:rPr>
          <w:rStyle w:val="FootnoteAnchor"/>
          <w:rtl w:val="true"/>
        </w:rPr>
        <w:footnoteReference w:id="1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المخاطبین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xml:space="preserve">) </w:t>
      </w:r>
      <w:r>
        <w:rPr>
          <w:rStyle w:val="FootnoteAnchor"/>
          <w:rtl w:val="true"/>
        </w:rPr>
        <w:footnoteReference w:id="1991"/>
      </w:r>
      <w:r>
        <w:rPr>
          <w:rFonts w:ascii="IRNazanin" w:hAnsi="IRNazanin" w:eastAsia="IRNazanin"/>
          <w:color w:val="111111"/>
          <w:sz w:val="28"/>
          <w:sz w:val="28"/>
          <w:szCs w:val="28"/>
          <w:rtl w:val="true"/>
          <w:lang w:bidi="fa-IR"/>
        </w:rPr>
        <w:t>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کفروا، فیکون التقدیر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علیّ، فیکون إنکاراً لا إقراراً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نّا لا ننازع فی إطلاقها کذلک، لکن قد استعملت فی المعنی الآخر لغةً کما اعترف به جماعة </w:t>
      </w:r>
      <w:r>
        <w:rPr>
          <w:rStyle w:val="FootnoteAnchor"/>
          <w:rtl w:val="true"/>
        </w:rPr>
        <w:footnoteReference w:id="1992"/>
      </w:r>
      <w:r>
        <w:rPr>
          <w:rFonts w:ascii="Amiri" w:hAnsi="Amiri" w:eastAsia="Amiri" w:cs="Amiri"/>
          <w:color w:val="111111"/>
          <w:sz w:val="28"/>
          <w:sz w:val="28"/>
          <w:szCs w:val="28"/>
          <w:rtl w:val="true"/>
          <w:lang w:bidi="ar-SA"/>
        </w:rPr>
        <w:t>والمثبت مقدّم واشتهرت فیه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المحکیّ عن ابن عبّاس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وجُوّز الجواب بنعم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فی المغنی علی أ نّه لم یکن إقراراً کافیاً؛ لاحتماله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وحیث ظهر ذلک عرفاً ووافقته اللغة رجح هذا المعنی وقوی کونه إقراراً</w:t>
      </w:r>
      <w:r>
        <w:rPr>
          <w:rFonts w:eastAsia="IRNazanin" w:cs="IRNazanin"/>
          <w:color w:val="111111"/>
          <w:sz w:val="28"/>
          <w:szCs w:val="28"/>
          <w:rtl w:val="true"/>
          <w:lang w:bidi="fa-IR"/>
        </w:rPr>
        <w:t>.</w:t>
      </w:r>
      <w:bookmarkStart w:id="648" w:name="pg19810_214743"/>
    </w:p>
    <w:p>
      <w:pPr>
        <w:pStyle w:val="Heading3"/>
        <w:numPr>
          <w:ilvl w:val="2"/>
          <w:numId w:val="1"/>
        </w:numPr>
        <w:rPr/>
      </w:pPr>
      <w:bookmarkStart w:id="649" w:name="__RefHeading___Toc2175737_2314609296"/>
      <w:bookmarkStart w:id="650" w:name="_Toc243"/>
      <w:bookmarkEnd w:id="648"/>
      <w:bookmarkEnd w:id="649"/>
      <w:r>
        <w:rPr>
          <w:rtl w:val="true"/>
        </w:rPr>
        <w:t>«</w:t>
      </w:r>
      <w:r>
        <w:rPr>
          <w:rtl w:val="true"/>
        </w:rPr>
        <w:t>الفصل الثانی</w:t>
      </w:r>
      <w:r>
        <w:rPr>
          <w:rtl w:val="true"/>
        </w:rPr>
        <w:t>»</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Style w:val="FootnoteAnchor"/>
          <w:rtl w:val="true"/>
        </w:rPr>
        <w:footnoteReference w:id="19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تعقیب الإقرار بما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ومردود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والمقبول منه الاستثناء إذا لم یستوعب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منه، سواء بقی أقلّ ممّا اُخرج أم أکثر أم مساوٍ؛ لأنّ المستثنی والمستثنی منه کالشیء الواحد فلا یتفاوت الحال بکثرته وقلّته، ولوقوعه فی القرآن </w:t>
      </w:r>
      <w:r>
        <w:rPr>
          <w:rStyle w:val="FootnoteAnchor"/>
          <w:rtl w:val="true"/>
        </w:rPr>
        <w:footnoteReference w:id="1994"/>
      </w:r>
      <w:r>
        <w:rPr>
          <w:rFonts w:ascii="IRNazanin" w:hAnsi="IRNazanin" w:eastAsia="IRNazanin"/>
          <w:color w:val="111111"/>
          <w:sz w:val="28"/>
          <w:sz w:val="28"/>
          <w:szCs w:val="28"/>
          <w:rtl w:val="true"/>
          <w:lang w:bidi="fa-IR"/>
        </w:rPr>
        <w:t>وغیره من اللفظ الفصیح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یصحّ الاستثناء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جرت به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فیغتفر التنفّس بینهما والسعال وغیرهما ممّا لا یعدّ منفصلاً عرفاً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الاستثناء إخراج ما لولاه لدخل فی اللفظ کان المستثنی والمستثنی منه متناقضین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الإثبات نفی، ومن النفی 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إجماع العلماء </w:t>
      </w:r>
      <w:r>
        <w:rPr>
          <w:rStyle w:val="FootnoteAnchor"/>
          <w:rtl w:val="true"/>
        </w:rPr>
        <w:footnoteReference w:id="1995"/>
      </w:r>
      <w:r>
        <w:rPr>
          <w:rFonts w:ascii="Amiri" w:hAnsi="Amiri" w:eastAsia="Amiri" w:cs="Amiri"/>
          <w:color w:val="111111"/>
          <w:sz w:val="28"/>
          <w:sz w:val="28"/>
          <w:szCs w:val="28"/>
          <w:rtl w:val="true"/>
          <w:lang w:bidi="ar-SA"/>
        </w:rPr>
        <w:t>وأمّا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لولاه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 به</w:t>
      </w:r>
    </w:p>
    <w:p>
      <w:pPr>
        <w:pStyle w:val="BookText"/>
        <w:rPr/>
      </w:pPr>
      <w:r>
        <w:rPr>
          <w:rFonts w:ascii="Amiri" w:hAnsi="Amiri" w:eastAsia="Amiri" w:cs="Amiri"/>
          <w:color w:val="111111"/>
          <w:sz w:val="28"/>
          <w:sz w:val="28"/>
          <w:szCs w:val="28"/>
          <w:rtl w:val="true"/>
          <w:lang w:bidi="ar-SA"/>
        </w:rPr>
        <w:t xml:space="preserve">التوحید؛ لأنّه لا یتمّ إلّابإثبات الإلهیّة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للّٰه‌تعالی </w:t>
      </w:r>
      <w:r>
        <w:rPr>
          <w:rFonts w:eastAsia="Amiri" w:cs="Amiri" w:ascii="Amiri" w:hAnsi="Amiri"/>
          <w:color w:val="111111"/>
          <w:sz w:val="28"/>
          <w:szCs w:val="28"/>
          <w:rtl w:val="true"/>
          <w:lang w:bidi="ar-SA"/>
        </w:rPr>
        <w:t xml:space="preserve">] </w:t>
      </w:r>
      <w:r>
        <w:rPr>
          <w:rStyle w:val="FootnoteAnchor"/>
          <w:rtl w:val="true"/>
        </w:rPr>
        <w:footnoteReference w:id="1996"/>
      </w:r>
      <w:r>
        <w:rPr>
          <w:rFonts w:ascii="IRNazanin" w:hAnsi="IRNazanin" w:eastAsia="IRNazanin"/>
          <w:color w:val="111111"/>
          <w:sz w:val="28"/>
          <w:sz w:val="28"/>
          <w:szCs w:val="28"/>
          <w:rtl w:val="true"/>
          <w:lang w:bidi="fa-IR"/>
        </w:rPr>
        <w:t>ونفیها عمّا عداه تعالی، والنفی هنا حاصل، فلو لم یحصل الإثبات لم یتمّ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ما ذکر من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مئة إلّاتسعین فهو إقرار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المستثنی منه إثبات للمئة، والمستثنی نفی للتسعین منها، فبقی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إقرار بمئة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یستثن منها شیئاً؛ لأنّ الاستثناء من الموجب التامّ لا یکون إلّامنصوباً، فلمّا رفعه لم یکن استثناءً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یوصف بها وبتالیها ما قبلها، ولمّا کانت المئة مرفوعة بالابتداء کانت التسعون مرفوعة صفة للمرفوع،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Style w:val="FootnoteAnchor"/>
          <w:rtl w:val="true"/>
        </w:rPr>
        <w:footnoteReference w:id="1997"/>
      </w:r>
      <w:r>
        <w:rPr>
          <w:rFonts w:ascii="IRNazanin" w:hAnsi="IRNazanin" w:eastAsia="IRNazanin"/>
          <w:color w:val="111111"/>
          <w:sz w:val="28"/>
          <w:sz w:val="28"/>
          <w:szCs w:val="28"/>
          <w:rtl w:val="true"/>
          <w:lang w:bidi="fa-IR"/>
        </w:rPr>
        <w:t xml:space="preserve">مئة موصوفة بأ نّها غیر تسعین، فقد وصف المُقَرّ به ولم یستثن منه شیئاً، وهذه الصفة مؤکّدة صالحة للإسقاط؛ إذ کلّ مئة فهی موصوفة بذلک،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واحدة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واعلم أنّ المشهور بین النحاة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إلّاالوصفیّة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کونها وصفاً لجمع منکّر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998"/>
      </w:r>
      <w:r>
        <w:rPr>
          <w:rFonts w:ascii="IRNazanin" w:hAnsi="IRNazanin" w:eastAsia="IRNazanin"/>
          <w:color w:val="111111"/>
          <w:sz w:val="28"/>
          <w:sz w:val="28"/>
          <w:szCs w:val="28"/>
          <w:rtl w:val="true"/>
          <w:lang w:bidi="fa-IR"/>
        </w:rPr>
        <w:t>والمئة لیست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 اختاره جماعة من المتأخّرین عدم اشتراط ذلک </w:t>
      </w:r>
      <w:r>
        <w:rPr>
          <w:rStyle w:val="FootnoteAnchor"/>
          <w:rtl w:val="true"/>
        </w:rPr>
        <w:footnoteReference w:id="1999"/>
      </w:r>
      <w:r>
        <w:rPr>
          <w:rFonts w:ascii="IRNazanin" w:hAnsi="IRNazanin" w:eastAsia="IRNazanin"/>
          <w:color w:val="111111"/>
          <w:sz w:val="28"/>
          <w:sz w:val="28"/>
          <w:szCs w:val="28"/>
          <w:rtl w:val="true"/>
          <w:lang w:bidi="fa-IR"/>
        </w:rPr>
        <w:t xml:space="preserve">ونقل فی المغنی عن سیبویه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معنا رجل إلّازید لغلبنا</w:t>
      </w:r>
      <w:r>
        <w:rPr>
          <w:rFonts w:eastAsia="IRNazanin" w:cs="IRNazanin"/>
          <w:color w:val="111111"/>
          <w:sz w:val="28"/>
          <w:szCs w:val="28"/>
          <w:rtl w:val="true"/>
          <w:lang w:bidi="fa-IR"/>
        </w:rPr>
        <w:t xml:space="preserve">» </w:t>
      </w:r>
      <w:r>
        <w:rPr>
          <w:rStyle w:val="FootnoteAnchor"/>
          <w:rtl w:val="true"/>
        </w:rPr>
        <w:footnoteReference w:id="2000"/>
      </w:r>
      <w:r>
        <w:rPr>
          <w:rFonts w:ascii="IRNazanin" w:hAnsi="IRNazanin" w:eastAsia="IRNazanin"/>
          <w:color w:val="111111"/>
          <w:sz w:val="28"/>
          <w:sz w:val="28"/>
          <w:szCs w:val="28"/>
          <w:rtl w:val="true"/>
          <w:lang w:bidi="fa-IR"/>
        </w:rPr>
        <w:t>أی غیر زید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علیَّ مئة إلّاتسعون فهو إقرار بتسعین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 xml:space="preserve">المستثنی من المنفیّ </w:t>
      </w:r>
      <w:r>
        <w:rPr>
          <w:rStyle w:val="FootnoteAnchor"/>
          <w:rtl w:val="true"/>
        </w:rPr>
        <w:footnoteReference w:id="2001"/>
      </w:r>
      <w:r>
        <w:rPr>
          <w:rFonts w:ascii="Amiri" w:hAnsi="Amiri" w:eastAsia="Amiri" w:cs="Amiri"/>
          <w:color w:val="111111"/>
          <w:sz w:val="28"/>
          <w:sz w:val="28"/>
          <w:szCs w:val="28"/>
          <w:rtl w:val="true"/>
          <w:lang w:bidi="ar-SA"/>
        </w:rPr>
        <w:t xml:space="preserve">التامّ یکون مرفوعاً، فلمّا رفع التسعین عُلم أ نّه استثناء من المنفیّ </w:t>
      </w:r>
      <w:r>
        <w:rPr>
          <w:rStyle w:val="FootnoteAnchor"/>
          <w:rtl w:val="true"/>
        </w:rPr>
        <w:footnoteReference w:id="2002"/>
      </w:r>
      <w:r>
        <w:rPr>
          <w:rFonts w:ascii="IRNazanin" w:hAnsi="IRNazanin" w:eastAsia="IRNazanin"/>
          <w:color w:val="111111"/>
          <w:sz w:val="28"/>
          <w:sz w:val="28"/>
          <w:szCs w:val="28"/>
          <w:rtl w:val="true"/>
          <w:lang w:bidi="fa-IR"/>
        </w:rPr>
        <w:t xml:space="preserve">فیکون إثباتاً للتسعین بعد نفی المئة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نصب المستثنی دلیل علی کون المستثنی منه موجباً، ولمّا کان ظاهره النفی حمل علی أنّ حرف النفی داخل علی الجملة المثبتة المشتملة علی الاستثناء أعنی مجموع المستثنی والمستثنی منه وهی </w:t>
      </w:r>
      <w:r>
        <w:rPr>
          <w:rStyle w:val="FootnoteAnchor"/>
          <w:rtl w:val="true"/>
        </w:rPr>
        <w:footnoteReference w:id="2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Style w:val="FootnoteAnchor"/>
          <w:rtl w:val="true"/>
        </w:rPr>
        <w:footnoteReference w:id="2004"/>
      </w:r>
      <w:r>
        <w:rPr>
          <w:rFonts w:ascii="IRNazanin" w:hAnsi="IRNazanin" w:eastAsia="IRNazanin"/>
          <w:color w:val="111111"/>
          <w:sz w:val="28"/>
          <w:sz w:val="28"/>
          <w:szCs w:val="28"/>
          <w:rtl w:val="true"/>
          <w:lang w:bidi="fa-IR"/>
        </w:rPr>
        <w:t>مئة إلّاتسعین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المقدار الذی هو مئة إلّاتسعین لیس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Style w:val="FootnoteAnchor"/>
          <w:rtl w:val="true"/>
        </w:rPr>
        <w:footnoteReference w:id="2005"/>
      </w:r>
      <w:r>
        <w:rPr>
          <w:rFonts w:ascii="IRNazanin" w:hAnsi="IRNazanin" w:eastAsia="IRNazanin"/>
          <w:color w:val="111111"/>
          <w:sz w:val="28"/>
          <w:sz w:val="28"/>
          <w:szCs w:val="28"/>
          <w:rtl w:val="true"/>
          <w:lang w:bidi="fa-IR"/>
        </w:rPr>
        <w:t>العشرة الباقیة بعد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قرّره المصنّف فی شرح الإرشاد علی نظیر العبارة </w:t>
      </w:r>
      <w:r>
        <w:rPr>
          <w:rStyle w:val="FootnoteAnchor"/>
          <w:rtl w:val="true"/>
        </w:rPr>
        <w:footnoteReference w:id="2006"/>
      </w:r>
      <w:r>
        <w:rPr>
          <w:rFonts w:ascii="Amiri" w:hAnsi="Amiri" w:eastAsia="Amiri" w:cs="Amiri"/>
          <w:color w:val="111111"/>
          <w:sz w:val="28"/>
          <w:sz w:val="28"/>
          <w:szCs w:val="28"/>
          <w:rtl w:val="true"/>
          <w:lang w:bidi="ar-SA"/>
        </w:rPr>
        <w:t xml:space="preserve">وغیرُه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لأنّ ذلک لا یتمّ إلّامع امتناع النصب علی تقدیر کون المستثنی منه منفیّاً تامّاً، لکن النصب جائز حینئذٍ اتّفاقاً وإن لم یبلغ رتبة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عربیّ جیّد </w:t>
      </w:r>
      <w:r>
        <w:rPr>
          <w:rStyle w:val="FootnoteAnchor"/>
          <w:rtl w:val="true"/>
        </w:rPr>
        <w:footnoteReference w:id="2008"/>
      </w:r>
      <w:r>
        <w:rPr>
          <w:rFonts w:ascii="IRNazanin" w:hAnsi="IRNazanin" w:eastAsia="IRNazanin"/>
          <w:color w:val="111111"/>
          <w:sz w:val="28"/>
          <w:sz w:val="28"/>
          <w:szCs w:val="28"/>
          <w:rtl w:val="true"/>
          <w:lang w:bidi="fa-IR"/>
        </w:rPr>
        <w:t xml:space="preserve">وقد قُرئ به فی السبع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قَلِیلٌ</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یَلْتَفِتْ مِنْکُمْ أَحَدٌ إِلاَّ اِمْرَأَتَکَ</w:t>
      </w:r>
    </w:p>
    <w:p>
      <w:pPr>
        <w:pStyle w:val="BookText"/>
        <w:rPr/>
      </w:pPr>
      <w:r>
        <w:rPr>
          <w:rStyle w:val="FootnoteAnchor"/>
          <w:rtl w:val="true"/>
        </w:rPr>
        <w:footnoteReference w:id="20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فالأولی فی توجیه عدم لزوم شیء فی المسألة أن یقال علی تقدیر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کونُه علی الاستثناء من المنفیّ، فیکون إقراراً بتسعین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من المثبت، والنفی موجَّه إلی مجموع الجملة، فلا یکون إقراراً بشیء فلا یلزمه شیء؛ لقیام الاحتمال واشتراک مدلول اللفظ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حمله علی المعنی الثانی مع جواز الأوّل خلاف الظاهر، والمتبادر من صیغ الاستثناء هو الأوّل وخلافه یحتاج إلی تکلّف لا یتبادر من الإطلاق، وهو قرینة ترجیح أحد المعنیین المشترکین، إلّا أنّ فتواهم المنضمّ إلی أصالة البراءة وقیام الاحتمال فی الجملة یعیّن المصیر إلی ما قالوه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تعدّد الاستثناء وکان بعاطف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علیَّ عشرة إلّاأربعة وإلّا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أزید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علیَّ عشرة إلّا أربعة إلّاخمسة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مساویاً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فی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إلّاأربعة إلّاأربعة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رجعا جمیعاً إلی المستثنی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مع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فلوجوب اشتراک المعطوف والمعطوف علیه فی الحکم، فهما کالجملة الواحدة، ولا فرق بین تکرّر حرف الاستثناء وعدمه، ولا بین زیادة الثانی علی الأوّل ومساواته له ونقصانه عنه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 زیادة الثانی علی الأوّل أو </w:t>
      </w:r>
      <w:r>
        <w:rPr>
          <w:rStyle w:val="FootnoteAnchor"/>
          <w:rtl w:val="true"/>
        </w:rPr>
        <w:footnoteReference w:id="2012"/>
      </w:r>
      <w:r>
        <w:rPr>
          <w:rFonts w:ascii="IRNazanin" w:hAnsi="IRNazanin" w:eastAsia="IRNazanin"/>
          <w:color w:val="111111"/>
          <w:sz w:val="28"/>
          <w:sz w:val="28"/>
          <w:szCs w:val="28"/>
          <w:rtl w:val="true"/>
          <w:lang w:bidi="fa-IR"/>
        </w:rPr>
        <w:t>مساواته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فلاستلزام عوده إلی الأقرب الاستغراق وهو باطل، فیصان کلامه عن الهذر بعودهما معاً</w:t>
      </w:r>
    </w:p>
    <w:p>
      <w:pPr>
        <w:pStyle w:val="BookText"/>
        <w:rPr/>
      </w:pPr>
      <w:r>
        <w:rPr>
          <w:rFonts w:ascii="IRNazanin" w:hAnsi="IRNazanin" w:eastAsia="IRNazanin"/>
          <w:color w:val="111111"/>
          <w:sz w:val="28"/>
          <w:sz w:val="28"/>
          <w:szCs w:val="28"/>
          <w:rtl w:val="true"/>
          <w:lang w:bidi="fa-IR"/>
        </w:rPr>
        <w:t>إلی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 نّه لا یلزم من عودهما معاً إلیه صحّتهما، بل إن لم یستغرق الجمیع المستثنی منه صحّ کالمثالین، وإلّا فلا، لکن إن لزم الاستغراق من الثانی خاصّة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علیَّ </w:t>
      </w:r>
      <w:r>
        <w:rPr>
          <w:rStyle w:val="FootnoteAnchor"/>
          <w:rtl w:val="true"/>
        </w:rPr>
        <w:footnoteReference w:id="2013"/>
      </w:r>
      <w:r>
        <w:rPr>
          <w:rFonts w:ascii="IRNazanin" w:hAnsi="IRNazanin" w:eastAsia="IRNazanin"/>
          <w:color w:val="111111"/>
          <w:sz w:val="28"/>
          <w:sz w:val="28"/>
          <w:szCs w:val="28"/>
          <w:rtl w:val="true"/>
          <w:lang w:bidi="fa-IR"/>
        </w:rPr>
        <w:t>عشرة إلّاخمسة إلّاخمسة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 الثانی خاصّة؛ لأنّه هو الذی أوجب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مع العطف، سواء کان الثانی مساویاً للأوّل کما ذُکر، أم أزید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عشرة إلّاثلاثة وإلّا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أنقص کما لو قدّم السبعة علی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بعاطف ولا مساویاً للأوّل ولا أزید منه، بل کان أنقص بغیر عطف،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علیَّ عشرة إلّاتسعة إلّاثمانیة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التالی إلی متلوّه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لقربه؛ إذ لو عاد إلی البعید لزم ترجیحه علی الأقرب بغیر مرجّح، وعوده إلیهما یوجب التناقض؛ إذ المستثنی والمستثنی منه متخالفان نفیاً وإثباتاً کما مرّ </w:t>
      </w:r>
      <w:r>
        <w:rPr>
          <w:rStyle w:val="FootnoteAnchor"/>
          <w:rtl w:val="true"/>
        </w:rPr>
        <w:footnoteReference w:id="2014"/>
      </w:r>
      <w:r>
        <w:rPr>
          <w:rFonts w:ascii="IRNazanin" w:hAnsi="IRNazanin" w:eastAsia="IRNazanin"/>
          <w:color w:val="111111"/>
          <w:sz w:val="28"/>
          <w:sz w:val="28"/>
          <w:szCs w:val="28"/>
          <w:rtl w:val="true"/>
          <w:lang w:bidi="fa-IR"/>
        </w:rPr>
        <w:t>فیلزمه فی المثال تسعة؛ لأنّ قوله الأوّل إقرار بعشرة، حیث إنّه إثبات والاستثناء الأوّل نفی للتسعة منها؛ لأنّه وارد علی إثبات، فیبقی واحد، واستثناؤه الثانی إثبات للثمانیة؛ لأنّه استثناء من المنفیّ فیکون مثبتاً، فیضمّ ما أثبته وهو الثمانیة إلی ما بقی وهو الواحد، وذلک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 نّه ضمّ إلی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 إلی الواحد لزمه خمسة؛ لأنّه بالاستثناء الثالث نفی سبعة ممّا اجتمع وهو تسعة فبقی اثنان، وبالرابع أثبت ستّة فبقی ثمانیة، وبالخامس یصیر ثلاثة، وبالسادس یصیر سبعة، وبالسابع أربعة، وبالثامن ستّة، وبالتاسع وهو الواحد ینتفی منها واحد فیبقی خمسة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تجمع الأعداد المثبتة وهی الأزواج علی حدة، والمنفیّة وهی</w:t>
      </w:r>
    </w:p>
    <w:p>
      <w:pPr>
        <w:pStyle w:val="BookText"/>
        <w:rPr/>
      </w:pPr>
      <w:r>
        <w:rPr>
          <w:rFonts w:ascii="IRNazanin" w:hAnsi="IRNazanin" w:eastAsia="IRNazanin"/>
          <w:color w:val="111111"/>
          <w:sz w:val="28"/>
          <w:sz w:val="28"/>
          <w:szCs w:val="28"/>
          <w:rtl w:val="true"/>
          <w:lang w:bidi="fa-IR"/>
        </w:rPr>
        <w:t>الأفراد کذلک، وتسقط جملة المنفیّ من جملة المثبت، فالمثبت ثلاثون، والمنفیّ خمسة وعشرون، والباقی بعد الإسقاط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 نّه لمّا وصل إلی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إلّااثنین، إلّاثلاثة إلی أن وصل إلی التسعة، لزمه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بدأ باستثناء الواحد وختم به لزمه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عکس القسمَ الأوّل فبدأ باستثناء الواحد وختم بالتسعة، لزمه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بعد الإحاطة بما تقدّم من القواعد ورتّب علیه ما شئت من التفریع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استثنی من غیر الجنس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مجازاً؛ لتصریحه بإرادته، ولإمکان تأویله بالمتّصل بأن یضمر قیمة المستثنی ونحوها ممّا یطابق المستثنی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باعتبار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المستثنی منه فإذا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 وإلّا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للاستغراق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مئة إلّاثوباً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مثال الاستثناء من غیر الجنس مطلقاً، فیصحّ ویطالب بتفسیر الثوب، فإن بقی من قیمته بقیّة من المئة بعد إخراج القیمة قُبل، وإن استغرقتها </w:t>
      </w:r>
      <w:r>
        <w:rPr>
          <w:rStyle w:val="FootnoteAnchor"/>
          <w:rtl w:val="true"/>
        </w:rPr>
        <w:footnoteReference w:id="2015"/>
      </w:r>
      <w:r>
        <w:rPr>
          <w:rFonts w:ascii="IRNazanin" w:hAnsi="IRNazanin" w:eastAsia="IRNazanin"/>
          <w:color w:val="111111"/>
          <w:sz w:val="28"/>
          <w:sz w:val="28"/>
          <w:szCs w:val="28"/>
          <w:rtl w:val="true"/>
          <w:lang w:bidi="fa-IR"/>
        </w:rPr>
        <w:t>بطل الاستثناء علی الأقوی واُلزم بالمئة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التفسیر خاصّة فیطالب بغیره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المستغرق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مئة إلّا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یحمل علی الغلط، ولو ادّعاه لم یُسمع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یتعقّبه استثناء آخر یزیل استغراقه، کما لو عقَّب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الاستثناءان ویلزمه تسعون؛ لأنّ الکلام جملة واحدة لا یتمّ إلّابآخره وآخره یصیّر الأوّل غیر مستوعب، فإنّ المئة المستثناة منفیّة؛ لأنّها استثناء من مثبت، والتسعین</w:t>
      </w:r>
    </w:p>
    <w:p>
      <w:pPr>
        <w:pStyle w:val="BookText"/>
        <w:rPr/>
      </w:pPr>
      <w:r>
        <w:rPr>
          <w:rFonts w:ascii="IRNazanin" w:hAnsi="IRNazanin" w:eastAsia="IRNazanin"/>
          <w:color w:val="111111"/>
          <w:sz w:val="28"/>
          <w:sz w:val="28"/>
          <w:szCs w:val="28"/>
          <w:rtl w:val="true"/>
          <w:lang w:bidi="fa-IR"/>
        </w:rPr>
        <w:t xml:space="preserve">مثبتة؛ لأنّها استثناء من منفیّ، فیصیر جملة الکلام فی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 نّه استثنی من أوّل الأمر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الکلام الأوّل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Style w:val="FootnoteAnchor"/>
          <w:rtl w:val="true"/>
        </w:rPr>
        <w:footnoteReference w:id="2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بل تسعون، فیلزمه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الاستثناء المستغرق ومع الإضراب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المتعقّب فی الأوّل للاستغراق، وفی الثانی للإضراب الموجب لإنکار ما قد أقرّ به، فلا یلتفت إلیه، ولیس ذلک کالاستثناء؛ لأ نّه من متمّمات الکلام لغةً، والمحکوم بثبوته فیه هو الباقی من المستثنی منه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الإضراب، فإنّه بعد الإیجاب یجعل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کالمسکوت عنه بعد الإقرار به فلا یسمع، والفارق بینهما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من ثمن مبیع لم أقبضه اُلزم بالعشرة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یُلتفت إلی دعواه عدم قبض المبیع؛ للتنافی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یقبض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مقتضاه عدم استحقاق المطالبة بثمنه مع ثبوته فی الذمّة، فإنّ البائع لا یستحقّ المطالبة بالثمن إلّامع تسلیم المبیع</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إذ لا منافاة بین ثبوته فی الذمّة وعدم قبض المبیع، إنّما التنافی بین استحقاق المطالبة به مع عدم القبض وهو أمر آخر، ومن ثَمّ ذهب الشیخ إلی قبول هذا الإقرار </w:t>
      </w:r>
      <w:r>
        <w:rPr>
          <w:rStyle w:val="FootnoteAnchor"/>
          <w:rtl w:val="true"/>
        </w:rPr>
        <w:footnoteReference w:id="2018"/>
      </w:r>
      <w:r>
        <w:rPr>
          <w:rFonts w:ascii="IRNazanin" w:hAnsi="IRNazanin" w:eastAsia="IRNazanin"/>
          <w:color w:val="111111"/>
          <w:sz w:val="28"/>
          <w:sz w:val="28"/>
          <w:szCs w:val="28"/>
          <w:rtl w:val="true"/>
          <w:lang w:bidi="fa-IR"/>
        </w:rPr>
        <w:t xml:space="preserve">لإمکان </w:t>
      </w:r>
      <w:r>
        <w:rPr>
          <w:rStyle w:val="FootnoteAnchor"/>
          <w:rtl w:val="true"/>
        </w:rPr>
        <w:footnoteReference w:id="2019"/>
      </w:r>
      <w:r>
        <w:rPr>
          <w:rFonts w:ascii="IRNazanin" w:hAnsi="IRNazanin" w:eastAsia="IRNazanin"/>
          <w:color w:val="111111"/>
          <w:sz w:val="28"/>
          <w:sz w:val="28"/>
          <w:szCs w:val="28"/>
          <w:rtl w:val="true"/>
          <w:lang w:bidi="fa-IR"/>
        </w:rPr>
        <w:t>أن یکون علیه العشرة ثمناً ولا یجب التسلیم قبل القبض، ولأصالة عدم القبض وبراءةِ الذمّة من المطالبة به، ولأنّ للإنسان أن یخبر بما فی ذمّته، وقد یشتری شیئاً ولا یقبضه فیخبر بالواقع، فلو اُلزم بغیر ما أقرّ به</w:t>
      </w:r>
    </w:p>
    <w:p>
      <w:pPr>
        <w:pStyle w:val="BookText"/>
        <w:rPr/>
      </w:pPr>
      <w:r>
        <w:rPr>
          <w:rFonts w:ascii="IRNazanin" w:hAnsi="IRNazanin" w:eastAsia="IRNazanin"/>
          <w:color w:val="111111"/>
          <w:sz w:val="28"/>
          <w:sz w:val="28"/>
          <w:szCs w:val="28"/>
          <w:rtl w:val="true"/>
          <w:lang w:bidi="fa-IR"/>
        </w:rPr>
        <w:t>کان ذریعة إلی سدّ باب الإقرار، وهو منافٍ للحکمة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هذا لیس من باب تعقیب الإقرار بالمنافی، بل هو إقرار بالعشرة؛ لثبوتها فی الذمّة، وإن سلم کلامه فهو إقرار منضمّ إلی دعوی عین من أعیان مال المُقَرّ له، أو شیء فی ذمّته، فیسمع الإقرار ولا تُسمع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فی هذا الباب لمناسبة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بالعشرة لو أقرّ بها ثمّ عقّبه بکونها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ثمن خمر أو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لتعقیبه الإقرار بما یقتضی سقوطه؛ لعدم صلاحیّة الخمر والخنزیر مبیعاً یستحقّ به الثمن فی شرع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قال المقرّ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ذلک من ثمن خمر أو خنزیر فظننته لازماً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وأمکن الجهل بذلک فی حقّه توجّهت دعواه وکان له تحلیف المقرّ له علی نفیه إن ادّعی العلم بالاستحقاق،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علی عدم العلم بالفساد، ولو لم یمکن الجهل بذلک فی حقّ المقرّ لم یُلتفت إلی دعواه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قفیز حنطة، بل قفیز شعیر لزماه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قفیز الحنطة والشعیر؛ لثبوت الأوّل بإقراره والثانی بالإضراب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قفیز حنطة، بل قفیزان حنطة، فعلیه قفیزان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الأکثر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الدرهم، بل هذا الدرهم، فعلیه الدرهمان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لاعترافه فی الإضراب بدرهم آخر مع عدم سماع العدول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هذا الدرهم، بل درهم، فواحد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المغایرة بین المعیّن والمطلق؛ لإمکان حمله علیه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الفرق بین هذه الصور یرجع إلی تحقیق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نّها حرف إضراب، ثمّ إن تقدّمها إیجاب وتلاها مفرد جعلت ما قبلها کالمسکوت عنه، فلا یحکم علیه بشیء وأثبتت الحکم لما بعدها، وحیث کان الأوّل إقراراً صحیحاً استقرّ حکمه بالإضراب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تقدّمها نفیٌ فهی لتقریر ما قبلها علی حکمه وجعل ضدّه لما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کانا مع الإیجاب مختلفین أو معیّنین لم یقبل إضرابه؛ لأنّه إنکار للإقرار الأوّل، وهو غیر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قفیز حنطة، بل قفیز شعیر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هذا الدرهم، بل هذا الدرهم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فیلزمه القفیزان والدرهمان؛ لأنّ أحد المختلفین وأحد الشخصین غیر داخل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کانا مطلقین أو أحدهما لزمه واحد إن اتّحد مقدار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درهم، بل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الدرهم بل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بل هذا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یلزمه مع تعیین أحدهما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اختلفا کمّیّة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قفیز، بل قفیزان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القفیز، بل قفیزان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بالعکس، لزمه الأکثر، لکن إن کان المعیّن هو الأقلّ تعیّن ووجب الإکمال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لزید، بل لعمروٍ، دُفعت إلی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بمقتضی إقراره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وغرم لعمرو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حال بینه وبین المقَرّ به بإقراره الأوّل فیغرم له؛ للحیلولة الموجبة للغُرم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یصدّقه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نّها لعمرو فتدفع إلی عمرو من غیر غُرم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وقبض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ادّعی المواطاة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المقرّ له علی الإشهاد من غیر أن یقع بینهما بیع ولا قبض سُمعت دعواه؛ لجریان العادة بذلک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الإقباض أو علی عدم المواطاة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عدم السماع فلا یتوجّه الیمین؛ لأنّه مکذِّب لإقراره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ویضعَّف بأنّ ذلک واقع، تعمّ البلوی به فعدم سماعها یفضی إلی الضرر المنفیّ </w:t>
      </w:r>
      <w:r>
        <w:rPr>
          <w:rStyle w:val="FootnoteAnchor"/>
          <w:rtl w:val="true"/>
        </w:rPr>
        <w:footnoteReference w:id="2020"/>
      </w:r>
      <w:r>
        <w:rPr>
          <w:rFonts w:ascii="IRNazanin" w:hAnsi="IRNazanin" w:eastAsia="IRNazanin"/>
          <w:color w:val="111111"/>
          <w:sz w:val="28"/>
          <w:sz w:val="28"/>
          <w:szCs w:val="28"/>
          <w:rtl w:val="true"/>
          <w:lang w:bidi="fa-IR"/>
        </w:rPr>
        <w:t xml:space="preserve">هذا إذا شهدت البیّنة علی إقراره بهما </w:t>
      </w:r>
      <w:r>
        <w:rPr>
          <w:rStyle w:val="FootnoteAnchor"/>
          <w:rtl w:val="true"/>
        </w:rPr>
        <w:footnoteReference w:id="2021"/>
      </w:r>
      <w:r>
        <w:rPr>
          <w:rFonts w:ascii="IRNazanin" w:hAnsi="IRNazanin" w:eastAsia="IRNazanin"/>
          <w:color w:val="111111"/>
          <w:sz w:val="28"/>
          <w:sz w:val="28"/>
          <w:szCs w:val="28"/>
          <w:rtl w:val="true"/>
          <w:lang w:bidi="fa-IR"/>
        </w:rPr>
        <w:t>أمّا لو شهدت بالقبض لم یلتفت إلیه؛ لأنّه مکذّب لها طاعن فیها فلا یتوجّه بدعواه یمین</w:t>
      </w:r>
      <w:r>
        <w:rPr>
          <w:rFonts w:eastAsia="IRNazanin" w:cs="IRNazanin"/>
          <w:color w:val="111111"/>
          <w:sz w:val="28"/>
          <w:szCs w:val="28"/>
          <w:rtl w:val="true"/>
          <w:lang w:bidi="fa-IR"/>
        </w:rPr>
        <w:t>.</w:t>
      </w:r>
      <w:bookmarkStart w:id="651" w:name="pg19810_214753"/>
    </w:p>
    <w:p>
      <w:pPr>
        <w:pStyle w:val="Heading3"/>
        <w:numPr>
          <w:ilvl w:val="2"/>
          <w:numId w:val="1"/>
        </w:numPr>
        <w:rPr/>
      </w:pPr>
      <w:bookmarkStart w:id="652" w:name="__RefHeading___Toc2175739_2314609296"/>
      <w:bookmarkStart w:id="653" w:name="_Toc244"/>
      <w:bookmarkEnd w:id="651"/>
      <w:bookmarkEnd w:id="652"/>
      <w:r>
        <w:rPr>
          <w:rtl w:val="true"/>
        </w:rPr>
        <w:t>«</w:t>
      </w:r>
      <w:r>
        <w:rPr>
          <w:rtl w:val="true"/>
        </w:rPr>
        <w:t>الفصل الثالث</w:t>
      </w:r>
      <w:r>
        <w:rPr>
          <w:rtl w:val="true"/>
        </w:rPr>
        <w:t>»</w:t>
      </w:r>
      <w:bookmarkEnd w:id="653"/>
    </w:p>
    <w:p>
      <w:pPr>
        <w:pStyle w:val="Heading4"/>
        <w:numPr>
          <w:ilvl w:val="3"/>
          <w:numId w:val="1"/>
        </w:numPr>
        <w:rPr/>
      </w:pPr>
      <w:bookmarkStart w:id="654" w:name="__RefHeading___Toc2175741_2314609296"/>
      <w:bookmarkStart w:id="655" w:name="_Toc245"/>
      <w:bookmarkEnd w:id="654"/>
      <w:r>
        <w:rPr>
          <w:rtl w:val="true"/>
        </w:rPr>
        <w:t>اشارة</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الإقرار بالنسب</w:t>
      </w:r>
      <w:r>
        <w:rPr>
          <w:rFonts w:eastAsia="IRNazanin" w:cs="IRNazanin"/>
          <w:color w:val="111111"/>
          <w:sz w:val="28"/>
          <w:szCs w:val="28"/>
          <w:rtl w:val="true"/>
          <w:lang w:bidi="fa-IR"/>
        </w:rPr>
        <w:t>»</w:t>
      </w:r>
    </w:p>
    <w:p>
      <w:pPr>
        <w:pStyle w:val="Heading4"/>
        <w:numPr>
          <w:ilvl w:val="3"/>
          <w:numId w:val="1"/>
        </w:numPr>
        <w:rPr/>
      </w:pPr>
      <w:bookmarkStart w:id="656" w:name="__RefHeading___Toc2175743_2314609296"/>
      <w:bookmarkStart w:id="657" w:name="_Toc246"/>
      <w:bookmarkEnd w:id="656"/>
      <w:r>
        <w:rPr>
          <w:rtl w:val="true"/>
        </w:rPr>
        <w:t>[</w:t>
      </w:r>
      <w:r>
        <w:rPr>
          <w:rtl w:val="true"/>
        </w:rPr>
        <w:t xml:space="preserve">شروطه و احکامه </w:t>
      </w:r>
      <w:r>
        <w:rPr>
          <w:rtl w:val="true"/>
        </w:rPr>
        <w:t>]</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ویشترط فیه أهلیّة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للإقرار، ببلوغه وعقله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وإمکان إلحاق المُقَرّ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بالمقرّ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أقرّ ببنوّة المعروف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اُخوّته أو غیرهما ممّا یغایر ذلک النسب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ببنوّة من هو أعلی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مساوٍ </w:t>
      </w:r>
      <w:r>
        <w:rPr>
          <w:rStyle w:val="FootnoteAnchor"/>
          <w:rtl w:val="true"/>
        </w:rPr>
        <w:footnoteReference w:id="2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تجرِ العادة بتولّده منه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وکذا المنفیّ عنه شرعاً کولد الزنا وإن کان علی فراشه، وولد اللعان وإن کان الإبن یرثه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تصدیق المُقَرّ به للمُقِرّ فی دعواه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عدا الولد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أم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بالغاً عاقلاً ولم یکن ولداً </w:t>
      </w:r>
      <w:r>
        <w:rPr>
          <w:rStyle w:val="FootnoteAnchor"/>
          <w:rtl w:val="true"/>
        </w:rPr>
        <w:footnoteReference w:id="2023"/>
      </w:r>
      <w:r>
        <w:rPr>
          <w:rFonts w:ascii="IRNazanin" w:hAnsi="IRNazanin" w:eastAsia="IRNazanin"/>
          <w:color w:val="111111"/>
          <w:sz w:val="28"/>
          <w:sz w:val="28"/>
          <w:szCs w:val="28"/>
          <w:rtl w:val="true"/>
          <w:lang w:bidi="fa-IR"/>
        </w:rPr>
        <w:t>أمّا الثلاثة فلا یُعتبر تصدیقهم، بل یثبت نسبهم بالنسبة إلی المقرّ بمجرّد إقراره؛ لأنّ التصدیق إنّما یعتبر مع إمکانه وهو ممتنع منهما، وکذا المیّت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أشکل حکمه کبیراً، ممّا تقدّم، ومن إطلاق اشتراط تصدیق البالغ العاقل فی لحوقه، ولأنّ تأخیر الاستلحاق إلی الموت یوشک أن یکون خوفاً من إنکاره، إلّاأنّ فتوی الأصحاب علی القبول، ولا یقدح فیه التهمةُ باستیثاق مال الناقص </w:t>
      </w:r>
      <w:r>
        <w:rPr>
          <w:rStyle w:val="FootnoteAnchor"/>
          <w:rtl w:val="true"/>
        </w:rPr>
        <w:footnoteReference w:id="2024"/>
      </w:r>
      <w:r>
        <w:rPr>
          <w:rFonts w:ascii="Amiri" w:hAnsi="Amiri" w:eastAsia="Amiri" w:cs="Amiri"/>
          <w:color w:val="111111"/>
          <w:sz w:val="28"/>
          <w:sz w:val="28"/>
          <w:szCs w:val="28"/>
          <w:rtl w:val="true"/>
          <w:lang w:bidi="ar-SA"/>
        </w:rPr>
        <w:t>وإرث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بالولد هنا الولد للصلب فلو أقرّ ببنوّة ولد ولده فنازلاً اعتبر التصدیق کغیره من الأقارب، نصّ علیه المصنّف </w:t>
      </w:r>
      <w:r>
        <w:rPr>
          <w:rStyle w:val="FootnoteAnchor"/>
          <w:rtl w:val="true"/>
        </w:rPr>
        <w:footnoteReference w:id="2025"/>
      </w:r>
      <w:r>
        <w:rPr>
          <w:rFonts w:ascii="IRNazanin" w:hAnsi="IRNazanin" w:eastAsia="IRNazanin"/>
          <w:color w:val="111111"/>
          <w:sz w:val="28"/>
          <w:sz w:val="28"/>
          <w:szCs w:val="28"/>
          <w:rtl w:val="true"/>
          <w:lang w:bidi="fa-IR"/>
        </w:rPr>
        <w:t xml:space="preserve">وغیره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عدم الفرق بین دعوی الأب والاُمّ، وهو أحد القولین فی المسألة </w:t>
      </w:r>
      <w:r>
        <w:rPr>
          <w:rStyle w:val="FootnoteAnchor"/>
          <w:rtl w:val="true"/>
        </w:rPr>
        <w:footnoteReference w:id="2027"/>
      </w:r>
      <w:r>
        <w:rPr>
          <w:rFonts w:ascii="IRNazanin" w:hAnsi="IRNazanin" w:eastAsia="IRNazanin"/>
          <w:color w:val="111111"/>
          <w:sz w:val="28"/>
          <w:sz w:val="28"/>
          <w:szCs w:val="28"/>
          <w:rtl w:val="true"/>
          <w:lang w:bidi="fa-IR"/>
        </w:rPr>
        <w:t>وأصحّهما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اختاره المصنّف فی الدروس </w:t>
      </w:r>
      <w:r>
        <w:rPr>
          <w:rStyle w:val="FootnoteAnchor"/>
          <w:rtl w:val="true"/>
        </w:rPr>
        <w:footnoteReference w:id="2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وأنّ ذلک مخصوص بدعوی الأب، أمّا الاُمّ فیعتبر التصدیق لها؛ لورود النصّ علی الرجل </w:t>
      </w:r>
      <w:r>
        <w:rPr>
          <w:rStyle w:val="FootnoteAnchor"/>
          <w:rtl w:val="true"/>
        </w:rPr>
        <w:footnoteReference w:id="2029"/>
      </w:r>
      <w:r>
        <w:rPr>
          <w:rFonts w:ascii="IRNazanin" w:hAnsi="IRNazanin" w:eastAsia="IRNazanin"/>
          <w:color w:val="111111"/>
          <w:sz w:val="28"/>
          <w:sz w:val="28"/>
          <w:szCs w:val="28"/>
          <w:rtl w:val="true"/>
          <w:lang w:bidi="fa-IR"/>
        </w:rPr>
        <w:t>فلا یتناول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واتّحاد طریقهما ممنوع؛ لإمکان إقامتها البیّنة علی الولادة، دونه، ولأنّ ثبوت نسب غیر معلوم علی خلاف الأصل یُقتصر فیه علی موضع الیقین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أیضاً فی نفوذ الإقرار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نسب المُقَرّ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تنازعا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اعتبرت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لمن شهدت له،</w:t>
      </w:r>
    </w:p>
    <w:p>
      <w:pPr>
        <w:pStyle w:val="BookText"/>
        <w:rPr/>
      </w:pPr>
      <w:r>
        <w:rPr>
          <w:rFonts w:ascii="IRNazanin" w:hAnsi="IRNazanin" w:eastAsia="IRNazanin"/>
          <w:color w:val="111111"/>
          <w:sz w:val="28"/>
          <w:sz w:val="28"/>
          <w:szCs w:val="28"/>
          <w:rtl w:val="true"/>
          <w:lang w:bidi="fa-IR"/>
        </w:rPr>
        <w:t>فإن فقدت فالقرعة؛ لأنّها لکلّ أمر مشکل، أو معیّن عند اللّٰه مبهم عندنا وهو 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اشترکا فی الفراش علی تقدیر دعوی البنوّة، أو انتفی عنهما کواطئ خالیةٍ عن فراش لشبهة، فلو کانت فراشاً لأحدهما حکم له به خاصّة دون الآخر وإن صادقه الزوجان، ولو کانا زانیین انتفی عنهما، أو أحدهما فعنه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فی ذلک کلّه بتصدیق الاُمّ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تصادق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 غیر التولّد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الحقّ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یتعدّهما التوارث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ورثتهما؛ لأنّ حکم النسب إنّما ثبت بالإقرار والتصدیق، فیقتصر فیه علی المتصادقین إلّامع تصادق ورثتهما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التصادق فی التولّد یتعدّی، مضافاً إلی ما سبق من الحکم بثبوت النسب فی إلحاق الصغیر مطلقاً والکبیر مع التصادق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غیره من الأنساب مع اشتراکهما فی اعتبار التصادق غیر 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عبرة بإنکار الصغیر بعد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المعترف به صغیراً، وکذا المجنون بعد کماله؛ لثبوت النسب قبلَه فلا یزول بالإنکار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إحلاف المقرّ أیضاً؛ لأنّ غایته استخراج رجوعه أو نکوله وکلاهما الآن غیر مسموع، کما لا یسمع لو نفی النسب حینئذٍ صریحاً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المحکوم بکونه وارثاً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للمیّت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إلیه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لاعترافه بکونه أولی منه بالإرث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 العمّ بعد ذلک 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للمیّت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وصدّقه الأخ دفع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لاعترافهما بکونه أولی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أکذب الأخُ العمَّ فی کون المُقَرّ به ثانیاً ولداً للمیّت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یدفع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لاستحقاقه المالَ باعتراف ذی الید له، وهو العمّ، ولم تعلم أولویّة الثانی؛ لأنّ العمّ حینئذٍ خارج فلا یقبل إقراره فی حقّ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وغرم العمّ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لمن اعترف بکونه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دفع إلی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لإتلافه له بإقراره الأوّل مع مباشرته لدفع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غرم ما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 نّه لو لم یدفع إلیه لم یغرم بمجرّد إقراره بکونه أخاً؛ لأنّ ذلک لا یستلزم کونه وارثاً بل هو أعمّ، وإنّما یضمن لو دفع إلیه المال لمباشرته إتلافَه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معناه ما لو أقرَّ بانحصار الإرث فیه؛ لأنّه بإقراره بالولد بعد ذلک یکون رجوعاً عن إقراره الأوّل فلا یسمع، ویغرم للولد لحیلولته بینه وبین الترکة بالإقرار الأوّل، کما لو أقرّ بمال لواحد ثمّ أقرّ به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الحکم بضمانه حینئذٍ بین حکم الحاکم علیه بالدفع إلی الأخ وعدمه؛ لأنّه مع اعترافه بإرثه مفوِّت بدون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دفعه فی صورة عدم اعترافه بکونه الوارث بحکم الحاکم اتّجه عدم الضمان؛ لعدم اختیاره فی الدفع، وکذا الحکم فی کلّ من أقرَّ بوارثٍ أولی منه، ثمّ أقرَّ بأولی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 الأخ والولد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الإقرار </w:t>
      </w:r>
      <w:r>
        <w:rPr>
          <w:rStyle w:val="FootnoteAnchor"/>
          <w:rtl w:val="true"/>
        </w:rPr>
        <w:footnoteReference w:id="2030"/>
      </w:r>
      <w:r>
        <w:rPr>
          <w:rFonts w:ascii="IRNazanin" w:hAnsi="IRNazanin" w:eastAsia="IRNazanin"/>
          <w:color w:val="111111"/>
          <w:sz w:val="28"/>
          <w:sz w:val="28"/>
          <w:szCs w:val="28"/>
          <w:rtl w:val="true"/>
          <w:lang w:bidi="fa-IR"/>
        </w:rPr>
        <w:t>الأوّل بمساوٍ للثانی کأخ آخر، فإن صدّقه تشارکا وإلّا غرم للثانی نصفَ الترکة علی الوجه الذی قرّرناه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أقرّت الزوجة 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 المتوفّی ووارثه ظاهراً إخوته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فصدّقها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بید الإخوة</w:t>
      </w:r>
    </w:p>
    <w:p>
      <w:pPr>
        <w:pStyle w:val="BookText"/>
        <w:rPr/>
      </w:pPr>
      <w:r>
        <w:rPr>
          <w:rFonts w:ascii="IRNazanin" w:hAnsi="IRNazanin" w:eastAsia="IRNazanin"/>
          <w:color w:val="111111"/>
          <w:sz w:val="28"/>
          <w:sz w:val="28"/>
          <w:szCs w:val="28"/>
          <w:rtl w:val="true"/>
          <w:lang w:bidi="fa-IR"/>
        </w:rPr>
        <w:t>أجمع ونصفَ ما فی یدها؛ لاعترافهم باستحقاقه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أکذبوها دفعت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بیدها زائداً عن نصیبها علی تقدیر الولد </w:t>
      </w:r>
      <w:r>
        <w:rPr>
          <w:rStyle w:val="FootnoteAnchor"/>
          <w:rtl w:val="true"/>
        </w:rPr>
        <w:footnoteReference w:id="2031"/>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بیدها ربعاً نصیبَها علی تقدیر عدم الولد، فتدفع إلی الولد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تدفع إلیه سبعة أثمان ما فی یدها، تنزیلاً للإقرار علی الإشاعة، فیستحقّ فی کلّ شیءٍ سبعة أثمانه بمقتضی إقرارها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بأن اعترف الإخوة بالولد 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بأیدیهم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الأرباع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الولد بآخر دفع إلیه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هو لازم إرث الولدین المتساویین ذکوریّةً واُنوثیّةً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بثالث دفعا إلیه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دفع کلّ واحد منهما ثلثَ 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لو أقرّ الثلاثة برابع دفع إلیه کلّ منهم ربعَ ما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عدالة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الورثة المقرّین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النسب والمیراث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النسب ممّا یثبت بشاهدین عدلین، والمیراث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فی المعترفین عدلان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فالمیراث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یتوقّف علی العدالة بل الاعتراف کما مرّ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 بزوجٍ للمیّتة أعطاه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نصف ما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نصیب الزوج مع عدم الولد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کذلک بأن کان المقرّ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نصیب الزوج معه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المقرّ یدفع الفاضل ممّا فی یده عن نصیبه علی تقدیر</w:t>
      </w:r>
    </w:p>
    <w:p>
      <w:pPr>
        <w:pStyle w:val="BookText"/>
        <w:rPr/>
      </w:pPr>
      <w:r>
        <w:rPr>
          <w:rFonts w:ascii="IRNazanin" w:hAnsi="IRNazanin" w:eastAsia="IRNazanin"/>
          <w:color w:val="111111"/>
          <w:sz w:val="28"/>
          <w:sz w:val="28"/>
          <w:szCs w:val="28"/>
          <w:rtl w:val="true"/>
          <w:lang w:bidi="fa-IR"/>
        </w:rPr>
        <w:t>وجود المُقَرّ به، فإن کان أخاً للمیّتة ولا ولد لها دفع النصف، وإن کان ولداً دفع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العبارة قصور عن تأدیة هذا المعنی؛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أعطاه النصف إن کان المقرّ غیر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إقرار بعض الورثة المجامعین للولد کالأبوین، فإنّ أحدهما لو أقرّ بالزوج مع وجود ولد، یصدق أنّ المقرّ غیر ولدها، مع أ نّه لا یدفع النصف، بل قد یدفع ما دونه، وقد لا یدفع شیئاً، فإنّ الولد إن کان ذکراً والمقرّ أحد الأبوین لا یدفع شیئاً مطلقاً؛ لأنّ نصیبه لا یزاد علی السدس علی تقدیر وجود الزوج وعدمه، وإنّما حصّة الزوج مع الابن، وإن کان اُنثی والمقرّ الأب یدفع الفاضل ممّا فی یده عن السدس، وکذا إن کان الاُمّ ولیس لها حاجب، ومع الحاجب لا تدفع شیئاً؛ لعدم زیادة ما فی یدها عن نصیبها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المقرّ أحدَ الأبوین مع عدم وجود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أحد ما تناولته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یدفع نصف ما فی یده، کما لو لم یکن وارثاً غیرُه أو هو الأب مطلقاً </w:t>
      </w:r>
      <w:r>
        <w:rPr>
          <w:rStyle w:val="FootnoteAnchor"/>
          <w:rtl w:val="true"/>
        </w:rPr>
        <w:footnoteReference w:id="2033"/>
      </w:r>
      <w:r>
        <w:rPr>
          <w:rFonts w:ascii="IRNazanin" w:hAnsi="IRNazanin" w:eastAsia="IRNazanin"/>
          <w:color w:val="111111"/>
          <w:sz w:val="28"/>
          <w:sz w:val="28"/>
          <w:szCs w:val="28"/>
          <w:rtl w:val="true"/>
          <w:lang w:bidi="fa-IR"/>
        </w:rPr>
        <w:t>وقد لا یدفع شیئاً کما لو کان هو الاُمّ مع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وتنزیل ذلک علی الإشاعة یصحّح المسألة، لکن یفسد ما سبق من الفروع؛ لأ نّها لم تنزّل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قصر کثیر من الأصحاب فی تعبیر هذا الفرع، فتأمّله فی کلامهم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المقرّ بالزوج ولداً کان أم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بآخر وأکذب نفسه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اُغرم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للآخر الذی اعترف به ثانیاً؛ لإتلافه نصیبه بإقراره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لأنّ</w:t>
      </w:r>
    </w:p>
    <w:p>
      <w:pPr>
        <w:pStyle w:val="BookText"/>
        <w:rPr/>
      </w:pPr>
      <w:r>
        <w:rPr>
          <w:rFonts w:ascii="IRNazanin" w:hAnsi="IRNazanin" w:eastAsia="IRNazanin"/>
          <w:color w:val="111111"/>
          <w:sz w:val="28"/>
          <w:sz w:val="28"/>
          <w:szCs w:val="28"/>
          <w:rtl w:val="true"/>
          <w:lang w:bidi="fa-IR"/>
        </w:rPr>
        <w:t>الإقرار بزوج ثان إقرار بأمر ممتنع شرعاً، فلا یترتّب علیه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أ نّه یغرم للثانی مطلقاً لأصالة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إقرار العقلاء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کونه هو الزوج، وأ نّه ظنّه الأوّلَ فأقرّ به ثمّ تبیّن خلافه، وإلغاء الإقرار فی حقّ المقرّ مع إمکان صحّته منافٍ للقواعد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أظهر لکلامه تأویلاً ممکناً فی حقّه کتزوّجه إیّاها فی عدّة الأوّل فظنّ أ نّه یرثها زوجان، فقد استقرب المصنّف فی الدروس القبول </w:t>
      </w:r>
      <w:r>
        <w:rPr>
          <w:rStyle w:val="FootnoteAnchor"/>
          <w:rtl w:val="true"/>
        </w:rPr>
        <w:footnoteReference w:id="2034"/>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 بزوجة للمیّت فالربع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المقرّ غیرَ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المقرّ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تنزیله فی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حقّقناه یتمّ فی الولد خاصّة، وغیرُه یدفع إلیها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Style w:val="FootnoteAnchor"/>
          <w:rtl w:val="true"/>
        </w:rPr>
        <w:footnoteReference w:id="2035"/>
      </w:r>
      <w:r>
        <w:rPr>
          <w:rFonts w:ascii="IRNazanin" w:hAnsi="IRNazanin" w:eastAsia="IRNazanin"/>
          <w:color w:val="111111"/>
          <w:sz w:val="28"/>
          <w:sz w:val="28"/>
          <w:szCs w:val="28"/>
          <w:rtl w:val="true"/>
          <w:lang w:bidi="fa-IR"/>
        </w:rPr>
        <w:t>فی یده عن نصیبه علی تقدیرها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بیده أکثر من نصیب الزوجة اقتصر علی دفع نصیبها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الولد یدفع أقلّ الأمرین من نصیب الزوجة وما زاد عن نصیبه علی تقدیرها إن کان معه زیادة، فأحد الأبوین مع الذکر لا یدفع شیئاً، ومع الاُنثی یدفع الأقلّ، والأخ یدفع الربع، والولد الثمن کما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 باُخری وصدّقته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اقتسماه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أو الثمن، أو ما 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أکذبتها 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نصیبها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نصف ما غرم للاُولی إن کان باشر تسلیمها کما مرّ </w:t>
      </w:r>
      <w:r>
        <w:rPr>
          <w:rStyle w:val="FootnoteAnchor"/>
          <w:rtl w:val="true"/>
        </w:rPr>
        <w:footnoteReference w:id="2036"/>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بثالثة ورابعة، فیغرم للثالثة مع تکذیب الاُولیین ثلث</w:t>
      </w:r>
    </w:p>
    <w:p>
      <w:pPr>
        <w:pStyle w:val="BookText"/>
        <w:rPr/>
      </w:pPr>
      <w:r>
        <w:rPr>
          <w:rFonts w:ascii="IRNazanin" w:hAnsi="IRNazanin" w:eastAsia="IRNazanin"/>
          <w:color w:val="111111"/>
          <w:sz w:val="28"/>
          <w:sz w:val="28"/>
          <w:szCs w:val="28"/>
          <w:rtl w:val="true"/>
          <w:lang w:bidi="fa-IR"/>
        </w:rPr>
        <w:t>ما لزمه دفعه، وللرابعة مع تکذیب الثلاث ربعه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أقرّ بخامسة فکالإقرار بزوجٍ ثانٍ، فیغرم لها مع إکذاب نفسه، أو مطلقاً علی ما سبق </w:t>
      </w:r>
      <w:r>
        <w:rPr>
          <w:rStyle w:val="FootnoteAnchor"/>
          <w:rtl w:val="true"/>
        </w:rPr>
        <w:footnoteReference w:id="2037"/>
      </w:r>
      <w:r>
        <w:rPr>
          <w:rFonts w:ascii="IRNazanin" w:hAnsi="IRNazanin" w:eastAsia="IRNazanin"/>
          <w:color w:val="111111"/>
          <w:sz w:val="28"/>
          <w:sz w:val="28"/>
          <w:szCs w:val="28"/>
          <w:rtl w:val="true"/>
          <w:lang w:bidi="fa-IR"/>
        </w:rPr>
        <w:t xml:space="preserve">بل هنا أولی؛ لإمکان الخامسة الوارثة فی المریض إذا تزوّج بعد الطلاق وانقضاء العدّة ودخل ومات فی سنته کما تقدّم </w:t>
      </w:r>
      <w:r>
        <w:rPr>
          <w:rStyle w:val="FootnoteAnchor"/>
          <w:rtl w:val="true"/>
        </w:rPr>
        <w:footnoteReference w:id="2038"/>
      </w:r>
      <w:r>
        <w:rPr>
          <w:rFonts w:ascii="IRNazanin" w:hAnsi="IRNazanin" w:eastAsia="IRNazanin"/>
          <w:color w:val="111111"/>
          <w:sz w:val="28"/>
          <w:sz w:val="28"/>
          <w:szCs w:val="28"/>
          <w:rtl w:val="true"/>
          <w:lang w:bidi="fa-IR"/>
        </w:rPr>
        <w:t>ویمکن فیه استرسال الإقرار، ولا یقف عند حدّ إذا مات فی سنته مریضاً</w:t>
      </w:r>
      <w:r>
        <w:rPr>
          <w:rFonts w:eastAsia="IRNazanin" w:cs="IRNazanin"/>
          <w:color w:val="111111"/>
          <w:sz w:val="28"/>
          <w:szCs w:val="28"/>
          <w:rtl w:val="true"/>
          <w:lang w:bidi="fa-IR"/>
        </w:rPr>
        <w:t>.</w:t>
      </w:r>
      <w:bookmarkStart w:id="658" w:name="pg19810_214761"/>
    </w:p>
    <w:p>
      <w:pPr>
        <w:pStyle w:val="Heading2"/>
        <w:numPr>
          <w:ilvl w:val="1"/>
          <w:numId w:val="1"/>
        </w:numPr>
        <w:rPr/>
      </w:pPr>
      <w:bookmarkStart w:id="659" w:name="__RefHeading___Toc2175745_2314609296"/>
      <w:bookmarkStart w:id="660" w:name="_Toc247"/>
      <w:bookmarkEnd w:id="658"/>
      <w:bookmarkEnd w:id="659"/>
      <w:r>
        <w:rPr>
          <w:rtl w:val="true"/>
        </w:rPr>
        <w:t>کتاب الغصب</w:t>
      </w:r>
      <w:bookmarkEnd w:id="66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1" w:name="__RefHeading___Toc2175747_2314609296"/>
      <w:bookmarkStart w:id="662" w:name="_Toc248"/>
      <w:bookmarkEnd w:id="661"/>
      <w:r>
        <w:rPr>
          <w:rtl w:val="true"/>
        </w:rPr>
        <w:t>اشارة</w:t>
      </w:r>
      <w:bookmarkStart w:id="663" w:name="pg19810_214763"/>
      <w:bookmarkEnd w:id="662"/>
    </w:p>
    <w:p>
      <w:pPr>
        <w:pStyle w:val="BookText"/>
        <w:rPr/>
      </w:pPr>
      <w:bookmarkEnd w:id="663"/>
      <w:r>
        <w:rPr>
          <w:rFonts w:ascii="IRNazanin" w:hAnsi="IRNazanin" w:eastAsia="IRNazanin"/>
          <w:color w:val="111111"/>
          <w:sz w:val="28"/>
          <w:sz w:val="28"/>
          <w:szCs w:val="28"/>
          <w:rtl w:val="true"/>
          <w:lang w:bidi="fa-IR"/>
        </w:rPr>
        <w:t>کتاب الغصب</w:t>
      </w:r>
    </w:p>
    <w:p>
      <w:pPr>
        <w:pStyle w:val="Heading3"/>
        <w:numPr>
          <w:ilvl w:val="2"/>
          <w:numId w:val="1"/>
        </w:numPr>
        <w:rPr/>
      </w:pPr>
      <w:bookmarkStart w:id="664" w:name="__RefHeading___Toc2175749_2314609296"/>
      <w:bookmarkStart w:id="665" w:name="_Toc249"/>
      <w:bookmarkEnd w:id="664"/>
      <w:r>
        <w:rPr>
          <w:rtl w:val="true"/>
        </w:rPr>
        <w:t>[</w:t>
      </w:r>
      <w:r>
        <w:rPr>
          <w:rtl w:val="true"/>
        </w:rPr>
        <w:t xml:space="preserve">تعریفه </w:t>
      </w:r>
      <w:r>
        <w:rPr>
          <w:rtl w:val="true"/>
        </w:rPr>
        <w:t>]</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الاستقلال بإثبات الید علی مال الغیر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الإقلال، وهو الاستبداد به، لا طلبه کما هو الغالب فی باب الاستفعال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به ما لا إثبات معه أصلاً کمنعه من ماله حتّی تلف، وما لا استقلال معه کوضع یده علی ثوبه الذی هو لابسه، فإنّ ذلک لا یسمّی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بالمال الاستقلال بالید علی الحرّ، فإنّه لا تتحقّق فیه الغصبیّة فلا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وبإضافة المال إلی الغیر ما لو استقلّ بإثبات یده علی مال نفسه عدواناً کالمرهون فی ید المرتهن، والوارث علی الترکة مع الدین فلیس بغاصب وإن أثم وضمن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وبالعدوان إثبات المرتهن والولیّ والوکیل والمستأجر والمستعیر أیدیهم علی مال الراهن والمولّی علیه والموکّل والمؤجر والمعیر</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ذلک فینتقض التعریف فی عکسه بما لو اشترک اثنان فصاعداً فی غصب بحیث لم یستقلّ کلّ منهما بالید، فلو أبدل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لشمله؛ لصدق الاستیلاء مع المشارکة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وبالاستقلال بإثبات الید علی حقّ الغیر کالتحجیر وحقّ المسجد والمدرسة والرباط ونحوه ممّا لا یُعدّ مالاً، فإنّ الغصب متحقّق، وکذا غصب ما لا یتموَّل عرفاً کحبّة الحنطة، فإنّه یتحقّق به أیضاً علی ما اختاره المصنّف ویجب ردّه علی مالکه مع عدم المالیّة، إلّاأن یراد هنا جنس المال، أو یُدّعی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ویفرّق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الحرّ الصغیر والمجنون إذا تلف تحت یده بسبب، کلدغ الحیّة ووقوع الحائط، فإنّه یضمن عند المصنّف وجماعة </w:t>
      </w:r>
      <w:r>
        <w:rPr>
          <w:rStyle w:val="FootnoteAnchor"/>
          <w:rtl w:val="true"/>
        </w:rPr>
        <w:footnoteReference w:id="2039"/>
      </w:r>
      <w:r>
        <w:rPr>
          <w:rFonts w:ascii="IRNazanin" w:hAnsi="IRNazanin" w:eastAsia="IRNazanin"/>
          <w:color w:val="111111"/>
          <w:sz w:val="28"/>
          <w:sz w:val="28"/>
          <w:szCs w:val="28"/>
          <w:rtl w:val="true"/>
          <w:lang w:bidi="fa-IR"/>
        </w:rPr>
        <w:t xml:space="preserve">کما اختاره فی الدروس </w:t>
      </w:r>
      <w:r>
        <w:rPr>
          <w:rStyle w:val="FootnoteAnchor"/>
          <w:rtl w:val="true"/>
        </w:rPr>
        <w:footnoteReference w:id="2040"/>
      </w:r>
      <w:r>
        <w:rPr>
          <w:rFonts w:ascii="IRNazanin" w:hAnsi="IRNazanin" w:eastAsia="IRNazanin"/>
          <w:color w:val="111111"/>
          <w:sz w:val="28"/>
          <w:sz w:val="28"/>
          <w:szCs w:val="28"/>
          <w:rtl w:val="true"/>
          <w:lang w:bidi="fa-IR"/>
        </w:rPr>
        <w:t xml:space="preserve">فلو أبدل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لشمل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ترتّبت یده علی ید الغاصب جاهلاً به، ومن سکن دار غیره غلطاً أو لبس ثوبه خطأً، فإنّهم ضامنون وإن لم یکونوا غاصبین؛ لأنّ الغصب من الأفعال المحرَّمة فی الکتاب </w:t>
      </w:r>
      <w:r>
        <w:rPr>
          <w:rStyle w:val="FootnoteAnchor"/>
          <w:rtl w:val="true"/>
        </w:rPr>
        <w:footnoteReference w:id="2041"/>
      </w:r>
      <w:r>
        <w:rPr>
          <w:rFonts w:ascii="Amiri" w:hAnsi="Amiri" w:eastAsia="Amiri" w:cs="Amiri"/>
          <w:color w:val="111111"/>
          <w:sz w:val="28"/>
          <w:sz w:val="28"/>
          <w:szCs w:val="28"/>
          <w:rtl w:val="true"/>
          <w:lang w:bidi="ar-SA"/>
        </w:rPr>
        <w:t xml:space="preserve">والسنّة </w:t>
      </w:r>
      <w:r>
        <w:rPr>
          <w:rStyle w:val="FootnoteAnchor"/>
          <w:rtl w:val="true"/>
        </w:rPr>
        <w:footnoteReference w:id="2042"/>
      </w:r>
      <w:r>
        <w:rPr>
          <w:rFonts w:ascii="IRNazanin" w:hAnsi="IRNazanin" w:eastAsia="IRNazanin"/>
          <w:color w:val="111111"/>
          <w:sz w:val="28"/>
          <w:sz w:val="28"/>
          <w:szCs w:val="28"/>
          <w:rtl w:val="true"/>
          <w:lang w:bidi="fa-IR"/>
        </w:rPr>
        <w:t xml:space="preserve">بل الإجماع ودلیل العقل، فلا یتناول غیر العالم وإن شارکه فی بعض الأحکام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لیتناولهم من حیث إنّهم ضامنون، لیس بجیّد؛ لما ذکرناه </w:t>
      </w:r>
      <w:r>
        <w:rPr>
          <w:rStyle w:val="FootnoteAnchor"/>
          <w:rtl w:val="true"/>
        </w:rPr>
        <w:footnoteReference w:id="2044"/>
      </w:r>
      <w:r>
        <w:rPr>
          <w:rFonts w:ascii="IRNazanin" w:hAnsi="IRNazanin" w:eastAsia="IRNazanin"/>
          <w:color w:val="111111"/>
          <w:sz w:val="28"/>
          <w:sz w:val="28"/>
          <w:szCs w:val="28"/>
          <w:rtl w:val="true"/>
          <w:lang w:bidi="fa-IR"/>
        </w:rPr>
        <w:t>وکذا الاعتذار بکونه بمعناه، أو دعوی الاستغناء عن القید</w:t>
      </w:r>
      <w:bookmarkStart w:id="666" w:name="pg19810_214765"/>
    </w:p>
    <w:p>
      <w:pPr>
        <w:pStyle w:val="BookText"/>
        <w:rPr/>
      </w:pPr>
      <w:bookmarkEnd w:id="666"/>
      <w:r>
        <w:rPr>
          <w:rFonts w:ascii="IRNazanin" w:hAnsi="IRNazanin" w:eastAsia="IRNazanin"/>
          <w:color w:val="111111"/>
          <w:sz w:val="28"/>
          <w:sz w:val="28"/>
          <w:szCs w:val="28"/>
          <w:rtl w:val="true"/>
          <w:lang w:bidi="fa-IR"/>
        </w:rPr>
        <w:t xml:space="preserve">أصلاً لیشملهم، بل الأجود الافتقار إلی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تلخّص أنّ الأجود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الاستیلاء علی حقّ الغیر عدواناً، وأنّ أسباب الضمان غیر منحصرة فیه</w:t>
      </w:r>
      <w:r>
        <w:rPr>
          <w:rFonts w:eastAsia="IRNazanin" w:cs="IRNazanin"/>
          <w:color w:val="111111"/>
          <w:sz w:val="28"/>
          <w:szCs w:val="28"/>
          <w:rtl w:val="true"/>
          <w:lang w:bidi="fa-IR"/>
        </w:rPr>
        <w:t>.</w:t>
      </w:r>
    </w:p>
    <w:p>
      <w:pPr>
        <w:pStyle w:val="Heading3"/>
        <w:numPr>
          <w:ilvl w:val="2"/>
          <w:numId w:val="1"/>
        </w:numPr>
        <w:rPr/>
      </w:pPr>
      <w:bookmarkStart w:id="667" w:name="__RefHeading___Toc2175751_2314609296"/>
      <w:bookmarkStart w:id="668" w:name="_Toc250"/>
      <w:bookmarkEnd w:id="667"/>
      <w:r>
        <w:rPr>
          <w:rtl w:val="true"/>
        </w:rPr>
        <w:t>[</w:t>
      </w:r>
      <w:r>
        <w:rPr>
          <w:rtl w:val="true"/>
        </w:rPr>
        <w:t xml:space="preserve">احکامه </w:t>
      </w:r>
      <w:r>
        <w:rPr>
          <w:rtl w:val="true"/>
        </w:rPr>
        <w:t>]</w:t>
      </w:r>
      <w:bookmarkEnd w:id="668"/>
    </w:p>
    <w:p>
      <w:pPr>
        <w:pStyle w:val="BookText"/>
        <w:rPr/>
      </w:pPr>
      <w:r>
        <w:rPr>
          <w:rFonts w:ascii="IRNazanin" w:hAnsi="IRNazanin" w:eastAsia="IRNazanin"/>
          <w:color w:val="111111"/>
          <w:sz w:val="28"/>
          <w:sz w:val="28"/>
          <w:szCs w:val="28"/>
          <w:rtl w:val="true"/>
          <w:lang w:bidi="fa-IR"/>
        </w:rPr>
        <w:t xml:space="preserve">وحیث اعتبر فی الضمان الاستقلال والاستیلاء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منعه من سکنی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المانع یده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 دابّته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بغاصب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یضمن العین لو تلفت، ولا الاُجرة زَمَن المنع؛ لعدم إثبات الید الذی هو جزء مفهوم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 نّه لا یلزم من عدم الغصب عدم الضمان؛ لعدم انحصار السبب فیه، بل ینبغی أن یختصّ ذلک بما لا یکون المانع سبباً فی تلف العین بذلک بأن اتّفق تلفها مع کون السکنی غیر معتبرة فی حفظها، والمالک غیر معتبر فی مراعاة الدابّة کما یتّفق لکثیر من الدور والدوابّ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حفظه متوقّفاً علی سکنی الدار ومراعاة الدابّة لضعفها و </w:t>
      </w:r>
      <w:r>
        <w:rPr>
          <w:rStyle w:val="FootnoteAnchor"/>
          <w:rtl w:val="true"/>
        </w:rPr>
        <w:footnoteReference w:id="2045"/>
      </w:r>
      <w:r>
        <w:rPr>
          <w:rFonts w:ascii="IRNazanin" w:hAnsi="IRNazanin" w:eastAsia="IRNazanin"/>
          <w:color w:val="111111"/>
          <w:sz w:val="28"/>
          <w:sz w:val="28"/>
          <w:szCs w:val="28"/>
          <w:rtl w:val="true"/>
          <w:lang w:bidi="fa-IR"/>
        </w:rPr>
        <w:t>کون أرضها مسبعة مثلاً، فإنّ المتّجه الضمان نظراً إلی کونه سبباً قویّاً مع ضعف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ما لو منعه من الجلوس علی بساطه فتلف أو سرق، أو غصب </w:t>
      </w:r>
      <w:r>
        <w:rPr>
          <w:rStyle w:val="FootnoteAnchor"/>
          <w:rtl w:val="true"/>
        </w:rPr>
        <w:footnoteReference w:id="2046"/>
      </w:r>
      <w:r>
        <w:rPr>
          <w:rFonts w:ascii="IRNazanin" w:hAnsi="IRNazanin" w:eastAsia="IRNazanin"/>
          <w:color w:val="111111"/>
          <w:sz w:val="28"/>
          <w:sz w:val="28"/>
          <w:szCs w:val="28"/>
          <w:rtl w:val="true"/>
          <w:lang w:bidi="fa-IR"/>
        </w:rPr>
        <w:t>الاُمّ فمات ولدها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اختاره المصنّف فی بعض فوائده </w:t>
      </w:r>
      <w:r>
        <w:rPr>
          <w:rStyle w:val="FootnoteAnchor"/>
          <w:rtl w:val="true"/>
        </w:rPr>
        <w:footnoteReference w:id="2047"/>
      </w:r>
      <w:r>
        <w:rPr>
          <w:rFonts w:ascii="IRNazanin" w:hAnsi="IRNazanin" w:eastAsia="IRNazanin"/>
          <w:color w:val="111111"/>
          <w:sz w:val="28"/>
          <w:sz w:val="28"/>
          <w:szCs w:val="28"/>
          <w:rtl w:val="true"/>
          <w:lang w:bidi="fa-IR"/>
        </w:rPr>
        <w:t xml:space="preserve">وإن اتّبع هنا وفی الدروس </w:t>
      </w:r>
      <w:r>
        <w:rPr>
          <w:rStyle w:val="FootnoteAnchor"/>
          <w:rtl w:val="true"/>
        </w:rPr>
        <w:footnoteReference w:id="2048"/>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منعه من بیع متاعه فنقصت قیمته السوقیّة مع بقاء العین وصفاتها</w:t>
      </w:r>
    </w:p>
    <w:p>
      <w:pPr>
        <w:pStyle w:val="BookText"/>
        <w:rPr/>
      </w:pPr>
      <w:r>
        <w:rPr>
          <w:rFonts w:ascii="IRNazanin" w:hAnsi="IRNazanin" w:eastAsia="IRNazanin"/>
          <w:color w:val="111111"/>
          <w:sz w:val="28"/>
          <w:sz w:val="28"/>
          <w:szCs w:val="28"/>
          <w:rtl w:val="true"/>
          <w:lang w:bidi="fa-IR"/>
        </w:rPr>
        <w:t>لم یضمن قطعاً؛ لأنّ الفائت لیس مالاً بل اکتسابه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سکن معه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غاصب للنصف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وقیمة؛ لاستقلاله به، بخلاف النصف الذی بید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شارکه فی سکنی البیت علی الإشاعة من غیر اختصاص بموضع معیّن، أمّا لو اختصّ بمعیّن اختصّ بضمانه، کما لو اختصّ ببیتٍ من الدار وموضعٍ خاصٍّ من البیت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قویّاً مستولیاً وصاحب الدار ضعیفاً بحیث اضمحلّت یده معه احتمل قویّاً ضمان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 علی المالک عن مقاومته ولکن لم یمنعه المالک مع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ما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لاستیفائه منفعته بغیر إذن مالکه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المحقّق </w:t>
      </w:r>
      <w:r>
        <w:rPr>
          <w:rStyle w:val="FootnoteAnchor"/>
          <w:rtl w:val="true"/>
        </w:rPr>
        <w:footnoteReference w:id="2049"/>
      </w:r>
      <w:r>
        <w:rPr>
          <w:rFonts w:ascii="Amiri" w:hAnsi="Amiri" w:eastAsia="Amiri" w:cs="Amiri"/>
          <w:color w:val="111111"/>
          <w:sz w:val="28"/>
          <w:sz w:val="28"/>
          <w:szCs w:val="28"/>
          <w:rtl w:val="true"/>
          <w:lang w:bidi="ar-SA"/>
        </w:rPr>
        <w:t xml:space="preserve">والعلّامة </w:t>
      </w:r>
      <w:r>
        <w:rPr>
          <w:rStyle w:val="FootnoteAnchor"/>
          <w:rtl w:val="true"/>
        </w:rPr>
        <w:footnoteReference w:id="2050"/>
      </w:r>
      <w:r>
        <w:rPr>
          <w:rFonts w:ascii="Amiri" w:hAnsi="Amiri" w:eastAsia="Amiri" w:cs="Amiri"/>
          <w:color w:val="111111"/>
          <w:sz w:val="28"/>
          <w:sz w:val="28"/>
          <w:szCs w:val="28"/>
          <w:rtl w:val="true"/>
          <w:lang w:bidi="ar-SA"/>
        </w:rPr>
        <w:t xml:space="preserve">وجماعة </w:t>
      </w:r>
      <w:r>
        <w:rPr>
          <w:rStyle w:val="FootnoteAnchor"/>
          <w:rtl w:val="true"/>
        </w:rPr>
        <w:footnoteReference w:id="20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الاستقلال بالید علی العین الذی لا یتحقّق الغصب بدونه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ونسبته إلی القول یشعر بتوقّفه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ظهور استیلائه علی العین التی انتفع بسکناها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وقدرة المالک علی دفعه لا ترفع الغصب مع تحقّق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المالک القوی نائیاً فلا شبهة فی الضمان؛ لتحقّق الاستیلاء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 مِقود الدابّة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الحبل الذی یشدّ بزمامها أو لجامها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للدابّة وما یصحبها؛ للاستیلاء علیها عدواناً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 صاحبها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دفع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مستیقظاً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القود غیر نائم، فلا یتحقّق الغصب حینئذٍ؛ لعدم الاستیلاء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اتّفق تلفها بذلک ضمنها؛ لأنّه جانٍ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تتلف هل یضمن منفعتها زمن القود؟ یحتمل قویّاً ذلک؛ لتفویتها بمباشرته وإن لم یکن غاصباً کالضعیف الساکن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الراکب ضعیفاً عن مقاومته أو نائماً فلا ریب فی الضمان؛ للاستیلاء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ساقها قدّامه بحیث صار مستولیاً علیها لکونها تحت یده ولا جماح </w:t>
      </w:r>
      <w:r>
        <w:rPr>
          <w:rStyle w:val="FootnoteAnchor"/>
          <w:rtl w:val="true"/>
        </w:rPr>
        <w:footnoteReference w:id="2052"/>
      </w:r>
      <w:r>
        <w:rPr>
          <w:rFonts w:ascii="IRNazanin" w:hAnsi="IRNazanin" w:eastAsia="IRNazanin"/>
          <w:color w:val="111111"/>
          <w:sz w:val="28"/>
          <w:sz w:val="28"/>
          <w:szCs w:val="28"/>
          <w:rtl w:val="true"/>
          <w:lang w:bidi="fa-IR"/>
        </w:rPr>
        <w:t xml:space="preserve">لها فهو غاصب؛ لتحقّق معناه، ولو تردّت </w:t>
      </w:r>
      <w:r>
        <w:rPr>
          <w:rStyle w:val="FootnoteAnchor"/>
          <w:rtl w:val="true"/>
        </w:rPr>
        <w:footnoteReference w:id="2053"/>
      </w:r>
      <w:r>
        <w:rPr>
          <w:rFonts w:ascii="IRNazanin" w:hAnsi="IRNazanin" w:eastAsia="IRNazanin"/>
          <w:color w:val="111111"/>
          <w:sz w:val="28"/>
          <w:sz w:val="28"/>
          <w:szCs w:val="28"/>
          <w:rtl w:val="true"/>
          <w:lang w:bidi="fa-IR"/>
        </w:rPr>
        <w:t>بالجماح حینئذٍ أو غیره فتلفت أو عابت ضمن؛ للسببیّة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وغصب الحامل غصب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مغصوب کالحامل، والاستقلال بالید علیه حاصل بالتبعیّة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حمل المبیع فاسداً حیث لا یدخل فی البیع؛ لأنّه لیس مبیعاً، فیکون أمانة فی ید المشتری؛ لأصالة عدم الضمان، ولأنّ تسلّمه بإذن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2054"/>
      </w:r>
      <w:r>
        <w:rPr>
          <w:rFonts w:ascii="IRNazanin" w:hAnsi="IRNazanin" w:eastAsia="IRNazanin"/>
          <w:color w:val="111111"/>
          <w:sz w:val="28"/>
          <w:sz w:val="28"/>
          <w:szCs w:val="28"/>
          <w:rtl w:val="true"/>
          <w:lang w:bidi="fa-IR"/>
        </w:rPr>
        <w:t xml:space="preserve">وبه قطع المحقّق فی الشرائع </w:t>
      </w:r>
      <w:r>
        <w:rPr>
          <w:rStyle w:val="FootnoteAnchor"/>
          <w:rtl w:val="true"/>
        </w:rPr>
        <w:footnoteReference w:id="2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تبعها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غصبها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w:t>
      </w:r>
    </w:p>
    <w:p>
      <w:pPr>
        <w:pStyle w:val="BookText"/>
        <w:rPr/>
      </w:pP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Style w:val="FootnoteAnchor"/>
          <w:rtl w:val="true"/>
        </w:rPr>
        <w:footnoteReference w:id="2056"/>
      </w:r>
      <w:r>
        <w:rPr>
          <w:rFonts w:ascii="IRNazanin" w:hAnsi="IRNazanin" w:eastAsia="IRNazanin"/>
          <w:color w:val="111111"/>
          <w:sz w:val="28"/>
          <w:sz w:val="28"/>
          <w:szCs w:val="28"/>
          <w:rtl w:val="true"/>
          <w:lang w:bidi="fa-IR"/>
        </w:rPr>
        <w:t>مأخذهما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إثبات الید علیه، وأ نّه سبب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الضمان وهو الذی قرّبه فی الدروس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والأیدی المتعاقبة علی المغصوب أیدی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علموا جمیعاً بالغصب أم جهلوا أم بالتفریق؛ لتحقّق التصرّف فی مال الغیر بغیر إذنه، فیدخل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انتفی الإثم عن الجاهل بالغصب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 المالک فی تضمین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العین والمنفعة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واحداً بالتقسیط وإن لم یکن متساویاً؛ لأنّ جواز الرجوع علی کلّ واحد بالجمیع یستلزم جواز الرجوع بالبعض، وکذا له تقسیط ما یرجع به علی أزید من واحد وترک الباقین؛ لما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الجاهل منهم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فسلّطه علی العین أو المنفعة ولم یُعلِمه بالحال، وهکذا الآخر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یستقرّ الضمان علی الغاصب العالم وإن لم تتلف العین فی یده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تکن ید من تلفت فی یده یدَ ضمان کالعاریة المضمونة، وإلّا لم یرجع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أیدی الجمیع عاریة تخیَّر المالک کذلک واستقرّ الضمان علی من تلفت العین فی یده، فیرجع غیره علیه لو رجع علیه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p>
    <w:p>
      <w:pPr>
        <w:pStyle w:val="BookText"/>
        <w:rPr/>
      </w:pPr>
      <w:r>
        <w:rPr>
          <w:rFonts w:ascii="IRNazanin" w:hAnsi="IRNazanin" w:eastAsia="IRNazanin"/>
          <w:color w:val="111111"/>
          <w:sz w:val="28"/>
          <w:sz w:val="28"/>
          <w:szCs w:val="28"/>
          <w:rtl w:val="true"/>
          <w:lang w:bidi="fa-IR"/>
        </w:rPr>
        <w:t>یستقرّ ضمان المنفعة علی من استوفاها عالماً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 لا یضمن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ومنفعة؛ لأنّه لیس مالاً فلا یدخل تحت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کبیراً عاقلاً إجماعاً، أو صغیراً فمات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مات بسببٍ کلدغ الحیّة ووقوع الحائط، ففی ضمانه قولان للشیخ </w:t>
      </w:r>
      <w:r>
        <w:rPr>
          <w:rStyle w:val="FootnoteAnchor"/>
          <w:rtl w:val="true"/>
        </w:rPr>
        <w:footnoteReference w:id="2058"/>
      </w:r>
      <w:r>
        <w:rPr>
          <w:rFonts w:ascii="IRNazanin" w:hAnsi="IRNazanin" w:eastAsia="IRNazanin"/>
          <w:color w:val="111111"/>
          <w:sz w:val="28"/>
          <w:sz w:val="28"/>
          <w:szCs w:val="28"/>
          <w:rtl w:val="true"/>
          <w:lang w:bidi="fa-IR"/>
        </w:rPr>
        <w:t xml:space="preserve">واختار المصنّف فی الدروس الضمان </w:t>
      </w:r>
      <w:r>
        <w:rPr>
          <w:rStyle w:val="FootnoteAnchor"/>
          <w:rtl w:val="true"/>
        </w:rPr>
        <w:footnoteReference w:id="2059"/>
      </w:r>
      <w:r>
        <w:rPr>
          <w:rFonts w:ascii="IRNazanin" w:hAnsi="IRNazanin" w:eastAsia="IRNazanin"/>
          <w:color w:val="111111"/>
          <w:sz w:val="28"/>
          <w:sz w:val="28"/>
          <w:szCs w:val="28"/>
          <w:rtl w:val="true"/>
          <w:lang w:bidi="fa-IR"/>
        </w:rPr>
        <w:t>لأنّه سبّب الإتلاف، ولأنّ الصغیر لا یستطیع دفع المهلِکات عن نفسه، وعروضها أکثریّ، فمن ثَمّ رجّح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w:t>
      </w:r>
      <w:r>
        <w:rPr>
          <w:rFonts w:eastAsia="Amiri" w:cs="Amiri" w:ascii="Amiri" w:hAnsi="Amiri"/>
          <w:color w:val="111111"/>
          <w:sz w:val="28"/>
          <w:szCs w:val="28"/>
          <w:rtl w:val="true"/>
          <w:lang w:bidi="ar-SA"/>
        </w:rPr>
        <w:t xml:space="preserve">» </w:t>
      </w:r>
      <w:r>
        <w:rPr>
          <w:rStyle w:val="FootnoteAnchor"/>
          <w:rtl w:val="true"/>
        </w:rPr>
        <w:footnoteReference w:id="2060"/>
      </w:r>
      <w:r>
        <w:rPr>
          <w:rFonts w:ascii="IRNazanin" w:hAnsi="IRNazanin" w:eastAsia="IRNazanin"/>
          <w:color w:val="111111"/>
          <w:sz w:val="28"/>
          <w:sz w:val="28"/>
          <w:szCs w:val="28"/>
          <w:rtl w:val="true"/>
          <w:lang w:bidi="fa-IR"/>
        </w:rPr>
        <w:t>العجز عن دفع ذلک عن نفسه حیث یمکن الکبیر دفعها عادةً، لا عدم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به المجنون، ولو کان بالکبیر خَبَل </w:t>
      </w:r>
      <w:r>
        <w:rPr>
          <w:rStyle w:val="FootnoteAnchor"/>
          <w:rtl w:val="true"/>
        </w:rPr>
        <w:footnoteReference w:id="2061"/>
      </w:r>
      <w:r>
        <w:rPr>
          <w:rFonts w:ascii="Amiri" w:hAnsi="Amiri" w:eastAsia="Amiri" w:cs="Amiri"/>
          <w:color w:val="111111"/>
          <w:sz w:val="28"/>
          <w:sz w:val="28"/>
          <w:szCs w:val="28"/>
          <w:rtl w:val="true"/>
          <w:lang w:bidi="ar-SA"/>
        </w:rPr>
        <w:t xml:space="preserve">أو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w:t>
      </w:r>
      <w:r>
        <w:rPr>
          <w:rFonts w:eastAsia="Amiri" w:cs="Amiri" w:ascii="Amiri" w:hAnsi="Amiri"/>
          <w:color w:val="111111"/>
          <w:sz w:val="28"/>
          <w:szCs w:val="28"/>
          <w:rtl w:val="true"/>
          <w:lang w:bidi="ar-SA"/>
        </w:rPr>
        <w:t xml:space="preserve">] </w:t>
      </w:r>
      <w:r>
        <w:rPr>
          <w:rStyle w:val="FootnoteAnchor"/>
          <w:rtl w:val="true"/>
        </w:rPr>
        <w:footnoteReference w:id="2062"/>
      </w:r>
      <w:r>
        <w:rPr>
          <w:rFonts w:ascii="IRNazanin" w:hAnsi="IRNazanin" w:eastAsia="IRNazanin"/>
          <w:color w:val="111111"/>
          <w:sz w:val="28"/>
          <w:sz w:val="28"/>
          <w:szCs w:val="28"/>
          <w:rtl w:val="true"/>
          <w:lang w:bidi="fa-IR"/>
        </w:rPr>
        <w:t>الصغیر لکبر أو مرض، ففی إلحاقه به وجهان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ویُضمن الرقیق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بالغصب؛ لأنّه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حُبس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لها اُجرة بالعادة </w:t>
      </w:r>
      <w:r>
        <w:rPr>
          <w:rStyle w:val="FootnoteAnchor"/>
          <w:rtl w:val="true"/>
        </w:rPr>
        <w:footnoteReference w:id="2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یضمن اُجرته إذا لم یستعمله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منافع الحرّ لا تدخل تحت الید تبعاً له، سواء کان قد استأجره لعمل فاعتقله ولم یستعمله أم لا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قد استأجره مدّة معیّنة فمضت زمنَ اعتقاله وهو باذل نفسه للعمل استقرّت الاُجرة لذلک، لا للغصب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مال محض</w:t>
      </w:r>
    </w:p>
    <w:p>
      <w:pPr>
        <w:pStyle w:val="BookText"/>
        <w:rPr/>
      </w:pPr>
      <w:r>
        <w:rPr>
          <w:rFonts w:ascii="IRNazanin" w:hAnsi="IRNazanin" w:eastAsia="IRNazanin"/>
          <w:color w:val="111111"/>
          <w:sz w:val="28"/>
          <w:sz w:val="28"/>
          <w:szCs w:val="28"/>
          <w:rtl w:val="true"/>
          <w:lang w:bidi="fa-IR"/>
        </w:rPr>
        <w:t>ومنافعه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وخمر الکافر المستتر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یُضمن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کان الغاصب أم کافراً؛ لأنّها مال بالإضافة إلیه وقد اُقرّ علیه ولم تجز مزاحمته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علیه تأنیث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غصبها من مسلم أو کافر متظاهر فلا ضمان وإن کان قد اتّخذها للتخلیل؛ إذ لا قیمة لها فی شرع الإسلام، لکن هنا یأثم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یضمن الخمر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بقیمته عند مستحلّیه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بمثله وإن کان بحسب القاعدة مثلیّاً؛ لتعذّر الحکم باستحقاق الخمر فی شرعنا وإن کنّا لا نعترضهم إذا لم یتظاهروا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کون المتلف مسلماً وکافراً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یضمن الکافرُ المثلَ لإمکانه فی حقّه، من حیث إنّه مثلیٌّ مملوک له یمکنه دفعه سرّاً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بأنّ استحقاقه کذلک یؤدّی إلی إظهاره؛ لأنّ حکم المستحقّ أن یَحبس غریمَه لو امتنع من أدائه وإلزامه بحقّه، وذلک ینافی الاستتار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ضمان قیمة الخنزیر واضح؛ لأنّه قیمی حیث یُملک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اجتمع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موجد علّة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کالأکل والإحراق والقتل والإتلاف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فاعل ملزوم العلّة کحافر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الإکراه أو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فیستقرّ الضمان فی الغرور علی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الإکراه علی المکرِه لضعف المباشر بهما، فکان السبب أقوی،</w:t>
      </w:r>
    </w:p>
    <w:p>
      <w:pPr>
        <w:pStyle w:val="BookText"/>
        <w:rPr/>
      </w:pPr>
      <w:r>
        <w:rPr>
          <w:rFonts w:ascii="IRNazanin" w:hAnsi="IRNazanin" w:eastAsia="IRNazanin"/>
          <w:color w:val="111111"/>
          <w:sz w:val="28"/>
          <w:sz w:val="28"/>
          <w:szCs w:val="28"/>
          <w:rtl w:val="true"/>
          <w:lang w:bidi="fa-IR"/>
        </w:rPr>
        <w:t>کمن قدّم طعاماً إلی المغرور فأکله، فقرار الضمان علی الغارّ فیرجع المغرور علیه لو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النفس فیتعلّق بالمباشر مطلقاً، لکن هنا یحبس الآمر حتّی 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أرسل ماءً فی ملکه، أو أجّج ناراً فسری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قَدر الحاجة ولم تکن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الإحراق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علم أو ظنّ التعدّی الموجب للضرر؛ لأنّ الناس مسلّطون علی أموالهم، ولهم الانتفاع بها کیف شاؤوا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زاد عن قدر حاجته فالزائد مشروط بعدم ضرر بالغیر ولو بالظنّ؛ لأ نّه مناط أمثال ذلک، جمعاً بین الحقّین ودفعاً للإضرار المنفی </w:t>
      </w:r>
      <w:r>
        <w:rPr>
          <w:rStyle w:val="FootnoteAnchor"/>
          <w:rtl w:val="true"/>
        </w:rPr>
        <w:footnoteReference w:id="2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ضمن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وظاهر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الزائد عن قدر الحاجة یضمن به وإن لم یقترن بظنّ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مع عصف الریح وإن اقتصر علی قدر </w:t>
      </w:r>
      <w:r>
        <w:rPr>
          <w:rStyle w:val="FootnoteAnchor"/>
          <w:rtl w:val="true"/>
        </w:rPr>
        <w:footnoteReference w:id="2066"/>
      </w:r>
      <w:r>
        <w:rPr>
          <w:rFonts w:ascii="IRNazanin" w:hAnsi="IRNazanin" w:eastAsia="IRNazanin"/>
          <w:color w:val="111111"/>
          <w:sz w:val="28"/>
          <w:sz w:val="28"/>
          <w:szCs w:val="28"/>
          <w:rtl w:val="true"/>
          <w:lang w:bidi="fa-IR"/>
        </w:rPr>
        <w:t>حاجته؛ لکونه مظنّة للتعدّی، فعدم الضمان علی هذا مشروط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الزیادة عن الحاجة، وعدم ظهور سبب التعدّی کالریح، فمتی انتفی أحدهما ضمن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فی الدروس </w:t>
      </w:r>
      <w:r>
        <w:rPr>
          <w:rStyle w:val="FootnoteAnchor"/>
          <w:rtl w:val="true"/>
        </w:rPr>
        <w:footnoteReference w:id="2067"/>
      </w:r>
      <w:r>
        <w:rPr>
          <w:rFonts w:ascii="IRNazanin" w:hAnsi="IRNazanin" w:eastAsia="IRNazanin"/>
          <w:color w:val="111111"/>
          <w:sz w:val="28"/>
          <w:sz w:val="28"/>
          <w:szCs w:val="28"/>
          <w:rtl w:val="true"/>
          <w:lang w:bidi="fa-IR"/>
        </w:rPr>
        <w:t>إلّاأ نّه اعتبر علم التعدّی ولم یکتف بالظنّ ولم یعتبر الهواء، فمتی علمه وإن لم یکن هواء ضمن وإن لم یزد عن حاجته، فبینهما 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فتاویه اعتبر فی الضمان أحد الاُمور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مجاوزة الحاجة،</w:t>
      </w:r>
    </w:p>
    <w:p>
      <w:pPr>
        <w:pStyle w:val="BookText"/>
        <w:rPr/>
      </w:pPr>
      <w:r>
        <w:rPr>
          <w:rFonts w:ascii="IRNazanin" w:hAnsi="IRNazanin" w:eastAsia="IRNazanin"/>
          <w:color w:val="111111"/>
          <w:sz w:val="28"/>
          <w:sz w:val="28"/>
          <w:szCs w:val="28"/>
          <w:rtl w:val="true"/>
          <w:lang w:bidi="fa-IR"/>
        </w:rPr>
        <w:t xml:space="preserve">أو عصف الهواء، أو غلبة الظنّ بالتعدّی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واعتبر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الفاضلان </w:t>
      </w:r>
      <w:r>
        <w:rPr>
          <w:rStyle w:val="FootnoteAnchor"/>
          <w:rtl w:val="true"/>
        </w:rPr>
        <w:footnoteReference w:id="2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الضمان اجتماع الأمرین معاً،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مجاوزة الحاجة، وظنّ التعدّی أو العلم به، فمتی انتفی أحدهما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قوی وإن کان الأوّل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ردّ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مالکه وجوباً فوریّاً إجماعاً، ولقوله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2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العین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یمکنه ردّها، سواء کانت علی هیئتها یوم غصبها أم زائدة أم 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أدّی ردّه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مال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کالخشبة فی بنائه واللوح فی سفینته؛ لأنّ البناء علی المغصوب لا حرمة له، وکذا مال الغاصب فی السفینة حیث یُخشی تلفُه أو غرقُ السفینة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خیف غرقُه </w:t>
      </w:r>
      <w:r>
        <w:rPr>
          <w:rStyle w:val="FootnoteAnchor"/>
          <w:rtl w:val="true"/>
        </w:rPr>
        <w:footnoteReference w:id="2071"/>
      </w:r>
      <w:r>
        <w:rPr>
          <w:rFonts w:ascii="IRNazanin" w:hAnsi="IRNazanin" w:eastAsia="IRNazanin"/>
          <w:color w:val="111111"/>
          <w:sz w:val="28"/>
          <w:sz w:val="28"/>
          <w:szCs w:val="28"/>
          <w:rtl w:val="true"/>
          <w:lang w:bidi="fa-IR"/>
        </w:rPr>
        <w:t>أو غرقُ حیوان محترم أو مالٌ لغیره لم یُنزع إلی أن تصل الساحل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العین لتلف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بالمثل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المتساوی الأجزاء والمنفعة المتقارب الصفات، کالحنطة والشعیر، وغیرهما من الحبوب والأدهان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مثلیّاً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فالقیمة العُلیا من حین الغصب إلی حین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حالة زائدة من حالاته فی ذلک الوقت مضمونة کما یرشد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تلف حینئذٍ ضمنها، فکذا إذا</w:t>
      </w:r>
    </w:p>
    <w:p>
      <w:pPr>
        <w:pStyle w:val="BookText"/>
        <w:rPr/>
      </w:pPr>
      <w:r>
        <w:rPr>
          <w:rFonts w:ascii="IRNazanin" w:hAnsi="IRNazanin" w:eastAsia="IRNazanin"/>
          <w:color w:val="111111"/>
          <w:sz w:val="28"/>
          <w:sz w:val="28"/>
          <w:szCs w:val="28"/>
          <w:rtl w:val="true"/>
          <w:lang w:bidi="fa-IR"/>
        </w:rPr>
        <w:t>تلف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به المحقّق 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نقله المصنّف عنه </w:t>
      </w:r>
      <w:r>
        <w:rPr>
          <w:rStyle w:val="FootnoteAnchor"/>
          <w:rtl w:val="true"/>
        </w:rPr>
        <w:footnoteReference w:id="2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یضمن الأعلی من حین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ردّ الواجب وهو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مبنیّ علی أنّ القیمی یُضمن بمثله کالمثلی، وإنّما ینتقل إلی القیمة عند دفعها لتعذّر المثل، فیجب أعلی القیم إلی حین دفع القیمة؛ لأنّ الزائد فی کلّ آنٍ سابق من حین الغصب مضمون تحت یده، ولهذا لو دفع العین حالة الزیادة کانت للمالک، فإذا تلفت فی یده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المشهور من ضمان القیمی بقیمته ابتداءً لا وجه لهذا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نقله المصنّف فی الدروس </w:t>
      </w:r>
      <w:r>
        <w:rPr>
          <w:rStyle w:val="FootnoteAnchor"/>
          <w:rtl w:val="true"/>
        </w:rPr>
        <w:footnoteReference w:id="2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بالقیمة یوم التلف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الواجب زمنَ بقائها إنّما هو ردّ العین، والغاصب مخاطَب بردّها حینئذٍ زائدة کانت أم ناقصة من غیر ضمان شیء من النقص إجماعاً، فإذا تلفت وجبت قیمة العین وقتَ التلف؛ لانتقال الحقّ إلیها حینئذٍ؛ لتعذّر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المحقّق فی الشرائع عن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المعتبر القیمة یوم الغصب </w:t>
      </w:r>
      <w:r>
        <w:rPr>
          <w:rStyle w:val="FootnoteAnchor"/>
          <w:rtl w:val="true"/>
        </w:rPr>
        <w:footnoteReference w:id="2074"/>
      </w:r>
      <w:r>
        <w:rPr>
          <w:rFonts w:ascii="Amiri" w:hAnsi="Amiri" w:eastAsia="Amiri" w:cs="Amiri"/>
          <w:color w:val="111111"/>
          <w:sz w:val="28"/>
          <w:sz w:val="28"/>
          <w:szCs w:val="28"/>
          <w:rtl w:val="true"/>
          <w:lang w:bidi="ar-SA"/>
        </w:rPr>
        <w:t>بناءً علی أ نّه أوّل وقت ضمان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ویُضعّف بأنّ ضمانها حینئذٍ إنّما یراد به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تلفت لوجب بدلها، لا وجوب قیمتها؛ إذ الواجب مع وجود العین منحصر فی ردّها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أبی ولّاد عن أبی عبد اللّٰه علیه السلام فی اکتراء البغل ومخالفة</w:t>
      </w:r>
    </w:p>
    <w:p>
      <w:pPr>
        <w:pStyle w:val="BookText"/>
        <w:rPr/>
      </w:pPr>
      <w:r>
        <w:rPr>
          <w:rFonts w:ascii="IRNazanin" w:hAnsi="IRNazanin" w:eastAsia="IRNazanin"/>
          <w:color w:val="111111"/>
          <w:sz w:val="28"/>
          <w:sz w:val="28"/>
          <w:szCs w:val="28"/>
          <w:rtl w:val="true"/>
          <w:lang w:bidi="fa-IR"/>
        </w:rPr>
        <w:t xml:space="preserve">الشرط </w:t>
      </w:r>
      <w:r>
        <w:rPr>
          <w:rStyle w:val="FootnoteAnchor"/>
          <w:rtl w:val="true"/>
        </w:rPr>
        <w:footnoteReference w:id="2075"/>
      </w:r>
      <w:r>
        <w:rPr>
          <w:rFonts w:ascii="IRNazanin" w:hAnsi="IRNazanin" w:eastAsia="IRNazanin"/>
          <w:color w:val="111111"/>
          <w:sz w:val="28"/>
          <w:sz w:val="28"/>
          <w:szCs w:val="28"/>
          <w:rtl w:val="true"/>
          <w:lang w:bidi="fa-IR"/>
        </w:rPr>
        <w:t>ما یدلّ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یستفاد منه اعتبار الأکثر </w:t>
      </w:r>
      <w:r>
        <w:rPr>
          <w:rStyle w:val="FootnoteAnchor"/>
          <w:rtl w:val="true"/>
        </w:rPr>
        <w:footnoteReference w:id="2076"/>
      </w:r>
      <w:r>
        <w:rPr>
          <w:rFonts w:ascii="IRNazanin" w:hAnsi="IRNazanin" w:eastAsia="IRNazanin"/>
          <w:color w:val="111111"/>
          <w:sz w:val="28"/>
          <w:sz w:val="28"/>
          <w:szCs w:val="28"/>
          <w:rtl w:val="true"/>
          <w:lang w:bidi="fa-IR"/>
        </w:rPr>
        <w:t>منه إلی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قویّ عملاً بالخبر الصحیح </w:t>
      </w:r>
      <w:r>
        <w:rPr>
          <w:rStyle w:val="FootnoteAnchor"/>
          <w:rtl w:val="true"/>
        </w:rPr>
        <w:footnoteReference w:id="2077"/>
      </w:r>
      <w:r>
        <w:rPr>
          <w:rFonts w:ascii="IRNazanin" w:hAnsi="IRNazanin" w:eastAsia="IRNazanin"/>
          <w:color w:val="111111"/>
          <w:sz w:val="28"/>
          <w:sz w:val="28"/>
          <w:szCs w:val="28"/>
          <w:rtl w:val="true"/>
          <w:lang w:bidi="fa-IR"/>
        </w:rPr>
        <w:t xml:space="preserve">وإلّا لکان القول بقیمة یوم التلف مطلقاً </w:t>
      </w:r>
      <w:r>
        <w:rPr>
          <w:rStyle w:val="FootnoteAnchor"/>
          <w:rtl w:val="true"/>
        </w:rPr>
        <w:footnoteReference w:id="2078"/>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وموضع الخلاف ما إذا کان الاختلاف بسبب اختلاف القیمة السوقیّة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لنقص العین أو لتعیّبها، فلا إشکال فی ضمان ذلک النقص</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المغصوب ولم تذهب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أرشه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لأ نّه عوض عن أجزاء ناقصة أو أوصاف، وکلاهما مضمون، سواء کان النقص من الغاصب أم من غیره ولو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العیب غیر مستقرّ، بل یزید علی التدریج، فإن لم یمکن المالک بعد قبض العین قطعه أو التصرّف </w:t>
      </w:r>
      <w:r>
        <w:rPr>
          <w:rStyle w:val="FootnoteAnchor"/>
          <w:rtl w:val="true"/>
        </w:rPr>
        <w:footnoteReference w:id="2079"/>
      </w:r>
      <w:r>
        <w:rPr>
          <w:rFonts w:ascii="IRNazanin" w:hAnsi="IRNazanin" w:eastAsia="IRNazanin"/>
          <w:color w:val="111111"/>
          <w:sz w:val="28"/>
          <w:sz w:val="28"/>
          <w:szCs w:val="28"/>
          <w:rtl w:val="true"/>
          <w:lang w:bidi="fa-IR"/>
        </w:rPr>
        <w:t>فیه، فعلی الغاصب ضمان ما یتجدّد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 ففی زوال الضمان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استناده إلی الغاصب، وتفریطِ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المصنّف فی الدروس عدم الضمان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اُجرته إن کان له اُجرة، لطول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غصبه فیها،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منافعه أموال تحت الید فتضمن بالفوات والتفویت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تعدّدت المنافع فإن أمکن فعلها جملة أو فعل أکثر من واحدة وجب اُجرة ما أمکن، وإلّا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کالخیاطة والحیاکة والکتابة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فأعلاها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الواحدة أعلی منفردة عن منافع متعدّدة یمکن جمعها، ضَمِن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فرق بین بهیمة القاضی والشوکی </w:t>
      </w:r>
      <w:r>
        <w:rPr>
          <w:rStyle w:val="FootnoteAnchor"/>
          <w:rtl w:val="true"/>
        </w:rPr>
        <w:footnoteReference w:id="2081"/>
      </w:r>
      <w:r>
        <w:rPr>
          <w:rFonts w:ascii="IRNazanin" w:hAnsi="IRNazanin" w:eastAsia="IRNazanin"/>
          <w:color w:val="111111"/>
          <w:sz w:val="28"/>
          <w:sz w:val="28"/>
          <w:szCs w:val="28"/>
          <w:rtl w:val="true"/>
          <w:lang w:bidi="fa-IR"/>
        </w:rPr>
        <w:t>فی ضمان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لعموم الأدلّة، وخالف فی ذلک بعض العامّة </w:t>
      </w:r>
      <w:r>
        <w:rPr>
          <w:rStyle w:val="FootnoteAnchor"/>
          <w:rtl w:val="true"/>
        </w:rPr>
        <w:footnoteReference w:id="2082"/>
      </w:r>
      <w:r>
        <w:rPr>
          <w:rFonts w:ascii="IRNazanin" w:hAnsi="IRNazanin" w:eastAsia="IRNazanin"/>
          <w:color w:val="111111"/>
          <w:sz w:val="28"/>
          <w:sz w:val="28"/>
          <w:szCs w:val="28"/>
          <w:rtl w:val="true"/>
          <w:lang w:bidi="fa-IR"/>
        </w:rPr>
        <w:t>فحکم فی الجنایة علی بهیمة القاضی بالقیمة ویأخذ الجانی العین، نظراً إلی أنّ المعیب لا یلیق بمقام القاضی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جنی علی العبد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غیر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الجانی أرش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 فی باب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الغاصب ما زاد عن أرشها من النقص إن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فلو کانت الجنایة ممّا له مقدّر کقطع یده الموجب لنصف قیمته شرعاً فنقص بسببه ثلثا قیمته، فعلی الجانی النصف وعلی الغاصب السدس الزائد من النقص، ولو لم یحصل زیادة فلا شیء علی الغاصب بل یستقرّ الضمان علی الجانی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ضمان الغاصب من جهة المالیّة، فیضمن ما فات منها مطلقاً </w:t>
      </w:r>
      <w:r>
        <w:rPr>
          <w:rStyle w:val="FootnoteAnchor"/>
          <w:rtl w:val="true"/>
        </w:rPr>
        <w:footnoteReference w:id="2083"/>
      </w:r>
      <w:r>
        <w:rPr>
          <w:rFonts w:ascii="IRNazanin" w:hAnsi="IRNazanin" w:eastAsia="IRNazanin"/>
          <w:color w:val="111111"/>
          <w:sz w:val="28"/>
          <w:sz w:val="28"/>
          <w:szCs w:val="28"/>
          <w:rtl w:val="true"/>
          <w:lang w:bidi="fa-IR"/>
        </w:rPr>
        <w:t>وضمان الجانی منصوص، فیقف علیه حتّی لو کان الجانی هو الغاصب فیما له مقدّر شرعی فالواجب علیه أکثر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المقدّر الشرعی والأرش؛ لأنّ</w:t>
      </w:r>
    </w:p>
    <w:p>
      <w:pPr>
        <w:pStyle w:val="BookText"/>
        <w:rPr/>
      </w:pPr>
      <w:r>
        <w:rPr>
          <w:rFonts w:ascii="IRNazanin" w:hAnsi="IRNazanin" w:eastAsia="IRNazanin"/>
          <w:color w:val="111111"/>
          <w:sz w:val="28"/>
          <w:sz w:val="28"/>
          <w:szCs w:val="28"/>
          <w:rtl w:val="true"/>
          <w:lang w:bidi="fa-IR"/>
        </w:rPr>
        <w:t xml:space="preserve">الأکثر إن کان هو المقدّر فهو جانٍ، وإن کان هو الأرش فهو مال فوّته تحت یده کغیره من الأموال؛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ولأنّ الجانی لم تثبت یده علی العبد فیتعلّق به ضمان المالیّة، بخلاف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عدم الفرق بین استغراق أرش الجنایة القیمة وعدمه، فیجتمع علیه ردّ العین والقیمة فما زاد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عبد مُثّلَ به فهو حرّ</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وغرم قیمته للمالک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یعتق بذلک </w:t>
      </w:r>
      <w:r>
        <w:rPr>
          <w:rStyle w:val="FootnoteAnchor"/>
          <w:rtl w:val="true"/>
        </w:rPr>
        <w:footnoteReference w:id="2085"/>
      </w:r>
      <w:r>
        <w:rPr>
          <w:rFonts w:ascii="IRNazanin" w:hAnsi="IRNazanin" w:eastAsia="IRNazanin"/>
          <w:color w:val="111111"/>
          <w:sz w:val="28"/>
          <w:sz w:val="28"/>
          <w:szCs w:val="28"/>
          <w:rtl w:val="true"/>
          <w:lang w:bidi="fa-IR"/>
        </w:rPr>
        <w:t xml:space="preserve">اقتصاراً فیما خالف الأصل علی موضع الوفاق وهو تمثیل المولی، والروایة العامّة ضعیفة السند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بناء الحکم علی الحکمة فی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عقوبة للمولی أو جبر للمملوک؟ فیعتق هنا علی الثانی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ردّ للحکم إلی حکمة مجهولة لم یرد بها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عدم الانعتاق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اُقعد أو عمی عُتق وضمن الغاصب؛ لأنّ هذا السبب غیر مختصّ بالمولی إجماعاً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ینقصه التفریق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الخفّین أو المصراعین أو الکتاب سفرین فتلف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قیمة التالف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الآخر ونَقص الآخر </w:t>
      </w:r>
      <w:r>
        <w:rPr>
          <w:rStyle w:val="FootnoteAnchor"/>
          <w:rtl w:val="true"/>
        </w:rPr>
        <w:footnoteReference w:id="2087"/>
      </w:r>
      <w:r>
        <w:rPr>
          <w:rFonts w:ascii="IRNazanin" w:hAnsi="IRNazanin" w:eastAsia="IRNazanin"/>
          <w:color w:val="111111"/>
          <w:sz w:val="28"/>
          <w:sz w:val="28"/>
          <w:szCs w:val="28"/>
          <w:rtl w:val="true"/>
          <w:lang w:bidi="fa-IR"/>
        </w:rPr>
        <w:t>فلو کان قیمة الجمیع عشرة وقیمة کلّ واحد مجتمعاً خمسة ومنفرداً ثلاثة ضمن سبعة؛ لأنّ النقصان الحاصل فی یده مستند إلی تلف عین مضمونة علیه، وما نقص من قیمة الباقی فی مقابلة الاجتماع فهو بفوات صفة الاجتماع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تثبت یده علی الباقی، بل غصب أحدهما ثمّ تلف فی یده أو أتلفه ابتداءً، ففی ضمانه قیمة التالف مجتمعاً أو منفرداً أو منضمّاً إلی نقص الباقی کالأوّل أوجه، أجودها الأخیر؛ لاستناد الزائد إلی فقد صفة، وهی کونه مجتمعاً حصل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زادت قیمة المغصوب بفعل الغاصب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الزیادة حصلت فی مال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کالصبغ، فله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بنقص قیمة الثوب، جمعاً بین الحقّین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الثوب ینجبر بأنّ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أرش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أنّ قلعه یستلزم التصرّف فی مال الغیر بغیر إذن وهو ممتنع، بخلاف تصرّف مالک الثوب فی الصِبغ؛ لأنّه وقع عدواناً؛ لأنّ وقوعه عدواناً لا یقتضی إسقاط مالیّته، فإنّ ذلک عدوان آخر، بل غایته أن یُنزع ولا یلتفت إلی نقص قیمته أو اضمحلاله؛ للعدوان بوضعه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طلب أحدهما ما لصاحبه بالقیمة لم تجب إجابته، کما لا یجب قبول</w:t>
      </w:r>
    </w:p>
    <w:p>
      <w:pPr>
        <w:pStyle w:val="BookText"/>
        <w:rPr/>
      </w:pPr>
      <w:r>
        <w:rPr>
          <w:rFonts w:ascii="IRNazanin" w:hAnsi="IRNazanin" w:eastAsia="IRNazanin"/>
          <w:color w:val="111111"/>
          <w:sz w:val="28"/>
          <w:sz w:val="28"/>
          <w:szCs w:val="28"/>
          <w:rtl w:val="true"/>
          <w:lang w:bidi="fa-IR"/>
        </w:rPr>
        <w:t>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طلب مالک الثوب بیعهما لیأخذ کلّ واحد حقّه لزم الغاصب إجابته، دون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بیع مصبوغاً بقیمته مغصوباً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للغاصب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الزیادة بسبب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بقیت قیمة الثوب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تجدّد نقصانه للسوق فالزائد للغاصب؛ لأنّ نقصان السوق مع بقاء العین 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زاد الباقی عن قیمة الصبغ کان الزائد بینهما علی نسبة المالین، کما لو زادت القیمة عن قیمتهما من غیر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اختلفت قیمتهما بالزیادة والنقصان للسوق، فالحکم للقیمة الآن؛ لأنّ النقص غیر مضمون فی المغصوب للسوق وفی الصبغ مطلقاً </w:t>
      </w:r>
      <w:r>
        <w:rPr>
          <w:rStyle w:val="FootnoteAnchor"/>
          <w:rtl w:val="true"/>
        </w:rPr>
        <w:footnoteReference w:id="2088"/>
      </w:r>
      <w:r>
        <w:rPr>
          <w:rFonts w:ascii="IRNazanin" w:hAnsi="IRNazanin" w:eastAsia="IRNazanin"/>
          <w:color w:val="111111"/>
          <w:sz w:val="28"/>
          <w:sz w:val="28"/>
          <w:szCs w:val="28"/>
          <w:rtl w:val="true"/>
          <w:lang w:bidi="fa-IR"/>
        </w:rPr>
        <w:t>فلو کان قیمة کلّ واحد خمسة وبیع بعشرة، إلّاأنّ قیمة الثوب ارتفعت إلی سبعة وقیمة الصبغ انحطّت إلی ثلاثة، فلصاحب الثوب سبعة وللغاصب ثلاثة، وبالعکس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غصب شاة فأطعمها المالکَ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بکونها شاته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ضمنها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لضعف المباشر بالغرور، فیرجع علی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وتسلیطُه المالک علی ماله وصیرورته بیده علی هذا الوجه لا یوجب البراءة؛ لأنّ التسلیم غیر تامّ، فإنّ التسلیم التامّ تسلیمه علی أ نّه ملکه یتصرّف فیه کتصرّف الملّاک، وهنا لیس کذلک، بل اعتقد أ نّه للغاصب وأ نّه أباحه إتلافه بالضیافة، وقد یتصرّف بعض الناس فیها بما لا یتصرّفون فی أموالهم،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فی غیر الشاة من الأطعمة والأعیان المنتفع بها کاللباس</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أطعمها غیر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کون الآکل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 ضمن</w:t>
      </w:r>
    </w:p>
    <w:p>
      <w:pPr>
        <w:pStyle w:val="BookText"/>
        <w:rPr/>
      </w:pP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الآکل والغاصب؛ لترتّب الأیدی کما سلف </w:t>
      </w:r>
      <w:r>
        <w:rPr>
          <w:rStyle w:val="FootnoteAnchor"/>
          <w:rtl w:val="true"/>
        </w:rPr>
        <w:footnoteReference w:id="2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قرار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لغروره للآکل بإباحته الطعامَ مجّاناً مع أنّ یده ظاهرة فی الملک وقد ظهر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 أو امتزج فی یده بغیر 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کُلّف قسمته </w:t>
      </w:r>
      <w:r>
        <w:rPr>
          <w:rStyle w:val="FootnoteAnchor"/>
          <w:rtl w:val="true"/>
        </w:rPr>
        <w:footnoteReference w:id="2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بتمییزه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خلط الحنطةَ بالشعیر أو الحمراء بالصفراء؛ لوجوب ردّ العین حیث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کما لو خلط الزیت بمثله أو الحنطة بمثلها وصفاً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المثل إن مزجه بالأردی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ردّ العین کاملة؛ لأنّ المزج فی حکم الاستهلاک من حیث اختلاط کلّ جزءٍ من مال المالک بجزءٍ من مال الغاصب وهو أدون من الحقّ فلا یجب قبوله، بل ینتقل إلی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مبنیّ علی الغالب من عدم رضاه بالشرکة، أو قول فی المسألة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تخییره بین المثل والشِرکة مع الأرش؛ لأنّ حقّه فی العین لم یسقط، لبقائها کما لو مزجها بالأجود، والنقص بالخلط یمکن جبره بالأرش</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یمزجه بالأردی، بل بالمساوی أو الأجود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عین ماله، لا قیمته؛ لأنّ الزیادة الحاصلة صفة حصلت بفعل الغاصب عدواناً، فلا یسقط حقّ المالک مع بقاء عین ماله، کما لو صاغ النقرةَ وعلف الدابّة فسمنت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حقّه من العین للاستهلاک، فیتخیّر الغاصب بین الدفع من العین؛ لأنّه متطوّع بالزائد، ودفع المثل </w:t>
      </w:r>
      <w:r>
        <w:rPr>
          <w:rStyle w:val="FootnoteAnchor"/>
          <w:rtl w:val="true"/>
        </w:rPr>
        <w:footnoteReference w:id="2092"/>
      </w:r>
      <w:r>
        <w:rPr>
          <w:rFonts w:ascii="IRNazanin" w:hAnsi="IRNazanin" w:eastAsia="IRNazanin"/>
          <w:color w:val="111111"/>
          <w:sz w:val="28"/>
          <w:sz w:val="28"/>
          <w:szCs w:val="28"/>
          <w:rtl w:val="true"/>
          <w:lang w:bidi="fa-IR"/>
        </w:rPr>
        <w:t>والأقوی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ومؤونة القسمة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 الشرکة بفعله تعدّیاً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مزجه بجنسه، فلو مزجه بغیره کالزیت بالشیرج فهو إتلاف؛ لبطلان فائدته وخاصّیته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الشرکة هنا أیضاً کما لو مزجاه بالتراضی أو امتزجا بأنفسهما؛ لوجود العین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بأنّ جبر المالک علی أخذه بالأرش أو بدونه إلزام بغیر الجنس فی المثلی، وهو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 الغاصب إثبات لغیر المثل علیه بغیر رضاه، فالعدول إلی المثل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العین غیر متمیّزة من غیر جنسها کالتالفة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أحضن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فالزرع والفرخ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2094"/>
      </w:r>
      <w:r>
        <w:rPr>
          <w:rFonts w:ascii="IRNazanin" w:hAnsi="IRNazanin" w:eastAsia="IRNazanin"/>
          <w:color w:val="111111"/>
          <w:sz w:val="28"/>
          <w:sz w:val="28"/>
          <w:szCs w:val="28"/>
          <w:rtl w:val="true"/>
          <w:lang w:bidi="fa-IR"/>
        </w:rPr>
        <w:t>لأنّه عین مال المالک وإنّما حدث بالتغیّر اختلاف الصور، ونماء الملک للمالک وإن کان بفعل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وللشیخ قول بأ نّه للغاصب تنزیلاً لذلک منزلة الإتلاف، ولأنّ النماء بفعل الغاصب </w:t>
      </w:r>
      <w:r>
        <w:rPr>
          <w:rStyle w:val="FootnoteAnchor"/>
          <w:rtl w:val="true"/>
        </w:rPr>
        <w:footnoteReference w:id="2095"/>
      </w:r>
      <w:r>
        <w:rPr>
          <w:rFonts w:ascii="IRNazanin" w:hAnsi="IRNazanin" w:eastAsia="IRNazanin"/>
          <w:color w:val="111111"/>
          <w:sz w:val="28"/>
          <w:sz w:val="28"/>
          <w:szCs w:val="28"/>
          <w:rtl w:val="true"/>
          <w:lang w:bidi="fa-IR"/>
        </w:rPr>
        <w:t>وضعفهما ظاهر</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نقله إلی غیر بلد المالک وجب علیه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بلد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ومؤونة</w:t>
      </w:r>
    </w:p>
    <w:p>
      <w:pPr>
        <w:pStyle w:val="BookText"/>
        <w:rPr/>
      </w:pP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استوعبت أضعاف قیمته؛ لأنّه عادٍ بنقله، فیجب علیه الردّ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إجابة المالک إلی اُجرة الردّ مع إبقائه فیما انتقل إلیه؛ لأنّ حقّه الردّ، دون 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رضی المالک بذلک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الغاصب؛ لإسقاط المالک حقّه منه، فلو ردّه حینئذٍ کان له إلزامه بردّه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القیمة حلف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البراءة من الزائد، ولأ نّه منکر ما لم یدّع ما یُعلم کذبه، کالدرهم قیمةً للعبد، فیکلّف بدعوی قدر یمکن، مع احتمال تقدیم قول المالک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المالک </w:t>
      </w:r>
      <w:r>
        <w:rPr>
          <w:rStyle w:val="FootnoteAnchor"/>
          <w:rtl w:val="true"/>
        </w:rPr>
        <w:footnoteReference w:id="2096"/>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یزید بها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الاختلاف فی تقدّمها لتکثّر الاُجرة؛ لأصالة عدمه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خلاف الأصل؛ لإمکان صدقه، فلو لم یُقبل قوله لزم تخلیده الحبس لو فرض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یرد مثله لو </w:t>
      </w:r>
      <w:r>
        <w:rPr>
          <w:rStyle w:val="FootnoteAnchor"/>
          <w:rtl w:val="true"/>
        </w:rPr>
        <w:footnoteReference w:id="2097"/>
      </w:r>
      <w:r>
        <w:rPr>
          <w:rFonts w:ascii="IRNazanin" w:hAnsi="IRNazanin" w:eastAsia="IRNazanin"/>
          <w:color w:val="111111"/>
          <w:sz w:val="28"/>
          <w:sz w:val="28"/>
          <w:szCs w:val="28"/>
          <w:rtl w:val="true"/>
          <w:lang w:bidi="fa-IR"/>
        </w:rPr>
        <w:t xml:space="preserve">أقام المالک بیّنة ببقائه مع إمکان کذب البیّنة؛ لأنّ ثبوت البقاء شرعاً مجوِّز للإهانة والضرب إلی أن یُعلم خلافه، ومتی حلف علی التلف طولب بالبدل وإن کانت العین باقیة بزعم المالک؛ للعجز عنها بالحلف، کما یستحقّ البدل مع العجز عنها وإن قطع بوجودها، بل هنا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ما علی العبد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لأنّ العبد بیده، ولهذا یضمنه ومنافعَه، فیکون ما معه</w:t>
      </w:r>
    </w:p>
    <w:p>
      <w:pPr>
        <w:pStyle w:val="BookText"/>
        <w:rPr/>
      </w:pPr>
      <w:r>
        <w:rPr>
          <w:rFonts w:ascii="IRNazanin" w:hAnsi="IRNazanin" w:eastAsia="IRNazanin"/>
          <w:color w:val="111111"/>
          <w:sz w:val="28"/>
          <w:sz w:val="28"/>
          <w:szCs w:val="28"/>
          <w:rtl w:val="true"/>
          <w:lang w:bidi="fa-IR"/>
        </w:rPr>
        <w:t>فی یده، فیقدَّم قوله فی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الردّ 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 وکذا لو ادّعی ردّ بدله مِثلاً أو قیمةً، أو تقدّم ردّه علی موته وادّعی المالک موته قبله؛ لأصالة عدم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هنا </w:t>
      </w:r>
      <w:r>
        <w:rPr>
          <w:rStyle w:val="FootnoteAnchor"/>
          <w:rtl w:val="true"/>
        </w:rPr>
        <w:footnoteReference w:id="2098"/>
      </w:r>
      <w:r>
        <w:rPr>
          <w:rFonts w:ascii="IRNazanin" w:hAnsi="IRNazanin" w:eastAsia="IRNazanin"/>
          <w:color w:val="111111"/>
          <w:sz w:val="28"/>
          <w:sz w:val="28"/>
          <w:szCs w:val="28"/>
          <w:rtl w:val="true"/>
          <w:lang w:bidi="fa-IR"/>
        </w:rPr>
        <w:t>ما لزم فی دعوی التلف؛ للانتقال إلی البدل حیث یتعذّر تخلیص العین منه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هل ینتقل إلیه ابتداءً، أو بعد الحبس والعذاب إلی أن تظهر أمارة عدم إمکان العین؟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الثانی أوجه؛ لأنّ الانتقال إلی البدل ابتداءً یوجب الرجوع إلی قوله، وتکلیفه بالعین مطلقاً قد یوجب خلود حبسه کالأوّل، فالوسط </w:t>
      </w:r>
      <w:r>
        <w:rPr>
          <w:rStyle w:val="FootnoteAnchor"/>
          <w:rtl w:val="true"/>
        </w:rPr>
        <w:footnoteReference w:id="2099"/>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وکلامهم هنا </w:t>
      </w:r>
      <w:r>
        <w:rPr>
          <w:rStyle w:val="FootnoteAnchor"/>
          <w:rtl w:val="true"/>
        </w:rPr>
        <w:footnoteReference w:id="2100"/>
      </w:r>
      <w:r>
        <w:rPr>
          <w:rFonts w:ascii="Amiri" w:hAnsi="Amiri" w:eastAsia="Amiri" w:cs="Amiri"/>
          <w:color w:val="111111"/>
          <w:sz w:val="28"/>
          <w:sz w:val="28"/>
          <w:szCs w:val="28"/>
          <w:rtl w:val="true"/>
          <w:lang w:bidi="ar-SA"/>
        </w:rPr>
        <w:t>غیر منقَّح</w:t>
      </w:r>
      <w:r>
        <w:rPr>
          <w:rFonts w:eastAsia="Amiri" w:cs="Amiri" w:ascii="Amiri" w:hAnsi="Amiri"/>
          <w:color w:val="111111"/>
          <w:sz w:val="28"/>
          <w:szCs w:val="28"/>
          <w:rtl w:val="true"/>
          <w:lang w:bidi="ar-SA"/>
        </w:rPr>
        <w:t>.</w:t>
      </w:r>
      <w:bookmarkStart w:id="669" w:name="pg19810_214783"/>
    </w:p>
    <w:p>
      <w:pPr>
        <w:pStyle w:val="Heading2"/>
        <w:numPr>
          <w:ilvl w:val="1"/>
          <w:numId w:val="1"/>
        </w:numPr>
        <w:rPr/>
      </w:pPr>
      <w:bookmarkStart w:id="670" w:name="__RefHeading___Toc2175753_2314609296"/>
      <w:bookmarkStart w:id="671" w:name="_Toc251"/>
      <w:bookmarkEnd w:id="669"/>
      <w:bookmarkEnd w:id="670"/>
      <w:r>
        <w:rPr>
          <w:rtl w:val="true"/>
        </w:rPr>
        <w:t>فهرس المحتویات</w:t>
      </w:r>
      <w:bookmarkEnd w:id="671"/>
    </w:p>
    <w:p>
      <w:pPr>
        <w:pStyle w:val="BookText"/>
        <w:rPr/>
      </w:pPr>
      <w:r>
        <w:rPr>
          <w:rFonts w:ascii="IRNazanin" w:hAnsi="IRNazanin" w:eastAsia="IRNazanin"/>
          <w:color w:val="111111"/>
          <w:sz w:val="28"/>
          <w:sz w:val="28"/>
          <w:szCs w:val="28"/>
          <w:rtl w:val="true"/>
          <w:lang w:bidi="fa-IR"/>
        </w:rPr>
        <w:t xml:space="preserve">کتاب الإجارة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تعریفها وصیغتها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أحکامها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شروط المتعاقدین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شروط الاُجرة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شروط المنفعة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تقبّل عملاً فله تقبیله لغیره بأقلّ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استأجر عیناً فله إجارتها بأکثر ممّا استأجرها به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التفریط فی العین المستأجرة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مؤونة العبد أو الدابّة علی المالک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إسقاط المنفعة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یتوقّف علیه توفیة المنفعة فعلی المؤجر </w:t>
      </w:r>
      <w:r>
        <w:rPr>
          <w:rFonts w:eastAsia="IRNazanin" w:cs="IRNazanin"/>
          <w:color w:val="111111"/>
          <w:sz w:val="28"/>
          <w:szCs w:val="28"/>
          <w:lang w:bidi="fa-IR"/>
        </w:rPr>
        <w:t>29</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اختلاف المؤجر والمستأجر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کتاب الوکالة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تعریفها وصیغتها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شرطیّة التنجیز فیها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جواز عقد الوکالة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 تصحّ فیه الوکالة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شروط المتعاقدین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أحکام الوکالة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ما تثبت به الوکالة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التنازع فی الوکالة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کتاب الشفعة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تعریفها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 تثبت وما لا تثبت فیه الشفعة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الشفیع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الأخذ بالشفعة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اختلاف الشفیع والمشتری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کتاب السبق والرمایة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شروط انعقاد السبق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شروط الرمی وأحکامه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کتاب الجعالة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صیغة الجعالة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شروط الجاعل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الجعالة جائزة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الکلام فی استحقاق الجُعل </w:t>
      </w:r>
      <w:r>
        <w:rPr>
          <w:rFonts w:eastAsia="IRNazanin" w:cs="IRNazanin"/>
          <w:color w:val="111111"/>
          <w:sz w:val="28"/>
          <w:szCs w:val="28"/>
          <w:lang w:bidi="fa-IR"/>
        </w:rPr>
        <w:t>83</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فی أحکام الجعالة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کتاب الوصایا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الوصیّة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تعریفها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الإیجاب والقبول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شروط الموصی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من تصحّ له الوصیّة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متعلّق الوصیّة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الأحکام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الوصایة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شروط الوصی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المقدّمات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آدابه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أحکام النظر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بعض أحکام الاستمتاع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العقد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الإیجاب والقبول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أحکام العقد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الولایة فی النکاح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اشتراط الخیار فی الصداق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صحّة توکیل کلّ من الزوجین فی النکاح </w:t>
      </w:r>
      <w:r>
        <w:rPr>
          <w:rFonts w:eastAsia="IRNazanin" w:cs="IRNazanin"/>
          <w:color w:val="111111"/>
          <w:sz w:val="28"/>
          <w:szCs w:val="28"/>
          <w:lang w:bidi="fa-IR"/>
        </w:rPr>
        <w:t>166</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ادّعی زوجیّة امرأة فصدّقته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ادّعی زوجیّة امرأة وادّعت اُختها علیه الزوجیّة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اشتری العبد زوجته لسیّده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 الولیّ ولا الوکیل بدون مهر المثل ولا بالمجنون و</w:t>
      </w:r>
      <w:r>
        <w:rPr>
          <w:rFonts w:eastAsia="IRNazanin" w:cs="IRNazanin"/>
          <w:color w:val="111111"/>
          <w:sz w:val="28"/>
          <w:szCs w:val="28"/>
          <w:rtl w:val="true"/>
          <w:lang w:bidi="fa-IR"/>
        </w:rPr>
        <w:t>.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الفضولی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نکاح الأمة إلّابإذن مالکها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زوّج الفضولی الصغیرین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زوّجها الأبوان أو الأخوان برجلین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ولایة الاُمّ علی الولد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المحرّمات بالنسب والرضاع وغیرهما من</w:t>
      </w:r>
    </w:p>
    <w:p>
      <w:pPr>
        <w:pStyle w:val="BookText"/>
        <w:rPr/>
      </w:pPr>
      <w:r>
        <w:rPr>
          <w:rFonts w:ascii="IRNazanin" w:hAnsi="IRNazanin" w:eastAsia="IRNazanin"/>
          <w:color w:val="111111"/>
          <w:sz w:val="28"/>
          <w:sz w:val="28"/>
          <w:szCs w:val="28"/>
          <w:rtl w:val="true"/>
          <w:lang w:bidi="fa-IR"/>
        </w:rPr>
        <w:t xml:space="preserve">الأسباب وتوابعها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أسباب التحریم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شروط تحریم الرضاع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أحکام الرضاع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المصاهرة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حکم ملموسة الابن أو الأب ومنظورتهما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مسائل عشرون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تزویج الاُمّ وابنتها أو الاُختین فی عقد واحد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حکم وطء إحدی الاُختین المملوکتین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نکاح الأمة علی الحرّة إلّابإذنها </w:t>
      </w:r>
      <w:r>
        <w:rPr>
          <w:rFonts w:eastAsia="IRNazanin" w:cs="IRNazanin"/>
          <w:color w:val="111111"/>
          <w:sz w:val="28"/>
          <w:szCs w:val="28"/>
          <w:lang w:bidi="fa-IR"/>
        </w:rPr>
        <w:t>204</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للحرّ نکاح الأمة مع القدرة علی تجویز الحرّة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زواج المرأة فی عدّتها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الزانی أو الزانیة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أوقب غلاماً أو رجلاً حرمت علیه اُمّ الموطوء واُخته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المُحْرم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للحرّ أن یجمع زیادة علی أربع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ذو النصاب رجعیّاً لم یجز له التزویج دائماً</w:t>
      </w:r>
    </w:p>
    <w:p>
      <w:pPr>
        <w:pStyle w:val="BookText"/>
        <w:rPr/>
      </w:pPr>
      <w:r>
        <w:rPr>
          <w:rFonts w:ascii="Amiri" w:hAnsi="Amiri" w:eastAsia="Amiri" w:cs="Amiri"/>
          <w:color w:val="111111"/>
          <w:sz w:val="28"/>
          <w:sz w:val="28"/>
          <w:szCs w:val="28"/>
          <w:rtl w:val="true"/>
          <w:lang w:bidi="ar-SA"/>
        </w:rPr>
        <w:t xml:space="preserve">حتّی تخرج العدّة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المطلّقة ثلاثاً أو تسعاً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الملاعنة أبداً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نکاح غیر الکتابیّة وکذا الکتابیّة دواماً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حکم ارتداد أحد الزوجین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لو أسلم الزوج أو الزوجة الکتابیّین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أسلم أحد الزوجین الوثنیّین أو أسلما معاً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یحکم بفسخ نکاح العبد بإباقه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الکفاءة معتبرة فی النکاح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شرطیّة التمکّن من النفقة فی صحّة العقد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کراهیة تزویج الفاسق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التعریض بالعقد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فی حکم الخطبة بعد إجابة الغیر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کراهیة العقد علی القابلة المربّیة وبنتها </w:t>
      </w:r>
      <w:r>
        <w:rPr>
          <w:rFonts w:eastAsia="IRNazanin" w:cs="IRNazanin"/>
          <w:color w:val="111111"/>
          <w:sz w:val="28"/>
          <w:szCs w:val="28"/>
          <w:lang w:bidi="fa-IR"/>
        </w:rPr>
        <w:t>232</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نکاح الشغار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نکاح المتعة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شرعیّة نکاح المتعة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أحکامه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نکاح الإماء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المهر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ما یصحّ إمهاره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أحکام المهر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مسائل عشر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الصداق یُملک بالعقد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دخل قبل دفع المهر کان دیناً علیه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أبرأته من الصداق ثمّ طلّقها قبل الدخول رجع</w:t>
      </w:r>
    </w:p>
    <w:p>
      <w:pPr>
        <w:pStyle w:val="BookText"/>
        <w:rPr/>
      </w:pPr>
      <w:r>
        <w:rPr>
          <w:rFonts w:ascii="IRNazanin" w:hAnsi="IRNazanin" w:eastAsia="IRNazanin"/>
          <w:color w:val="111111"/>
          <w:sz w:val="28"/>
          <w:sz w:val="28"/>
          <w:szCs w:val="28"/>
          <w:rtl w:val="true"/>
          <w:lang w:bidi="fa-IR"/>
        </w:rPr>
        <w:t xml:space="preserve">علیها بنصفه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اشتراط ما یوافق الشرع فی عقد النکاح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ما لو أصدقها تعلیم صناعة ثمّ طلّقها قبل الدخول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ما لو اعتاضت عن المهر بدونه أو أزید منه ثمّ طلّقها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ما لو وهبته نصف مهرها مشاعاً أو معیّناً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للزوجة الامتناع قبل الدخول حتّی تقبض مهرها إن کان حالّاً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المهر فی ما إذا زوّج الأب ولده الصغیر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الاختلاف فی المهر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العیوب والتدلیس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عیوب الرجل </w:t>
      </w:r>
      <w:r>
        <w:rPr>
          <w:rFonts w:eastAsia="IRNazanin" w:cs="IRNazanin"/>
          <w:color w:val="111111"/>
          <w:sz w:val="28"/>
          <w:szCs w:val="28"/>
          <w:lang w:bidi="fa-IR"/>
        </w:rPr>
        <w:t>287</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عیوب المرأة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أحکام العیوب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القَسْم والنشوز والشقاق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النشوز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الشقاق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ولیحق بذلک نظران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الأولاد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أحکام لحوق الأولاد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أحکام الولادة وآداب المولود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أحکام الأولاد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العقیقة و</w:t>
      </w:r>
      <w:r>
        <w:rPr>
          <w:rFonts w:eastAsia="IRNazanin" w:cs="IRNazanin"/>
          <w:color w:val="111111"/>
          <w:sz w:val="28"/>
          <w:szCs w:val="28"/>
          <w:rtl w:val="true"/>
          <w:lang w:bidi="fa-IR"/>
        </w:rPr>
        <w:t>.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الحضانة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النفقات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أسبابها </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الزوجیّة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أرکانه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الصیغة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المطلِّق وشروطه </w:t>
      </w:r>
      <w:r>
        <w:rPr>
          <w:rFonts w:eastAsia="Amiri" w:cs="Amiri" w:ascii="Amiri" w:hAnsi="Amiri"/>
          <w:color w:val="111111"/>
          <w:sz w:val="28"/>
          <w:szCs w:val="28"/>
          <w:lang w:bidi="ar-SA"/>
        </w:rPr>
        <w:t>350</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المطلَّقة وشروطها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أقسامه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المکروه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المستحبّ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طلاق البائن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طلاق الرجعی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طلاق العدَّة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حکم المطلّقة تسعاً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حکم المطلّقة ثلاثاً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حکم طلاق المریض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العِدد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لا عدّة علی من لم یدخل بها إلّافی الوفاة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عدّة ذات الدم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عدّة الحامل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الحداد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حکم المرأة المفقود زوجها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عدّة الذمّیّة واُمّ الولد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الأحکام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کتاب الخلع والمباراة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صیغة الخلع </w:t>
      </w:r>
      <w:r>
        <w:rPr>
          <w:rFonts w:eastAsia="IRNazanin" w:cs="IRNazanin"/>
          <w:color w:val="111111"/>
          <w:sz w:val="28"/>
          <w:szCs w:val="28"/>
          <w:lang w:bidi="fa-IR"/>
        </w:rPr>
        <w:t>389</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الفدیة وأحکامها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أحکام الخلع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فی التنازع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المباراة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کتاب الظهار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صیغته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شروطه وأحکامه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کتاب الإیلاء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تعریفه وصیغته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شروط المولی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أحکام الإیلاء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کتاب اللعان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أسبابه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القذف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الولد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شروط الملاعن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ما یعتبر فی الملاعنة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القول فی کیفیّة اللعان وأحکامه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کتاب العتق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صیغته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شروط المولی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أحکام العتق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السرایة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ما یحصل به العتق </w:t>
      </w:r>
      <w:r>
        <w:rPr>
          <w:rFonts w:eastAsia="IRNazanin" w:cs="IRNazanin"/>
          <w:color w:val="111111"/>
          <w:sz w:val="28"/>
          <w:szCs w:val="28"/>
          <w:lang w:bidi="fa-IR"/>
        </w:rPr>
        <w:t>477</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کتاب التدبیر والمکاتبة والاستیلاد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النظر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التدبیر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تعریفه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صیغته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شروط المدبِّر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أحکام التدبیر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الکتابة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استحبابها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شروط المتعاقدین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الإیجاب والقبول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أحکام المکاتبة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الاستیلاد للإماء بملک الیمین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کتاب الإقرار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الصیغة، وتوابعها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شروط المقرّ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حکم الإقرار باللفظ المبهم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الإقرار المستفاد من الجواب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تعقیب الإقرار بما ینافیه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الإقرار بالنسب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شروطه وأحکامه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کتاب الغصب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تعریفه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أحکامه </w:t>
      </w:r>
      <w:r>
        <w:rPr>
          <w:rFonts w:eastAsia="IRNazanin" w:cs="IRNazanin"/>
          <w:color w:val="111111"/>
          <w:sz w:val="28"/>
          <w:szCs w:val="28"/>
          <w:lang w:bidi="fa-IR"/>
        </w:rPr>
        <w:t>563</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lang w:bidi="fa-IR"/>
        </w:rPr>
        <w:t>581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یسّر وأعِن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لیس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الأوّل، 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مدّة یتّفق موته قبل انقضائها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هذا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مورد الإجارة علی وجه یلزم من تحقّقه صحّتها ومن عدمه عدمها؛ لأنّ ذلک هو المقصود بالذات هنا وذلک لا یتمّ إلّابالعکس المذکور؛ لأنّ المقدّمة التی ذکرها المصنّف من أ نّه کلّما یصحّ الانتفاع به مع بقاء عینه یصحّ إجارته، إنّما یستلزم حصوله حصولها ولا یلزم من رفعه رفعها، ضرورة أنّ وضع المقدّم یستلزم وضع التالی ولا یلزم من رفعه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التالی بالعکس یلزم من رفعه رفع المقدّم ولا یلزم من ثبوته ثبوته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عکسنا المقدّم،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صحّ إجارته صحّ الانتفاع مع بقاء عینه، فإنّه یستلزم أنّ کلّما لا یصحّ الانتفاع به مع بقاء عینه لا یصحّ إجارته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فیفید حینئذٍ انحصار مورد الإجارة فیما یصحّ الانتفاع به مع بقاء عینه، وإنّما استلزم ذلک؛ لأنّ التالی هو المقدّم فی مقدّمة المصنّف والمقدّم هو التالی فیها فیلزم من ارتفاع ما لا ینتفع به مع بقاء عینه ارتفاع ما یصحّ إجارته؛ لما أسلفناه من المقدّم وذلک 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لم یصحّ مقدّمة الإعارة کلّیّاً؛ إذ لا یلزم من ارتفاع ما یصحّ الانتفاع به مع بقاء عینه ارتفاع مورد الإعارة؛ لتخلّفه فی المنحة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الشاة المستعارة للحلب، کما تقدّم من الشارح فی کتاب العاریة، راجع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بالتسویة علی خلاف بعض العامّة حیث جوّز خیار الشرط فی المطلقة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ما کان موردها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المعیّنة، وهو تحکّم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تعذّر الإبدال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فی الإرشاد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والتحریر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الصحیح ما رواه محمّد بن مسلم عن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عند قاضٍ من قضاة المدینة فأتاه رجلان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تکاریت هذا یوافی بی السوق یوم کذا وکذا وإنّه لم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کراء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فدعوته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لیس لک أن تذهب بحقّه، وقلت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لک أن تأخذ کلّ الذی علیه اصطلحتما فترادّا بینکما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الإجارة، الحدیث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کما تری لیس فیه تعرّض لما عدا الیوم المعیّن باُجرة ولا بغیرها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لیس فی کلام الإمام علیه السلام أنّ اللازم فی غیره اُجرة المثل أو غیرها، ومع ذلک فما تضمّنه الخبر من الحکم لا یوافق القواعد الشرعیّة؛ لأنّ اللازم من تعیینه العمل فی الیوم المعیّن والسکوت عن غیره أ نّه لا یستحقّ فی غیره اُجرة کما قاله القاضی، إلّاأن نفرض اطّلاعه علیه السلام علی ما یوجب بطلان الإجارة فحکم علیهما بالاصطلاح؛ لأنّ الثابت حینئذٍ اُجرة المثل وهی خارجة عن المعیّن، کما أشار إلیه فی کلامه علیه السلام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التردید بین کون الخبر ضعیفاً أو موثّقاً أنّ فی طریقه منصور بن یونس برزج وکان واقفیّاً إلّاأنّ النجاشی مع ذلک وثّقه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وغیره ردّ روایته، والعلّامة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عندی التوقّف فیما یرویه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فعلی قول النجاشی هو من الموثّق وعلی قول غیره هو من الضعیف خصوصاً علی ما ذکره الکشّی من أنّ سبب وقوفه أموال کانت فی یده للکاظم علیه السلام فجحد النصّ للرضا علیه السلام لذلک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من حیث السند وأمّا من حیث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صریحة فی حکم المسألتین معاً وهما ما لو جعل للقسم الآخر اُجرة وما لو شرط إسقاطهما فیه رأساً ولفظ الروایة عن الحلبی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قاعداً إلی قاضٍ وعنده أبو جعفر علیه السلام فأتاه رجلان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تکاریت إبل هذا الرجل لیحمل لی متاعاً إلی بعض المعادن فاشترطت علیه أن یدخلنی المعدن یوم کذا وکذا؛ لأنّها سوق وأتخوّف أن یفوتنی فإن احتبست عن ذلک حططت من الکراء لکلّ یوم احتبست کذا وکذا، وإنّه حبسنی عن ذلک الوقت کذا وکذا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شرط فاسد وفه 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قام الرجل أقبل إلیّ أبو جعفر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شرطه هذا جائز ما لم یحط بجمیع کراه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نقیضه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تعیینها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فللمستأجر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کما نسبه السیّد العاملی إلیه فی مفتاح الکرامة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والشهید فی غایة المراد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نّها الحاشیة علی القواعد ولا توجد لدینا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الحدیث الأوّل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عقد البیع وشروطه، والسنن الکبری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التحریر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کانت، وما أثبتناه من سائر النسخ أیضاً صحیح بتأویل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بالإذن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المباشرة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إلی بعض تحقیقاته ولم نعثر علیه فیما بأیدینا من کتبه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قد وردت فی المسالک بدون هذه الکلمة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أفتی به فی حواشیه علی القواعد کما نقله المحقّق الثانی فی جامع المقاصد </w:t>
      </w:r>
      <w:r>
        <w:rPr>
          <w:rFonts w:eastAsia="IRNazanin" w:cs="IRNazanin"/>
          <w:b w:val="false"/>
          <w:bCs w:val="false"/>
          <w:i w:val="false"/>
          <w:iCs w:val="false"/>
          <w:color w:val="333333"/>
          <w:sz w:val="20"/>
          <w:szCs w:val="20"/>
        </w:rPr>
        <w:t>7:134</w:t>
      </w:r>
      <w:r>
        <w:rPr>
          <w:rFonts w:ascii="IRNazanin" w:hAnsi="IRNazanin" w:eastAsia="IRNazanin"/>
          <w:b w:val="false"/>
          <w:b w:val="false"/>
          <w:bCs w:val="false"/>
          <w:i w:val="false"/>
          <w:i w:val="false"/>
          <w:iCs w:val="false"/>
          <w:color w:val="333333"/>
          <w:sz w:val="20"/>
          <w:sz w:val="20"/>
          <w:szCs w:val="20"/>
          <w:rtl w:val="true"/>
        </w:rPr>
        <w:t>، ولکن لا توجد لدینا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کان بعده فإن تلف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یعلم ما أجره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الإجارة، الحدیث الأوّل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وفی الکافی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عن شعیب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لغیره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الإجارة، الحدیث الأوّل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سلامة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قصوره عمّا یوجب العمل بها؛ لأنّ سلیمان بن سالم مجهول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مغصوباً، یأتی فی الصفحة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ما یُلقح به النخل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 به 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جامع المقاصد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ریب أنّ التحالف أقوی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xml:space="preserve">، فی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الوکالة، وإن ذهب فی کتاب الإجارة إلی مقالة المشهور، اُنظر الصفحة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البرّاج فی المهذّب </w:t>
      </w:r>
      <w:r>
        <w:rPr>
          <w:rFonts w:eastAsia="IRNazanin" w:cs="IRNazanin"/>
          <w:b w:val="false"/>
          <w:bCs w:val="false"/>
          <w:i w:val="false"/>
          <w:iCs w:val="false"/>
          <w:color w:val="333333"/>
          <w:sz w:val="20"/>
          <w:szCs w:val="20"/>
        </w:rPr>
        <w:t>1:474</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استقرب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بصحّة التصرّف، واختار فخرالمحقّقین فی الإیضاح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صحّته</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دلیل لعدم بقاء الإذن الضمنیّ</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لشرائطها</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أقوال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الانعزال بالعلم وهو الذی قوّاه الشیخ فی الخلاف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الوکالة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رجّحناه فی الکتابین، واختاره المحقّق فی الشرائع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وابن سعید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والصیمری فی غایة المرام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الانعزال بأحد الأمرین الإشهاد أو الإعلام، وهو اختیار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الانعزال بالعزل من غیر شرط الإشهاد والإعلام، وهو مذهب العلّامة فی القواعد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لتفصیل الأقوال مفتاح الکرامة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الوکالة، الحدیث الأوّل</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علی ثمن المثل أم لا</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صلاة الطواف،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فیهما، باعتبار رجوع الضمیر إلی الرکعتین</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إدریس فی السرائر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والشرائع</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6:20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روایة جعفر بن سماعة عن زرارة عن أبی عبد اللّٰه علیه السلام أ 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الوکالة فی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ووجه قصور دلالتها ظاهر؛ لتضمّنها النهی عن طلاق الوکیل مطلقاً فتقییده بالغائب لا وجه له، وأمّا ضعف سندها فبابن سماعة فإنّه واقفی، وفیه أیضاً مجاهیل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کما قال فی المختلف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وابن حمزة فی‌الوسیلة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ونسبه فی المختلف إلی القاضی، ولم نعثر علیه فیما بأیدینا من کتبه</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کونه عارفاً باللغة التی یحاور بها</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ولیس فیهما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وإنّ‌الشیطان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 العبارة فیما بأیدینا من مصادر الحدیث</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المخطوطات،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طرفی</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القدر فی کلّ شیء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الشهادة، راجع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کالجنایة الموجبة للدیة مثلاً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بوجوب الدفع، ذهب إلیه ابن إدریس فی السرائر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بعدم وجوب الدفع، ذهب إلیه الشیخ فی الخلاف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وفاق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 من إنکاره</w:t>
      </w:r>
      <w:r>
        <w:rPr>
          <w:rFonts w:eastAsia="IRNazanin" w:cs="IRNazanin"/>
          <w:b w:val="false"/>
          <w:bCs w:val="false"/>
          <w:i w:val="false"/>
          <w:iCs w:val="false"/>
          <w:color w:val="333333"/>
          <w:sz w:val="20"/>
          <w:szCs w:val="20"/>
          <w:rtl w:val="true"/>
        </w:rPr>
        <w:t>. . .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بذلک الشیخ فی المبسوط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ووافقه یحیی بن سعید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بالجواز للعلّامة فی المختلف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ونسبه فیه إلی أبی الصلاح، وانظر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بالمنع للشیخ فی المبسوط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وأولیاء العقد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وهو المنسوب إلی ابن الجنید، اُنظر المختلف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وانظر للتفصیل مفتاح الکرامة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والقاضی فی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وابن سعید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أصالة عدم الردّ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السبیل المنفیّ فی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نکرة فی سیاق النفی فیعمّ، وتخصیصه فی بعض أفراده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بإثبات الیمین علیه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ینفی حجّیته فی 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المختار عند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فیبقی دالّاً علی محلّ النزاع، إلّاأن یدّعی أنّ السبیل لایتناول مثل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الوکالة، الحدیث الأوّل، فی طریقه داود بن الحصین وهو واقفی، ودینار بن حکیم وهو مجهول، وأمّا عمر بن حنظلة فالأصحاب وإن لم ینصّوا علیه بجرح ولا تعدیل، لکن عندی أ نّه ثقة؛ لمدح رأیته فی حدیث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فی الشرائع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قویّ، ومثله العلّامة فی المختلف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واختاره المحقّق الکرکی فی جامع المقاصد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فی ما إذا کان النزاع بعد عزل الوکیل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وقوّاه الکرکی فی جامع المقاصد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فی الشرائع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عکسه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بعدم الثبوت لغیر الشریک الواحد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وادّعی علیه الإجماع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 عنه العلّامة فی المختلف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 لا یحضره الفقیه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الحیوان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الأوّل، 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بالاشتراط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وغیرهم، وقال الشارح فی المسالک </w:t>
      </w:r>
      <w:r>
        <w:rPr>
          <w:rFonts w:eastAsia="IRNazanin" w:cs="IRNazanin"/>
          <w:b w:val="false"/>
          <w:bCs w:val="false"/>
          <w:i w:val="false"/>
          <w:iCs w:val="false"/>
          <w:color w:val="333333"/>
          <w:sz w:val="20"/>
          <w:szCs w:val="20"/>
        </w:rPr>
        <w:t>12:265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بعدم الاشتراط للسیّد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وابن الجنید کما حکاه عنه العلّامة فی المختلف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 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وعوالی اللآلئ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بعضها روایات عامّیّة وبعضها الآخر ضعیفة بالإرسال وغیره، راجع المسالک </w:t>
      </w:r>
      <w:r>
        <w:rPr>
          <w:rFonts w:eastAsia="IRNazanin" w:cs="IRNazanin"/>
          <w:b w:val="false"/>
          <w:bCs w:val="false"/>
          <w:i w:val="false"/>
          <w:iCs w:val="false"/>
          <w:color w:val="333333"/>
          <w:sz w:val="20"/>
          <w:szCs w:val="20"/>
        </w:rPr>
        <w:t>12:362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مورد الماء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للتفصیل مفتاح الکرامة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الإرشاد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 الحدیث الأوّل، وهی روایة علیّ بن رئاب عن أبی عبد اللّٰه علیه السلام فی رجل اشتری داراً برقیق ومتاع وبزّ وجوهر،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لأحد فیها 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 سندها بالحسن بن سماعة وهو واقفی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قصورها عن الدلالة فلأ نّه لم یذکر فیها أنّ فیها شرکة لأحد، فجاز أن تکون الشفعة المنفیة شفعة الجوار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أ نّها مشترکة فلیس فیها ما یدلّ علی أنّ المانع کون الثمن قیمیّاً فجاز کونه غیره کعدم قبولها القسمة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ونبّه بذلک علی خلاف العلّامة فی 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 جعل الروایة صحیحة ودالّة علی عدم ثبوت الشفعة فی القیمی، وقد عرفت ضعفها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فخر المحقّقین فی الإیضاح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وأتباع الشیخ مثل القاضی فی المهذّب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17686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والإسکافی وعلیّ بن بابویه علی ما نقل عنهما فی المختلف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 وفیه حدیث واحد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فی الثلاثة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جوّز التراخی جوّزه مطلقاً ومن لم یجوّزه لم یجوّز أصلاً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تقدیم حقّ الشفیع؛ لعموم الأدلّة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استقربه العلّامة فی المختلف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وصحّحه ولده فی الإیضاح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واختاره الصیمری فی غایة المرام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وفی موضع آخر من الخلاف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والطوسی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 وفیه حدیث واحد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والضعف بطلحة بن زید الواقع فی سندها، فإنّه بتری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قوله مع الیمین فی إنکار أصل الوکالة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ومنها فی عقد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ومنها الاختلاف فی مدّة المساقاة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المزارعة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المختلف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والاعتذار للأوّل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 والرمایة،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وتأخیر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ونقله فی الوسائل </w:t>
      </w:r>
      <w:r>
        <w:rPr>
          <w:rFonts w:eastAsia="IRNazanin" w:cs="IRNazanin"/>
          <w:b w:val="false"/>
          <w:bCs w:val="false"/>
          <w:i w:val="false"/>
          <w:iCs w:val="false"/>
          <w:color w:val="333333"/>
          <w:sz w:val="20"/>
          <w:szCs w:val="20"/>
        </w:rPr>
        <w:t>13:347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السبق والرمایة،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حذف الإسناد إلی الرسول صلی الله علیه و آله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 جمع 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للحرب من الحدید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الخطّابی علی ما حکاه عنه ابن الأثیر فی النهایة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6:300</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6:105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المتراضیین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الشافعی فی الاُمّ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 وانظر المغنی والشرح الکبیر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الإسکافی کما نقله عنه العلّامة فی المختلف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إلی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الإسکافی کما نقل عنه العلّامة فی المختلف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الخلاف </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السبق، والمحقّق فی الشرائع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فالمهملة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 الإمامیّة، نعم یوجد فی کتب العامّة، اُنظر المجموع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علی یدیه وبطنه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6:296</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 وقوّاه ولده فخر المحقّقین فی الإیضاح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 الإمامیّة، نعم قاله بعض الشافعیّة، اُنظر مغنی المحتاج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المحاطّة أو المبادرة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یظهر من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إلیه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استحسنه العلّامة فی القواعد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 وقال ولده فی الإیضاح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عندی الصحّة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الوکالة، الحدیث الأوّل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ذکره جماعة من الأصحاب منهم المصنّف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مطلق فسخ المالک فی الأثناء، وکذا العلّامة فی أکثر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6:114</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حکمه بأنّ فسخ المالک فی الأثناء یوجب الرجوع إلی اُجرة المثل، وهذا لا یخلو من 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حکم فی التذکرة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بالرجوع إلی اُجرة المثل فی الموضعین؛ لأنّ الجعالة الثانیة بمنزلة فسخ الاُولی وهو متّجه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القول باستحقاقه بالنسبة من المسمّی أوجه؛ لقدومهما علی ذلک، خصوصاً لو کانت اُجرة المثل أزید من المسمّی 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قیل بثبوت أقلّ الأمرین من اُجرة المثل ونسبة المسمّی کان 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مماثل ما بذله المالک أو مغایره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بالاستحقاق للعلّامة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وللفخر فی الإیضاح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بالعدم للعلّامة فی التحریر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مسمع بن عبد الملک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النبیّ صلی الله علیه و آله جعل فی جعل الآبق دیناراً إذا وجد فی مصره، وإن وجد فی غیر مصره فأربعة دنانیر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بها أکثر الأصحاب مع ضعف عظیم فی طریق الخبر بجماعة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محمّد بن الحسن بن شمون وهو ضعیف جدّاً غالٍ وضّاع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عبد اللّٰه بن عبد الرحمن الأصمّ وحاله کذلک وزیادة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سهل بن زیاد وحاله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القاضی فی المهذّب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والکیدری فی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بعدم استحقاقه للزائد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جعفر بن أبی البقاء هبة اللّٰه بن نما شیخ المحقّق الحلّی، ولا یوجد لدینا کتابه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کالردّ بعد القبول بعد وفاة الموصی حیث لا یقبل، وغیر ذلک ممّا سیأتی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6:338</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والمحقّق الکرکی فی جامع المقاصد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یثمر الملک إلّابعد انقضاء مدّة الخیار علی رأی الشیخ، راجع الخلاف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فی حیاة الموصی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الهبة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المخطوطات،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مبنیّ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جواز تقدیم القبول علی الوفاة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المحقّق فی الشرائع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ویحیی بن سعید الحلّی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للتفصیل مفتاح الکرامة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الروایة أ نّه علیه السلام سئل عن رجلٍ أوصی لرجلٍ فمات الموصیٰ له قبل الموصی،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موثّقة منصور بن حازم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إلی الإسکافی ونفی عنه البأس فی المختلف </w:t>
      </w:r>
      <w:r>
        <w:rPr>
          <w:rFonts w:eastAsia="IRNazanin" w:cs="IRNazanin"/>
          <w:b w:val="false"/>
          <w:bCs w:val="false"/>
          <w:i w:val="false"/>
          <w:iCs w:val="false"/>
          <w:color w:val="333333"/>
          <w:sz w:val="20"/>
          <w:szCs w:val="20"/>
        </w:rPr>
        <w:t>6:408</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المنقول فی الدروس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عن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النهایة ونکتها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فی طریق الروایة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الهامش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قیس، وهو مشترک بین الثقة وغیره، فلا عبرة بها وإن اشتهرت، فلا تعارض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قیل من احتمال الصحیحة لغیر المطلوب من الصحّة فلا تعارض الاُولی، مردودٌ بأنّ ظاهرها ذلک فلا تعارضها الاُولی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یوصی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القائل به بتّاً، نعم فی جامع المقاصد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نسب المیل إلی الاشتراط إلی العلّامة فی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ریب أ نّه أولی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تحصل ثمرة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بالقبول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حاصلاً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تقدّم القبول أو لا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الروایة الثانیة والثالثة من التخریج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أبی 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والمشهور العمل بها ولا وجه للعدول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یُمنع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مثل ما أثبتناه، ولم ترد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أصل عدم إقدام المسلم علی الزنا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القائل به صریحاً، نعم نسبه فی التنقیح الرائع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إلی إطلاق المحقّق فی المختصر والشرائع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لأقصاه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بالجواز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وقوّاه الفاضل المقداد فی التنقیح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بعدمه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والحلّی فی السرائر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ویحیی 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للتفصیل مفتاح الکرامة </w:t>
      </w:r>
      <w:r>
        <w:rPr>
          <w:rFonts w:eastAsia="IRNazanin" w:cs="IRNazanin"/>
          <w:b w:val="false"/>
          <w:bCs w:val="false"/>
          <w:i w:val="false"/>
          <w:iCs w:val="false"/>
          <w:color w:val="333333"/>
          <w:sz w:val="20"/>
          <w:szCs w:val="20"/>
        </w:rPr>
        <w:t>9:399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 وفیه حدیث واحد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لاشتراک محمّد بن قیس الذی یروی عن الباقر علیه السلام بین الثقة وغیره، أو لأنّها واقعة حالٍ فلا یعمّ؛ لأنّه یسأله عن مکاتبٍ کانت تحته امرأة حرّة، فأوصت له عند موتها بوصیّةٍ فقال أهل المیراث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نجیز وصیّتها، إنّه مکاتبٌ لم یُعتق ولا یرث، فقضی أ نّه یرث بحساب ما اُعتق منه ویجوز له من الوصیّة بحساب ما اُعتق منه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ضعیفة بالحسن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حاله فی الزیدیّة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لیرتّب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ونسبه فی المهذّب البارع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إلی المشهور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الروایة السابقة عن أبی عبیدة، فإنّه قال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تعتق من ثلث المیّت وتُعطی ما أوصی لها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ظاهرها تدافع ولکن ورد فیها أ نّها تعتق من نصیب ابنها وتعطی من ثلثه ما أوصی لها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الحدیثیّة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فی المسالک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الأکثر ومنهم الشیخان وأتباعهما وابن إدریس والشهید ومال إلیه العلّامة فی التحریر ومع ذلک لم نقف علی مستند خصوصاً لمثل ابن إدریس الذی لا یعول فی مثل ذلک علی الأخبار الصحیحة ونحوها</w:t>
      </w:r>
      <w:r>
        <w:rPr>
          <w:rFonts w:eastAsia="IRNazanin" w:cs="IRNazanin"/>
          <w:b w:val="false"/>
          <w:bCs w:val="false"/>
          <w:i w:val="false"/>
          <w:iCs w:val="false"/>
          <w:color w:val="333333"/>
          <w:sz w:val="20"/>
          <w:szCs w:val="20"/>
          <w:rtl w:val="true"/>
        </w:rPr>
        <w:t>. .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الإیضاح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لم نعثر علیه بعینه، نعم نسبه فی مفتاح الکرامة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خیرة الدروس، ولکنّه سهو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روتها عائشة عن النبیّ صلی الله علیه و آله أ 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إلی أربعین 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العشرة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وافقت حصّةُ کلّ واحد منهم حصَّتَه علی تقدیر القسمة علی الدور أم لا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تتناول الإخوة من الأب ومن الاُمّ ومنهما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العتیق والمُعتِق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6:326</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ونهایة الإحکام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وغیرهم، ولکن لم نعثر فیها وفی غیرها علی الإجماع، نعم ادّعی فی النهایة عدم الخلاف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الوصایا، وابن إدریس فی السرائر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والآیة فی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رجّحه العلّامة فی المختلف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القائل، وأمّا الروایة فهی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ضعفها بطلحة بن زید الواقع فی سندها فهو بتری، والبتریّة فرقة من الزیدیّة لا یعتدّ بروایتهم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والمبسوط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ولم نعثر علی الروایة فی المجامیع الحدیثیّة، نعم أورده الشیخ فی الخلاف نفس الموضع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 الحدیث الأوّل وذیله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بتثلیث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 کلّ شیء حتّی الرمّان والبطّیخ، وغُلب علی ولد الکلب والأسد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الحدیث الأوّل وذیله، والفقیه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 والوسائل </w:t>
      </w:r>
      <w:r>
        <w:rPr>
          <w:rFonts w:eastAsia="IRNazanin" w:cs="IRNazanin"/>
          <w:b w:val="false"/>
          <w:bCs w:val="false"/>
          <w:i w:val="false"/>
          <w:iCs w:val="false"/>
          <w:color w:val="333333"/>
          <w:sz w:val="20"/>
          <w:szCs w:val="20"/>
        </w:rPr>
        <w:t>13:371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 الحدیث الأوّل وذیله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قوس وعصا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احترز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المجاز، فإنّ لفظه استعمل لمعنیین فصاعداً، لکن لا بوضعٍ واحدٍ بل وضع أوّلاً للمعنی الحقیقی ثمّ استعمل فی الثانی من غیر نقلٍ کالأسد، فإنّه وضع أوّلاً للحیوان المفترس ثمّ استعمل فی الرجل الشجاع لعلاقةٍ بینهما وهی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المتواطئ المتناول للمختلفین لکن لا من حیث الاختلاف بل باعتبار اتّحاد المعنی المتناول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احتملها العلّامة فی القواعد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اصطلاح النحاة علی ما أشار إلیه فی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وانظر شرح ابن عقیل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العلّامة فی القواعد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6:372</w:t>
      </w:r>
      <w:r>
        <w:rPr>
          <w:rFonts w:ascii="IRNazanin" w:hAnsi="IRNazanin" w:eastAsia="IRNazanin"/>
          <w:b w:val="false"/>
          <w:b w:val="false"/>
          <w:bCs w:val="false"/>
          <w:i w:val="false"/>
          <w:i w:val="false"/>
          <w:iCs w:val="false"/>
          <w:color w:val="333333"/>
          <w:sz w:val="20"/>
          <w:sz w:val="20"/>
          <w:szCs w:val="20"/>
          <w:rtl w:val="true"/>
        </w:rPr>
        <w:t xml:space="preserve">، وغیرهما، وولده فی الإیضاح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للتفصیل مفتاح الکرامة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والمختصر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وأبی العبّاس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استحسنه فی الشرائع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واستجوده فی التحریر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واختاره فی الإرشاد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وقوّاه فی جامع المقاصد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ویتخیّر الوارث فی المتواطئ</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تأمّل ذلک؛ لأنّ أحداً لم یتنبّه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قوبلت بالأصل، 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الوصیّة،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ویحیی بن سعید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الحدیث الأوّل، والوسائل </w:t>
      </w:r>
      <w:r>
        <w:rPr>
          <w:rFonts w:eastAsia="IRNazanin" w:cs="IRNazanin"/>
          <w:b w:val="false"/>
          <w:bCs w:val="false"/>
          <w:i w:val="false"/>
          <w:iCs w:val="false"/>
          <w:color w:val="333333"/>
          <w:sz w:val="20"/>
          <w:szCs w:val="20"/>
        </w:rPr>
        <w:t>13:452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بأبی جمیلة وهو المفضّل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فهارس المسالک </w:t>
      </w:r>
      <w:r>
        <w:rPr>
          <w:rFonts w:eastAsia="IRNazanin" w:cs="IRNazanin"/>
          <w:b w:val="false"/>
          <w:bCs w:val="false"/>
          <w:i w:val="false"/>
          <w:iCs w:val="false"/>
          <w:color w:val="333333"/>
          <w:sz w:val="20"/>
          <w:szCs w:val="20"/>
        </w:rPr>
        <w:t>16:300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روایة عقبة بن خالد، وانظر الوسائل </w:t>
      </w:r>
      <w:r>
        <w:rPr>
          <w:rFonts w:eastAsia="IRNazanin" w:cs="IRNazanin"/>
          <w:b w:val="false"/>
          <w:bCs w:val="false"/>
          <w:i w:val="false"/>
          <w:iCs w:val="false"/>
          <w:color w:val="333333"/>
          <w:sz w:val="20"/>
          <w:szCs w:val="20"/>
        </w:rPr>
        <w:t>13:452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ضعیفة بعقبة بن خالد؛ لأنّه لم یرد فیه 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الإطلاق، بل مقیّداً بعدم القرینة علی الخلاف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 الحدیث الأوّل، وانظر الروایة الثانیة من الباب، أیضاً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بعلیّ بن 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بالأقلّ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بعینه، کما اعترف به فی مفتاح الکرامة </w:t>
      </w:r>
      <w:r>
        <w:rPr>
          <w:rFonts w:eastAsia="IRNazanin" w:cs="IRNazanin"/>
          <w:b w:val="false"/>
          <w:bCs w:val="false"/>
          <w:i w:val="false"/>
          <w:iCs w:val="false"/>
          <w:color w:val="333333"/>
          <w:sz w:val="20"/>
          <w:szCs w:val="20"/>
        </w:rPr>
        <w:t>9:534</w:t>
      </w:r>
      <w:r>
        <w:rPr>
          <w:rFonts w:ascii="IRNazanin" w:hAnsi="IRNazanin" w:eastAsia="IRNazanin"/>
          <w:b w:val="false"/>
          <w:b w:val="false"/>
          <w:bCs w:val="false"/>
          <w:i w:val="false"/>
          <w:i w:val="false"/>
          <w:iCs w:val="false"/>
          <w:color w:val="333333"/>
          <w:sz w:val="20"/>
          <w:sz w:val="20"/>
          <w:szCs w:val="20"/>
          <w:rtl w:val="true"/>
        </w:rPr>
        <w:t xml:space="preserve">، نعم ادّعی الشیخ فی المبسوط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الخلاف فی المسألة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 وفیه حدیث واحد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الأصل فظاهرٌ فی الصحّة والجواز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یَنْهٰاکُمُ اَللّٰهُ عَنِ اَلَّذِینَ لَمْ یُقٰاتِلُوکُمْ فِی اَلدِّینِ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تبرّوهم وتقسطوا إلیهم إنّما ینهاکم اللّٰه عن الذین قاتلوکم فی الدین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فأجاز مبرّة الذمّی ومنع مبرّة الحربی، والوصیّة مبرّة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فرواها محمّد بن مسلم عن أحدهما علیه السلام فی رجل أوصی بماله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أعطه لمن أوصی له، وإن کان یهودیّاً أو نصرانیّاً، إنّ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بدّله من بعد ما سمعه فإنّما إثمه علی الذین یبدّلونه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الأصل فظاهرٌ فی الصحّة والجواز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یَنْهٰاکُمُ اَللّٰهُ عَنِ اَلَّذِینَ لَمْ یُقٰاتِلُوکُمْ فِی اَلدِّینِ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تَبَرُّوهُمْ وَ تُقْسِطُوا إِلَیْهِمْ إِنَّمٰا یَنْهٰاکُمُ اَللّٰهُ عَنِ اَلَّذِینَ قٰاتَلُوکُمْ فِی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فأجاز مبرّة الذمّی ومنع مبرّة الحربی، والوصیّة مبرّة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فرواها محمّد بن مسلم عن أحدهما علیه السلام فی رجل أوصی بماله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أعطه لمن أوصی له، وإن کان یهودیّاً أو نصرانیّاً، إنّ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بَدَّلَهُ بَعْدَ مٰا سَمِعَهُ فَإِنَّمٰا إِثْمُهُ عَلَی اَلَّذِینَ یُبَدِّلُونَهُ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المنهیّ عنها فی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بعدم الصحّة مطلقاً وهو المشهور بین الأصحاب کما فی المهذّب البارع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والمقتصر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بالصحّة مطلقاً وهو ابن إدریس فی السرائر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ویحیی 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بالتفصیل بین الرحم وغیره فیصحّ فی الأوّل ولا یصحّ فی الثانی، وهو المنسوب فی المهذّب البارع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ظاهر المبسوط وإطلاق المفید وأبی الصلاح، وانظر المبسوط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ومثلها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تفصیل آخر من الحلبی فی الکافی بین ما کانت مکافأة علی مکرمة دنیویّة أو مبتدأ بها فتجوز، وبین غیره فلا تجوز، راجع للتفصیل کشف الرموز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فی ذلک بعض العامّة فمنع من الوصیّة للوارث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صلة للرحمة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 xml:space="preserve">، وغیرهما، والفاضل المقداد فی التنقیح الرائع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وابن فهد الحلّی فی المهذّب البارع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الأثیر فی النهایة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وابن منظور فی اللسان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عبیدة، کما فی الخلاف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4784</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الجوهری فی الصحاح </w:t>
      </w:r>
      <w:r>
        <w:rPr>
          <w:rFonts w:eastAsia="IRNazanin" w:cs="IRNazanin"/>
          <w:b w:val="false"/>
          <w:bCs w:val="false"/>
          <w:i w:val="false"/>
          <w:iCs w:val="false"/>
          <w:color w:val="333333"/>
          <w:sz w:val="20"/>
          <w:szCs w:val="20"/>
        </w:rPr>
        <w:t>4:1390</w:t>
      </w:r>
      <w:r>
        <w:rPr>
          <w:rFonts w:ascii="IRNazanin" w:hAnsi="IRNazanin" w:eastAsia="IRNazanin"/>
          <w:b w:val="false"/>
          <w:b w:val="false"/>
          <w:bCs w:val="false"/>
          <w:i w:val="false"/>
          <w:i w:val="false"/>
          <w:iCs w:val="false"/>
          <w:color w:val="333333"/>
          <w:sz w:val="20"/>
          <w:sz w:val="20"/>
          <w:szCs w:val="20"/>
          <w:rtl w:val="true"/>
        </w:rPr>
        <w:t xml:space="preserve">، والفیروزآبادی فی القاموس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ونسبه فی اللسان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الزجّاج</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وقوّاه فی الخلاف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جامع المقاصد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حواشیه، والظاهر أ نّه فی حاشیته علی القواعد، ولا توجد لدینا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أوسط التعلیلات الثلاثة وهی التغریر وتأخیر الإخراج وإخراج الثلث من بعض الأموال دون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لم یخرجه المریض کذلک وإنّما أخرجه اللّٰه تعالی عن ملکه بالقبول وانعتق علیه تبعاً لملکه بغیر اختیاره، فلم یکن مفوّتاً بغیر اختیاره وإنّما جاء الفوات من قبل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الشیخ فی المبسوط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فی المسالک </w:t>
      </w:r>
      <w:r>
        <w:rPr>
          <w:rFonts w:eastAsia="IRNazanin" w:cs="IRNazanin"/>
          <w:b w:val="false"/>
          <w:bCs w:val="false"/>
          <w:i w:val="false"/>
          <w:iCs w:val="false"/>
          <w:color w:val="333333"/>
          <w:sz w:val="20"/>
          <w:szCs w:val="20"/>
        </w:rPr>
        <w:t>6:305</w:t>
      </w:r>
      <w:r>
        <w:rPr>
          <w:rFonts w:ascii="IRNazanin" w:hAnsi="IRNazanin" w:eastAsia="IRNazanin"/>
          <w:b w:val="false"/>
          <w:b w:val="false"/>
          <w:bCs w:val="false"/>
          <w:i w:val="false"/>
          <w:i w:val="false"/>
          <w:iCs w:val="false"/>
          <w:color w:val="333333"/>
          <w:sz w:val="20"/>
          <w:sz w:val="20"/>
          <w:szCs w:val="20"/>
          <w:rtl w:val="true"/>
        </w:rPr>
        <w:t xml:space="preserve">، قول الأجود إلی الأکثر، وذهب إلیه الشیخ فی المبسوط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6:413</w:t>
      </w:r>
      <w:r>
        <w:rPr>
          <w:rFonts w:ascii="IRNazanin" w:hAnsi="IRNazanin" w:eastAsia="IRNazanin"/>
          <w:b w:val="false"/>
          <w:b w:val="false"/>
          <w:bCs w:val="false"/>
          <w:i w:val="false"/>
          <w:i w:val="false"/>
          <w:iCs w:val="false"/>
          <w:color w:val="333333"/>
          <w:sz w:val="20"/>
          <w:sz w:val="20"/>
          <w:szCs w:val="20"/>
          <w:rtl w:val="true"/>
        </w:rPr>
        <w:t xml:space="preserve">، وغیرهما، والفخر فی الإیضاح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وهو الخروج من الأصل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والآبی فی کشف الرموز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تقدیمها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تفارق المنجّزةُ الوصیّةَ فی تقدّم المنجّزة علی الوصیّة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التحریر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کالوصی إذا اُذن له فی الوصایة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دخول الحاکم فیها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 وفیه حدیث واحد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مستقلّاً أو منضمّاً إلی بالغ</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بحیث یتصرّف حالَ جنونه مطلقاً، أی سواء کان جنونه أدواریّاً أو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عنه فی 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تَرْکَنُوا إِلَی اَلَّذِینَ ظَلَمُوا فَتَمَسَّکُمُ اَلنّٰارُ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ونسبه فی جامع المقاصد </w:t>
      </w:r>
      <w:r>
        <w:rPr>
          <w:rFonts w:eastAsia="IRNazanin" w:cs="IRNazanin"/>
          <w:b w:val="false"/>
          <w:bCs w:val="false"/>
          <w:i w:val="false"/>
          <w:iCs w:val="false"/>
          <w:color w:val="333333"/>
          <w:sz w:val="20"/>
          <w:szCs w:val="20"/>
        </w:rPr>
        <w:t>11:274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أکثر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هو عدم الاشتراط، ذهب إلیه ابن إدریس فی السرائر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ورجّحه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وقرّبه العلّامة فی المختلف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به ابن إدریس فی السرائر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اشترکا فیه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والمسجد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الأصحّ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 ونسبه فی جامع المقاصد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أکثر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الآخر فقد تقدّم عن الشیخ والقاضی فی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بالوصیّة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تَعٰاوَنُوا عَلَی اَلْبِرِّ وَ اَلتَّقْویٰ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ذلک ابن إدریس فی السرائر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بها عمومات الحسبة والأمر بالمعاونة علی البرّ والتقوی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القائل بعینه، ولعلّه هو مختار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نسبه فی المغنی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بعض الشافعیّة، وانظر المجموع </w:t>
      </w:r>
      <w:r>
        <w:rPr>
          <w:rFonts w:eastAsia="IRNazanin" w:cs="IRNazanin"/>
          <w:b w:val="false"/>
          <w:bCs w:val="false"/>
          <w:i w:val="false"/>
          <w:iCs w:val="false"/>
          <w:color w:val="333333"/>
          <w:sz w:val="20"/>
          <w:szCs w:val="20"/>
        </w:rPr>
        <w:t>16:498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بقوله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وقت إنشاء العقد</w:t>
      </w:r>
      <w:r>
        <w:rPr>
          <w:rFonts w:eastAsia="IRNazanin" w:cs="IRNazanin"/>
          <w:b w:val="false"/>
          <w:bCs w:val="false"/>
          <w:i w:val="false"/>
          <w:iCs w:val="false"/>
          <w:color w:val="333333"/>
          <w:sz w:val="20"/>
          <w:szCs w:val="20"/>
          <w:rtl w:val="true"/>
        </w:rPr>
        <w:t>. .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المصنّف فی الدروس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ولم نعثر علی غیره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وابن الجنید کما نقله العلّامة فی المختلف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واختاره هو أیضاً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6:337</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الحکم بوجوب القبول علی الموصی إلیه وتسلیط الموصی علی إثبات وصیّته علی من شاء مخالف للأصل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 عَلَیْکُمْ فِی اَلدِّینِ مِنْ حَرَجٍ ،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 لا ضرار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17:376</w:t>
      </w:r>
      <w:r>
        <w:rPr>
          <w:rFonts w:ascii="IRNazanin" w:hAnsi="IRNazanin" w:eastAsia="IRNazanin"/>
          <w:b w:val="false"/>
          <w:b w:val="false"/>
          <w:bCs w:val="false"/>
          <w:i w:val="false"/>
          <w:i w:val="false"/>
          <w:iCs w:val="false"/>
          <w:color w:val="333333"/>
          <w:sz w:val="20"/>
          <w:sz w:val="20"/>
          <w:szCs w:val="20"/>
          <w:rtl w:val="true"/>
        </w:rPr>
        <w:t xml:space="preserve">، الباب الأوّل من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الأوّل من مقدّمات النکاح،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الأوّل من مقدّمات النکاح،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المتنضّب المستبطئ للشیء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الممتنع امتناع طلبة لا امتناع إباء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لابن الأثیر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حبنط</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یحمد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دعاه، وفی نسخة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ما دعاه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عرائسکم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بالملک للشیخ فی المبسوط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 الملک للعلّامة فی المختلف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وهو الظاهر من الصیمری فی غایة المرام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103:283</w:t>
      </w:r>
      <w:r>
        <w:rPr>
          <w:rFonts w:ascii="IRNazanin" w:hAnsi="IRNazanin" w:eastAsia="IRNazanin"/>
          <w:b w:val="false"/>
          <w:b w:val="false"/>
          <w:bCs w:val="false"/>
          <w:i w:val="false"/>
          <w:i w:val="false"/>
          <w:iCs w:val="false"/>
          <w:color w:val="333333"/>
          <w:sz w:val="20"/>
          <w:sz w:val="20"/>
          <w:szCs w:val="20"/>
          <w:rtl w:val="true"/>
        </w:rPr>
        <w:t>، ذیل الحدیث الأوّل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والآیة فی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والآیة فی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الأوّل، وانظر الوسائل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 وذیله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البائع السلعة سوماً من باب قال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للبیع، وسامها المشتری واستامها طلب بیعها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ضعیفة بأحمد بن محمّد بن خالد وأبیه الواقعین فی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طرح المسألة قبل الشارح، ولعلّ ذلک یستظهر من التذکرة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حیث شرط فی جواز النظر الحاجة إلی النظر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بمن صرّح بهذا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یظهر ذلک ممّن قیّد جواز النظر بمن یرید النکاح، مثل المحقّق فی الشرائع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 به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نسب العلّامة إلی بعض الشافعیّة تحریم النظر إلی ماعدا الوجه والکفّین، وکذا إلی الثدی فی غیر حال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مقطوعة وأنّ المرأتین عائشة وحفصة، وما نقلناه ذکره جماعة من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التذکرة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طریقه عامی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بالجواز للعلّامة فی المختلف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وقوّاه فی جامع المقاصد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بالعدم للشیخ فی المبسوط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ونسبه فی غایة المرام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الصیمری فی غایة المرام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موضع وفاق إلّامن شاذّ من الأصحاب، حیث حرّم النظر إلی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والأخبار ناطقة بالجواز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4:336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 والحلّی فی السرائر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ونسبه فی المختلف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أکثر علمائنا بعد أن نسبه إلی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بالحرمة فهو منسوب إلی القمّیین وابن حمزة، اُنظر التنقیح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12:497</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الصحاح </w:t>
      </w:r>
      <w:r>
        <w:rPr>
          <w:rFonts w:eastAsia="IRNazanin" w:cs="IRNazanin"/>
          <w:b w:val="false"/>
          <w:bCs w:val="false"/>
          <w:i w:val="false"/>
          <w:iCs w:val="false"/>
          <w:color w:val="333333"/>
          <w:sz w:val="20"/>
          <w:szCs w:val="20"/>
        </w:rPr>
        <w:t>3:1001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بالخروج لابن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ونسبه فی المختلف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کلام الشیخ، وانظر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وهو اختیار فخر المحقّقین فی الإیضاح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 الخروج لابن إدریس فی السرائر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بالتحریم المؤبّد للعلّامة فی القواعد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12:334</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وهو الظاهر من السیّد عمید الدین فی کنز الفوائد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بعدم ثبوت الحرمة فلم نقف علیه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قیّده یحیی بن سعید الحلّی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وفیه حدیث واحد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والمختصر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وهو الظاهر من الفاضل الآبی فی کشف الرموز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ونسبه فی غایة المراد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أکثر الأصحاب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السیّد فی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والإسکافی کما نقل عنه فی المختلف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کما صرّح به فی المسالک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ونسبه المحقّق الثانی فی جامع المقاصد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الشیخ فی المبسوط، وانظر المبسوط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وفیه حدیث واحد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والشرح الکبیر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ومغنی المحتاج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 وعنه فی الشهادة الشیخ فی الخلاف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ضعفها لوجود مجاهیل فی طریقها، مثل فضل بن کثیر والمهلب الدلّال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الرواة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وفیه حدیث واحد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ویحیی بن سعید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الأوّل، 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وغیره من الأبواب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بالتشریک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والذی فصّل فأجاز تفرّدها بالمتعة دون الدوام الشیخ فی کتابی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7:381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وعکس آخر، ولا یعلم بعینه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بحمل أخبار الولایة علی الدائم وخلافها علی المتعة، حملها الشیخ فی التهذیب </w:t>
      </w:r>
      <w:r>
        <w:rPr>
          <w:rFonts w:eastAsia="IRNazanin" w:cs="IRNazanin"/>
          <w:b w:val="false"/>
          <w:bCs w:val="false"/>
          <w:i w:val="false"/>
          <w:iCs w:val="false"/>
          <w:color w:val="333333"/>
          <w:sz w:val="20"/>
          <w:szCs w:val="20"/>
        </w:rPr>
        <w:t>7:254</w:t>
      </w:r>
      <w:r>
        <w:rPr>
          <w:rFonts w:ascii="IRNazanin" w:hAnsi="IRNazanin" w:eastAsia="IRNazanin"/>
          <w:b w:val="false"/>
          <w:b w:val="false"/>
          <w:bCs w:val="false"/>
          <w:i w:val="false"/>
          <w:i w:val="false"/>
          <w:iCs w:val="false"/>
          <w:color w:val="333333"/>
          <w:sz w:val="20"/>
          <w:sz w:val="20"/>
          <w:szCs w:val="20"/>
          <w:rtl w:val="true"/>
        </w:rPr>
        <w:t xml:space="preserve">، ذیل الخبر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ذیل الخبر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ذیل الخبر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والمولی یزوّج</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جنون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حمله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أولی من إطراح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نصّ المرأة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المانع، کما اعترف به فی التنقیح الرائع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ضعفها بعمّار الساباطی؛ إذ حاله فی الفطحیّة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بنت أخیها واُختها من باب التغلیب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إخوتها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وفیه حدیث واحد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والقیاس ما أثبتاه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الاثنی عشر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تخریجه فی الصفحة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ذکروا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تعدیته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للتملیک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إلّابمهر المثل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المحقّق فی الشرائع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لها الاعتراض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یفصلوا بین المهر والعقد ولا بین المصلحة وعدمها، وقال العلّامة فی الإرشاد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لها بدون المصلحة مهر المثل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المحقّق الثانی فی جامع المقاصد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للصیمری فی غایة المرام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وظاهر العلّامة فی الإرشاد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فی المهر ولا فی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الشیخ فی الخلاف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الصداق، والمبسوط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التفصیل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التخییر للعلّامة فی الإرشاد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بالتخییر هو ظاهر المحقّق فی الشرائع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کما اُشیر إلیه فی جامع المقاصد </w:t>
      </w:r>
      <w:r>
        <w:rPr>
          <w:rFonts w:eastAsia="IRNazanin" w:cs="IRNazanin"/>
          <w:b w:val="false"/>
          <w:bCs w:val="false"/>
          <w:i w:val="false"/>
          <w:iCs w:val="false"/>
          <w:color w:val="333333"/>
          <w:sz w:val="20"/>
          <w:szCs w:val="20"/>
        </w:rPr>
        <w:t>12:147</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 الحدیث الأوّل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علی ذلک فی المختلف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13:245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وشروطه، وفیه حدیث واحد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إلی ابن إدریس، انظر السرائر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غایة المراد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الشیخ حیث حکم ببطلان بیع الفضولی ونکاحه، اُنظر المبسوط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 حکم فخر المحقّقین بالبطلان فی الموضعین، اُنظر الإیضاح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للإباحة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الإیضاح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العمل علی الخبر الصحیح وإن کان مخالفاً للقواعد ولم یعمل به الأصحاب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 الحدیث الأوّل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اشتراط المجیز فی الحال للشهید فی الدروس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وللفاضل المقداد فی التنقیح الرائع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بالاشتراط للعلّامة فی القواعد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المسألة الثانیة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صحیحة أبی عبیدة المتقدّمة فی أوّل المسألة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أبی عبیدة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الیمین علی الزوج فی صورة انتفاء التهمة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رواها عبید فی الموثّق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ویشکل إثبات الحکم بمجرّده، إلّاأ نّها من المشاهیر، إن لم یکن حکمها إجماعیّاً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به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تقدّم آنفاً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لأنّهما مشترکان فی الولایة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والاشتراک هنا فی الوکالة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الشیخ وأتباعه،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ولیداً المذکور فیها مجهول الحال وفی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 بن صبیح ثقة وکونه إیّاه غیر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العقد علیها أو وطء 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البُعد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بنت اُختک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ذلک المحقّق فی الشرائع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بعدم نشر الحرمة من اللبن الحاصل من وطء الشبهة فلم نعثر علی القائل به جزماً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تردّد فیه ابن إدریس فی السرائر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بل مال إلی العدم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فی الوسائل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وغیرهما من الأبواب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 الحدیث الأوّل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فی الوسائل </w:t>
      </w:r>
      <w:r>
        <w:rPr>
          <w:rFonts w:eastAsia="IRNazanin" w:cs="IRNazanin"/>
          <w:b w:val="false"/>
          <w:bCs w:val="false"/>
          <w:i w:val="false"/>
          <w:iCs w:val="false"/>
          <w:color w:val="333333"/>
          <w:sz w:val="20"/>
          <w:szCs w:val="20"/>
        </w:rPr>
        <w:t>14:286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واختاره العلّامة ونسبه إلی العمانی أیضاً فی المختلف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من الرضاع ما یحرم من النسب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14:280</w:t>
      </w:r>
      <w:r>
        <w:rPr>
          <w:rFonts w:ascii="IRNazanin" w:hAnsi="IRNazanin" w:eastAsia="IRNazanin"/>
          <w:b w:val="false"/>
          <w:b w:val="false"/>
          <w:bCs w:val="false"/>
          <w:i w:val="false"/>
          <w:i w:val="false"/>
          <w:iCs w:val="false"/>
          <w:color w:val="333333"/>
          <w:sz w:val="20"/>
          <w:sz w:val="20"/>
          <w:szCs w:val="20"/>
          <w:rtl w:val="true"/>
        </w:rPr>
        <w:t>، الباب الأوّل من أبواب ما یحرم بالرضاع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لما فی الوسائل، وفی التهذیب بالجیم مثل ما أثبتناه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حصل الخلط بین حدیثین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عن الباقر علیه السلام، والآخر عن الصادق علیه السلام علی نقل التهذیب، راجع الوسائل </w:t>
      </w:r>
      <w:r>
        <w:rPr>
          <w:rFonts w:eastAsia="IRNazanin" w:cs="IRNazanin"/>
          <w:b w:val="false"/>
          <w:bCs w:val="false"/>
          <w:i w:val="false"/>
          <w:iCs w:val="false"/>
          <w:color w:val="333333"/>
          <w:sz w:val="20"/>
          <w:szCs w:val="20"/>
        </w:rPr>
        <w:t>14:284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بالضعیف إلی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زیاد بن سوقة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وبالقریب منه إلی غیره؛ فإنّ فیه خبرین آخرین من الموثّق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الشارح فی وجه ضعف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طریقها عمّار بن موسی وحاله فی الفطحیّة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النجاشی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والشیخ فی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وعدّه العلّامة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المفید عدّه من الثقات ورجّح العلّامة العمل بروایته، راجع الإرشاد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 عن ابن رئاب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للعشر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الضمیر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الصحیح</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الضمیر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الصحیح</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إدریس فی السرائر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باشتراط الحولین للحلبی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بالفصل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 الحدیث الأوّل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ونسبه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علمائنا أجمع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اللفظ مقلوب؛ فإنّه نشأ فی بنی زهرة وارتضع فی بنی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غریب الحدیث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وفردوس الأخبار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یقرب من ذلک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الولد</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اللبن یشبّ علیه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 المرتضع</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الباب الأوّل من أبواب ما یحرم بالرضاع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xml:space="preserve">، وانظر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المخطوطات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النکاح،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اختاره المصنّف فی بعض تحقیقاته، واحتجّ له بما ذکرناه من فحوی الروایة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أیّوب 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تدلّ علی أ نّهم صاروا أولاد أبیهم، وذلک یمنع من کونهم إخوة الأخ بل أخوه، وقد عرفت جوابه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فجاز</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المبسوط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12:267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 عنه فی المختلف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تخیّرهما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تخیّرهما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أوجهها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والملک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صورتی تقدّم الوطء علی العقد وتأخّره عنه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الحدیث الأوّل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خبر ابن سنان عن الصادق علیه السلام، وانظر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موثّقة علیّ بن یقطین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إدریس فی السرائر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صرّح به العلّامة فی التذکرة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قال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مسّ وجه الأمة وإن جوّزنا النظر إلیه وتصافحها من وراء الثیاب، ویظهر من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لمس کفّها بغیر شهوة والمنع 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بین اللمس والنظر واضح، وقد صرّح المجوّزون النظر إلی وجه الأجنبیّة وکفّیها لعدم جواز لمسها، وادّعی فخر المحقّقین فی الشرح علیه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ولأ نّه أقوی فی التلذّذ والاستمتاع من النظر وأغرب المقداد فی التنقیح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فخصّ موضع النزاع بنظر الفرج ولمسه خاصّة والنصوص والفتوی مصرّحة بالعموم وحینئذٍ فیتحرّر لهم فی المسألة ثلاث عبارات یترتّب علیها ثلاثة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النظر واللمس مع استثناء ما وقع منهما فی الکفّین ونحوهما،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مع استثناء النظر خاصّة،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تخصیصها بالفرج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تقیید بکونه علی وجه لا یحلّ لغیر المالک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الخلاف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النکاح، والمبسوط </w:t>
      </w:r>
      <w:r>
        <w:rPr>
          <w:rFonts w:eastAsia="IRNazanin" w:cs="IRNazanin"/>
          <w:b w:val="false"/>
          <w:bCs w:val="false"/>
          <w:i w:val="false"/>
          <w:iCs w:val="false"/>
          <w:color w:val="333333"/>
          <w:sz w:val="20"/>
          <w:szCs w:val="20"/>
        </w:rPr>
        <w:t>4:209</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12:289</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اُمّهما وابنتهما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بالتحریم للإسکافی کما نقل عنه فی المختلف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وللشیخ فی الخلاف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بالعدم للعلّامة فی المختلف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12:291</w:t>
      </w:r>
      <w:r>
        <w:rPr>
          <w:rFonts w:ascii="IRNazanin" w:hAnsi="IRNazanin" w:eastAsia="IRNazanin"/>
          <w:b w:val="false"/>
          <w:b w:val="false"/>
          <w:bCs w:val="false"/>
          <w:i w:val="false"/>
          <w:i w:val="false"/>
          <w:iCs w:val="false"/>
          <w:color w:val="333333"/>
          <w:sz w:val="20"/>
          <w:sz w:val="20"/>
          <w:szCs w:val="20"/>
          <w:rtl w:val="true"/>
        </w:rPr>
        <w:t>، ونسبه إلی أکثر المتأخّرین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بالعدم للفخر فی الإیضاح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بالتحریم فلم نعثر علی القائل به، کما اعترف به الشارح فی المسالک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واختاره القاضی فی المهذّب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فی المهذّب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تحریم الاُولی فی صورة الجهالة بما إذا أخرج الثانیة عن ملکه، والأخبار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مطلقة فی 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فلهذا أطلقنا هنا الحکم بعدم تحریم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القول الأوّل فی المسألة،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الحرام لا یحرّم الحلال</w:t>
      </w:r>
      <w:r>
        <w:rPr>
          <w:rFonts w:eastAsia="IRNazanin" w:cs="IRNazanin"/>
          <w:b w:val="false"/>
          <w:bCs w:val="false"/>
          <w:i w:val="false"/>
          <w:iCs w:val="false"/>
          <w:color w:val="333333"/>
          <w:sz w:val="20"/>
          <w:szCs w:val="20"/>
          <w:rtl w:val="true"/>
        </w:rPr>
        <w:t>. . .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 أصحابنا، ونسبه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الشافعیّة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تخریجه فی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جماعة، منهم العمانی والإسکافی، کما نقل عنهما العلّامة فی المختلف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وذهب إلیه ابن إدریس فی السرائر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والآبی فی کشف الرموز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والفخر فی الإیضاح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الحدیث الأوّل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فی بعض الألفاظ</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قیّده فی 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بالدوام، فلا یحرم التمتّع بالأمة علی الحرّة حملاً للآیة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الفرد الظاهر، وإن کان عموم المنع متوجّهاً نظراً إلی عموم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ویخشی 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العَنَت وعدم الطول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زواج</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المحقّق والعلّامة وغیرهما، اُنظر 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ونسبه فی الشرائع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الأشهر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ضعفها بابن فضّال وابن بکیر، فإنّهما فطحیّان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التزویج</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الموارد والأحکام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الزانی وغیره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المانع هو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إلّاأ نّه أطلق تحریم تزویج الزانیة بحیث یشمل الزانی وغیره، وأخبار النهی مطلقة أیضاً ولکن لم یذکروه قولاً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الاُولی ضعیفة بعمّار بن موسی وهو فطحی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 ضعیفة بأبی المغرا حیث لم یرد فیه مدح ولا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الحدیث الأوّل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خلاف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 حرّم علی الغلام اُمّ اللائط وبنته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ما نقله السیّد الفاخر عن بعض الأصحاب ولم یعیّنه،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من کلام الراوندی فی شرح النهایة محتجّاً بشمول الروایة والأخبار المطلقة،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ابن أبی عمیر عن بعض أصحابه عن أبی عبد اللّٰه علیه السلام فی الرجل یعبث بالغلام،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أوقب حرمت علیه ابنته واُخته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 منها روایة إبراهیم بن عمرو وموسی بن سعدان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المثنّی، وهو مشترک بین اثنین لا بأس بهما ولم یبلغا حدّ الثقة، إلّاأ نّه لا رادّ للحکم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زرارة الأوّل مقطوعٌ، وخبر أبی بصیر فی طریقه جهالةٌ بالحسین بن محمّد وضعیفٌ بالمعلّی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زرارة الثانی فیه جهالةٌ بالحسین وسعدان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 فیه خبر محمّد بن مسلم، وفیه جهالةٌ بالقاسم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بکیر بن محمّد الأزدی وفیه جهالةٌ بالحسین، وفی بکر نظرٌ،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خلاف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والظاهر أنّ ثانیهما هو کتاب الکامل، ولا یوجد لدینا، والأصل فی النقل العلّامة فی المختلف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الشیخ فی التهذیب </w:t>
      </w:r>
      <w:r>
        <w:rPr>
          <w:rFonts w:eastAsia="IRNazanin" w:cs="IRNazanin"/>
          <w:b w:val="false"/>
          <w:bCs w:val="false"/>
          <w:i w:val="false"/>
          <w:iCs w:val="false"/>
          <w:color w:val="333333"/>
          <w:sz w:val="20"/>
          <w:szCs w:val="20"/>
        </w:rPr>
        <w:t>7:259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باستیفاء العدد، الحدیث الأوّل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فی جامع المقاصد </w:t>
      </w:r>
      <w:r>
        <w:rPr>
          <w:rFonts w:eastAsia="IRNazanin" w:cs="IRNazanin"/>
          <w:b w:val="false"/>
          <w:bCs w:val="false"/>
          <w:i w:val="false"/>
          <w:iCs w:val="false"/>
          <w:color w:val="333333"/>
          <w:sz w:val="20"/>
          <w:szCs w:val="20"/>
        </w:rPr>
        <w:t>12:375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لفٌّ ونشرٌ مرتّبٌ، أی دلیل اعتبار الثلاث فی الحرّة إطلاق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المتناول للزوج الحرّ والعبد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إطلاق المطلّقة مقیّد بالحرّة؛ لروایة أبی بصیر 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الطلاق،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ودلیل اعتبار الطلقتین فی الأمة مع مطلق الزوج روایتا محمّد بن مسلم والحلبی عن الباقر والصادق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الحرّة إذا کانت تحت العبد ثلاث تطلیقات، وطلاق الأمة إذا کانت تحت الحرّ تطلیقتان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والعامّة جعلوا الاعتبار بالزوج، فإن کان حرّاً اعتبر الطلاق ثلاثاً وإن کانت الزوجة أمة، وإن کان عبداً ثبت التحریم بعد طلقتین وإن کانت الزوجة 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 xml:space="preserve">، ومغنی المحتاج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یطلّقها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رجلین، وتسع طلقات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شرائطه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رواها الشیخ فی الموثّق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والکافی فی الصحیح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اللعان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فی الموضع المتقدّم آنفاً، والمبسوط </w:t>
      </w:r>
      <w:r>
        <w:rPr>
          <w:rFonts w:eastAsia="IRNazanin" w:cs="IRNazanin"/>
          <w:b w:val="false"/>
          <w:bCs w:val="false"/>
          <w:i w:val="false"/>
          <w:iCs w:val="false"/>
          <w:color w:val="333333"/>
          <w:sz w:val="20"/>
          <w:szCs w:val="20"/>
        </w:rPr>
        <w:t>5:188</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والطوسی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اللعان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الشیخ آنفاً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إلّاأ نّه جوّز الدائم أیضاً اضطراراً،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العمّانی فی حرائر الیهود والنصاری، علی ما نقل عنه فی غایة المراد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وانظر کلامه فی المختلف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ونسبه فی کشف الرموز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إلی المفید فی المسائل الغریّة کما ونسب ذلک فی المختلف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المراد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ابن بابویه وابنه فی الفریقین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الیهودیّة والنصرانیّة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الذی استقرّ علیه رأی والدی المصنّف فی البحث، وابن فهد الحلّی فی المهذّب البارع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والمقتصر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وهناک أقوال وتفصیلات اُخری فی المسألة راجع للاطلاع علیها الإیضاح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وغایة المراد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الثانی فی جامع المقاصد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بذلک إلی ضابطٍ کلّی وهو أ نّه متی کان الفسخ منها قبل الدخول، فلا شیء لها ولایستثنی عن ذلک إلّاشیءٌ واحدٌ وهو ما لو فسخت قبله لعنّته فإنّ لها نصف المهر؛ للنصّ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والتدلیس، الحدیث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وعنهما فی الوسائل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بعلیّ بن حدید الواقع فی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الوسائل </w:t>
      </w:r>
      <w:r>
        <w:rPr>
          <w:rFonts w:eastAsia="IRNazanin" w:cs="IRNazanin"/>
          <w:b w:val="false"/>
          <w:bCs w:val="false"/>
          <w:i w:val="false"/>
          <w:iCs w:val="false"/>
          <w:color w:val="333333"/>
          <w:sz w:val="20"/>
          <w:szCs w:val="20"/>
        </w:rPr>
        <w:t>14:417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بوجوب جمیع المهر؛ لوجوبه بالعقد ولم یثبت تشطیره إلّابالطلاق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الفسخ جاء من قِبَلها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إسلام الکتابیّة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أسلمت فی العدّة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سائر المشرکین والملحدین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الحدیث الأوّل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التزوّج</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المبسوط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الوسائل </w:t>
      </w:r>
      <w:r>
        <w:rPr>
          <w:rFonts w:eastAsia="IRNazanin" w:cs="IRNazanin"/>
          <w:b w:val="false"/>
          <w:bCs w:val="false"/>
          <w:i w:val="false"/>
          <w:iCs w:val="false"/>
          <w:color w:val="333333"/>
          <w:sz w:val="20"/>
          <w:szCs w:val="20"/>
        </w:rPr>
        <w:t>14:424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وغیرهما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تصریحه به، نعم نسبه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المهذّب البارع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المفید،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فالمرسل مثل خبر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المشار إلیه فی الصفحة السابقة فی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والضعیف مثل خبر سهل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المشار إلیه فی الصفحة السابقة فی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فاسد المذهب، والمجهول کخبر فضیل بن یسار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المشار إلیه فی الصفحة السابقة فی الهامش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طریقه مروان بن مسلم وعلیّ بن یعقوب وهما مجهولان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وابن إدریس، راجع الصفحة المتقدّمة، التخریج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تظافر الأخبار علی المنع وذهاب المعظم إلیه، ومطلوبیّة الاحتیاط فی النکاح من جهة، وموافقة القول الثانی للاُصول وضعف ما دلّ علی خلافه من جهة اُخری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بتسلّطها علی الفسخ لابن إدریس فی السرائر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بالعدم للصیمری فی 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ونسب ذلک فی المهذّب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إلی المحقّق والعلّامة وولده ولکنّ الموجود فی کتبهم عدم اشتراط التمکّن ولم یتعرّضوا للفسخ</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الشیخ والعلّامة فی الصفحة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عدم شرطیّة التمکّن مع العلم بفقره وعدمه، ومع سبق عجزه أو تجدّده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الشافعی ذهب إلی أنّ الفاسق لیس بکفو للعدل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الشرح الکبیر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ومغنی المحتاج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16:292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44539</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الردّ والإجابة من المرأة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ونسبه فی غایة المرام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المعتمد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وفیه حدیث واحد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یحرم نکاح الشغار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الطبری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والتبیان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والشرح الکبیر </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17:356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ونیل الأوطار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وشرح النووی </w:t>
      </w:r>
      <w:r>
        <w:rPr>
          <w:rFonts w:eastAsia="IRNazanin" w:cs="IRNazanin"/>
          <w:b w:val="false"/>
          <w:bCs w:val="false"/>
          <w:i w:val="false"/>
          <w:iCs w:val="false"/>
          <w:color w:val="333333"/>
          <w:sz w:val="20"/>
          <w:szCs w:val="20"/>
        </w:rPr>
        <w:t>9:179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16:522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45728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7:203</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16:525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45739</w:t>
      </w:r>
      <w:r>
        <w:rPr>
          <w:rFonts w:ascii="IRNazanin" w:hAnsi="IRNazanin" w:eastAsia="IRNazanin"/>
          <w:b w:val="false"/>
          <w:b w:val="false"/>
          <w:bCs w:val="false"/>
          <w:i w:val="false"/>
          <w:i w:val="false"/>
          <w:iCs w:val="false"/>
          <w:color w:val="333333"/>
          <w:sz w:val="20"/>
          <w:sz w:val="20"/>
          <w:szCs w:val="20"/>
          <w:rtl w:val="true"/>
        </w:rPr>
        <w:t xml:space="preserve">، ونیل الأوطار </w:t>
      </w:r>
      <w:r>
        <w:rPr>
          <w:rFonts w:eastAsia="IRNazanin" w:cs="IRNazanin"/>
          <w:b w:val="false"/>
          <w:bCs w:val="false"/>
          <w:i w:val="false"/>
          <w:iCs w:val="false"/>
          <w:color w:val="333333"/>
          <w:sz w:val="20"/>
          <w:szCs w:val="20"/>
        </w:rPr>
        <w:t>6:134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w:t>
      </w:r>
      <w:r>
        <w:rPr>
          <w:rFonts w:eastAsia="IRNazanin" w:cs="IRNazanin"/>
          <w:b w:val="false"/>
          <w:bCs w:val="false"/>
          <w:i w:val="false"/>
          <w:iCs w:val="false"/>
          <w:color w:val="333333"/>
          <w:sz w:val="20"/>
          <w:szCs w:val="20"/>
        </w:rPr>
        <w:t>9:129</w:t>
      </w:r>
      <w:r>
        <w:rPr>
          <w:rFonts w:ascii="IRNazanin" w:hAnsi="IRNazanin" w:eastAsia="IRNazanin"/>
          <w:b w:val="false"/>
          <w:b w:val="false"/>
          <w:bCs w:val="false"/>
          <w:i w:val="false"/>
          <w:i w:val="false"/>
          <w:iCs w:val="false"/>
          <w:color w:val="333333"/>
          <w:sz w:val="20"/>
          <w:sz w:val="20"/>
          <w:szCs w:val="20"/>
          <w:rtl w:val="true"/>
        </w:rPr>
        <w:t xml:space="preserve">، ونیل الأوطار </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tl w:val="true"/>
        </w:rPr>
        <w:t xml:space="preserve">، وشرح النووی </w:t>
      </w:r>
      <w:r>
        <w:rPr>
          <w:rFonts w:eastAsia="IRNazanin" w:cs="IRNazanin"/>
          <w:b w:val="false"/>
          <w:bCs w:val="false"/>
          <w:i w:val="false"/>
          <w:iCs w:val="false"/>
          <w:color w:val="333333"/>
          <w:sz w:val="20"/>
          <w:szCs w:val="20"/>
        </w:rPr>
        <w:t>9:179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16:519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وسنّها،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سنّها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ولکنّه فی متعة الحجّ، ولم نعثر علی غیره فیه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شرعیّته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وجمعاً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ونصاب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فی الاختیاری وعدمه فی الاضطراری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الحدیث الأوّل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والسیّد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الحدیث الأوّل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حفص البختری فی الوسائل </w:t>
      </w:r>
      <w:r>
        <w:rPr>
          <w:rFonts w:eastAsia="IRNazanin" w:cs="IRNazanin"/>
          <w:b w:val="false"/>
          <w:bCs w:val="false"/>
          <w:i w:val="false"/>
          <w:iCs w:val="false"/>
          <w:color w:val="333333"/>
          <w:sz w:val="20"/>
          <w:szCs w:val="20"/>
        </w:rPr>
        <w:t>14:482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الحدیث الأوّل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الحدیث الأوّل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وابن فهد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بین الفقهاء</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قوله وإن نسب إلیه فی الإیضاح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بل ما أفاده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یوافق قول المشهور کما اعترف به فی کشف اللثام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الآیة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المحقّق الثانی فی جامع المقاصد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الإیجاز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المفید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المحقّق الثانی فی جامع المقاصد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صحیحة محمّد بن مسلم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ولیس فی طریقها محمّد بن مسلم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القاضی فی المهذّب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7:228</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العمانی کما نقل عنه العلّامة فی المختلف </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tl w:val="true"/>
        </w:rPr>
        <w:t>، والسیّد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المتعة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ابن أبی عقیل علی ما حکاه عنه العلّامة فی المختلف </w:t>
      </w:r>
      <w:r>
        <w:rPr>
          <w:rFonts w:eastAsia="IRNazanin" w:cs="IRNazanin"/>
          <w:b w:val="false"/>
          <w:bCs w:val="false"/>
          <w:i w:val="false"/>
          <w:iCs w:val="false"/>
          <w:color w:val="333333"/>
          <w:sz w:val="20"/>
          <w:szCs w:val="20"/>
        </w:rPr>
        <w:t>7:418</w:t>
      </w:r>
      <w:r>
        <w:rPr>
          <w:rFonts w:ascii="IRNazanin" w:hAnsi="IRNazanin" w:eastAsia="IRNazanin"/>
          <w:b w:val="false"/>
          <w:b w:val="false"/>
          <w:bCs w:val="false"/>
          <w:i w:val="false"/>
          <w:i w:val="false"/>
          <w:iCs w:val="false"/>
          <w:color w:val="333333"/>
          <w:sz w:val="20"/>
          <w:sz w:val="20"/>
          <w:szCs w:val="20"/>
          <w:rtl w:val="true"/>
        </w:rPr>
        <w:t>، والسیّد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المختلف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فی المختلف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الصدوق وابن الجنید، وراجع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واختاره ابن إدریس فی السرائر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الظهار،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العبارة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وضعفها بابن فضّال، فإنّه فطحیّ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والالتزام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واعتمد علیه العلّامة فی المختلف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الحدیث الأوّل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وقوّاه العلّامة فی المختلف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xml:space="preserve">، وجعله الأصحّ المحقّق الثانی فی جامع المقاصد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الوسائل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یتمتّع بها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الحدیث الأوّل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المحقّق فی الشرائع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والمختصر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7:268</w:t>
      </w:r>
      <w:r>
        <w:rPr>
          <w:rFonts w:ascii="IRNazanin" w:hAnsi="IRNazanin" w:eastAsia="IRNazanin"/>
          <w:b w:val="false"/>
          <w:b w:val="false"/>
          <w:bCs w:val="false"/>
          <w:i w:val="false"/>
          <w:i w:val="false"/>
          <w:iCs w:val="false"/>
          <w:color w:val="333333"/>
          <w:sz w:val="20"/>
          <w:sz w:val="20"/>
          <w:szCs w:val="20"/>
          <w:rtl w:val="true"/>
        </w:rPr>
        <w:t xml:space="preserve">، وغیرهما، والمحقّق الثانی فی جامع المقاصد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ونسبه فی المسالک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الأکثر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الحدیث الأوّل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إلی الشیخ فی النهایة کما فی غایة المراد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واختاره القاضی فی المهذّب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قولی الشیخ فی المبسوط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البیع، واختاره فخر المحقّقین فی الإیضاح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من العبد أو الحرّ، قاله الشیخ فی الخلاف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فی المختلف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منقول بالمضمون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فی غایة المرام وغیره إلی ابن حمزة، اُنظر غایة المرام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المحقّق فی الشرائع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علی العبد فی کسبه، قاله الشیخ فی المبسوط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 بأنّ العبد إن کان غیر مکتسب فعلی سیّده وإن کان مکتسباً فمولاه مخیّر، واختاره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غایة المرام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اعترف به فی المسالک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جامع المقاصد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احتمال اشتراکه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الأوّل مع بعض الاختلاف، ولعلّه خلط بین هذه الصحیحة وبین ما روی عن الحلبی عن الصادق علیه السلام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صحیحة محمّد بن مسلم المذکورة فی الصفحة السابقة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صحیحة محمّد بن مسلم المذکورة فی الصفحة السابقة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المشهور فی غایة المرام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سؤالٍ 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الآیة الحاصرة للحلّ من الأزواج أو ملک الأیمان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یحتمل إرادة منع الجمع الذی ادّعیتموه یحتمل إرادة منع الخلوّ منهما، فلا تدلّ علی منع الجمع، فإذا استباح بهما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وتقریر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المنفصلة یحتمل إرادة منع الجمع والخلوّ ومنع کلّ واحدٍ منهما علی انفراده، ومع قیام الاحتمال یتحقّق الجواز مع وجود أحدهما خاصّة، ویحصل الشکّ مع اجتماعهما، فیستصحب حکم المنع الثابت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أمکن إرادة منع الخلوّ؛ لأنّ مجرّد احتماله غیر کافٍ فی رفع الحظر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الحدیث الأوّل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إلی الأکثر، واختاره الإسکافی والعلّامة فی 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واعتمد علیه فی غایة المرام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ضعفها بمحمّد بن قیس، فإنّه مشترک بین الثقة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والمحقّق فی الشرائع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 نّه روی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زوجها کان حرّاً، فسقط الاستدلال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7:286</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 من أنّ الصیغة جملة واحدة لا تتمّ إلّابآخرها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فی جامع المقاصد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والمسالک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 وأ نّه مختار الشیخ وأتباعه وجماعة کابن إدریس والمحقّق وابن سعید والعلّامة، 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والجامع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الحدیث الأوّل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قطع به، نعم ذکر العلّامة فی القواعد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القبول علی إشکال، وقال المحقّق الثانی فی جامع المقاصد </w:t>
      </w:r>
      <w:r>
        <w:rPr>
          <w:rFonts w:eastAsia="IRNazanin" w:cs="IRNazanin"/>
          <w:b w:val="false"/>
          <w:bCs w:val="false"/>
          <w:i w:val="false"/>
          <w:iCs w:val="false"/>
          <w:color w:val="333333"/>
          <w:sz w:val="20"/>
          <w:szCs w:val="20"/>
        </w:rPr>
        <w:t>13:120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الکبری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النهایة ونکتها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الالتزام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القدیمان حسب ما نقل العلّامة فی المختلف </w:t>
      </w:r>
      <w:r>
        <w:rPr>
          <w:rFonts w:eastAsia="IRNazanin" w:cs="IRNazanin"/>
          <w:b w:val="false"/>
          <w:bCs w:val="false"/>
          <w:i w:val="false"/>
          <w:iCs w:val="false"/>
          <w:color w:val="333333"/>
          <w:sz w:val="20"/>
          <w:szCs w:val="20"/>
        </w:rPr>
        <w:t>7:378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 بعیداً من الصواب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والرقیق یُطلق علی الواحد والجمع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غیره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وغیره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فی المبسوط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7:277</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5096</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13:183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ابن إدریس فی السرائر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والمختصر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الجامع </w:t>
      </w:r>
      <w:r>
        <w:rPr>
          <w:rFonts w:eastAsia="IRNazanin" w:cs="IRNazanin"/>
          <w:b w:val="false"/>
          <w:bCs w:val="false"/>
          <w:i w:val="false"/>
          <w:iCs w:val="false"/>
          <w:color w:val="333333"/>
          <w:sz w:val="20"/>
          <w:szCs w:val="20"/>
        </w:rPr>
        <w:t>13:195</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بالعقد والملک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الحدیث الأوّل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البزنطی عن أبی الحسن علیه السلام، اُنظر الوسائل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الحدیث الأوّل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فی طریقها سهل بن زیاد وهو ضعیف، ولها طریق آخر حسن، فیه إبراهیم بن هاشم، ولم یبلغ حدّ الثقة وإن کان ممدوحاً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القائل، نعم احتمله المحقّق الثانی فی جامع المقاصد </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ألف ومئتا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 والمصدر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الحدیث الأوّل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مفضل بن عمر عن الصادق علیه السلام، اُنظر الوسائل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ضعفه أنّ فی طریقه محمّد بن سنان، وهو ضعیف غالٍ مطعون علیه باُمور کثیرة، وکذا المفضل بن عمر وهو مثله فی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الباب الأوّل من أبواب المهور، وغیره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الحدیث الأوّل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قیمته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الشیخ فی المبسوط </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المختلف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یعیّن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الحدیث الأوّل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ینتصف</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 نّه یستقرّ بالفرقة فی مواضع ولکنّها غیر 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الحدیث الأوّل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مقتضی إطلاق المحقّق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صرّح الشیخ فی المبسوط والأکثر، اُنظر الشرائع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فخر المحقّقین فی الإیضاح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اختیار الشیخ الطوسی فی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وادّعی فیه الإجماع، واختاره ابن إدریس فی السرائر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بمضمون هذه الأخبار بعض الأصحاب، لکنّها بعیدة عن اُصول المذهب بل إجماع الاُمّة، معارضة لما دلّ علی ثبوت المهر فی ذمّة الزوج علی کلّ حال من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فی الشرائع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ونسبه فی التنقیح الرائع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الأکثر، ومثله فی المسالک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الخلوة وإرخاء الستر ففیهما أقوال وتفصیلات، راجع الإیضاح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یأخذ السُریّة، 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المنسوبة إلی السرّ، وهو الجماع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فی المسالک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إفسادَ الشرط الفاسد للعقد إلی المحقّق والأکثر، وراجع للتفصیل مفتاح الکرامة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نعم قال العلّامة فی القواعد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الحکم بفساد الشرط وصحّة العقد والمهر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فساد المهر وجه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فیتجهّل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الحدیث الأوّل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13:398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الصداق</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فخر المحقّقین فی الإیضاح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التقدیرات التی بیّنها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موسراً کان الزوج أم معسراً</w:t>
      </w:r>
      <w:r>
        <w:rPr>
          <w:rFonts w:eastAsia="IRNazanin" w:cs="IRNazanin"/>
          <w:b w:val="false"/>
          <w:bCs w:val="false"/>
          <w:i w:val="false"/>
          <w:iCs w:val="false"/>
          <w:color w:val="333333"/>
          <w:sz w:val="20"/>
          <w:szCs w:val="20"/>
          <w:rtl w:val="true"/>
        </w:rPr>
        <w:t>. .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فی المسالک </w:t>
      </w:r>
      <w:r>
        <w:rPr>
          <w:rFonts w:eastAsia="IRNazanin" w:cs="IRNazanin"/>
          <w:b w:val="false"/>
          <w:bCs w:val="false"/>
          <w:i w:val="false"/>
          <w:iCs w:val="false"/>
          <w:color w:val="333333"/>
          <w:sz w:val="20"/>
          <w:szCs w:val="20"/>
        </w:rPr>
        <w:t>8:195</w:t>
      </w:r>
      <w:r>
        <w:rPr>
          <w:rFonts w:ascii="IRNazanin" w:hAnsi="IRNazanin" w:eastAsia="IRNazanin"/>
          <w:b w:val="false"/>
          <w:b w:val="false"/>
          <w:bCs w:val="false"/>
          <w:i w:val="false"/>
          <w:i w:val="false"/>
          <w:iCs w:val="false"/>
          <w:color w:val="333333"/>
          <w:sz w:val="20"/>
          <w:sz w:val="20"/>
          <w:szCs w:val="20"/>
          <w:rtl w:val="true"/>
        </w:rPr>
        <w:t xml:space="preserve">، وابن فهد فی المهذّب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ذلک من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حیث قیّد حقّ الامتناع بکون الزوج موسراً به قادراً علی أدائه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الواجب التسلیم من الجانبین، فإذا تعذّر أحدهما لم یجب علی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امتناع</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الصداق،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والمختصر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ونسبه فی جامع المقاصد </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عامّة المتأخّرین واختاره هو نفسه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لتسلیم،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لیسلّم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وجواهر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بکونه للدافع قوّاه العلّامة فی التحریر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ولم نعثر علی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بکونه للزوج قطع به الشیخ فی المبسوط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کسقوطه إذا کانت المفارقة قبل الدخول بغیر طلاق علی قول، أو موت أحدهما بعد الحلف قبل 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الوطء مجرّداً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 الشیخ</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وهو أحد قولیه فی الخلاف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هی روایة حسن بن زیاد، اُنظر الوسائل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ضعفها بأبی جمیلة الواقع فی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المنسوب إلی الشیخ وأتباعه، 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وإصباح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المختلف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واستحسنه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13:269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العیوب والتدلیس،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العیوب والتدلیس،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المختلف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والتدلیس،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 الحدیث الأوّل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أکثر المتقدّمین مثل الشیخ وأتباعه، 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تضخّمه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لونها وذهاب صفائها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الحمرة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وغِلظة فی الصوت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البرّاج فی المهذّب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واعتمد علیه العلّامة فی المختلف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للخصاء والعُنّة الوسائل </w:t>
      </w:r>
      <w:r>
        <w:rPr>
          <w:rFonts w:eastAsia="IRNazanin" w:cs="IRNazanin"/>
          <w:b w:val="false"/>
          <w:bCs w:val="false"/>
          <w:i w:val="false"/>
          <w:iCs w:val="false"/>
          <w:color w:val="333333"/>
          <w:sz w:val="20"/>
          <w:szCs w:val="20"/>
        </w:rPr>
        <w:t>14:608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العیوب والتدلیس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الجبّ فیمکن استفادة حکمه من الأخبار الواردة فی الخصاء والعُنّة کما قال فی المسالک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أبی عبیدة فی الوسائل </w:t>
      </w:r>
      <w:r>
        <w:rPr>
          <w:rFonts w:eastAsia="IRNazanin" w:cs="IRNazanin"/>
          <w:b w:val="false"/>
          <w:bCs w:val="false"/>
          <w:i w:val="false"/>
          <w:iCs w:val="false"/>
          <w:color w:val="333333"/>
          <w:sz w:val="20"/>
          <w:szCs w:val="20"/>
        </w:rPr>
        <w:t>14:596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 والتدلیس، الحدیث الأوّل، حیث ورد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دلّست نفسها، وإنّما یکون التدلیس مع وجود العیب قبل العقد، کما فی جامع المقاصد </w:t>
      </w:r>
      <w:r>
        <w:rPr>
          <w:rFonts w:eastAsia="IRNazanin" w:cs="IRNazanin"/>
          <w:b w:val="false"/>
          <w:bCs w:val="false"/>
          <w:i w:val="false"/>
          <w:iCs w:val="false"/>
          <w:color w:val="333333"/>
          <w:sz w:val="20"/>
          <w:szCs w:val="20"/>
        </w:rPr>
        <w:t>13:252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فی سنده سهل بن زیاد وهو ضعیف لفساد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فی العیوب کلّها، وقاله الأکثر فی العنن کما فی جامع المقاصد </w:t>
      </w:r>
      <w:r>
        <w:rPr>
          <w:rFonts w:eastAsia="IRNazanin" w:cs="IRNazanin"/>
          <w:b w:val="false"/>
          <w:bCs w:val="false"/>
          <w:i w:val="false"/>
          <w:iCs w:val="false"/>
          <w:color w:val="333333"/>
          <w:sz w:val="20"/>
          <w:szCs w:val="20"/>
        </w:rPr>
        <w:t>13:230</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حیث قالوا بثبوت الخیار فیه ولو تجدّد بعد العقد بشرط عدم الوطء، اُنظر الشرائع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ضعیفان لأنّ فی سند الأوّل غیاث الضبی وفی سند الثانی إسحاق بن عمّار وهما مجهولان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الرجل والمرأة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مصرّح بموضع الخلاف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نفخة فی الخصیة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لسان العرب </w:t>
      </w:r>
      <w:r>
        <w:rPr>
          <w:rFonts w:eastAsia="IRNazanin" w:cs="IRNazanin"/>
          <w:b w:val="false"/>
          <w:bCs w:val="false"/>
          <w:i w:val="false"/>
          <w:iCs w:val="false"/>
          <w:color w:val="333333"/>
          <w:sz w:val="20"/>
          <w:szCs w:val="20"/>
        </w:rPr>
        <w:t>9:293</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الأزهری حکی عن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وهو القرن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التحریر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إلی الشیخ، حیث حکم بثبوت الخیار فی العیوب الحادثة ولم یقیّد حدوثها بقبل الدخول، اُنظر المبسوط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العیوب والتدلیس،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بالفوریّة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کما فی المختلف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واختاره العلّامة، ونسبه إلی الصدوق فی المقنع وأبیه والشیخ فی النهایة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روایة أبی حمزة 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زوجة العنّین تعطی نصف الصداق ولا عدّة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الحدیث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ذلک ابن فهد فی المهذّب البارع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الإسکافی، واُنظر کلامه المنقول عنه فی المختلف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القولان فی عقد الأمة فی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 والتدلیس، الحدیث الأوّل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إلی الإسکافی، وانظر کلامه فی المختلف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المحقّق فی الشرائع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حیث لم یستثنِ شیئاً، ونسبه فی الریاض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تصریح جماعة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دویبة کالبرغوث</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یدخل فی فروج الجواری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حرقص</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والتدلیس،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اُنظر النهایة ونکتها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 الحدیث الأوّل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نکته علی النهایة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عٰاشِرُوهُنَّ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ذلک إلی المشهور فی المختلف </w:t>
      </w:r>
      <w:r>
        <w:rPr>
          <w:rFonts w:eastAsia="IRNazanin" w:cs="IRNazanin"/>
          <w:b w:val="false"/>
          <w:bCs w:val="false"/>
          <w:i w:val="false"/>
          <w:iCs w:val="false"/>
          <w:color w:val="333333"/>
          <w:sz w:val="20"/>
          <w:szCs w:val="20"/>
        </w:rPr>
        <w:t>7:318</w:t>
      </w:r>
      <w:r>
        <w:rPr>
          <w:rFonts w:ascii="IRNazanin" w:hAnsi="IRNazanin" w:eastAsia="IRNazanin"/>
          <w:b w:val="false"/>
          <w:b w:val="false"/>
          <w:bCs w:val="false"/>
          <w:i w:val="false"/>
          <w:i w:val="false"/>
          <w:iCs w:val="false"/>
          <w:color w:val="333333"/>
          <w:sz w:val="20"/>
          <w:sz w:val="20"/>
          <w:szCs w:val="20"/>
          <w:rtl w:val="true"/>
        </w:rPr>
        <w:t xml:space="preserve">، وغایة المراد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العلّامة فی المختلف، والقواعد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وابنه فی الإیضاح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الآیة المتقدّمة آنفاً وبعض الروایات الواردة فی هذا الباب، اُنظر الوسائل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الباب الأوّل من أبواب القسم والنشوز والشقاق، وغیره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المبسوط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الأکثر، واختاره المحقّق فی الشرائع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3:589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فی الشرائع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الشیخ فی المبسوط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وکنز العرفان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وجوب القسم بعد الابتداء کما هو قول الشیخ، أو مطلقاً کما هو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القسم، ویحیی بن سعید الحلّی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کان فی غرضها فلا قضاء؛ والتحریر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سافرت بإذنه لحاجة لها فالأقرب أنّ لها النفقة والقسم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حقّ</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إلی الإسکافی، وانظر عبارته فی المختلف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والنشوز والشقاق، الحدیث الأوّل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تسلیم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سندها غیر صحیح؛ لأنّ الکرخی 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والنشوز والشقاق، الحدیث الأوّل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المفترقات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المتفرّقة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منها ثنائیّة الاجتماع، وهی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حرّةٌ مسلمة وأمةٌ مسلمة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مسلمةٌ وکتابیّةٌ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مسلمةٌ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مسلمةٌ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کتابیّةٌ حرّةٌ وأمةٌ مسلمةٌ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کتابیّة حرّةٌ وکتابیّةٌ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 عشرة صورة ثلاثیّة، وهی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مسلمة وأمة مسلمة وکتابیّة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مسلمة وأمة مسلمة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مسلمة وکتابیّة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مسلمة وأمتان مسلمتان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وکتابیّتان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وأمتان کتابیّتان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وأمة مسلمة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مسلمتان وکتابیّة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کتابیّتان وأمة مسلمة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کتابیّتان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کتابیّة وأمة مسلمة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کتابیّة وأمتان مسلمتان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کتابیّة وأمتان کتابیّتان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وعشرون صورة رباعیّة، وهی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وأمتان مسلمتان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مسلمتان وکتابیّتان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مسلمتان وأمتان کتابیّتان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مسلمتان وأمة مسلمة وکتابیّة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مسلمتان وأمة مسلمة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حرّتان مسلمتان کتابیّة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أمتان مسلمتان وکتابیّتان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کتابیّتان وأمتان کتابیّتان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کتابیّتان وأمة مسلمة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مسلمة وکتابیّة وأمتان مسلمتان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مسلمة وکتابیّتان وأمة مسلمة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مسلمة وثلاث کتابیّات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مسلمة وکتابیّتان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مسلمة وثلاث کتابیّات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کتابیّة وثلاث کتابیّات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حرائر وأمة مسلمات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حرائر مسلمات وکتابیّة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حرائر مسلمات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مسلمة وکتابیّة وأمة مسلمة وأمة کتابیّة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أمتان کتابیّتان وحرّة مسلمة وحرّة کتابیّة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والمتّفقة من واحدةٍ إلی أربع حرائر مسلماتٍ، ومثلها کتابیّات واثنتان إماء مسلمات واثنتان إماء کتابیّات وهما واحدة واثنتان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القسمة فی المتفرّقة من ثمانیة فی عشرین صورة، ومن ستّ عشرة فی 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المتّفقة من أربع فی أربع، ومن ثمان فی ستّ، ومن ستّ عشرة فی اثنتین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قوبلت بالأصل، وفی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لیلتیهما،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لیلتهما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المبسوط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القاضی فی المهذّب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3:589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تسلیط الزوج الزوجة علی إتلاف العوض</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الضمیر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رجوعه إلی المعوَّض، ورجوعه إلی العوض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طال مکثه عند الضرّة لیلاً ثمّ خرج قضی مثل ذلک الزمان، والتحریر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استوعب اللیلة قضی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فی 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فی وجهه تقطیباً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ذلک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هذه فی الوسائل أیضاً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یخبرهما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الواجبة لها علیه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فَابْعَثُوا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2:730</w:t>
      </w:r>
      <w:r>
        <w:rPr>
          <w:rFonts w:ascii="IRNazanin" w:hAnsi="IRNazanin" w:eastAsia="IRNazanin"/>
          <w:b w:val="false"/>
          <w:b w:val="false"/>
          <w:bCs w:val="false"/>
          <w:i w:val="false"/>
          <w:i w:val="false"/>
          <w:iCs w:val="false"/>
          <w:color w:val="333333"/>
          <w:sz w:val="20"/>
          <w:sz w:val="20"/>
          <w:szCs w:val="20"/>
          <w:rtl w:val="true"/>
        </w:rPr>
        <w:t xml:space="preserve">، وقوّاه العلّامة فی المختلف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القاضی فی المهذّب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ذکرنا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الموضع، أ نّه علی طریق التوکیل والصحیح أ نّه علی طریق الحکم</w:t>
      </w:r>
      <w:r>
        <w:rPr>
          <w:rFonts w:eastAsia="IRNazanin" w:cs="IRNazanin"/>
          <w:b w:val="false"/>
          <w:bCs w:val="false"/>
          <w:i w:val="false"/>
          <w:iCs w:val="false"/>
          <w:color w:val="333333"/>
          <w:sz w:val="20"/>
          <w:szCs w:val="20"/>
          <w:rtl w:val="true"/>
        </w:rPr>
        <w:t>. .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غایة المرام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الأکثر، وفی المسالک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 واختاره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التنقیح الرائع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الشیخ فی المبسوط، ولکن لم نعثر علیه هناک، واستحسنه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القواعد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وفی التحریر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أشهر أو عشرة، والصیمری فی غایة المرام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وأبو العبّاس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ومال إلیه العلّامة فی المختلف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ولکن لم نعثر فی الروایات علی روایة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اعترف به فی المسالک </w:t>
      </w:r>
      <w:r>
        <w:rPr>
          <w:rFonts w:eastAsia="IRNazanin" w:cs="IRNazanin"/>
          <w:b w:val="false"/>
          <w:bCs w:val="false"/>
          <w:i w:val="false"/>
          <w:iCs w:val="false"/>
          <w:color w:val="333333"/>
          <w:sz w:val="20"/>
          <w:szCs w:val="20"/>
        </w:rPr>
        <w:t>8:377</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31:226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باب مولد النبیّ، والبحار </w:t>
      </w:r>
      <w:r>
        <w:rPr>
          <w:rFonts w:eastAsia="IRNazanin" w:cs="IRNazanin"/>
          <w:b w:val="false"/>
          <w:bCs w:val="false"/>
          <w:i w:val="false"/>
          <w:iCs w:val="false"/>
          <w:color w:val="333333"/>
          <w:sz w:val="20"/>
          <w:szCs w:val="20"/>
        </w:rPr>
        <w:t>15:248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ادّعی المحقّق الثانی عدم الخلاف فیه فی جامع المقاصد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ولکن اختار یحیی بن سعید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اللعان لنفی الولد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غایة المرام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اللعان، تقدّم عن المرتضی والمفید فی الصفحة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ونقل فی غایة المراد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سببیّة القذف للّعان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تعریف الوطء بأ نّه غیبوبة الحشفة قبلاً أو دبراً وإن لم یُنزل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قیّده فی التحریر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ورد فی بعض الأخبار، راجع الوسائل </w:t>
      </w:r>
      <w:r>
        <w:rPr>
          <w:rFonts w:eastAsia="IRNazanin" w:cs="IRNazanin"/>
          <w:b w:val="false"/>
          <w:bCs w:val="false"/>
          <w:i w:val="false"/>
          <w:iCs w:val="false"/>
          <w:color w:val="333333"/>
          <w:sz w:val="20"/>
          <w:szCs w:val="20"/>
        </w:rPr>
        <w:t>15:137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وبتربة قبر الحسین علیه السلام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تمراً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حنک</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 یّهما، وفی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ذلک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وفیما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 أیضاً بالنون،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موضع ذکره،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ز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فعله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المحیط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ویترک وسط الرأس</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أوّل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وعلیهم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بقیمتها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الورْک، والوَرِک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الفَخِذ، کالکَتِف فوق العَضُد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تجعل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لبأ</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المادّة نفسها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حقّ الولد الواجب علی الاُمّ، وحقّ الاُمّ وهو الاُجرة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بعدم استحقاقها الاُجرة علیه المقداد فی التنقیح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مستدلّاً بوجوب تقدّم العمل، ومانعاً لکونه لا یعیش بدونه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فی الشرائع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عدم السقوط، اختاره ابن إدریس فی السرائر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المنسوب إلی ابن الجنید والصدوق والشیخ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7:306</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النفقات، مع تفاوت بین ما قاله فی المقنع وهو فی مطلق الولد، وبین ما قاله الإسکافی والشیخ وهو فی البنت فقط</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التحریر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الشیخ فی الخلاف والمبسوط، اُنظر الخلاف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النفقات، والمبسوط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العلّامة فی 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اعترافه بعدم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للعلّامة فی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القول إلی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ساکتاً علی الحکایة؛ لتردّده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العلّامة فی القواعد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وتتساوی العمّة والخالة علی إشکال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لابن إدریس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ویظهر من المحقّق المیل إلیه؛ لأنّه تردّد فی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العقل والإسلام والحرّیّة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التزویج دائمیّاً أو موقّتاً، والطفل مؤنّثاً أم مذکّراً، مدّة الحضانة أو بعدها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القرابة بالولادة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فی المبسوط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النفقات، والقاضی فی المهذّب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التمکّن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النفقات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الآیة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 وغیرهما، والأخبار المنقولة عن المعصومین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15:223</w:t>
      </w:r>
      <w:r>
        <w:rPr>
          <w:rFonts w:ascii="IRNazanin" w:hAnsi="IRNazanin" w:eastAsia="IRNazanin"/>
          <w:b w:val="false"/>
          <w:b w:val="false"/>
          <w:bCs w:val="false"/>
          <w:i w:val="false"/>
          <w:i w:val="false"/>
          <w:iCs w:val="false"/>
          <w:color w:val="333333"/>
          <w:sz w:val="20"/>
          <w:sz w:val="20"/>
          <w:szCs w:val="20"/>
          <w:rtl w:val="true"/>
        </w:rPr>
        <w:t>، الباب الأوّل من أبواب النفقات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للناشز، وهکذا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غایة المرام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حالة السکوت وعدم ظهور علامات التمکین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عدم کون التمکین شرطاً فی وجوب الإنفاق المشار إلیه آنفاً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نظر</w:t>
      </w:r>
      <w:r>
        <w:rPr>
          <w:rFonts w:eastAsia="IRNazanin" w:cs="IRNazanin"/>
          <w:b w:val="false"/>
          <w:bCs w:val="false"/>
          <w:i w:val="false"/>
          <w:iCs w:val="false"/>
          <w:color w:val="333333"/>
          <w:sz w:val="20"/>
          <w:szCs w:val="20"/>
          <w:rtl w:val="true"/>
        </w:rPr>
        <w:t>. .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الرعونة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والاسترخاء</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 التملیک الشیخ فی المبسوط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والمحقّق کما نسبه إلیه فی المسالک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وانظر الشرائع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القول بالإمتاع فاختاره العلّامة فی الإرشاد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وقال بأولویّته الفاضل المقداد فی التنقیح الرائع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النسبیّة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فی الشرائع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والمختصر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ویحیی بن سعید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فی الإیضاح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والتنقیح الرائع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إلی الشیخ، ولکنّه فی المبسوط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الوجوب إلی روایة وحملها علی الاستحباب، کما فی المسالک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احتمله فی الخلاف کما فی کشف اللثام </w:t>
      </w:r>
      <w:r>
        <w:rPr>
          <w:rFonts w:eastAsia="IRNazanin" w:cs="IRNazanin"/>
          <w:b w:val="false"/>
          <w:bCs w:val="false"/>
          <w:i w:val="false"/>
          <w:iCs w:val="false"/>
          <w:color w:val="333333"/>
          <w:sz w:val="20"/>
          <w:szCs w:val="20"/>
        </w:rPr>
        <w:t>7:595</w:t>
      </w:r>
      <w:r>
        <w:rPr>
          <w:rFonts w:ascii="IRNazanin" w:hAnsi="IRNazanin" w:eastAsia="IRNazanin"/>
          <w:b w:val="false"/>
          <w:b w:val="false"/>
          <w:bCs w:val="false"/>
          <w:i w:val="false"/>
          <w:i w:val="false"/>
          <w:iCs w:val="false"/>
          <w:color w:val="333333"/>
          <w:sz w:val="20"/>
          <w:sz w:val="20"/>
          <w:szCs w:val="20"/>
          <w:rtl w:val="true"/>
        </w:rPr>
        <w:t>، ولکنّه قوّی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النفقات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التحریر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النفقة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منه هو الأمر بالمصاحبة بالمعروف کما فی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31:377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أمر الحاکم له لم یذکرها الأصحاب، فإنّهم اقتصروا علی أمره بالاستدانة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 حکم أب اُمّ الأب وإن علا وکذا حکم أب اُمّ الجدّ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الذکر والاُنثی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بملک الرقیق</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البهائم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مأوی الإبل والبقر والغنم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دون الغالب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 والإنفاق والذبح</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موضعها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 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نعثر علی القائل بکفایتها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نسب ذلک فی التنقیح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البارع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الشیخ فی المبسوط، ولکن لم نعثر علیه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فالمشهور عدم کفایتها أیضاً، ونسب فی الشرائع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والتحریر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القول بکفایتها إلی الشیخ إذا نوی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صیغة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طلّقت 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فی المهذّب البارع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طلّقت فلانة مُنشأً،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لوقوعه بما یتضمّنه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طلّقت؟ فیقول نعم، فمع صریحه أولی ونقل منعه عن الشیخ</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المتقدّمة،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الاستدلال فی النهایة ولا فی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ذکره فی الإیضاح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التخریج المتقدّم آنفاً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 والبتل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والطوسی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تلفّظ</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فی المسالک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الأصحاب علی عدم وقوع الطلاق بالکتابة للحاضر القادر علی التلفّظ، واختلفوا فی وقوعه من الغائب فذهب الأکثر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الشیخ فی المبسوط والخلاف مدّعیاً فیه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العدم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المبسوط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للأکثر کما فی السرائر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بالوقوع القدیمان، اُنظر عبارتیهما فی المختلف </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tl w:val="true"/>
        </w:rPr>
        <w:t xml:space="preserve">، وهو المنسوب إلی السیّد المرتضی وظاهر ابنی بابویه فی المسالک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وانظر رسائل الشریف المرتضی المجموعة الاُولی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أصالة بقاء النکاح وغیرها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 فی الهامش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تخیّرها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الإیضاح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واحدة، وهکذا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توکّده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روایة زرارة فی الوسائل </w:t>
      </w:r>
      <w:r>
        <w:rPr>
          <w:rFonts w:eastAsia="IRNazanin" w:cs="IRNazanin"/>
          <w:b w:val="false"/>
          <w:bCs w:val="false"/>
          <w:i w:val="false"/>
          <w:iCs w:val="false"/>
          <w:color w:val="333333"/>
          <w:sz w:val="20"/>
          <w:szCs w:val="20"/>
        </w:rPr>
        <w:t>15:314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السیّد المرتضی فی أحد قولیه، والعمانی وابن حمزة والدیلمی، اُنظر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7:353</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7:354</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وغایة المراد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ابن إدریس والمتأخّرین کما فی المسالک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وانظر السرائر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فیه إلی أبی الصلاح، وانظر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بالصحّة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والطوسی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وهو المنسوب إلی الإسکافی وابن بابویه، اُنظر المختلف </w:t>
      </w:r>
      <w:r>
        <w:rPr>
          <w:rFonts w:eastAsia="IRNazanin" w:cs="IRNazanin"/>
          <w:b w:val="false"/>
          <w:bCs w:val="false"/>
          <w:i w:val="false"/>
          <w:iCs w:val="false"/>
          <w:color w:val="333333"/>
          <w:sz w:val="20"/>
          <w:szCs w:val="20"/>
        </w:rPr>
        <w:t>7:366</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والمصنّف هنا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الحدیث الأوّل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الخلع</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أجبره الحاکم علی بیع شیء من أمواله لأداء دینه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شتماً أو ضرباً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أکثر النسخ،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الإیقاعات، لکن فی نسخة بدلها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الإیقاع</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المبسوط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الشیخ، فمنع تولّیها طلاق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استناداً إلی ما ذکرناه من الوجهین وأجبنا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وقابلة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تقدیرها بمدّة، وهو المنسوب إلی المفید وابن بابویه والعمانی وأبی الصلاح والدیلمی،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 بشهر، اختاره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بثلاثة أشهر، اختاره الإسکافی، والعلّامة فی المختلف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 بمضیّ مدّة یعلم انتقالها من الطهر الذی واقعها فیه إلی آخر بحسب عادتها، وهو المنسوب إلی الشیخ فی الاستبصار، وابن إدریس، وأکثر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 بمضیّ ما بین شهر إلی ثلاثة أشهر، وهو المنسوب إلی الشیخ فی موضع آخر من النهایة، وابن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للتفصیل الإیضاح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فی ضمن رسائل الشهید الثانی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الرسالة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نسبه الشارح للمصنّف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فی المسالک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 لما فی الطبعة الحجریّة لغایة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ذکر الرأیین فی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الاشتراط وعدمه ثمّ علّق علیه بعبارة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فی الطبعة المحقّقة لغایة المراد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اُضیفت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فنسب إلیه تقویة الرأی الأوّل، والظاهر أ نّه سهو فی التحقیق أو فی اختیار النسخة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تعیّنه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الوسائل </w:t>
      </w:r>
      <w:r>
        <w:rPr>
          <w:rFonts w:eastAsia="IRNazanin" w:cs="IRNazanin"/>
          <w:b w:val="false"/>
          <w:bCs w:val="false"/>
          <w:i w:val="false"/>
          <w:iCs w:val="false"/>
          <w:color w:val="333333"/>
          <w:sz w:val="20"/>
          <w:szCs w:val="20"/>
        </w:rPr>
        <w:t>15:267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مقدّمات الطلاق،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لثالثة، بمعنی أنّ ثلاثة أنسب من الثالثة؛ لتعلّق الحکم بالثلاثة لا بالثالثة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فیه الإضافة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 اثنین، وثالث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للکتابة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بالعدّی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بإلحاق المختلعة وعدم إلحاق المعقود علیها للعلّامة فی التحریر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الرقم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بعدم إلحاقهما أو إلحاق المعقود علیها فلم نعثر علی قائله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15:356</w:t>
      </w:r>
      <w:r>
        <w:rPr>
          <w:rFonts w:ascii="IRNazanin" w:hAnsi="IRNazanin" w:eastAsia="IRNazanin"/>
          <w:b w:val="false"/>
          <w:b w:val="false"/>
          <w:bCs w:val="false"/>
          <w:i w:val="false"/>
          <w:i w:val="false"/>
          <w:iCs w:val="false"/>
          <w:color w:val="333333"/>
          <w:sz w:val="20"/>
          <w:sz w:val="20"/>
          <w:szCs w:val="20"/>
          <w:rtl w:val="true"/>
        </w:rPr>
        <w:t>، ذیل الحدیث المتقدّم آنفاً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الوسائل </w:t>
      </w:r>
      <w:r>
        <w:rPr>
          <w:rFonts w:eastAsia="IRNazanin" w:cs="IRNazanin"/>
          <w:b w:val="false"/>
          <w:bCs w:val="false"/>
          <w:i w:val="false"/>
          <w:iCs w:val="false"/>
          <w:color w:val="333333"/>
          <w:sz w:val="20"/>
          <w:szCs w:val="20"/>
        </w:rPr>
        <w:t>15:353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15:356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عموم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طَلَّقَهٰا فَلاٰ تَحِلُّ لَهُ مِنْ بَعْدُ حَتّٰی تَنْکِحَ زَوْجاً غَیْرَهُ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الحلّی فی المهذّب البارع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مضت ثلاثة أشهر أم لا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الصدوقین فی الرسالة والمقنع، وهو أ نّه إذا راجع الحبلی قبل أن تضع أو یمضی لها ثلاثة أشهر ثمّ أراد طلاقها ثانیاً لم یکن له ذلک إلّابعد الوضع والطهر، ولم یفصّلا، اُنظر المختلف </w:t>
      </w:r>
      <w:r>
        <w:rPr>
          <w:rFonts w:eastAsia="IRNazanin" w:cs="IRNazanin"/>
          <w:b w:val="false"/>
          <w:bCs w:val="false"/>
          <w:i w:val="false"/>
          <w:iCs w:val="false"/>
          <w:color w:val="333333"/>
          <w:sz w:val="20"/>
          <w:szCs w:val="20"/>
        </w:rPr>
        <w:t>7:362</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الإسکافی وهو أ نّه إذا أراد طلاقها بعد الرجعة وکان قد واقعها، اشترط مضیّ شهر من المواقعة، وکذا فی الثالث، ویحرم حتّی المحلّل، اُنظر المختلف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الشیخ والقاضی وابن حمزة بالمنع من طلاق السنّة، بمعنی أ نّه إذا طلّقها وراجعها ولم یواقعها فلیس له طلاقها حتّی تضع ما فی بطنها، 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إدریس، واختاره المتأخّرون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غایة المرام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المحقّق والعلّامة، وهو أ نّه یجوز طلاقها للسنّة کما یجوز للعدّة، اُنظر السرائر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والنهایة ونکتها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7:364</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وراجع للتفصیل الإیضاح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مَرَّتٰانِ فَإِمْسٰاکٌ بِمَعْرُوفٍ أَوْ تَسْرِیحٌ بِإِحْسٰانٍ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یرد فی المخطوطات، إلّاأ نّه صحّح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لما فی التهذیب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أحکام الطلاق، الحدیث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والوسائل ونصّ الحدیث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رجل طلّق امرأته ثمّ راجعها بشهود، ثمّ طلّقها، ثمّ بدا له فراجعها بشهود، ثمّ طلّقها فراجعها بشهود تبین منه؟ </w:t>
      </w:r>
      <w:r>
        <w:rPr>
          <w:rFonts w:eastAsia="IRNazanin" w:cs="IRNazanin"/>
          <w:b w:val="false"/>
          <w:bCs w:val="false"/>
          <w:i w:val="false"/>
          <w:iCs w:val="false"/>
          <w:color w:val="333333"/>
          <w:sz w:val="20"/>
          <w:szCs w:val="20"/>
          <w:rtl w:val="true"/>
        </w:rPr>
        <w:t>. . .»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عبد الرحمن بن الحجّاج، الوسائل </w:t>
      </w:r>
      <w:r>
        <w:rPr>
          <w:rFonts w:eastAsia="IRNazanin" w:cs="IRNazanin"/>
          <w:b w:val="false"/>
          <w:bCs w:val="false"/>
          <w:i w:val="false"/>
          <w:iCs w:val="false"/>
          <w:color w:val="333333"/>
          <w:sz w:val="20"/>
          <w:szCs w:val="20"/>
        </w:rPr>
        <w:t>15:376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حسنة السند، والاُولی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إسحاق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لکنّها معتضدة بعموم القرآن والأخبار الصحیحة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صحیحة عبد الحمید وصحیحة البزنطی، اُنظر الوسائل </w:t>
      </w:r>
      <w:r>
        <w:rPr>
          <w:rFonts w:eastAsia="IRNazanin" w:cs="IRNazanin"/>
          <w:b w:val="false"/>
          <w:bCs w:val="false"/>
          <w:i w:val="false"/>
          <w:iCs w:val="false"/>
          <w:color w:val="333333"/>
          <w:sz w:val="20"/>
          <w:szCs w:val="20"/>
        </w:rPr>
        <w:t>15:378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 ابن أبی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فی المختلف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نعرف مخالفاً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تخریجه تفصیلاً فی الصفحة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بکیر، وسبق فی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7:335</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احترز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عن مثل ما أسلم عن أزید من أربعٍ فاختار أربعاً أو مات قبل البیان أو مات قبل الاختیار، فقد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سهم الزوجة یقسم بینهنّ أجمع، لکنّ الأقوی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کان لم یحصل الاتّفاق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وولده فی القواعد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تدخل فیه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اللحظة الأخیرة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الشیخ فی المبسوط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ومصحّحة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عدلین أو</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الحدیث الأوّل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عدّة الوفاة فی غیر المدخول بها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الأشهر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صحیحة زرارة عن الباقر علیه السلام، اُنظر الوسائل </w:t>
      </w:r>
      <w:r>
        <w:rPr>
          <w:rFonts w:eastAsia="IRNazanin" w:cs="IRNazanin"/>
          <w:b w:val="false"/>
          <w:bCs w:val="false"/>
          <w:i w:val="false"/>
          <w:iCs w:val="false"/>
          <w:color w:val="333333"/>
          <w:sz w:val="20"/>
          <w:szCs w:val="20"/>
        </w:rPr>
        <w:t>15:472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والطوسی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الحکم وهو التربّص تسعة أشهرٍ أو سنةً ثمّ الاعتداد بعده هو المشهور بین الأصحاب لا نعلم فیه مخالفاً، والمرویّ فیه خبر عمّار الساباطی عن أبی عبد اللّٰه علیه السلام المشتمل علی التربّص سنةً وثلاثة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التربّص تسعة فلیس بمرویّ، لکنّه علیه أکثر الأصحاب والعمل به أقوی، وإن نقل بأ نّها أقصی الحمل مطلقاً لأنّها أقصاه غالباً تقریباً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براءة الذمّة من التربّص فیما زاد مع ضعف مستند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محمّد بن مسلم وأبو بصیر فی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وزرارة فی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من مضی علیها ثلاثة أشهر لا تحیض فیها تبین بالثلاثة من غیر 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الاستدلال بهما علی الاکتفاء بالتسعة وإن لم یکن ثَمّ نصٌّ إن لم نقل بالاکتفاء بما هو أقلّ، حیث إنّ ظاهر الأصحاب الاتّفاق علی عدم انقضاء العدّة بما دون التسعة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فی المسالک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الأکثر، واختاره الشیخ فی الاستبصار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2:740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وابن فهد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إذا کان المحتبس هو الدم الثالث، وتبعه القاضی فی المهذّب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التحریر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مورد تأخیر الثانیة والثالثة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لکن فیما لو رأت الدم فی الثلاثة أشهر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بأیدینا من کتبه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مسحوق أبیض لزینة النساء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سفید آب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بعدم الحداد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ونسبه فی المختلف </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الإسکافی، والمحقّق فی الشرائع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واختاره المصنّف فی غایة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ونسبه فی التنقیح الرائع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متقدّمی أصحابنا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إدریس فی السرائر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وهو ظاهر شیخنا المفید وابن أبی عقیل وأبی الصلاح وسلّار وابن حمزة حیث لم یفصلوا بین الحرّة والأمة، اُنظر المختلف </w:t>
      </w:r>
      <w:r>
        <w:rPr>
          <w:rFonts w:eastAsia="IRNazanin" w:cs="IRNazanin"/>
          <w:b w:val="false"/>
          <w:bCs w:val="false"/>
          <w:i w:val="false"/>
          <w:iCs w:val="false"/>
          <w:color w:val="333333"/>
          <w:sz w:val="20"/>
          <w:szCs w:val="20"/>
        </w:rPr>
        <w:t>7:496</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کالإخبار بالطلاق أو الارتداد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الطلاق،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 الأوّل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سماعة واقفیّ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خبر سماعة وحسنة برید المتقدّم تخریجهما فی الصفحة السابقة، ومرسلة الصدوق المنقولة فی الوسائل </w:t>
      </w:r>
      <w:r>
        <w:rPr>
          <w:rFonts w:eastAsia="IRNazanin" w:cs="IRNazanin"/>
          <w:b w:val="false"/>
          <w:bCs w:val="false"/>
          <w:i w:val="false"/>
          <w:iCs w:val="false"/>
          <w:color w:val="333333"/>
          <w:sz w:val="20"/>
          <w:szCs w:val="20"/>
        </w:rPr>
        <w:t>15:390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خبر سماعة وحسنة برید المتقدّمین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أکثر المتقدّمین والمتأخّرین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نُسب إلی الشیخ فی المبسوط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قوّی فیه ردّها إلی الزوج إن لم تتزوّج، کما ذهب إلی ذلک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أ نّه أملک بها، ذهب إلیه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العدّة، وقوّاه فخر المحقّقین فی الإیضاح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قول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 نّه إن کانت العدّة بعد طلاق الولیّ فلا سبیل للزوج علیها، وإن کانت العدّة بأمر الحاکم من غیر طلاق فهو أملک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ذلک العلّامة فی المختلف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حسنة برید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الحکم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الحدیث الأوّل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فی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ونفی عنه البأس العلّامة فی المختلف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مال إلیه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وجزم به فی التحریر فی موضع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واختار أ نّها کالحرّة فی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المسألة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ویمکن الاحتجاج علیه بصحیحة سلیمان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علیه السلام قال فی اُمّهات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یتزوّجن حتّی یعتددن أربعة أشهر وعشراً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عامّةٌ فی موت سیّدها وزوجها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الدخول السابق من المولی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فبثلاثة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سنّ المحیض</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نشوزها قبل الطلاق وفی زمن العدّة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یَأْتِینَ بِفٰاحِشَةٍ مُبَیِّنَةٍ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 والأوفق للعبارة إسقاطه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مرویّتان عن الرضا علیه السلام فی الوسائل </w:t>
      </w:r>
      <w:r>
        <w:rPr>
          <w:rFonts w:eastAsia="IRNazanin" w:cs="IRNazanin"/>
          <w:b w:val="false"/>
          <w:bCs w:val="false"/>
          <w:i w:val="false"/>
          <w:iCs w:val="false"/>
          <w:color w:val="333333"/>
          <w:sz w:val="20"/>
          <w:szCs w:val="20"/>
        </w:rPr>
        <w:t>15:439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الشیخ فی المبسوط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المختلف </w:t>
      </w:r>
      <w:r>
        <w:rPr>
          <w:rFonts w:eastAsia="IRNazanin" w:cs="IRNazanin"/>
          <w:b w:val="false"/>
          <w:bCs w:val="false"/>
          <w:i w:val="false"/>
          <w:iCs w:val="false"/>
          <w:color w:val="333333"/>
          <w:sz w:val="20"/>
          <w:szCs w:val="20"/>
        </w:rPr>
        <w:t>7:495</w:t>
      </w:r>
      <w:r>
        <w:rPr>
          <w:rFonts w:ascii="IRNazanin" w:hAnsi="IRNazanin" w:eastAsia="IRNazanin"/>
          <w:b w:val="false"/>
          <w:b w:val="false"/>
          <w:bCs w:val="false"/>
          <w:i w:val="false"/>
          <w:i w:val="false"/>
          <w:iCs w:val="false"/>
          <w:color w:val="333333"/>
          <w:sz w:val="20"/>
          <w:sz w:val="20"/>
          <w:szCs w:val="20"/>
          <w:rtl w:val="true"/>
        </w:rPr>
        <w:t>، ونسبه إلی ظاهر کلام ابن حمزة، اُنظر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هو المنسوب إلی ابن زهرة، اُنظر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عنه الشیخ فی المبسوط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الأخیر،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الماتن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فی المبسوط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ونسبه فی المسالک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بالعدم لابن إدریس فی السرائر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فی المسالک </w:t>
      </w:r>
      <w:r>
        <w:rPr>
          <w:rFonts w:eastAsia="IRNazanin" w:cs="IRNazanin"/>
          <w:b w:val="false"/>
          <w:bCs w:val="false"/>
          <w:i w:val="false"/>
          <w:iCs w:val="false"/>
          <w:color w:val="333333"/>
          <w:sz w:val="20"/>
          <w:szCs w:val="20"/>
        </w:rPr>
        <w:t>8:453</w:t>
      </w:r>
      <w:r>
        <w:rPr>
          <w:rFonts w:ascii="IRNazanin" w:hAnsi="IRNazanin" w:eastAsia="IRNazanin"/>
          <w:b w:val="false"/>
          <w:b w:val="false"/>
          <w:bCs w:val="false"/>
          <w:i w:val="false"/>
          <w:i w:val="false"/>
          <w:iCs w:val="false"/>
          <w:color w:val="333333"/>
          <w:sz w:val="20"/>
          <w:sz w:val="20"/>
          <w:szCs w:val="20"/>
          <w:rtl w:val="true"/>
        </w:rPr>
        <w:t>، المراد بالروایة الجنس؛ لأنّه ورد بعدم الإنفاق أربع روایات معتبرات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الوسائل </w:t>
      </w:r>
      <w:r>
        <w:rPr>
          <w:rFonts w:eastAsia="IRNazanin" w:cs="IRNazanin"/>
          <w:b w:val="false"/>
          <w:bCs w:val="false"/>
          <w:i w:val="false"/>
          <w:iCs w:val="false"/>
          <w:color w:val="333333"/>
          <w:sz w:val="20"/>
          <w:szCs w:val="20"/>
        </w:rPr>
        <w:t>15:234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الإسکافی کما نقله عنه العلّامة فی المختلف </w:t>
      </w:r>
      <w:r>
        <w:rPr>
          <w:rFonts w:eastAsia="IRNazanin" w:cs="IRNazanin"/>
          <w:b w:val="false"/>
          <w:bCs w:val="false"/>
          <w:i w:val="false"/>
          <w:iCs w:val="false"/>
          <w:color w:val="333333"/>
          <w:sz w:val="20"/>
          <w:szCs w:val="20"/>
        </w:rPr>
        <w:t>7:498</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المنصوصة هی الحداد، اُنظر الوسائل </w:t>
      </w:r>
      <w:r>
        <w:rPr>
          <w:rFonts w:eastAsia="IRNazanin" w:cs="IRNazanin"/>
          <w:b w:val="false"/>
          <w:bCs w:val="false"/>
          <w:i w:val="false"/>
          <w:iCs w:val="false"/>
          <w:color w:val="333333"/>
          <w:sz w:val="20"/>
          <w:szCs w:val="20"/>
        </w:rPr>
        <w:t>15:446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خالعتکِ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اختاره الشیخ فی المبسوط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بن بکیر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الخلع والمباراة، الحدیث الأوّل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عنه فی المختلف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7:393</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نوح</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وهو الموجود فی نسخ التهذیب، والصواب إثبات الألف؛ لأنّه خبر لیس فیکون منصوباً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تکلّف به شیخنا الشهید فی شرح الإرشاد من کون اسم لیس ضمیر الشأن، فلا یناسب الترکیب، وذکر أ نّه وجد مضبوطاً بخطّ بعض الأفاضل بفتح الخاء واللام والعین بجعله فعلاً ماضیاً واستحسنه، ولیس بشیء</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الخلع والمباراة،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الخلع والمباراة،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الخلع والمباراة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روایة موسی بن بکر، وضعف سنده من جهة أنّ فی طریقه ابن فضّال وإبراهیم بن أبی سماک وموسی بن بکر، والأوّل فطحی، والآخران واقفیّان ضعیفان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السیّد فی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وهو المنسوب إلی الإسکافی علی ما حکی عنه فی المختلف </w:t>
      </w:r>
      <w:r>
        <w:rPr>
          <w:rFonts w:eastAsia="IRNazanin" w:cs="IRNazanin"/>
          <w:b w:val="false"/>
          <w:bCs w:val="false"/>
          <w:i w:val="false"/>
          <w:iCs w:val="false"/>
          <w:color w:val="333333"/>
          <w:sz w:val="20"/>
          <w:szCs w:val="20"/>
        </w:rPr>
        <w:t>7:396</w:t>
      </w:r>
      <w:r>
        <w:rPr>
          <w:rFonts w:ascii="IRNazanin" w:hAnsi="IRNazanin" w:eastAsia="IRNazanin"/>
          <w:b w:val="false"/>
          <w:b w:val="false"/>
          <w:bCs w:val="false"/>
          <w:i w:val="false"/>
          <w:i w:val="false"/>
          <w:iCs w:val="false"/>
          <w:color w:val="333333"/>
          <w:sz w:val="20"/>
          <w:sz w:val="20"/>
          <w:szCs w:val="20"/>
          <w:rtl w:val="true"/>
        </w:rPr>
        <w:t xml:space="preserve">، وغایة المراد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اختیارهما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الأوّل للشیخ فی الخلاف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تخریجه فی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المتقدّمة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الشهید فی متن الکتاب، اُنظر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الشیخ فی المبسوط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 واستقربه المحقّق فی الشرائع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الأشبه المنع، واستقربه العلّامة فی القواعد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واعتمد علیه ولده فی الإیضاح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بالصحّة فلم یعلم قائله من الأصحاب کما اعترف به فی المسالک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یصحّ عند المخالفین، بل جاء فی المغنی المطبوع مع الشرح الکبیر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قول أکثر أهل العلم، وقال أبو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أیضاً الخلاف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من الأجنبی الباذل</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xml:space="preserve">، وقاله القاضی فی المهذّب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المکاتبة خالیاً من قید المطلقة والمشروطة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کراهیتها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کالمماطل بأداء الدین والمحجور علیه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التبیان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 والراوندی فی فقه القرآن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والطبرسی فی مجمع البیان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الشافعی فی أحد قولیه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والشرح الکبیر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وانظر المجموع </w:t>
      </w:r>
      <w:r>
        <w:rPr>
          <w:rFonts w:eastAsia="IRNazanin" w:cs="IRNazanin"/>
          <w:b w:val="false"/>
          <w:bCs w:val="false"/>
          <w:i w:val="false"/>
          <w:iCs w:val="false"/>
          <w:color w:val="333333"/>
          <w:sz w:val="20"/>
          <w:szCs w:val="20"/>
        </w:rPr>
        <w:t>18:145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بعض المفسّرین مثل عطاء وغیره، اُنظر تفسیر الطبری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والجامع لأحکام القرآن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تَعْضُلُوهُنَّ</w:t>
      </w:r>
      <w:r>
        <w:rPr>
          <w:rFonts w:eastAsia="IRNazanin" w:cs="IRNazanin"/>
          <w:b w:val="false"/>
          <w:bCs w:val="false"/>
          <w:i w:val="false"/>
          <w:iCs w:val="false"/>
          <w:color w:val="333333"/>
          <w:sz w:val="20"/>
          <w:szCs w:val="20"/>
          <w:rtl w:val="true"/>
        </w:rPr>
        <w:t>. . .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اَلزّٰانِیَةُ وَ اَلزّٰانِی فَاجْلِدُوا کُلَّ وٰاحِدٍ مِنْهُمٰا مِائَةَ جَلْدَةٍ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جواز العضل، ولم نعثر علی موضع اختیاره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المسالک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ورجّح الشهید فی بعض تحقیقاته تقییده بما وصل إلیها منه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15:386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الخلع،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مقول قول النبیّ صلی الله علیه و آله الأوّل الذی أشار إلیه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واستناداً إلی قول النبیّ 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یَأْتِینَ بِفٰاحِشَةٍ مُبَیِّنَةٍ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المبسوط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والکراهة،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الکراهة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الاُخت، أو الرابعة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الشرط مقدّمٌ علی المشروط، فلو توقّف وجود الشرط علی وجود المشروط لزم تأخّره عنه، فیتوقّف الشیء علی نفسه، وذلک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دفعه بأنّ المشروط هو جواز الرجعة لا وقوعها بالفعل، وذلک لا یستلزم الدور؛ لجواز مقارنة جوازها له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ادّعی أنّ المشروط هو وقوعها منعنا کونها شرطاً فی وقوع رجعتها، وبالجملة فمرجع هذا إلی دور المعیّة، وهو غیر ممتنع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تسامح</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جزم به الشافعی وبعض أتباعه کما فی المغنی والشرح الکبیر </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الإرادة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الاختلاف فی إرادتها، ولا یُطّلع علیها إلّامن قبلها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التحریر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ذکره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ویشکل بأنّ المعتبر إرادتهما معاً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ذلک عنه العلّامة فی المختلف </w:t>
      </w:r>
      <w:r>
        <w:rPr>
          <w:rFonts w:eastAsia="IRNazanin" w:cs="IRNazanin"/>
          <w:b w:val="false"/>
          <w:bCs w:val="false"/>
          <w:i w:val="false"/>
          <w:iCs w:val="false"/>
          <w:color w:val="333333"/>
          <w:sz w:val="20"/>
          <w:szCs w:val="20"/>
        </w:rPr>
        <w:t>7:402</w:t>
      </w:r>
      <w:r>
        <w:rPr>
          <w:rFonts w:ascii="IRNazanin" w:hAnsi="IRNazanin" w:eastAsia="IRNazanin"/>
          <w:b w:val="false"/>
          <w:b w:val="false"/>
          <w:bCs w:val="false"/>
          <w:i w:val="false"/>
          <w:i w:val="false"/>
          <w:iCs w:val="false"/>
          <w:color w:val="333333"/>
          <w:sz w:val="20"/>
          <w:sz w:val="20"/>
          <w:szCs w:val="20"/>
          <w:rtl w:val="true"/>
        </w:rPr>
        <w:t xml:space="preserve">، ولکن ما جاء فی المهذّب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علیه البیّنة وعلیها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المنقول عنه هنا ورد فی کتابه الکامل، وهو لا یوجد لدینا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مرتّباً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القواعد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7:402</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ولم نعثر علی الإجماع فی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صیغة المباراة المتضمّنة للفظ الطلاق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لفظه بدلیل الإجماع المشار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فی المختلف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البارع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والتنقیح الرائع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الشیخ أ نّه ادّعی الإجماع، ولم نعثر علی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کتب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فیها ما یفید ذلک وسائر العبارات أیضاً قریبة من عبائر الشیخ، اُنظر التهذیب </w:t>
      </w:r>
      <w:r>
        <w:rPr>
          <w:rFonts w:eastAsia="IRNazanin" w:cs="IRNazanin"/>
          <w:b w:val="false"/>
          <w:bCs w:val="false"/>
          <w:i w:val="false"/>
          <w:iCs w:val="false"/>
          <w:color w:val="333333"/>
          <w:sz w:val="20"/>
          <w:szCs w:val="20"/>
        </w:rPr>
        <w:t>8:102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 والمباراة،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السابقة فی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 الأکثر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لزوم الإتباع بالطلاق فیه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المقداد فی کنز العرفان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وانظر التنقیح الرائع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فی الآیة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اللّٰه لعَفُوٌّ غفور</w:t>
      </w:r>
      <w:r>
        <w:rPr>
          <w:rFonts w:eastAsia="IRNazanin" w:cs="IRNazanin"/>
          <w:b w:val="false"/>
          <w:bCs w:val="false"/>
          <w:i w:val="false"/>
          <w:iCs w:val="false"/>
          <w:color w:val="333333"/>
          <w:sz w:val="20"/>
          <w:szCs w:val="20"/>
          <w:rtl w:val="true"/>
        </w:rPr>
        <w:t>)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الاُمّ من المحارم النسبیّات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سبب نزول الآیة، حیث نزلت فی شخصٍ ظاهَرَ وعلّقه بالاُمّ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شاهد فی صحیحة سیف أیضاً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المحرّمات بالرضاع مطلقاً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14:280</w:t>
      </w:r>
      <w:r>
        <w:rPr>
          <w:rFonts w:ascii="IRNazanin" w:hAnsi="IRNazanin" w:eastAsia="IRNazanin"/>
          <w:b w:val="false"/>
          <w:b w:val="false"/>
          <w:bCs w:val="false"/>
          <w:i w:val="false"/>
          <w:i w:val="false"/>
          <w:iCs w:val="false"/>
          <w:color w:val="333333"/>
          <w:sz w:val="20"/>
          <w:sz w:val="20"/>
          <w:szCs w:val="20"/>
          <w:rtl w:val="true"/>
        </w:rPr>
        <w:t>، الباب الأوّل من أبواب ما یحرم بالرضاع، الحدیث الأوّل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واُختاً،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اُختاً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أو اُختٍ، وفی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 أو اُخت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الظهار، الحدیث الأوّل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الخبر النبویّ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من الرضاع</w:t>
      </w:r>
      <w:r>
        <w:rPr>
          <w:rFonts w:eastAsia="IRNazanin" w:cs="IRNazanin"/>
          <w:b w:val="false"/>
          <w:bCs w:val="false"/>
          <w:i w:val="false"/>
          <w:iCs w:val="false"/>
          <w:color w:val="333333"/>
          <w:sz w:val="20"/>
          <w:szCs w:val="20"/>
          <w:rtl w:val="true"/>
        </w:rPr>
        <w:t>. . .»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أحد أبیات القصیدة المشهورة للفرزدق فی مدح الإمام السجّاد علیه السلام أمام هشام ابن عبد الملک فی موسم الحجّ وتمام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یغضی حیاءً ویُغضیٰ من مهابته فما یکلّم إلّاحین یبتسمُ إرشاد المفید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فخر المحقّقین فی الإیضاح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والتحریم فی الظهار بسبب النسب ثابت فی الجملة إجماعاً فیثبت</w:t>
      </w:r>
      <w:r>
        <w:rPr>
          <w:rFonts w:eastAsia="IRNazanin" w:cs="IRNazanin"/>
          <w:b w:val="false"/>
          <w:bCs w:val="false"/>
          <w:i w:val="false"/>
          <w:iCs w:val="false"/>
          <w:color w:val="333333"/>
          <w:sz w:val="20"/>
          <w:szCs w:val="20"/>
          <w:rtl w:val="true"/>
        </w:rPr>
        <w:t>. .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فی المبسوط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وابن الجنید کما نقل عنه العلّامة فی المختلف </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بذلک فخر الدین فی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وقاله العلّامة أیضاً فی المختلف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بالمحرّمات بالمصاهرة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یُظٰاهِرُونَ مِنْ نِسٰائِهِمْ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زرارة وجمیل المتقدّم تخریجهما فی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الظهار،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ونسبه فی المختلف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الصدوق فی المقنع ولکن لم نعثر فیه علی ذلک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روایة سدیر عن الصادق علیه السلام، الوسائل </w:t>
      </w:r>
      <w:r>
        <w:rPr>
          <w:rFonts w:eastAsia="IRNazanin" w:cs="IRNazanin"/>
          <w:b w:val="false"/>
          <w:bCs w:val="false"/>
          <w:i w:val="false"/>
          <w:iCs w:val="false"/>
          <w:color w:val="333333"/>
          <w:sz w:val="20"/>
          <w:szCs w:val="20"/>
        </w:rPr>
        <w:t>15:517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ضعیفة السند بسهل بن زیاد وهو غالٍ، وغیاث بن إبراهیم وهو بتری، ومحمّد بن سلیمان وهو ضعیف أو مشترک بینه وبین الثقة، وحال سدیر إلی الضعف أقرب من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بالتشبیه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الظهار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وابن فهد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المشهور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روایة قاسم بن محمّد وابن بکیر المتقدّم تخریجهما فی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وروایة ابن فضّال، الوسائل </w:t>
      </w:r>
      <w:r>
        <w:rPr>
          <w:rFonts w:eastAsia="IRNazanin" w:cs="IRNazanin"/>
          <w:b w:val="false"/>
          <w:bCs w:val="false"/>
          <w:i w:val="false"/>
          <w:iCs w:val="false"/>
          <w:color w:val="333333"/>
          <w:sz w:val="20"/>
          <w:szCs w:val="20"/>
        </w:rPr>
        <w:t>15:532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ضعف الروایات فلأنّ فی سند الاُولی القاسم بن محمّد وهو مشترک بین الثقة والضعیف، والأخیرتان مرسلتان وفی طریقهما ابن فضال وابن بکیر وحالهما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9:479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شاهدین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صحیحة حریز وعبد الرحمن المتقدّم تخریجهما فی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الکبری </w:t>
      </w:r>
      <w:r>
        <w:rPr>
          <w:rFonts w:eastAsia="IRNazanin" w:cs="IRNazanin"/>
          <w:b w:val="false"/>
          <w:bCs w:val="false"/>
          <w:i w:val="false"/>
          <w:iCs w:val="false"/>
          <w:color w:val="333333"/>
          <w:sz w:val="20"/>
          <w:szCs w:val="20"/>
        </w:rPr>
        <w:t>7:390</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10:128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والمبسوط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فی المختلف </w:t>
      </w:r>
      <w:r>
        <w:rPr>
          <w:rFonts w:eastAsia="IRNazanin" w:cs="IRNazanin"/>
          <w:b w:val="false"/>
          <w:bCs w:val="false"/>
          <w:i w:val="false"/>
          <w:iCs w:val="false"/>
          <w:color w:val="333333"/>
          <w:sz w:val="20"/>
          <w:szCs w:val="20"/>
        </w:rPr>
        <w:t>7:446</w:t>
      </w:r>
      <w:r>
        <w:rPr>
          <w:rFonts w:ascii="IRNazanin" w:hAnsi="IRNazanin" w:eastAsia="IRNazanin"/>
          <w:b w:val="false"/>
          <w:b w:val="false"/>
          <w:bCs w:val="false"/>
          <w:i w:val="false"/>
          <w:i w:val="false"/>
          <w:iCs w:val="false"/>
          <w:color w:val="333333"/>
          <w:sz w:val="20"/>
          <w:sz w:val="20"/>
          <w:szCs w:val="20"/>
          <w:rtl w:val="true"/>
        </w:rPr>
        <w:t xml:space="preserve">، ونسبه إلیه فی المسالک </w:t>
      </w:r>
      <w:r>
        <w:rPr>
          <w:rFonts w:eastAsia="IRNazanin" w:cs="IRNazanin"/>
          <w:b w:val="false"/>
          <w:bCs w:val="false"/>
          <w:i w:val="false"/>
          <w:iCs w:val="false"/>
          <w:color w:val="333333"/>
          <w:sz w:val="20"/>
          <w:szCs w:val="20"/>
        </w:rPr>
        <w:t>9:481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تردّد نافیاً البأس عنه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 الحیض أم لا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ابن إدریس فی السرائر </w:t>
      </w:r>
      <w:r>
        <w:rPr>
          <w:rFonts w:eastAsia="IRNazanin" w:cs="IRNazanin"/>
          <w:b w:val="false"/>
          <w:bCs w:val="false"/>
          <w:i w:val="false"/>
          <w:iCs w:val="false"/>
          <w:color w:val="333333"/>
          <w:sz w:val="20"/>
          <w:szCs w:val="20"/>
        </w:rPr>
        <w:t>2:708</w:t>
      </w:r>
      <w:r>
        <w:rPr>
          <w:rFonts w:ascii="IRNazanin" w:hAnsi="IRNazanin" w:eastAsia="IRNazanin"/>
          <w:b w:val="false"/>
          <w:b w:val="false"/>
          <w:bCs w:val="false"/>
          <w:i w:val="false"/>
          <w:i w:val="false"/>
          <w:iCs w:val="false"/>
          <w:color w:val="333333"/>
          <w:sz w:val="20"/>
          <w:sz w:val="20"/>
          <w:szCs w:val="20"/>
          <w:rtl w:val="true"/>
        </w:rPr>
        <w:t xml:space="preserve">، واختاره المحقّق فی الشرائع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بالعدم للشیخ فی الخلاف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والمبسوط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ونسبه فی المختلف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الإسکافی</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أدلّة الظهار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نزول الآیة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إلی اُصول الشریعة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فی طریقها ابن فضّال وابن بکیر وهما فطحیّان، راجع المسالک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غایة المراد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أدلّة الظهار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ظهار، وهو الصحیح</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15:516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المرأة التی لم یدخل بها زوجها،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یقع علیها إیلاء ولا 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الحدیث فی الوسائل عن أبی جعفر وأبی عبد اللّٰه علیهما السلام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ظهار، وهو الصحیح</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15:516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الظهار،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عن الفضیل بن یسار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جعل المصنّف فی شرح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اشتراط الدخول أصحّ، وهذا هو التصریح بالاشتراط، أمّا نسبته إلی المرویّ فلا یخلو من شائبة التوقّف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فخر المحقّقین فی الإیضاح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ابن إدریس فی السرائر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وقوّاه العلّامة فی المختلف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تحریم الجمیع ذهب إلیه الشیخ فی المبسوط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والعلّامة فی القواعد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4:539</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والمبسوط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استند إلیه الفخر فی الإیضاح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فی الشرائع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هو المنسوب إلی الشیخ، 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سند الصدوق فی الفقیه، ولکن فی الکافی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الکناسی بدل برید، اُنظر الفقیه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15:518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بقیّة أحادیث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 فی الهامش السابق</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السیوری فی التنقیح الرائع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ما إذا طلّق بائناً، أو رجعیّاً وانقضت العدّة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للإضرار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 أو مطلقاً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وطئهما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الدخول بها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والإصباح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و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الإیلاء</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فی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للبیهقی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16:687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46333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الإیلاج</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الإیلاء، الحدیث الأوّل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المبسوط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الإیلاء، وابن إدریس فی السرائر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والصیمری فی تلخیص الخلاف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وجعلها الشهید فی غایة المراد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الصریح عرفاً وادّعی عدم الخلاف فی الوقوع بها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الإیلاء،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الإیلاء، الحدیث الأوّل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بعضها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حسنة برید المتقدّمة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انعقد</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فی الخلاف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الإیلاء،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 والشهید فی غایة المراد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وتلخیص الخلاف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المخطوطات</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الإیلاء،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الاختلاف الثانی</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المبسوط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الآیة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الإیلاء وغیره</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الوسائل یقتضیها السیاق</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الإیلاء،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القدیمان العمانی والإسکافی، واختاره العلّامة فی المختلف </w:t>
      </w:r>
      <w:r>
        <w:rPr>
          <w:rFonts w:eastAsia="IRNazanin" w:cs="IRNazanin"/>
          <w:b w:val="false"/>
          <w:bCs w:val="false"/>
          <w:i w:val="false"/>
          <w:iCs w:val="false"/>
          <w:color w:val="333333"/>
          <w:sz w:val="20"/>
          <w:szCs w:val="20"/>
        </w:rPr>
        <w:t>7:452</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أبی بصیر والحلبی، اُنظر الوسائل </w:t>
      </w:r>
      <w:r>
        <w:rPr>
          <w:rFonts w:eastAsia="IRNazanin" w:cs="IRNazanin"/>
          <w:b w:val="false"/>
          <w:bCs w:val="false"/>
          <w:i w:val="false"/>
          <w:iCs w:val="false"/>
          <w:color w:val="333333"/>
          <w:sz w:val="20"/>
          <w:szCs w:val="20"/>
        </w:rPr>
        <w:t>15:542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الإیلاء،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الإیلاء، الحدیث الأوّل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الإیلاء،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شراء</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العتق</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فی الصفحة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الظهار، الحدیث الأوّل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صحیح عبد الرحمن بن الحجّاج 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الظهار،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رجلٍ ظاهر امرأته ثلاث مرّات فی مجلسٍ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کفّارةٌ واحدةٌ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وحمل علی إرادة التأکید أو اتّحاد جنس الکفّارة، فلا یمتنع تعدّد أفرادها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کان فلا دلالة علی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ولم نعثر علی غیره، نعم هو ظاهر المحقّق حیث نسبه إلی الشیخ وسکت عنه، اُنظر الشرائع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الماتن قدس سره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نحلتهم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المستصفی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جماعة، ونسبه فی العدّة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 شذّ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الآخر وهو وقوعه علیه مجازاً فنسب أیضاً فی العدّة إلی المتکلّمین وأکثر الفقهاء واختاره هو نفسه، کما اختاره المحقّق فی 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والعلّامة فی نهایة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الإیضاح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فی لسان العرب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الأزهری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 .</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ثبوت اللعان للشیخ فی الخلاف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بثبوت اللعان للشیخ فی المبسوط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7:474</w:t>
      </w:r>
      <w:r>
        <w:rPr>
          <w:rFonts w:ascii="IRNazanin" w:hAnsi="IRNazanin" w:eastAsia="IRNazanin"/>
          <w:b w:val="false"/>
          <w:b w:val="false"/>
          <w:bCs w:val="false"/>
          <w:i w:val="false"/>
          <w:i w:val="false"/>
          <w:iCs w:val="false"/>
          <w:color w:val="333333"/>
          <w:sz w:val="20"/>
          <w:sz w:val="20"/>
          <w:szCs w:val="20"/>
          <w:rtl w:val="true"/>
        </w:rPr>
        <w:t xml:space="preserve">، وقوّاه فخر المحقّقین فی الإیضاح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والشهید فی غایة المراد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الفخر فی الإیضاح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 وتلخیص الخلاف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فیه إلی المشهور، ونسبه السیوری فی التنقیح الرائع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الأکثر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جملة بناء الحدود علی التخفیف أ نّها لا تثبت بیمین المدّعی، ولا یتوجّه بها علی المنکر 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ثبت اللعان هنا مع إمکان البیّنة وهی فی معنی الیمین لثبت الحدّ علیها بلعانه، وهو فی معنی ثبوته علیها بیمینه، وبناء الحدّ علی التخفیف ینافی ذلک، فلا یشرع مع إمکان إقامته بالبیّنة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ممّا یثبت بها مطلقاً ولا ینافی ذلک ثبوته بالیمین فی اللعان حیث یشرع؛ لأنّ ذلک ثبت بالإجماع فبقی المختلف فیه معرضاً للشبهة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التوقّف</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15:589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اللعان،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بالإلحاق</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15:595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الشیخ إلی قوم من العامّة کالزهری وأبو حنیفة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کما نسبه السیوری وابن فهد إلی المفید وسلّار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لعان بین المسلم والذمّیّة، ولا بین الحرّ والأمة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بالمنع ابن إدریس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السرائر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 نّه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الفهم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علم بزنا اُمّه أم لا، وسواء وافق صفاتُه صفاتَه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فی التصریح ولا فی التعریض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المتیقّن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یثبت بالمتمتّع بها،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یثبت فی المتمتّع بها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فی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لنفی الحدّ أو لنفی الولد</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بالاشتراط للشیخ فی الخلاف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 الاشتراط منسوب فی غایة المرام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المفید والعلّامة فی القواعد ولم نعثر علیه فی المقنعة، وانظر القواعد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التهذیب والوسائل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مضارب</w:t>
      </w:r>
      <w:r>
        <w:rPr>
          <w:rFonts w:eastAsia="IRNazanin" w:cs="IRNazanin"/>
          <w:b w:val="false"/>
          <w:bCs w:val="false"/>
          <w:i w:val="false"/>
          <w:iCs w:val="false"/>
          <w:color w:val="333333"/>
          <w:sz w:val="20"/>
          <w:szCs w:val="20"/>
          <w:rtl w:val="true"/>
        </w:rPr>
        <w:t>»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بمقتضی العموم بحیث یدخل فیه نفیُ ولدِ غیر المدخول بها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 بین القذف، فلا یشترط الدخول وبین نفی الولد فیشترط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مولاها الذی زوّجها إیّاها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فی المبسوط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وقوّاه ولده فی الإیضاح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واعتمد علیه فی غایة المرام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علی القول الآخر من أصحابنا، ونسبه محکیّاً فی الجواهر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الاستبصار وصریح الجامع، ولم نعثر علیه فیه، 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نسب فی الخلاف إلی الشافعی بأ نّه إذا وطأها ثمّ جاءت بولد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تصیر فراشاً بالوطء، اُنظر الخلاف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وانظر المغنی مع الشرح الکبیر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أشهر الروایتین فهی صحیحة عبد اللّٰه بن سنان، الوسائل </w:t>
      </w:r>
      <w:r>
        <w:rPr>
          <w:rFonts w:eastAsia="IRNazanin" w:cs="IRNazanin"/>
          <w:b w:val="false"/>
          <w:bCs w:val="false"/>
          <w:i w:val="false"/>
          <w:iCs w:val="false"/>
          <w:color w:val="333333"/>
          <w:sz w:val="20"/>
          <w:szCs w:val="20"/>
        </w:rPr>
        <w:t>14:563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غیر الأشهر فمثل روایتی سعید بن یسار والحسن الصیقل فی الوسائل </w:t>
      </w:r>
      <w:r>
        <w:rPr>
          <w:rFonts w:eastAsia="IRNazanin" w:cs="IRNazanin"/>
          <w:b w:val="false"/>
          <w:bCs w:val="false"/>
          <w:i w:val="false"/>
          <w:iCs w:val="false"/>
          <w:color w:val="333333"/>
          <w:sz w:val="20"/>
          <w:szCs w:val="20"/>
        </w:rPr>
        <w:t>14:565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وغیرها من الأحادیث</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فخر المحقّقین فی الإیضاح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فخر المحقّقین فی الإیضاح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کتاب القضاء من المبسوط </w:t>
      </w:r>
      <w:r>
        <w:rPr>
          <w:rFonts w:eastAsia="IRNazanin" w:cs="IRNazanin"/>
          <w:b w:val="false"/>
          <w:bCs w:val="false"/>
          <w:i w:val="false"/>
          <w:iCs w:val="false"/>
          <w:color w:val="333333"/>
          <w:sz w:val="20"/>
          <w:szCs w:val="20"/>
        </w:rPr>
        <w:t>8:165</w:t>
      </w:r>
      <w:r>
        <w:rPr>
          <w:rFonts w:ascii="IRNazanin" w:hAnsi="IRNazanin" w:eastAsia="IRNazanin"/>
          <w:b w:val="false"/>
          <w:b w:val="false"/>
          <w:bCs w:val="false"/>
          <w:i w:val="false"/>
          <w:i w:val="false"/>
          <w:iCs w:val="false"/>
          <w:color w:val="333333"/>
          <w:sz w:val="20"/>
          <w:sz w:val="20"/>
          <w:szCs w:val="20"/>
          <w:rtl w:val="true"/>
        </w:rPr>
        <w:t>، حیث قوّی اشتراط تراضی المترافعین فی التحکیم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تراضیهما بحکم قاضی التحکیم هنا وفی غیره من أفراد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بالشهادة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القذف ونفی الولد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الأکثر ومنهم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وأتباعهما مثل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المختلف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xml:space="preserve">، وقوّاه ولده فی الإیضاح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15:586</w:t>
      </w:r>
      <w:r>
        <w:rPr>
          <w:rFonts w:ascii="IRNazanin" w:hAnsi="IRNazanin" w:eastAsia="IRNazanin"/>
          <w:b w:val="false"/>
          <w:b w:val="false"/>
          <w:bCs w:val="false"/>
          <w:i w:val="false"/>
          <w:i w:val="false"/>
          <w:iCs w:val="false"/>
          <w:color w:val="333333"/>
          <w:sz w:val="20"/>
          <w:sz w:val="20"/>
          <w:szCs w:val="20"/>
          <w:rtl w:val="true"/>
        </w:rPr>
        <w:t>، الباب الأوّل من کتاب اللعان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کلماتها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یستمع</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بیت المقدس، أطلق اللّٰه علیه الأقصی بالإضافة إلی المسجد الحرام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مجوسین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فبیت النار لا بیت الصنم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اعتقاده، وفی نسخة بدله ما أثبتناه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 بالتفصیل المذکور من کون إکذاب الزوج بعد لعانه وقبل لعان الزوجة، اُنظر المصادر المذکورة فی الهامش التالی</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بسقوط الحدّ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بالثبوت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وقوّاه ولده فی الإیضاح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الوسائل والتهذیبین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فی القواعد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قیل یرثهم إن اعترفوا به وکذّبوا الأب فی اللعان ویرثونه کان وجهاً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أحدهما، وکذا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ویفهم من قول الشارح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حدّ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نسخته من المتن ما أثبتناه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باللعان للشیخ فی المبسوط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واستقرب الشهید فی غایة المراد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اللعان فی الصورة الاُولی</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المیراث، وأصله ورث فقلبت الواو ألفاً لمکان الکسرة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اللعان، والقاضی فی المهذّب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الاُولی مقطوعة السند، وکأ نّه أراد الإرسال، وأمّا القطع فلا؛ لذکر المروی عنه وهو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المسالک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والروایتان ضعیفتان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بالإرسال والثانیة برجال الزیدیّة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الصیغة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الحدیث الأوّل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اللعان، وابن إدریس فی السرائر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ونسبه فی المسالک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الأکثر وأکثر المتأخّرین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یؤیّده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القاضی فی المهذّب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علّلها به فی المهذّب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البحرین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العتق،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المستدرک </w:t>
      </w:r>
      <w:r>
        <w:rPr>
          <w:rFonts w:eastAsia="IRNazanin" w:cs="IRNazanin"/>
          <w:b w:val="false"/>
          <w:bCs w:val="false"/>
          <w:i w:val="false"/>
          <w:iCs w:val="false"/>
          <w:color w:val="333333"/>
          <w:sz w:val="20"/>
          <w:szCs w:val="20"/>
        </w:rPr>
        <w:t>15:451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15:449</w:t>
      </w:r>
      <w:r>
        <w:rPr>
          <w:rFonts w:ascii="IRNazanin" w:hAnsi="IRNazanin" w:eastAsia="IRNazanin"/>
          <w:b w:val="false"/>
          <w:b w:val="false"/>
          <w:bCs w:val="false"/>
          <w:i w:val="false"/>
          <w:i w:val="false"/>
          <w:iCs w:val="false"/>
          <w:color w:val="333333"/>
          <w:sz w:val="20"/>
          <w:sz w:val="20"/>
          <w:szCs w:val="20"/>
          <w:rtl w:val="true"/>
        </w:rPr>
        <w:t xml:space="preserve">، الباب الأوّل من کتاب العتق،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الماتن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قصد التحریر بذلک</w:t>
      </w:r>
      <w:r>
        <w:rPr>
          <w:rFonts w:eastAsia="IRNazanin" w:cs="IRNazanin"/>
          <w:b w:val="false"/>
          <w:bCs w:val="false"/>
          <w:i w:val="false"/>
          <w:iCs w:val="false"/>
          <w:color w:val="333333"/>
          <w:sz w:val="20"/>
          <w:szCs w:val="20"/>
          <w:rtl w:val="true"/>
        </w:rPr>
        <w:t>» .</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مع الشرح الکبیر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غایة المراد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العتق، الحدیث الأوّل</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والأولی</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الباب الأوّل من کتاب العتق، وغیره من الأبواب</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5624</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التبیان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الشریفة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طریقه الحسن بن علی بن أبی حمزة، وهو واقفیٌّ خبیثٌ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وهو ظاهر الشهید کما فی الجواهر </w:t>
      </w:r>
      <w:r>
        <w:rPr>
          <w:rFonts w:eastAsia="IRNazanin" w:cs="IRNazanin"/>
          <w:b w:val="false"/>
          <w:bCs w:val="false"/>
          <w:i w:val="false"/>
          <w:iCs w:val="false"/>
          <w:color w:val="333333"/>
          <w:sz w:val="20"/>
          <w:szCs w:val="20"/>
        </w:rPr>
        <w:t>34:114</w:t>
      </w:r>
      <w:r>
        <w:rPr>
          <w:rFonts w:ascii="IRNazanin" w:hAnsi="IRNazanin" w:eastAsia="IRNazanin"/>
          <w:b w:val="false"/>
          <w:b w:val="false"/>
          <w:bCs w:val="false"/>
          <w:i w:val="false"/>
          <w:i w:val="false"/>
          <w:iCs w:val="false"/>
          <w:color w:val="333333"/>
          <w:sz w:val="20"/>
          <w:sz w:val="20"/>
          <w:szCs w:val="20"/>
          <w:rtl w:val="true"/>
        </w:rPr>
        <w:t xml:space="preserve">، وانظر الدروس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التنقیح الرائع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الإسکافی وقرّبه، وفی المهذّب البارع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نسبه إلیه واستحسنه، وراجع کلام الإسکافی فی المختلف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عموم المؤمنون عند شروطهم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والتهذیبین بدل حریز أبو جریر، نعم فی الفقیه والمختلف والإیضاح والدروس کما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والسؤال فیها عن أبی الحسن الکاظم علیه السلام کما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6:191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8:224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وانظر الروایة فی الوسائل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 صریحاً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فی المسالک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المحقّق فی الشرائع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إسحاق بن عمّار فطحی، المسالک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فخر الدین فی الشرح صریحاً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إدریس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الحدیث الأوّل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اکتساب</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الحدیث الأوّل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الحدیث الأوّل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غیاث بن إبراهیم وطلحة بن زید الواقعان فی طریق الروایتین بتریّان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کتابه ملاذ علماء الإمامیّة کما فی المسالک </w:t>
      </w:r>
      <w:r>
        <w:rPr>
          <w:rFonts w:eastAsia="IRNazanin" w:cs="IRNazanin"/>
          <w:b w:val="false"/>
          <w:bCs w:val="false"/>
          <w:i w:val="false"/>
          <w:iCs w:val="false"/>
          <w:color w:val="333333"/>
          <w:sz w:val="20"/>
          <w:szCs w:val="20"/>
        </w:rPr>
        <w:t>10:325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یوجد الکتاب لدینا، ونقله الشهید عنه أیضاً فی الدروس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والشرح الکبیر </w:t>
      </w:r>
      <w:r>
        <w:rPr>
          <w:rFonts w:eastAsia="IRNazanin" w:cs="IRNazanin"/>
          <w:b w:val="false"/>
          <w:bCs w:val="false"/>
          <w:i w:val="false"/>
          <w:iCs w:val="false"/>
          <w:color w:val="333333"/>
          <w:sz w:val="20"/>
          <w:szCs w:val="20"/>
        </w:rPr>
        <w:t>12:240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صحیحة عبد اللّٰه بن سنان وروایة مالک بن عطیّة عن أبی بصیر فی الوسائل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 الحدیث الأوّل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tl w:val="true"/>
        </w:rPr>
        <w:t xml:space="preserve">، ذیل الخبر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ذیل الخبر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بالإعسار للعلّامة فی القواعد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بالیسار فلم نعثر علی القائل به صریحاً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فی المسالک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إطلاق عبارة الشرائع واختاره العلّامة فی الإرشاد حسب بعض النسخ الذی اختاره الشهید فی غایة المراد، والظاهر أ نّه هو مختاره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غایة المراد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لابن إدریس فی السرائر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6:359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والمحقّق فی الشرائع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5643</w:t>
      </w:r>
      <w:r>
        <w:rPr>
          <w:rFonts w:ascii="IRNazanin" w:hAnsi="IRNazanin" w:eastAsia="IRNazanin"/>
          <w:b w:val="false"/>
          <w:b w:val="false"/>
          <w:bCs w:val="false"/>
          <w:i w:val="false"/>
          <w:i w:val="false"/>
          <w:iCs w:val="false"/>
          <w:color w:val="333333"/>
          <w:sz w:val="20"/>
          <w:sz w:val="20"/>
          <w:szCs w:val="20"/>
          <w:rtl w:val="true"/>
        </w:rPr>
        <w:t xml:space="preserve">، وقوّاه الشهید فی الدروس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للشیخ فی المبسوط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یدلّ علی الأوّل فمثل روایة سلیمان بن خالد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وغیرها من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یدلّ علی الثانی فمثل صحیحة محمّد بن قیس عن أبی جعفر علیه السلام، الوسائل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حسنة الحلبی فی الوسائل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وغیره فی الباب وغیره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أصحابنا، بل قال الشارح فی المسالک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القول بتناولها للکسب مطلقاً وإن کان نادراً هو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قول للعامّة ونسبه فی المغنی المطبوع مع الشرح الکبیر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أصحاب الشافعیّة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لجهلت</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الوسائل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یعصیه،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یقتضیه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وفی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عتق</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 والباب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روایة السکونی فی الوسائل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ضعف الخبر بالسکونی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بالعدم فهو المنسوب فی التنقیح الرائع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وغیره إلی ابن إدریس، ولکنّ الموجود فی السرائر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المنسوب إلیه، ونسبه فی المهذّب البارع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الأکثر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الخبر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یّما عبد خرج قبل مولاه فهو حرّ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الجزء الرابع فی ثالث موانع الإرث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للمیّت وارث سوی المملوک اُشتری من الترکة واُعتق</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من المصنّف فی کتاب الغصب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 تنکیل الغاصب موجبٌ لعتق العبد ووجوب القیمة فالأولی للمصنّف إطلاق التنکیل لا إضافته إلی المولی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مرسلة جعفر بن محبوب، راجع الوسائل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الحدیث الأوّل</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طریقها عبد الحمید وهو مشترکٌ بین الضعیف والثقة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جعلها فی الصحیح، وهو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فی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سماعة فی الوسائل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وفیه حدیث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ضعفه بسماعة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فی القواعد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المعتذر الشیخ فخر الدین فی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الاضطرار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الولید بن هشام فی الوسائل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وفیه حدیث واحد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مرفوعة أبی الفضل الهاشمی فی الوسائل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وفیه حدیث واحد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القاضی فی المهذّب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العلّامة فی التحریر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غرضه التمثیل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یختصّ</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الحدیث الأوّل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الآخر من العبارتین،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مولود تلده</w:t>
      </w:r>
      <w:r>
        <w:rPr>
          <w:rFonts w:eastAsia="IRNazanin" w:cs="IRNazanin"/>
          <w:b w:val="false"/>
          <w:bCs w:val="false"/>
          <w:i w:val="false"/>
          <w:iCs w:val="false"/>
          <w:color w:val="333333"/>
          <w:sz w:val="20"/>
          <w:szCs w:val="20"/>
          <w:rtl w:val="true"/>
        </w:rPr>
        <w:t>» .</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والمستدرک </w:t>
      </w:r>
      <w:r>
        <w:rPr>
          <w:rFonts w:eastAsia="IRNazanin" w:cs="IRNazanin"/>
          <w:b w:val="false"/>
          <w:bCs w:val="false"/>
          <w:i w:val="false"/>
          <w:iCs w:val="false"/>
          <w:color w:val="333333"/>
          <w:sz w:val="20"/>
          <w:szCs w:val="20"/>
        </w:rPr>
        <w:t>17:373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الإسکافی کما نقل عنه فی المختلف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واختاره الشیخ فی التهذیب </w:t>
      </w:r>
      <w:r>
        <w:rPr>
          <w:rFonts w:eastAsia="IRNazanin" w:cs="IRNazanin"/>
          <w:b w:val="false"/>
          <w:bCs w:val="false"/>
          <w:i w:val="false"/>
          <w:iCs w:val="false"/>
          <w:color w:val="333333"/>
          <w:sz w:val="20"/>
          <w:szCs w:val="20"/>
        </w:rPr>
        <w:t>8:226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والمحقّق فی نکت النهایة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وأبو العبّاس فی المهذّب البارع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فی طریقها إسماعیل بن یسار وهو ضعیف والحسن الصیقل وهو مجهول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فی القواعد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فیه حدیث واحد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فیها ذکر النذر، بل مجرّد التعلیق وحملها الأصحاب علیه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فخر المحقّقین فی الإیضاح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داود النهدی، راجع الوسائل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الروایة ضعیفة السند مرسلة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عبارات الأصحاب رحمهم الله، فإنّ منهم من عبّر بالعبد، ومنهم من عبّر بالمملوک، ومع ذلک یبعد الإجماع علی حکمه من دون نصٍّ ظاهرٍ وإن کان محکیّاً، والنصّ إنّما ورد فی المملوک فتخصیص العبد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الإجماع لم یتحقّق عنده فی مثل ذلک، وإنّما ذکر المسألة الشیخ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وتبعه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فی المهذّب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هو عادتهم، فصار مشهوراً لا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تعالی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روایة هشام بن سالم وستأتی</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لکنّه ورد فی التهذیب </w:t>
      </w:r>
      <w:r>
        <w:rPr>
          <w:rFonts w:eastAsia="IRNazanin" w:cs="IRNazanin"/>
          <w:b w:val="false"/>
          <w:bCs w:val="false"/>
          <w:i w:val="false"/>
          <w:iCs w:val="false"/>
          <w:color w:val="333333"/>
          <w:sz w:val="20"/>
          <w:szCs w:val="20"/>
        </w:rPr>
        <w:t>8:202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وفیه حدیث واحد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الإسکافی کما فی المختلف </w:t>
      </w:r>
      <w:r>
        <w:rPr>
          <w:rFonts w:eastAsia="IRNazanin" w:cs="IRNazanin"/>
          <w:b w:val="false"/>
          <w:bCs w:val="false"/>
          <w:i w:val="false"/>
          <w:iCs w:val="false"/>
          <w:color w:val="333333"/>
          <w:sz w:val="20"/>
          <w:szCs w:val="20"/>
        </w:rPr>
        <w:t>7:289</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 به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وفیه حدیث واحد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القاضی فی المهذّب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حبلی من غیره، ونسبه فی المختلف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کلام الإسکافی</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 الخبر بالسکونی، المسالک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النهایة، والقاضی فی المهذّب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التدبیر، الحدیث الأوّل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الدروس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ظاهر الإسکافی، وفی غایة المراد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مفهوم کلام العلّامة، اُنظر المختلف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فی الخلاف </w:t>
      </w:r>
      <w:r>
        <w:rPr>
          <w:rFonts w:eastAsia="IRNazanin" w:cs="IRNazanin"/>
          <w:b w:val="false"/>
          <w:bCs w:val="false"/>
          <w:i w:val="false"/>
          <w:iCs w:val="false"/>
          <w:color w:val="333333"/>
          <w:sz w:val="20"/>
          <w:szCs w:val="20"/>
        </w:rPr>
        <w:t>6:409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فی الشرائع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هو القول بالانعقاد اختاره العلّامة فی القواعد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التقرّب</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وجعله فی التنقیح الرائع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ونسبه فی المهذّب البارع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ظاهر القاضی، اُنظر المهذّب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العتق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الإسکافی، وانظر کلامه فی المختلف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17:376</w:t>
      </w:r>
      <w:r>
        <w:rPr>
          <w:rFonts w:ascii="IRNazanin" w:hAnsi="IRNazanin" w:eastAsia="IRNazanin"/>
          <w:b w:val="false"/>
          <w:b w:val="false"/>
          <w:bCs w:val="false"/>
          <w:i w:val="false"/>
          <w:i w:val="false"/>
          <w:iCs w:val="false"/>
          <w:color w:val="333333"/>
          <w:sz w:val="20"/>
          <w:sz w:val="20"/>
          <w:szCs w:val="20"/>
          <w:rtl w:val="true"/>
        </w:rPr>
        <w:t xml:space="preserve">، الباب الأوّل من موانع الإرث،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البرّاج فی المهذّب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 xml:space="preserve">، وابن البرّاج فی المهذّب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إدریس فی السرائر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6:416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التدبیر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القاضی فی المهذّب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 وفیه حدیث واحد</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ذکرها الأصحاب فی الصحیح، وفیه نظرٌ؛ لأنّ الوشّا لم ینصّ الأصحاب علی تعدیله بل علی مدحه، وهو أعمّ فینبغی أن یکون من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فی المبسوط </w:t>
      </w:r>
      <w:r>
        <w:rPr>
          <w:rFonts w:eastAsia="IRNazanin" w:cs="IRNazanin"/>
          <w:b w:val="false"/>
          <w:bCs w:val="false"/>
          <w:i w:val="false"/>
          <w:iCs w:val="false"/>
          <w:color w:val="333333"/>
          <w:sz w:val="20"/>
          <w:szCs w:val="20"/>
        </w:rPr>
        <w:t>6:171</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التدبیر، وابن إدریس فی السرائر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5683</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ولکن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 الشیخ أ نّه لیس برجوع، وهذا هو المطابق لما فی المبسوط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التدبیر،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فَکٰاتِبُوهُمْ إِنْ عَلِمْتُمْ فِیهِمْ خَیْراً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التبیان </w:t>
      </w:r>
      <w:r>
        <w:rPr>
          <w:rFonts w:eastAsia="IRNazanin" w:cs="IRNazanin"/>
          <w:b w:val="false"/>
          <w:bCs w:val="false"/>
          <w:i w:val="false"/>
          <w:iCs w:val="false"/>
          <w:color w:val="333333"/>
          <w:sz w:val="20"/>
          <w:szCs w:val="20"/>
        </w:rPr>
        <w:t>7:383</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ذیل الآیة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الباب الأوّل من أبواب المکاتبة، الحدیث الأوّل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المقداد فی التنقیح الرائع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المکاتبة،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الشیخ فی المبسوط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6:383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المکاتب، وابن إدریس فی السرائر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باشتراط الاتّصال للشیخ فی المبسوط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بالعدم للعلّامة فی القواعد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صحیحتی معاویة فی الوسائل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تأخیر نجم إلی نجم، اختاره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تأخیره إلی ثلاثة أنجم، وهو للصدوق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بالتفصیل، منسوب إلی الإسکافی، واستحسنه الشهید فی غایة المراد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وانظر کلام الإسکافی فی المختلف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الشیخ بروایة إسحاق بن عمّار وهو فطحی، وانظر الوسائل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واحتجّ الصدوق بما رواه القاسم وجابر، وانظر الوسائل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نفس الباب،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وقاسم أیضاً ضعیف وروایة جابر ضعیفة لضعف عمرو بن شمر الواقع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13:457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 الحدیث الأوّل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قائله، وجعله الشارح فی المسالک </w:t>
      </w:r>
      <w:r>
        <w:rPr>
          <w:rFonts w:eastAsia="IRNazanin" w:cs="IRNazanin"/>
          <w:b w:val="false"/>
          <w:bCs w:val="false"/>
          <w:i w:val="false"/>
          <w:iCs w:val="false"/>
          <w:color w:val="333333"/>
          <w:sz w:val="20"/>
          <w:szCs w:val="20"/>
        </w:rPr>
        <w:t>10:478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فی المسألة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 وانظر التهذیب </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الإسکافی کما فی المختلف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عدل عن الروایة؛ لأنّ محمّد بن قیس الذی یروی عن الباقر علیه السلام مشترک بین الضعیف والثقة وتطرح الروایة لذلک ویتوجّه الجواز من حیث إنّها اکتساب کما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التحریر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فی الباب</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المنع یرجع إلی أنّ النهی مشروطٌ بشرطین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انتقاله إلیه بالبیع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نقله بالبیع، وهنا الشرط الأوّل مفقودٌ فلا یحرم کما لا یحرم نقل ما اشتراه بغیر البیع من عقود المعاوضات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وشُطب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وانظر الصفحة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الجنایات أیضاً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کانت مع الصحیحة أو بدونها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بیتٍ تمامه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کوکب الخرقاء لاح بسحرةٍ سهیلٌ أزاعت غزلها فی الأقارب والخرقاء اسم امرأة فی عقلها نقصان، وإنّما سمّیت بها لأنّها کانت لا تهیّئ أسباب الشتاء فی الصیف، فلمّا طلع سهیل وأصاب البَرْد فرّقت قطنها بین نساء أقاربها وجاراتها لیساعدْنها فی الغزل لتهیّئ لباس شتائها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 إضافة الکوکب إلی الخرقاء بأدنی ملابسة وذلک أنّ عمل تلک المرأة کان مقارناً لطلوع سهیل، فأضاف الشاعر ذلک الکوکب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تصحّ</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بالدلیل الذی ذکر فی التعلیق بالمشیئة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ع</w:t>
      </w:r>
      <w:r>
        <w:rPr>
          <w:rFonts w:eastAsia="IRNazanin" w:cs="IRNazanin"/>
          <w:b w:val="false"/>
          <w:bCs w:val="false"/>
          <w:i w:val="false"/>
          <w:iCs w:val="false"/>
          <w:color w:val="333333"/>
          <w:sz w:val="20"/>
          <w:szCs w:val="20"/>
          <w:rtl w:val="true"/>
        </w:rPr>
        <w:t>) .</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روی عن النبیّ صلی الله علیه و آله، اُنظر الوسائل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الإقرار،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أن یعتقد المقرّ استحالة صدقه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والهزل والسهو والغلط</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أ نّه من الأصل مطلقاً، اختاره 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قول ثالث منسوب إلی السیّد وهو التفصیل بین الإقرار بالدین فیمضی من الأصل مطلقاً، وبین الإقرار بالعین فأمضاها من الأصل مع عدم التهمة، اُنظر المهذّب البارع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11:108</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باب الإقرار فی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الرابع أ نّه من الثلث مع التهمة وإلّا فمن الأصل إن کان الإقرار للأجنبی، وأمّا إن کان الإقرار للوارث فهو من الثلث مطلقاً مع التهمة وبلا تهمة، اختاره المحقّق فی المختصر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قیمةً ووصفاً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والشهید فی غایة المراد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ولکنّه فی مورد حبّة من حنطة ومثلها، ولم نعثر علی القبول فی القشر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کلّ مال عظیم خطره شرعاً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الإقرار بالشیء</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والحقّ</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العاطس، وفی نسخة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کونه عظیماً أو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عظیماً أو کثیراً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المسألة الاُولی من کتاب الإقرار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القاضی فی المهذّب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والسیّد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النذر والعهد</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به ابن الجنید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فی المختلف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قال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بالقبول للعلّامة فی الإرشاد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4:407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5991</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منسوب فی الدروس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الشیخ، اُنظر الخلاف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الإقرار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الکوفیّین</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نعم تنظّر 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الجرّ وفی الاستعمال</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بکذا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وقیّده فی المختلف والتذکرة والتنقیح بما إذا کان المقرّ من أهل اللسان وعارفاً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ذکرنا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یتأتّی</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الشیخ والجماعة المتقدّمون فی الصفحة السابقة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المصنّف، وهذا تعلیل حمل العبارة علی الأقسام کلّها دون أن یخصّها بحالة النصب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التعمیم والتخصیص</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احتمال التخصیص بحالة النصب</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الشیخ وجماعة بأ نّه یتبع فی ذلک موازنه من الأعداد</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8:163</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ولکن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أهل الجنّة، ونقله فی المسالک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المصدرین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ضمیمة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تدفع احتمال الوعد بالإقرار ونحوه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مغنی اللبیب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ولم نعثر علیه فی التفسیر المنسوب إلیه ولا فی سائر التفاسیر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اللبیب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مغنی اللبیب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ولم نعثر علیه فی التفسیر المنسوب إلیه ولا فی سائر التفاسیر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اللبیب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 إِنَّ عِبٰادِی لَیْسَ لَکَ عَلَیْهِمْ سُلْطٰانٌ إِلاّٰ مَنِ اِتَّبَعَکَ مِنَ اَلْغٰاوِینَ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الإحکام فی اُصول الأحکام للآمدی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الثانی فی جامع المقاصد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النفی</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الصیمری فی غایة المرام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العبارة بعینها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یوجد فیه ما یفید 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اللبیب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القراءات السبع</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استغرقها</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الإرشاد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وإمکان</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مساویاً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توضیحه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الصغیر والمجنون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القواعد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فی التحریر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وهو المنسوب فی مفتاح الکرامة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اقتضاء إطلاق النهایة والمبسوط والوسیلة والسرائر والجامع والشرائع والنافع وغیرها</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الحدیث الأوّل</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الولد</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الأمثلة المتقدّمة من إقرار الزوجة أو الإخوة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وارثاً غیره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ع</w:t>
      </w:r>
      <w:r>
        <w:rPr>
          <w:rFonts w:eastAsia="IRNazanin" w:cs="IRNazanin"/>
          <w:b w:val="false"/>
          <w:bCs w:val="false"/>
          <w:i w:val="false"/>
          <w:iCs w:val="false"/>
          <w:color w:val="333333"/>
          <w:sz w:val="20"/>
          <w:szCs w:val="20"/>
          <w:rtl w:val="true"/>
        </w:rPr>
        <w:t>) .</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المبسوط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الغصب، والعلّامة فی القواعد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tl w:val="true"/>
        </w:rPr>
        <w:t>، وحسّنه ابن فهد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حرمة أکل المال بالباطل،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17:308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کتاب الغصب، والمستدرک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کالضمان ووجوب الردّ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الغصب من فعل محرّم، وهؤلاء لا یوصف فعلهم لحرمة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الثانی فی جامع المقاصد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کما یظهر ذلک من الفخر فی الإیضاح حیث لم یعلّق علی کلام العلّامة، اُنظر الإیضاح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ولم نعثر علی غیرهما</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جمح الفرس علی راکبه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 علیه وذهب به، فلم یمکنه الاستیلاء علیه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 فی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 الباب الأوّل من کتاب الغصب،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القول بالضمان فهو للشهید فی الدروس کما نسبه الشارح إلیه ولم نعثر علی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عدم الضمان فلم نعثر علی من صرّح به، ولکن تردّد فی ثبوت الضمان المحقّق فی الشرائع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غایة المرام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فخر الدین والشهید فی شرح الإرشاد ترجیح أصالة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الإیضاح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 وغایة المراد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الضمان فی المبسوط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والقول بالضمان أیضاً فیه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وفی الخلاف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الغصب</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العقل بحیث لم یبلغ حدّ الجنون</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قولی القاضی فی المهذّب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وتبعهما فی جامع المقاصد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الغاصب</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الدروس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وإلیها جنح المحقّق، وانظر الشرائع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ذکره الشیخ فی التهذیب فی کتاب الإجارة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یحتجّ بذکره الأصحاب فی هذا الباب مع أ نّه الحجّة القویّة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أکثر الأمرین</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أبی ولّاد المتقدّم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زادت قیمته أو نقصت</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بالقطع إزالته من أصله، ومن التصرّف فیه جعله بحیث لا یزید وإن بقی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الشَوْک</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المجموع </w:t>
      </w:r>
      <w:r>
        <w:rPr>
          <w:rFonts w:eastAsia="IRNazanin" w:cs="IRNazanin"/>
          <w:b w:val="false"/>
          <w:bCs w:val="false"/>
          <w:i w:val="false"/>
          <w:iCs w:val="false"/>
          <w:color w:val="333333"/>
          <w:sz w:val="20"/>
          <w:szCs w:val="20"/>
        </w:rPr>
        <w:t>14:355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المالک، وفی الفتاوی الهندیّة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شریح</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زائداً عن مقدار الجنایة أم لا</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الحدیث الأوّل</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الإرشاد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وضعفها لإرسالها أوّلاً ولجهالة جعفر بن محبوب الواقع فی سندها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یکاد یستفاد ضمان نقص الآخر من العبارة؛ لأنّ ضمیر قیمته إن عاد إلی التالف کما هو الظاهر، فالظاهر عدم دلالته علیه، وإن عاد إلی قیمة المغصوب یلزم ضمان قیمة الموجود وهو غیر مراد ولا صحیح، ولا بدّ من القول بضمان نقص الآخر کما ذکره غیره، وذکر هو فی غیر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للسوق أم لغیره</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فی الصفحة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فصله</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التنقیح الرائع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خلاف أ نّه یضمن المثل لتعذّر العین فی صورة مزجه بالأدون</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للعلّامة فی 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جامع المقاصد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مذهب الأکثر، وفی غایة المرام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المبسوط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الغصب</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والقائل الشیخان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ونسبه فی الشرائع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الأکثر</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لو</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مسألة الکتاب وهی قبول قول المالک فی عدم الردّ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الانتقال إلی البدل بعد الحبس، إلی أن تظهر أمارة عدم إمکان العین</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569</Pages>
  <Words>85292</Words>
  <Characters>380149</Characters>
  <CharactersWithSpaces>462671</CharactersWithSpaces>
  <Paragraphs>2773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2026-08-26T01:23:29Z</dcterms:created>
  <dc:creator>ghaemiyeh.com</dc:creator>
  <dc:description/>
  <dc:language>en-US</dc:language>
  <cp:lastModifiedBy/>
  <dcterms:modified xsi:type="dcterms:W3CDTF">2026-08-26T04:54:00Z</dcterms:modified>
  <cp:revision>1</cp:revision>
  <dc:subject/>
  <dc:title>الروضه البهیه فی شرح اللمعه الدمشقیه الطبعه الحدیثه جلد 3</dc:title>
</cp:coreProperties>
</file>

<file path=docProps/custom.xml><?xml version="1.0" encoding="utf-8"?>
<Properties xmlns="http://schemas.openxmlformats.org/officeDocument/2006/custom-properties" xmlns:vt="http://schemas.openxmlformats.org/officeDocument/2006/docPropsVTypes"/>
</file>