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النکاح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5710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985712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985714_2314609296">
            <w:r>
              <w:rPr>
                <w:webHidden/>
                <w:rStyle w:val="IndexLink"/>
                <w:rtl w:val="true"/>
              </w:rPr>
              <w:t>[</w:t>
            </w:r>
            <w:r>
              <w:rPr>
                <w:rStyle w:val="IndexLink"/>
                <w:rtl w:val="true"/>
              </w:rPr>
              <w:t>المقدمة</w:t>
            </w:r>
            <w:r>
              <w:rPr>
                <w:rStyle w:val="IndexLink"/>
                <w:rtl w:val="true"/>
              </w:rPr>
              <w:t>]</w:t>
              <w:tab/>
            </w:r>
            <w:r>
              <w:rPr>
                <w:rStyle w:val="IndexLink"/>
              </w:rPr>
              <w:t>9</w:t>
            </w:r>
          </w:hyperlink>
        </w:p>
        <w:p>
          <w:pPr>
            <w:pStyle w:val="Contents3"/>
            <w:tabs>
              <w:tab w:val="clear" w:pos="8459"/>
              <w:tab w:val="right" w:pos="9026" w:leader="dot"/>
            </w:tabs>
            <w:rPr/>
          </w:pPr>
          <w:hyperlink w:anchor="__RefHeading___Toc1985716_2314609296">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985718_2314609296">
            <w:r>
              <w:rPr>
                <w:webHidden/>
                <w:rStyle w:val="IndexLink"/>
                <w:rtl w:val="true"/>
              </w:rPr>
              <w:t>[</w:t>
            </w:r>
            <w:r>
              <w:rPr>
                <w:rStyle w:val="IndexLink"/>
                <w:rtl w:val="true"/>
              </w:rPr>
              <w:t>كلمة الأمين العام لمؤتمر الشيخ الأنصاري</w:t>
            </w:r>
            <w:r>
              <w:rPr>
                <w:rStyle w:val="IndexLink"/>
                <w:rtl w:val="true"/>
              </w:rPr>
              <w:t>]</w:t>
              <w:tab/>
            </w:r>
            <w:r>
              <w:rPr>
                <w:rStyle w:val="IndexLink"/>
              </w:rPr>
              <w:t>9</w:t>
            </w:r>
          </w:hyperlink>
        </w:p>
        <w:p>
          <w:pPr>
            <w:pStyle w:val="Contents3"/>
            <w:tabs>
              <w:tab w:val="clear" w:pos="8459"/>
              <w:tab w:val="right" w:pos="9026" w:leader="dot"/>
            </w:tabs>
            <w:rPr/>
          </w:pPr>
          <w:hyperlink w:anchor="__RefHeading___Toc1985720_2314609296">
            <w:r>
              <w:rPr>
                <w:webHidden/>
                <w:rStyle w:val="IndexLink"/>
                <w:rtl w:val="true"/>
              </w:rPr>
              <w:t>[</w:t>
            </w:r>
            <w:r>
              <w:rPr>
                <w:rStyle w:val="IndexLink"/>
                <w:rtl w:val="true"/>
              </w:rPr>
              <w:t>كلمة مسئول لجنة التحقيق</w:t>
            </w:r>
            <w:r>
              <w:rPr>
                <w:rStyle w:val="IndexLink"/>
                <w:rtl w:val="true"/>
              </w:rPr>
              <w:t>]</w:t>
              <w:tab/>
            </w:r>
            <w:r>
              <w:rPr>
                <w:rStyle w:val="IndexLink"/>
              </w:rPr>
              <w:t>12</w:t>
            </w:r>
          </w:hyperlink>
        </w:p>
        <w:p>
          <w:pPr>
            <w:pStyle w:val="Contents4"/>
            <w:tabs>
              <w:tab w:val="clear" w:pos="8176"/>
              <w:tab w:val="right" w:pos="9026" w:leader="dot"/>
            </w:tabs>
            <w:rPr/>
          </w:pPr>
          <w:hyperlink w:anchor="__RefHeading___Toc1985722_2314609296">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985724_2314609296">
            <w:r>
              <w:rPr>
                <w:webHidden/>
                <w:rStyle w:val="IndexLink"/>
                <w:rtl w:val="true"/>
              </w:rPr>
              <w:t>النسخ المعتمد عليها</w:t>
            </w:r>
            <w:r>
              <w:rPr>
                <w:rStyle w:val="IndexLink"/>
                <w:rtl w:val="true"/>
              </w:rPr>
              <w:t>:</w:t>
              <w:tab/>
            </w:r>
            <w:r>
              <w:rPr>
                <w:rStyle w:val="IndexLink"/>
              </w:rPr>
              <w:t>14</w:t>
            </w:r>
          </w:hyperlink>
        </w:p>
        <w:p>
          <w:pPr>
            <w:pStyle w:val="Contents4"/>
            <w:tabs>
              <w:tab w:val="clear" w:pos="8176"/>
              <w:tab w:val="right" w:pos="9026" w:leader="dot"/>
            </w:tabs>
            <w:rPr/>
          </w:pPr>
          <w:hyperlink w:anchor="__RefHeading___Toc1985726_2314609296">
            <w:r>
              <w:rPr>
                <w:webHidden/>
                <w:rStyle w:val="IndexLink"/>
                <w:rtl w:val="true"/>
              </w:rPr>
              <w:t>شكر و تقدير</w:t>
            </w:r>
            <w:r>
              <w:rPr>
                <w:rStyle w:val="IndexLink"/>
                <w:rtl w:val="true"/>
              </w:rPr>
              <w:t>:</w:t>
              <w:tab/>
            </w:r>
            <w:r>
              <w:rPr>
                <w:rStyle w:val="IndexLink"/>
              </w:rPr>
              <w:t>15</w:t>
            </w:r>
          </w:hyperlink>
        </w:p>
        <w:p>
          <w:pPr>
            <w:pStyle w:val="Contents2"/>
            <w:tabs>
              <w:tab w:val="clear" w:pos="8743"/>
              <w:tab w:val="right" w:pos="9026" w:leader="dot"/>
            </w:tabs>
            <w:rPr/>
          </w:pPr>
          <w:hyperlink w:anchor="__RefHeading___Toc1985728_2314609296">
            <w:r>
              <w:rPr>
                <w:webHidden/>
                <w:rStyle w:val="IndexLink"/>
                <w:rtl w:val="true"/>
              </w:rPr>
              <w:t>[</w:t>
            </w:r>
            <w:r>
              <w:rPr>
                <w:rStyle w:val="IndexLink"/>
                <w:rtl w:val="true"/>
              </w:rPr>
              <w:t>شرح</w:t>
            </w:r>
            <w:r>
              <w:rPr>
                <w:rStyle w:val="IndexLink"/>
                <w:rtl w:val="true"/>
              </w:rPr>
              <w:t xml:space="preserve">] </w:t>
            </w:r>
            <w:r>
              <w:rPr>
                <w:rStyle w:val="IndexLink"/>
                <w:rtl w:val="true"/>
              </w:rPr>
              <w:t xml:space="preserve">كتاب النكاح </w:t>
            </w:r>
            <w:r>
              <w:rPr>
                <w:rStyle w:val="IndexLink"/>
                <w:rtl w:val="true"/>
              </w:rPr>
              <w:t>[</w:t>
            </w:r>
            <w:r>
              <w:rPr>
                <w:rStyle w:val="IndexLink"/>
                <w:rtl w:val="true"/>
              </w:rPr>
              <w:t>من الإرشاد</w:t>
            </w:r>
            <w:r>
              <w:rPr>
                <w:rStyle w:val="IndexLink"/>
                <w:rtl w:val="true"/>
              </w:rPr>
              <w:t>]</w:t>
              <w:tab/>
            </w:r>
            <w:r>
              <w:rPr>
                <w:rStyle w:val="IndexLink"/>
              </w:rPr>
              <w:t>18</w:t>
            </w:r>
          </w:hyperlink>
        </w:p>
        <w:p>
          <w:pPr>
            <w:pStyle w:val="Contents3"/>
            <w:tabs>
              <w:tab w:val="clear" w:pos="8459"/>
              <w:tab w:val="right" w:pos="9026" w:leader="dot"/>
            </w:tabs>
            <w:rPr/>
          </w:pPr>
          <w:hyperlink w:anchor="__RefHeading___Toc1985730_2314609296">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985732_2314609296">
            <w:r>
              <w:rPr>
                <w:webHidden/>
                <w:rStyle w:val="IndexLink"/>
                <w:rtl w:val="true"/>
              </w:rPr>
              <w:t>المقصد الأوّل في أقسام النّكاح</w:t>
            </w:r>
            <w:r>
              <w:rPr>
                <w:rStyle w:val="IndexLink"/>
                <w:rtl w:val="true"/>
              </w:rPr>
              <w:tab/>
            </w:r>
            <w:r>
              <w:rPr>
                <w:rStyle w:val="IndexLink"/>
              </w:rPr>
              <w:t>19</w:t>
            </w:r>
          </w:hyperlink>
        </w:p>
        <w:p>
          <w:pPr>
            <w:pStyle w:val="Contents4"/>
            <w:tabs>
              <w:tab w:val="clear" w:pos="8176"/>
              <w:tab w:val="right" w:pos="9026" w:leader="dot"/>
            </w:tabs>
            <w:rPr/>
          </w:pPr>
          <w:hyperlink w:anchor="__RefHeading___Toc1985734_2314609296">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985736_2314609296">
            <w:r>
              <w:rPr>
                <w:webHidden/>
                <w:rStyle w:val="IndexLink"/>
                <w:rtl w:val="true"/>
              </w:rPr>
              <w:t>القسم الأوّل في الدّائم</w:t>
            </w:r>
            <w:r>
              <w:rPr>
                <w:rStyle w:val="IndexLink"/>
                <w:rtl w:val="true"/>
              </w:rPr>
              <w:tab/>
            </w:r>
            <w:r>
              <w:rPr>
                <w:rStyle w:val="IndexLink"/>
              </w:rPr>
              <w:t>21</w:t>
            </w:r>
          </w:hyperlink>
        </w:p>
        <w:p>
          <w:pPr>
            <w:pStyle w:val="Contents5"/>
            <w:tabs>
              <w:tab w:val="clear" w:pos="7892"/>
              <w:tab w:val="right" w:pos="9026" w:leader="dot"/>
            </w:tabs>
            <w:rPr/>
          </w:pPr>
          <w:hyperlink w:anchor="__RefHeading___Toc1985738_2314609296">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1985740_2314609296">
            <w:r>
              <w:rPr>
                <w:webHidden/>
                <w:rStyle w:val="IndexLink"/>
                <w:rtl w:val="true"/>
              </w:rPr>
              <w:t>المطلب الأوّل في بيان حكمه و آدابه</w:t>
            </w:r>
            <w:r>
              <w:rPr>
                <w:rStyle w:val="IndexLink"/>
                <w:rtl w:val="true"/>
              </w:rPr>
              <w:tab/>
            </w:r>
            <w:r>
              <w:rPr>
                <w:rStyle w:val="IndexLink"/>
              </w:rPr>
              <w:t>22</w:t>
            </w:r>
          </w:hyperlink>
        </w:p>
        <w:p>
          <w:pPr>
            <w:pStyle w:val="Contents5"/>
            <w:tabs>
              <w:tab w:val="clear" w:pos="7892"/>
              <w:tab w:val="right" w:pos="9026" w:leader="dot"/>
            </w:tabs>
            <w:rPr/>
          </w:pPr>
          <w:hyperlink w:anchor="__RefHeading___Toc1985742_2314609296">
            <w:r>
              <w:rPr>
                <w:webHidden/>
                <w:rStyle w:val="IndexLink"/>
                <w:rtl w:val="true"/>
              </w:rPr>
              <w:t>المطلب الثاني في أركانها</w:t>
            </w:r>
            <w:r>
              <w:rPr>
                <w:rStyle w:val="IndexLink"/>
                <w:rtl w:val="true"/>
              </w:rPr>
              <w:tab/>
            </w:r>
            <w:r>
              <w:rPr>
                <w:rStyle w:val="IndexLink"/>
              </w:rPr>
              <w:t>68</w:t>
            </w:r>
          </w:hyperlink>
        </w:p>
        <w:p>
          <w:pPr>
            <w:pStyle w:val="Contents6"/>
            <w:tabs>
              <w:tab w:val="clear" w:pos="7609"/>
              <w:tab w:val="right" w:pos="9026" w:leader="dot"/>
            </w:tabs>
            <w:rPr/>
          </w:pPr>
          <w:hyperlink w:anchor="__RefHeading___Toc1985744_2314609296">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1985746_2314609296">
            <w:r>
              <w:rPr>
                <w:webHidden/>
                <w:rStyle w:val="IndexLink"/>
                <w:rtl w:val="true"/>
              </w:rPr>
              <w:t>الأوّل</w:t>
            </w:r>
            <w:r>
              <w:rPr>
                <w:rStyle w:val="IndexLink"/>
                <w:rtl w:val="true"/>
              </w:rPr>
              <w:t xml:space="preserve">: </w:t>
            </w:r>
            <w:r>
              <w:rPr>
                <w:rStyle w:val="IndexLink"/>
                <w:rtl w:val="true"/>
              </w:rPr>
              <w:t>في الصيغة</w:t>
            </w:r>
            <w:r>
              <w:rPr>
                <w:rStyle w:val="IndexLink"/>
                <w:rtl w:val="true"/>
              </w:rPr>
              <w:tab/>
            </w:r>
            <w:r>
              <w:rPr>
                <w:rStyle w:val="IndexLink"/>
              </w:rPr>
              <w:t>68</w:t>
            </w:r>
          </w:hyperlink>
        </w:p>
        <w:p>
          <w:pPr>
            <w:pStyle w:val="Contents6"/>
            <w:tabs>
              <w:tab w:val="clear" w:pos="7609"/>
              <w:tab w:val="right" w:pos="9026" w:leader="dot"/>
            </w:tabs>
            <w:rPr/>
          </w:pPr>
          <w:hyperlink w:anchor="__RefHeading___Toc1985748_2314609296">
            <w:r>
              <w:rPr>
                <w:webHidden/>
                <w:rStyle w:val="IndexLink"/>
                <w:rtl w:val="true"/>
              </w:rPr>
              <w:t>الثاني</w:t>
            </w:r>
            <w:r>
              <w:rPr>
                <w:rStyle w:val="IndexLink"/>
                <w:rtl w:val="true"/>
              </w:rPr>
              <w:t xml:space="preserve">: </w:t>
            </w:r>
            <w:r>
              <w:rPr>
                <w:rStyle w:val="IndexLink"/>
                <w:rtl w:val="true"/>
              </w:rPr>
              <w:t>في المتعاقدين</w:t>
            </w:r>
            <w:r>
              <w:rPr>
                <w:rStyle w:val="IndexLink"/>
                <w:rtl w:val="true"/>
              </w:rPr>
              <w:tab/>
            </w:r>
            <w:r>
              <w:rPr>
                <w:rStyle w:val="IndexLink"/>
              </w:rPr>
              <w:t>79</w:t>
            </w:r>
          </w:hyperlink>
        </w:p>
        <w:p>
          <w:pPr>
            <w:pStyle w:val="Contents5"/>
            <w:tabs>
              <w:tab w:val="clear" w:pos="7892"/>
              <w:tab w:val="right" w:pos="9026" w:leader="dot"/>
            </w:tabs>
            <w:rPr/>
          </w:pPr>
          <w:hyperlink w:anchor="__RefHeading___Toc1985750_2314609296">
            <w:r>
              <w:rPr>
                <w:webHidden/>
                <w:rStyle w:val="IndexLink"/>
                <w:rtl w:val="true"/>
              </w:rPr>
              <w:t>المطلب الثالث في الأولياء</w:t>
            </w:r>
            <w:r>
              <w:rPr>
                <w:rStyle w:val="IndexLink"/>
                <w:rtl w:val="true"/>
              </w:rPr>
              <w:tab/>
            </w:r>
            <w:r>
              <w:rPr>
                <w:rStyle w:val="IndexLink"/>
              </w:rPr>
              <w:t>97</w:t>
            </w:r>
          </w:hyperlink>
        </w:p>
        <w:p>
          <w:pPr>
            <w:pStyle w:val="Contents6"/>
            <w:tabs>
              <w:tab w:val="clear" w:pos="7609"/>
              <w:tab w:val="right" w:pos="9026" w:leader="dot"/>
            </w:tabs>
            <w:rPr/>
          </w:pPr>
          <w:hyperlink w:anchor="__RefHeading___Toc1985752_2314609296">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1985754_2314609296">
            <w:r>
              <w:rPr>
                <w:webHidden/>
                <w:rStyle w:val="IndexLink"/>
                <w:rtl w:val="true"/>
              </w:rPr>
              <w:t>الأوّل</w:t>
            </w:r>
            <w:r>
              <w:rPr>
                <w:rStyle w:val="IndexLink"/>
                <w:rtl w:val="true"/>
              </w:rPr>
              <w:t xml:space="preserve">: </w:t>
            </w:r>
            <w:r>
              <w:rPr>
                <w:rStyle w:val="IndexLink"/>
                <w:rtl w:val="true"/>
              </w:rPr>
              <w:t>في أسباب الولاية</w:t>
            </w:r>
            <w:r>
              <w:rPr>
                <w:rStyle w:val="IndexLink"/>
                <w:rtl w:val="true"/>
              </w:rPr>
              <w:tab/>
            </w:r>
            <w:r>
              <w:rPr>
                <w:rStyle w:val="IndexLink"/>
              </w:rPr>
              <w:t>97</w:t>
            </w:r>
          </w:hyperlink>
        </w:p>
        <w:p>
          <w:pPr>
            <w:pStyle w:val="Contents6"/>
            <w:tabs>
              <w:tab w:val="clear" w:pos="7609"/>
              <w:tab w:val="right" w:pos="9026" w:leader="dot"/>
            </w:tabs>
            <w:rPr/>
          </w:pPr>
          <w:hyperlink w:anchor="__RefHeading___Toc1985756_2314609296">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1985758_2314609296">
            <w:r>
              <w:rPr>
                <w:webHidden/>
                <w:rStyle w:val="IndexLink"/>
                <w:rtl w:val="true"/>
              </w:rPr>
              <w:t>الأوّل</w:t>
            </w:r>
            <w:r>
              <w:rPr>
                <w:rStyle w:val="IndexLink"/>
                <w:rtl w:val="true"/>
              </w:rPr>
              <w:t xml:space="preserve">: </w:t>
            </w:r>
            <w:r>
              <w:rPr>
                <w:rStyle w:val="IndexLink"/>
                <w:rtl w:val="true"/>
              </w:rPr>
              <w:t>الأبوّة</w:t>
            </w:r>
            <w:r>
              <w:rPr>
                <w:rStyle w:val="IndexLink"/>
                <w:rtl w:val="true"/>
              </w:rPr>
              <w:tab/>
            </w:r>
            <w:r>
              <w:rPr>
                <w:rStyle w:val="IndexLink"/>
              </w:rPr>
              <w:t>97</w:t>
            </w:r>
          </w:hyperlink>
        </w:p>
        <w:p>
          <w:pPr>
            <w:pStyle w:val="Contents6"/>
            <w:tabs>
              <w:tab w:val="clear" w:pos="7609"/>
              <w:tab w:val="right" w:pos="9026" w:leader="dot"/>
            </w:tabs>
            <w:rPr/>
          </w:pPr>
          <w:hyperlink w:anchor="__RefHeading___Toc1985760_2314609296">
            <w:r>
              <w:rPr>
                <w:webHidden/>
                <w:rStyle w:val="IndexLink"/>
                <w:rtl w:val="true"/>
              </w:rPr>
              <w:t>[</w:t>
            </w:r>
            <w:r>
              <w:rPr>
                <w:rStyle w:val="IndexLink"/>
                <w:rtl w:val="true"/>
              </w:rPr>
              <w:t>الثاني من أسباب الولاية الإجبارية</w:t>
            </w:r>
            <w:r>
              <w:rPr>
                <w:rStyle w:val="IndexLink"/>
                <w:rtl w:val="true"/>
              </w:rPr>
              <w:t xml:space="preserve">: </w:t>
            </w:r>
            <w:r>
              <w:rPr>
                <w:rStyle w:val="IndexLink"/>
                <w:rtl w:val="true"/>
              </w:rPr>
              <w:t>الملك</w:t>
            </w:r>
            <w:r>
              <w:rPr>
                <w:rStyle w:val="IndexLink"/>
                <w:rtl w:val="true"/>
              </w:rPr>
              <w:t>]</w:t>
              <w:tab/>
            </w:r>
            <w:r>
              <w:rPr>
                <w:rStyle w:val="IndexLink"/>
              </w:rPr>
              <w:t>118</w:t>
            </w:r>
          </w:hyperlink>
        </w:p>
        <w:p>
          <w:pPr>
            <w:pStyle w:val="Contents6"/>
            <w:tabs>
              <w:tab w:val="clear" w:pos="7609"/>
              <w:tab w:val="right" w:pos="9026" w:leader="dot"/>
            </w:tabs>
            <w:rPr/>
          </w:pPr>
          <w:hyperlink w:anchor="__RefHeading___Toc1985762_2314609296">
            <w:r>
              <w:rPr>
                <w:webHidden/>
                <w:rStyle w:val="IndexLink"/>
                <w:rtl w:val="true"/>
              </w:rPr>
              <w:t>[</w:t>
            </w:r>
            <w:r>
              <w:rPr>
                <w:rStyle w:val="IndexLink"/>
                <w:rtl w:val="true"/>
              </w:rPr>
              <w:t>الثالث من أسباب الولاية عند بعض</w:t>
            </w:r>
            <w:r>
              <w:rPr>
                <w:rStyle w:val="IndexLink"/>
                <w:rtl w:val="true"/>
              </w:rPr>
              <w:t xml:space="preserve">: </w:t>
            </w:r>
            <w:r>
              <w:rPr>
                <w:rStyle w:val="IndexLink"/>
                <w:rtl w:val="true"/>
              </w:rPr>
              <w:t>الوصاية</w:t>
            </w:r>
            <w:r>
              <w:rPr>
                <w:rStyle w:val="IndexLink"/>
                <w:rtl w:val="true"/>
              </w:rPr>
              <w:t>]</w:t>
              <w:tab/>
            </w:r>
            <w:r>
              <w:rPr>
                <w:rStyle w:val="IndexLink"/>
              </w:rPr>
              <w:t>132</w:t>
            </w:r>
          </w:hyperlink>
        </w:p>
        <w:p>
          <w:pPr>
            <w:pStyle w:val="Contents6"/>
            <w:tabs>
              <w:tab w:val="clear" w:pos="7609"/>
              <w:tab w:val="right" w:pos="9026" w:leader="dot"/>
            </w:tabs>
            <w:rPr/>
          </w:pPr>
          <w:hyperlink w:anchor="__RefHeading___Toc1985764_2314609296">
            <w:r>
              <w:rPr>
                <w:webHidden/>
                <w:rStyle w:val="IndexLink"/>
                <w:rtl w:val="true"/>
              </w:rPr>
              <w:t>[</w:t>
            </w:r>
            <w:r>
              <w:rPr>
                <w:rStyle w:val="IndexLink"/>
                <w:rtl w:val="true"/>
              </w:rPr>
              <w:t>الرابع من أسباب الولاية</w:t>
            </w:r>
            <w:r>
              <w:rPr>
                <w:rStyle w:val="IndexLink"/>
                <w:rtl w:val="true"/>
              </w:rPr>
              <w:t xml:space="preserve">: </w:t>
            </w:r>
            <w:r>
              <w:rPr>
                <w:rStyle w:val="IndexLink"/>
                <w:rtl w:val="true"/>
              </w:rPr>
              <w:t>ولاية الحكم</w:t>
            </w:r>
            <w:r>
              <w:rPr>
                <w:rStyle w:val="IndexLink"/>
                <w:rtl w:val="true"/>
              </w:rPr>
              <w:t>]</w:t>
              <w:tab/>
            </w:r>
            <w:r>
              <w:rPr>
                <w:rStyle w:val="IndexLink"/>
              </w:rPr>
              <w:t>138</w:t>
            </w:r>
          </w:hyperlink>
        </w:p>
        <w:p>
          <w:pPr>
            <w:pStyle w:val="Contents6"/>
            <w:tabs>
              <w:tab w:val="clear" w:pos="7609"/>
              <w:tab w:val="right" w:pos="9026" w:leader="dot"/>
            </w:tabs>
            <w:rPr/>
          </w:pPr>
          <w:hyperlink w:anchor="__RefHeading___Toc1985766_2314609296">
            <w:r>
              <w:rPr>
                <w:webHidden/>
                <w:rStyle w:val="IndexLink"/>
                <w:rtl w:val="true"/>
              </w:rPr>
              <w:t>الفصل الثاني</w:t>
            </w:r>
            <w:r>
              <w:rPr>
                <w:rStyle w:val="IndexLink"/>
                <w:rtl w:val="true"/>
              </w:rPr>
              <w:t xml:space="preserve">: </w:t>
            </w:r>
            <w:r>
              <w:rPr>
                <w:rStyle w:val="IndexLink"/>
                <w:rtl w:val="true"/>
              </w:rPr>
              <w:t>في الأحكام</w:t>
            </w:r>
            <w:r>
              <w:rPr>
                <w:rStyle w:val="IndexLink"/>
                <w:rtl w:val="true"/>
              </w:rPr>
              <w:tab/>
            </w:r>
            <w:r>
              <w:rPr>
                <w:rStyle w:val="IndexLink"/>
              </w:rPr>
              <w:t>145</w:t>
            </w:r>
          </w:hyperlink>
        </w:p>
        <w:p>
          <w:pPr>
            <w:pStyle w:val="Contents4"/>
            <w:tabs>
              <w:tab w:val="clear" w:pos="8176"/>
              <w:tab w:val="right" w:pos="9026" w:leader="dot"/>
            </w:tabs>
            <w:rPr/>
          </w:pPr>
          <w:hyperlink w:anchor="__RefHeading___Toc1985768_2314609296">
            <w:r>
              <w:rPr>
                <w:webHidden/>
                <w:rStyle w:val="IndexLink"/>
                <w:rtl w:val="true"/>
              </w:rPr>
              <w:t>القسم الثاني في المتعة</w:t>
            </w:r>
            <w:r>
              <w:rPr>
                <w:rStyle w:val="IndexLink"/>
                <w:rtl w:val="true"/>
              </w:rPr>
              <w:tab/>
            </w:r>
            <w:r>
              <w:rPr>
                <w:rStyle w:val="IndexLink"/>
              </w:rPr>
              <w:t>195</w:t>
            </w:r>
          </w:hyperlink>
        </w:p>
        <w:p>
          <w:pPr>
            <w:pStyle w:val="Contents5"/>
            <w:tabs>
              <w:tab w:val="clear" w:pos="7892"/>
              <w:tab w:val="right" w:pos="9026" w:leader="dot"/>
            </w:tabs>
            <w:rPr/>
          </w:pPr>
          <w:hyperlink w:anchor="__RefHeading___Toc1985770_2314609296">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985772_2314609296">
            <w:r>
              <w:rPr>
                <w:webHidden/>
                <w:rStyle w:val="IndexLink"/>
                <w:rtl w:val="true"/>
              </w:rPr>
              <w:t>[</w:t>
            </w:r>
            <w:r>
              <w:rPr>
                <w:rStyle w:val="IndexLink"/>
                <w:rtl w:val="true"/>
              </w:rPr>
              <w:t>المطلب الأوّل في أركانها</w:t>
            </w:r>
            <w:r>
              <w:rPr>
                <w:rStyle w:val="IndexLink"/>
                <w:rtl w:val="true"/>
              </w:rPr>
              <w:t>]</w:t>
              <w:tab/>
            </w:r>
            <w:r>
              <w:rPr>
                <w:rStyle w:val="IndexLink"/>
              </w:rPr>
              <w:t>196</w:t>
            </w:r>
          </w:hyperlink>
        </w:p>
        <w:p>
          <w:pPr>
            <w:pStyle w:val="Contents6"/>
            <w:tabs>
              <w:tab w:val="clear" w:pos="7609"/>
              <w:tab w:val="right" w:pos="9026" w:leader="dot"/>
            </w:tabs>
            <w:rPr/>
          </w:pPr>
          <w:hyperlink w:anchor="__RefHeading___Toc1985774_2314609296">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1985776_2314609296">
            <w:r>
              <w:rPr>
                <w:webHidden/>
                <w:rStyle w:val="IndexLink"/>
                <w:rtl w:val="true"/>
              </w:rPr>
              <w:t>الأوّل</w:t>
            </w:r>
            <w:r>
              <w:rPr>
                <w:rStyle w:val="IndexLink"/>
                <w:rtl w:val="true"/>
              </w:rPr>
              <w:t xml:space="preserve">: </w:t>
            </w:r>
            <w:r>
              <w:rPr>
                <w:rStyle w:val="IndexLink"/>
                <w:rtl w:val="true"/>
              </w:rPr>
              <w:t>العقد</w:t>
            </w:r>
            <w:r>
              <w:rPr>
                <w:rStyle w:val="IndexLink"/>
                <w:rtl w:val="true"/>
              </w:rPr>
              <w:tab/>
            </w:r>
            <w:r>
              <w:rPr>
                <w:rStyle w:val="IndexLink"/>
              </w:rPr>
              <w:t>196</w:t>
            </w:r>
          </w:hyperlink>
        </w:p>
        <w:p>
          <w:pPr>
            <w:pStyle w:val="Contents6"/>
            <w:tabs>
              <w:tab w:val="clear" w:pos="7609"/>
              <w:tab w:val="right" w:pos="9026" w:leader="dot"/>
            </w:tabs>
            <w:rPr/>
          </w:pPr>
          <w:hyperlink w:anchor="__RefHeading___Toc1985778_2314609296">
            <w:r>
              <w:rPr>
                <w:webHidden/>
                <w:rStyle w:val="IndexLink"/>
                <w:rtl w:val="true"/>
              </w:rPr>
              <w:t>الركن الثاني</w:t>
            </w:r>
            <w:r>
              <w:rPr>
                <w:rStyle w:val="IndexLink"/>
                <w:rtl w:val="true"/>
              </w:rPr>
              <w:t xml:space="preserve">: </w:t>
            </w:r>
            <w:r>
              <w:rPr>
                <w:rStyle w:val="IndexLink"/>
                <w:rtl w:val="true"/>
              </w:rPr>
              <w:t>المحل</w:t>
            </w:r>
            <w:r>
              <w:rPr>
                <w:rStyle w:val="IndexLink"/>
                <w:rtl w:val="true"/>
              </w:rPr>
              <w:tab/>
            </w:r>
            <w:r>
              <w:rPr>
                <w:rStyle w:val="IndexLink"/>
              </w:rPr>
              <w:t>198</w:t>
            </w:r>
          </w:hyperlink>
        </w:p>
        <w:p>
          <w:pPr>
            <w:pStyle w:val="Contents6"/>
            <w:tabs>
              <w:tab w:val="clear" w:pos="7609"/>
              <w:tab w:val="right" w:pos="9026" w:leader="dot"/>
            </w:tabs>
            <w:rPr/>
          </w:pPr>
          <w:hyperlink w:anchor="__RefHeading___Toc1985780_2314609296">
            <w:r>
              <w:rPr>
                <w:webHidden/>
                <w:rStyle w:val="IndexLink"/>
                <w:rtl w:val="true"/>
              </w:rPr>
              <w:t>الركن الثالث</w:t>
            </w:r>
            <w:r>
              <w:rPr>
                <w:rStyle w:val="IndexLink"/>
                <w:rtl w:val="true"/>
              </w:rPr>
              <w:t xml:space="preserve">: </w:t>
            </w:r>
            <w:r>
              <w:rPr>
                <w:rStyle w:val="IndexLink"/>
                <w:rtl w:val="true"/>
              </w:rPr>
              <w:t>الأجل</w:t>
            </w:r>
            <w:r>
              <w:rPr>
                <w:rStyle w:val="IndexLink"/>
                <w:rtl w:val="true"/>
              </w:rPr>
              <w:tab/>
            </w:r>
            <w:r>
              <w:rPr>
                <w:rStyle w:val="IndexLink"/>
              </w:rPr>
              <w:t>199</w:t>
            </w:r>
          </w:hyperlink>
        </w:p>
        <w:p>
          <w:pPr>
            <w:pStyle w:val="Contents6"/>
            <w:tabs>
              <w:tab w:val="clear" w:pos="7609"/>
              <w:tab w:val="right" w:pos="9026" w:leader="dot"/>
            </w:tabs>
            <w:rPr/>
          </w:pPr>
          <w:hyperlink w:anchor="__RefHeading___Toc1985782_2314609296">
            <w:r>
              <w:rPr>
                <w:webHidden/>
                <w:rStyle w:val="IndexLink"/>
                <w:rtl w:val="true"/>
              </w:rPr>
              <w:t>الرابع من الأركان المهر</w:t>
            </w:r>
            <w:r>
              <w:rPr>
                <w:rStyle w:val="IndexLink"/>
                <w:rtl w:val="true"/>
              </w:rPr>
              <w:tab/>
            </w:r>
            <w:r>
              <w:rPr>
                <w:rStyle w:val="IndexLink"/>
              </w:rPr>
              <w:t>210</w:t>
            </w:r>
          </w:hyperlink>
        </w:p>
        <w:p>
          <w:pPr>
            <w:pStyle w:val="Contents5"/>
            <w:tabs>
              <w:tab w:val="clear" w:pos="7892"/>
              <w:tab w:val="right" w:pos="9026" w:leader="dot"/>
            </w:tabs>
            <w:rPr/>
          </w:pPr>
          <w:hyperlink w:anchor="__RefHeading___Toc1985784_2314609296">
            <w:r>
              <w:rPr>
                <w:webHidden/>
                <w:rStyle w:val="IndexLink"/>
                <w:rtl w:val="true"/>
              </w:rPr>
              <w:t>المطلب الثاني في الأحكام</w:t>
            </w:r>
            <w:r>
              <w:rPr>
                <w:rStyle w:val="IndexLink"/>
                <w:rtl w:val="true"/>
              </w:rPr>
              <w:tab/>
            </w:r>
            <w:r>
              <w:rPr>
                <w:rStyle w:val="IndexLink"/>
              </w:rPr>
              <w:t>213</w:t>
            </w:r>
          </w:hyperlink>
        </w:p>
        <w:p>
          <w:pPr>
            <w:pStyle w:val="Contents4"/>
            <w:tabs>
              <w:tab w:val="clear" w:pos="8176"/>
              <w:tab w:val="right" w:pos="9026" w:leader="dot"/>
            </w:tabs>
            <w:rPr/>
          </w:pPr>
          <w:hyperlink w:anchor="__RefHeading___Toc1985786_2314609296">
            <w:r>
              <w:rPr>
                <w:webHidden/>
                <w:rStyle w:val="IndexLink"/>
                <w:rtl w:val="true"/>
              </w:rPr>
              <w:t>القسم الثّالث في نكاح الإماء</w:t>
            </w:r>
            <w:r>
              <w:rPr>
                <w:rStyle w:val="IndexLink"/>
                <w:rtl w:val="true"/>
              </w:rPr>
              <w:tab/>
            </w:r>
            <w:r>
              <w:rPr>
                <w:rStyle w:val="IndexLink"/>
              </w:rPr>
              <w:t>219</w:t>
            </w:r>
          </w:hyperlink>
        </w:p>
        <w:p>
          <w:pPr>
            <w:pStyle w:val="Contents5"/>
            <w:tabs>
              <w:tab w:val="clear" w:pos="7892"/>
              <w:tab w:val="right" w:pos="9026" w:leader="dot"/>
            </w:tabs>
            <w:rPr/>
          </w:pPr>
          <w:hyperlink w:anchor="__RefHeading___Toc1985788_2314609296">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985790_2314609296">
            <w:r>
              <w:rPr>
                <w:webHidden/>
                <w:rStyle w:val="IndexLink"/>
                <w:rtl w:val="true"/>
              </w:rPr>
              <w:t>النظر الأوّل</w:t>
            </w:r>
            <w:r>
              <w:rPr>
                <w:rStyle w:val="IndexLink"/>
                <w:rtl w:val="true"/>
              </w:rPr>
              <w:t xml:space="preserve">: </w:t>
            </w:r>
            <w:r>
              <w:rPr>
                <w:rStyle w:val="IndexLink"/>
                <w:rtl w:val="true"/>
              </w:rPr>
              <w:t>الملك</w:t>
            </w:r>
            <w:r>
              <w:rPr>
                <w:rStyle w:val="IndexLink"/>
                <w:rtl w:val="true"/>
              </w:rPr>
              <w:tab/>
            </w:r>
            <w:r>
              <w:rPr>
                <w:rStyle w:val="IndexLink"/>
              </w:rPr>
              <w:t>220</w:t>
            </w:r>
          </w:hyperlink>
        </w:p>
        <w:p>
          <w:pPr>
            <w:pStyle w:val="Contents5"/>
            <w:tabs>
              <w:tab w:val="clear" w:pos="7892"/>
              <w:tab w:val="right" w:pos="9026" w:leader="dot"/>
            </w:tabs>
            <w:rPr/>
          </w:pPr>
          <w:hyperlink w:anchor="__RefHeading___Toc1985792_2314609296">
            <w:r>
              <w:rPr>
                <w:webHidden/>
                <w:rStyle w:val="IndexLink"/>
                <w:rtl w:val="true"/>
              </w:rPr>
              <w:t>النظر الثاني</w:t>
            </w:r>
            <w:r>
              <w:rPr>
                <w:rStyle w:val="IndexLink"/>
                <w:rtl w:val="true"/>
              </w:rPr>
              <w:t xml:space="preserve">: </w:t>
            </w:r>
            <w:r>
              <w:rPr>
                <w:rStyle w:val="IndexLink"/>
                <w:rtl w:val="true"/>
              </w:rPr>
              <w:t>في استباحة الإماء بالعقد</w:t>
            </w:r>
            <w:r>
              <w:rPr>
                <w:rStyle w:val="IndexLink"/>
                <w:rtl w:val="true"/>
              </w:rPr>
              <w:tab/>
            </w:r>
            <w:r>
              <w:rPr>
                <w:rStyle w:val="IndexLink"/>
              </w:rPr>
              <w:t>227</w:t>
            </w:r>
          </w:hyperlink>
        </w:p>
        <w:p>
          <w:pPr>
            <w:pStyle w:val="Contents5"/>
            <w:tabs>
              <w:tab w:val="clear" w:pos="7892"/>
              <w:tab w:val="right" w:pos="9026" w:leader="dot"/>
            </w:tabs>
            <w:rPr/>
          </w:pPr>
          <w:hyperlink w:anchor="__RefHeading___Toc1985794_2314609296">
            <w:r>
              <w:rPr>
                <w:webHidden/>
                <w:rStyle w:val="IndexLink"/>
                <w:rtl w:val="true"/>
              </w:rPr>
              <w:t>النظر الثالث</w:t>
            </w:r>
            <w:r>
              <w:rPr>
                <w:rStyle w:val="IndexLink"/>
                <w:rtl w:val="true"/>
              </w:rPr>
              <w:t xml:space="preserve">: </w:t>
            </w:r>
            <w:r>
              <w:rPr>
                <w:rStyle w:val="IndexLink"/>
                <w:rtl w:val="true"/>
              </w:rPr>
              <w:t>في حلّ فروج الإماء على وجه الإباحة</w:t>
            </w:r>
            <w:r>
              <w:rPr>
                <w:rStyle w:val="IndexLink"/>
                <w:rtl w:val="true"/>
              </w:rPr>
              <w:tab/>
            </w:r>
            <w:r>
              <w:rPr>
                <w:rStyle w:val="IndexLink"/>
              </w:rPr>
              <w:t>236</w:t>
            </w:r>
          </w:hyperlink>
        </w:p>
        <w:p>
          <w:pPr>
            <w:pStyle w:val="Contents3"/>
            <w:tabs>
              <w:tab w:val="clear" w:pos="8459"/>
              <w:tab w:val="right" w:pos="9026" w:leader="dot"/>
            </w:tabs>
            <w:rPr/>
          </w:pPr>
          <w:hyperlink w:anchor="__RefHeading___Toc1985796_2314609296">
            <w:r>
              <w:rPr>
                <w:webHidden/>
                <w:rStyle w:val="IndexLink"/>
                <w:rtl w:val="true"/>
              </w:rPr>
              <w:t>المقصد الثّاني في الصّدق</w:t>
            </w:r>
            <w:r>
              <w:rPr>
                <w:rStyle w:val="IndexLink"/>
                <w:rtl w:val="true"/>
              </w:rPr>
              <w:tab/>
            </w:r>
            <w:r>
              <w:rPr>
                <w:rStyle w:val="IndexLink"/>
              </w:rPr>
              <w:t>240</w:t>
            </w:r>
          </w:hyperlink>
        </w:p>
        <w:p>
          <w:pPr>
            <w:pStyle w:val="Contents4"/>
            <w:tabs>
              <w:tab w:val="clear" w:pos="8176"/>
              <w:tab w:val="right" w:pos="9026" w:leader="dot"/>
            </w:tabs>
            <w:rPr/>
          </w:pPr>
          <w:hyperlink w:anchor="__RefHeading___Toc1985798_2314609296">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985800_2314609296">
            <w:r>
              <w:rPr>
                <w:webHidden/>
                <w:rStyle w:val="IndexLink"/>
                <w:rtl w:val="true"/>
              </w:rPr>
              <w:t xml:space="preserve">المطلب الأوّل </w:t>
            </w:r>
            <w:r>
              <w:rPr>
                <w:rStyle w:val="IndexLink"/>
                <w:rtl w:val="true"/>
              </w:rPr>
              <w:t>[</w:t>
            </w:r>
            <w:r>
              <w:rPr>
                <w:rStyle w:val="IndexLink"/>
                <w:rtl w:val="true"/>
              </w:rPr>
              <w:t>في ماهية الصداق و شرائطه</w:t>
            </w:r>
            <w:r>
              <w:rPr>
                <w:rStyle w:val="IndexLink"/>
                <w:rtl w:val="true"/>
              </w:rPr>
              <w:t>]</w:t>
              <w:tab/>
            </w:r>
            <w:r>
              <w:rPr>
                <w:rStyle w:val="IndexLink"/>
              </w:rPr>
              <w:t>241</w:t>
            </w:r>
          </w:hyperlink>
        </w:p>
        <w:p>
          <w:pPr>
            <w:pStyle w:val="Contents4"/>
            <w:tabs>
              <w:tab w:val="clear" w:pos="8176"/>
              <w:tab w:val="right" w:pos="9026" w:leader="dot"/>
            </w:tabs>
            <w:rPr/>
          </w:pPr>
          <w:hyperlink w:anchor="__RefHeading___Toc1985802_2314609296">
            <w:r>
              <w:rPr>
                <w:webHidden/>
                <w:rStyle w:val="IndexLink"/>
                <w:rtl w:val="true"/>
              </w:rPr>
              <w:t>المطلب الثاني في التفويض</w:t>
            </w:r>
            <w:r>
              <w:rPr>
                <w:rStyle w:val="IndexLink"/>
                <w:rtl w:val="true"/>
              </w:rPr>
              <w:tab/>
            </w:r>
            <w:r>
              <w:rPr>
                <w:rStyle w:val="IndexLink"/>
              </w:rPr>
              <w:t>255</w:t>
            </w:r>
          </w:hyperlink>
        </w:p>
        <w:p>
          <w:pPr>
            <w:pStyle w:val="Contents4"/>
            <w:tabs>
              <w:tab w:val="clear" w:pos="8176"/>
              <w:tab w:val="right" w:pos="9026" w:leader="dot"/>
            </w:tabs>
            <w:rPr/>
          </w:pPr>
          <w:hyperlink w:anchor="__RefHeading___Toc1985804_2314609296">
            <w:r>
              <w:rPr>
                <w:webHidden/>
                <w:rStyle w:val="IndexLink"/>
                <w:rtl w:val="true"/>
              </w:rPr>
              <w:t>المطلب الثالث في الأحكام</w:t>
            </w:r>
            <w:r>
              <w:rPr>
                <w:rStyle w:val="IndexLink"/>
                <w:rtl w:val="true"/>
              </w:rPr>
              <w:tab/>
            </w:r>
            <w:r>
              <w:rPr>
                <w:rStyle w:val="IndexLink"/>
              </w:rPr>
              <w:t>262</w:t>
            </w:r>
          </w:hyperlink>
        </w:p>
        <w:p>
          <w:pPr>
            <w:pStyle w:val="Contents4"/>
            <w:tabs>
              <w:tab w:val="clear" w:pos="8176"/>
              <w:tab w:val="right" w:pos="9026" w:leader="dot"/>
            </w:tabs>
            <w:rPr/>
          </w:pPr>
          <w:hyperlink w:anchor="__RefHeading___Toc1985806_2314609296">
            <w:r>
              <w:rPr>
                <w:webHidden/>
                <w:rStyle w:val="IndexLink"/>
                <w:rtl w:val="true"/>
              </w:rPr>
              <w:t>مسائل النزاع</w:t>
            </w:r>
            <w:r>
              <w:rPr>
                <w:rStyle w:val="IndexLink"/>
                <w:rtl w:val="true"/>
              </w:rPr>
              <w:tab/>
            </w:r>
            <w:r>
              <w:rPr>
                <w:rStyle w:val="IndexLink"/>
              </w:rPr>
              <w:t>267</w:t>
            </w:r>
          </w:hyperlink>
        </w:p>
        <w:p>
          <w:pPr>
            <w:pStyle w:val="Contents3"/>
            <w:tabs>
              <w:tab w:val="clear" w:pos="8459"/>
              <w:tab w:val="right" w:pos="9026" w:leader="dot"/>
            </w:tabs>
            <w:rPr/>
          </w:pPr>
          <w:hyperlink w:anchor="__RefHeading___Toc1985808_2314609296">
            <w:r>
              <w:rPr>
                <w:webHidden/>
                <w:rStyle w:val="IndexLink"/>
                <w:rtl w:val="true"/>
              </w:rPr>
              <w:t>المقصد الثّالث في المحرّمات</w:t>
            </w:r>
            <w:r>
              <w:rPr>
                <w:rStyle w:val="IndexLink"/>
                <w:rtl w:val="true"/>
              </w:rPr>
              <w:tab/>
            </w:r>
            <w:r>
              <w:rPr>
                <w:rStyle w:val="IndexLink"/>
              </w:rPr>
              <w:t>268</w:t>
            </w:r>
          </w:hyperlink>
        </w:p>
        <w:p>
          <w:pPr>
            <w:pStyle w:val="Contents4"/>
            <w:tabs>
              <w:tab w:val="clear" w:pos="8176"/>
              <w:tab w:val="right" w:pos="9026" w:leader="dot"/>
            </w:tabs>
            <w:rPr/>
          </w:pPr>
          <w:hyperlink w:anchor="__RefHeading___Toc1985810_2314609296">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1985812_2314609296">
            <w:r>
              <w:rPr>
                <w:webHidden/>
                <w:rStyle w:val="IndexLink"/>
                <w:rtl w:val="true"/>
              </w:rPr>
              <w:t>المطلب الأوّل في المحرّمات بالنسب و الرضاع</w:t>
            </w:r>
            <w:r>
              <w:rPr>
                <w:rStyle w:val="IndexLink"/>
                <w:rtl w:val="true"/>
              </w:rPr>
              <w:tab/>
            </w:r>
            <w:r>
              <w:rPr>
                <w:rStyle w:val="IndexLink"/>
              </w:rPr>
              <w:t>269</w:t>
            </w:r>
          </w:hyperlink>
        </w:p>
        <w:p>
          <w:pPr>
            <w:pStyle w:val="Contents5"/>
            <w:tabs>
              <w:tab w:val="clear" w:pos="7892"/>
              <w:tab w:val="right" w:pos="9026" w:leader="dot"/>
            </w:tabs>
            <w:rPr/>
          </w:pPr>
          <w:hyperlink w:anchor="__RefHeading___Toc1985814_2314609296">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1985816_2314609296">
            <w:r>
              <w:rPr>
                <w:webHidden/>
                <w:rStyle w:val="IndexLink"/>
                <w:rtl w:val="true"/>
              </w:rPr>
              <w:t>[</w:t>
            </w:r>
            <w:r>
              <w:rPr>
                <w:rStyle w:val="IndexLink"/>
                <w:rtl w:val="true"/>
              </w:rPr>
              <w:t>ما يعتبر في نشر الحرمة في الرضاع</w:t>
            </w:r>
            <w:r>
              <w:rPr>
                <w:rStyle w:val="IndexLink"/>
                <w:rtl w:val="true"/>
              </w:rPr>
              <w:t>]</w:t>
              <w:tab/>
            </w:r>
            <w:r>
              <w:rPr>
                <w:rStyle w:val="IndexLink"/>
              </w:rPr>
              <w:t>274</w:t>
            </w:r>
          </w:hyperlink>
        </w:p>
        <w:p>
          <w:pPr>
            <w:pStyle w:val="Contents6"/>
            <w:tabs>
              <w:tab w:val="clear" w:pos="7609"/>
              <w:tab w:val="right" w:pos="9026" w:leader="dot"/>
            </w:tabs>
            <w:rPr/>
          </w:pPr>
          <w:hyperlink w:anchor="__RefHeading___Toc1985818_2314609296">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1985820_2314609296">
            <w:r>
              <w:rPr>
                <w:webHidden/>
                <w:rStyle w:val="IndexLink"/>
                <w:rtl w:val="true"/>
              </w:rPr>
              <w:t>الأوّل</w:t>
            </w:r>
            <w:r>
              <w:rPr>
                <w:rStyle w:val="IndexLink"/>
                <w:rtl w:val="true"/>
              </w:rPr>
              <w:t xml:space="preserve">: </w:t>
            </w:r>
            <w:r>
              <w:rPr>
                <w:rStyle w:val="IndexLink"/>
                <w:rtl w:val="true"/>
              </w:rPr>
              <w:t>أن يكون اللبن عن وطء صحيح</w:t>
            </w:r>
            <w:r>
              <w:rPr>
                <w:rStyle w:val="IndexLink"/>
                <w:rtl w:val="true"/>
              </w:rPr>
              <w:tab/>
            </w:r>
            <w:r>
              <w:rPr>
                <w:rStyle w:val="IndexLink"/>
              </w:rPr>
              <w:t>274</w:t>
            </w:r>
          </w:hyperlink>
        </w:p>
        <w:p>
          <w:pPr>
            <w:pStyle w:val="Contents6"/>
            <w:tabs>
              <w:tab w:val="clear" w:pos="7609"/>
              <w:tab w:val="right" w:pos="9026" w:leader="dot"/>
            </w:tabs>
            <w:rPr/>
          </w:pPr>
          <w:hyperlink w:anchor="__RefHeading___Toc1985822_2314609296">
            <w:r>
              <w:rPr>
                <w:webHidden/>
                <w:rStyle w:val="IndexLink"/>
                <w:rtl w:val="true"/>
              </w:rPr>
              <w:t>الثاني من الشروط</w:t>
            </w:r>
            <w:r>
              <w:rPr>
                <w:rStyle w:val="IndexLink"/>
                <w:rtl w:val="true"/>
              </w:rPr>
              <w:t xml:space="preserve">: </w:t>
            </w:r>
            <w:r>
              <w:rPr>
                <w:rStyle w:val="IndexLink"/>
                <w:rtl w:val="true"/>
              </w:rPr>
              <w:t>كون شرب اللبن على وجه الامتصاص من الثدي</w:t>
            </w:r>
            <w:r>
              <w:rPr>
                <w:rStyle w:val="IndexLink"/>
                <w:rtl w:val="true"/>
              </w:rPr>
              <w:tab/>
            </w:r>
            <w:r>
              <w:rPr>
                <w:rStyle w:val="IndexLink"/>
              </w:rPr>
              <w:t>278</w:t>
            </w:r>
          </w:hyperlink>
        </w:p>
        <w:p>
          <w:pPr>
            <w:pStyle w:val="Contents6"/>
            <w:tabs>
              <w:tab w:val="clear" w:pos="7609"/>
              <w:tab w:val="right" w:pos="9026" w:leader="dot"/>
            </w:tabs>
            <w:rPr/>
          </w:pPr>
          <w:hyperlink w:anchor="__RefHeading___Toc1985824_2314609296">
            <w:r>
              <w:rPr>
                <w:webHidden/>
                <w:rStyle w:val="IndexLink"/>
                <w:rtl w:val="true"/>
              </w:rPr>
              <w:t>الثالث</w:t>
            </w:r>
            <w:r>
              <w:rPr>
                <w:rStyle w:val="IndexLink"/>
                <w:rtl w:val="true"/>
              </w:rPr>
              <w:t xml:space="preserve">: </w:t>
            </w:r>
            <w:r>
              <w:rPr>
                <w:rStyle w:val="IndexLink"/>
                <w:rtl w:val="true"/>
              </w:rPr>
              <w:t>حياة المرتضع منها</w:t>
            </w:r>
            <w:r>
              <w:rPr>
                <w:rStyle w:val="IndexLink"/>
                <w:rtl w:val="true"/>
              </w:rPr>
              <w:tab/>
            </w:r>
            <w:r>
              <w:rPr>
                <w:rStyle w:val="IndexLink"/>
              </w:rPr>
              <w:t>279</w:t>
            </w:r>
          </w:hyperlink>
        </w:p>
        <w:p>
          <w:pPr>
            <w:pStyle w:val="Contents6"/>
            <w:tabs>
              <w:tab w:val="clear" w:pos="7609"/>
              <w:tab w:val="right" w:pos="9026" w:leader="dot"/>
            </w:tabs>
            <w:rPr/>
          </w:pPr>
          <w:hyperlink w:anchor="__RefHeading___Toc1985826_2314609296">
            <w:r>
              <w:rPr>
                <w:webHidden/>
                <w:rStyle w:val="IndexLink"/>
                <w:rtl w:val="true"/>
              </w:rPr>
              <w:t>الرابع</w:t>
            </w:r>
            <w:r>
              <w:rPr>
                <w:rStyle w:val="IndexLink"/>
                <w:rtl w:val="true"/>
              </w:rPr>
              <w:t xml:space="preserve">: </w:t>
            </w:r>
            <w:r>
              <w:rPr>
                <w:rStyle w:val="IndexLink"/>
                <w:rtl w:val="true"/>
              </w:rPr>
              <w:t>أن يقع مجموع الرضاع المعتبر من الرضيع في حولي رضاعه</w:t>
            </w:r>
            <w:r>
              <w:rPr>
                <w:rStyle w:val="IndexLink"/>
                <w:rtl w:val="true"/>
              </w:rPr>
              <w:tab/>
            </w:r>
            <w:r>
              <w:rPr>
                <w:rStyle w:val="IndexLink"/>
              </w:rPr>
              <w:t>282</w:t>
            </w:r>
          </w:hyperlink>
        </w:p>
        <w:p>
          <w:pPr>
            <w:pStyle w:val="Contents6"/>
            <w:tabs>
              <w:tab w:val="clear" w:pos="7609"/>
              <w:tab w:val="right" w:pos="9026" w:leader="dot"/>
            </w:tabs>
            <w:rPr/>
          </w:pPr>
          <w:hyperlink w:anchor="__RefHeading___Toc1985828_2314609296">
            <w:r>
              <w:rPr>
                <w:webHidden/>
                <w:rStyle w:val="IndexLink"/>
                <w:rtl w:val="true"/>
              </w:rPr>
              <w:t>الخامس</w:t>
            </w:r>
            <w:r>
              <w:rPr>
                <w:rStyle w:val="IndexLink"/>
                <w:rtl w:val="true"/>
              </w:rPr>
              <w:t xml:space="preserve">: </w:t>
            </w:r>
            <w:r>
              <w:rPr>
                <w:rStyle w:val="IndexLink"/>
                <w:rtl w:val="true"/>
              </w:rPr>
              <w:t>أن يكون اللبن بحاله غير ممتزج بشي‌ء</w:t>
            </w:r>
            <w:r>
              <w:rPr>
                <w:rStyle w:val="IndexLink"/>
                <w:rtl w:val="true"/>
              </w:rPr>
              <w:tab/>
            </w:r>
            <w:r>
              <w:rPr>
                <w:rStyle w:val="IndexLink"/>
              </w:rPr>
              <w:t>285</w:t>
            </w:r>
          </w:hyperlink>
        </w:p>
        <w:p>
          <w:pPr>
            <w:pStyle w:val="Contents6"/>
            <w:tabs>
              <w:tab w:val="clear" w:pos="7609"/>
              <w:tab w:val="right" w:pos="9026" w:leader="dot"/>
            </w:tabs>
            <w:rPr/>
          </w:pPr>
          <w:hyperlink w:anchor="__RefHeading___Toc1985830_2314609296">
            <w:r>
              <w:rPr>
                <w:webHidden/>
                <w:rStyle w:val="IndexLink"/>
                <w:rtl w:val="true"/>
              </w:rPr>
              <w:t>السادس</w:t>
            </w:r>
            <w:r>
              <w:rPr>
                <w:rStyle w:val="IndexLink"/>
                <w:rtl w:val="true"/>
              </w:rPr>
              <w:t xml:space="preserve">: </w:t>
            </w:r>
            <w:r>
              <w:rPr>
                <w:rStyle w:val="IndexLink"/>
                <w:rtl w:val="true"/>
              </w:rPr>
              <w:t>الكمّيّة</w:t>
            </w:r>
            <w:r>
              <w:rPr>
                <w:rStyle w:val="IndexLink"/>
                <w:rtl w:val="true"/>
              </w:rPr>
              <w:tab/>
            </w:r>
            <w:r>
              <w:rPr>
                <w:rStyle w:val="IndexLink"/>
              </w:rPr>
              <w:t>286</w:t>
            </w:r>
          </w:hyperlink>
        </w:p>
        <w:p>
          <w:pPr>
            <w:pStyle w:val="Contents5"/>
            <w:tabs>
              <w:tab w:val="clear" w:pos="7892"/>
              <w:tab w:val="right" w:pos="9026" w:leader="dot"/>
            </w:tabs>
            <w:rPr/>
          </w:pPr>
          <w:hyperlink w:anchor="__RefHeading___Toc1985832_2314609296">
            <w:r>
              <w:rPr>
                <w:webHidden/>
                <w:rStyle w:val="IndexLink"/>
                <w:rtl w:val="true"/>
              </w:rPr>
              <w:t>[</w:t>
            </w:r>
            <w:r>
              <w:rPr>
                <w:rStyle w:val="IndexLink"/>
                <w:rtl w:val="true"/>
              </w:rPr>
              <w:t>تقديرات الحد الخاص للرضاع و الاختلاف فيه</w:t>
            </w:r>
            <w:r>
              <w:rPr>
                <w:rStyle w:val="IndexLink"/>
                <w:rtl w:val="true"/>
              </w:rPr>
              <w:t>]</w:t>
              <w:tab/>
            </w:r>
            <w:r>
              <w:rPr>
                <w:rStyle w:val="IndexLink"/>
              </w:rPr>
              <w:t>286</w:t>
            </w:r>
          </w:hyperlink>
        </w:p>
        <w:p>
          <w:pPr>
            <w:pStyle w:val="Contents6"/>
            <w:tabs>
              <w:tab w:val="clear" w:pos="7609"/>
              <w:tab w:val="right" w:pos="9026" w:leader="dot"/>
            </w:tabs>
            <w:rPr/>
          </w:pPr>
          <w:hyperlink w:anchor="__RefHeading___Toc1985834_2314609296">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1985836_2314609296">
            <w:r>
              <w:rPr>
                <w:webHidden/>
                <w:rStyle w:val="IndexLink"/>
                <w:rtl w:val="true"/>
              </w:rPr>
              <w:t>أحدها</w:t>
            </w:r>
            <w:r>
              <w:rPr>
                <w:rStyle w:val="IndexLink"/>
                <w:rtl w:val="true"/>
              </w:rPr>
              <w:t xml:space="preserve">: </w:t>
            </w:r>
            <w:r>
              <w:rPr>
                <w:rStyle w:val="IndexLink"/>
                <w:rtl w:val="true"/>
              </w:rPr>
              <w:t>بالأثر، و هو ما أنبت اللحم و شدّ العظم</w:t>
            </w:r>
            <w:r>
              <w:rPr>
                <w:rStyle w:val="IndexLink"/>
                <w:rtl w:val="true"/>
              </w:rPr>
              <w:tab/>
            </w:r>
            <w:r>
              <w:rPr>
                <w:rStyle w:val="IndexLink"/>
              </w:rPr>
              <w:t>286</w:t>
            </w:r>
          </w:hyperlink>
        </w:p>
        <w:p>
          <w:pPr>
            <w:pStyle w:val="Contents6"/>
            <w:tabs>
              <w:tab w:val="clear" w:pos="7609"/>
              <w:tab w:val="right" w:pos="9026" w:leader="dot"/>
            </w:tabs>
            <w:rPr/>
          </w:pPr>
          <w:hyperlink w:anchor="__RefHeading___Toc1985838_2314609296">
            <w:r>
              <w:rPr>
                <w:webHidden/>
                <w:rStyle w:val="IndexLink"/>
                <w:rtl w:val="true"/>
              </w:rPr>
              <w:t>و ثانيها</w:t>
            </w:r>
            <w:r>
              <w:rPr>
                <w:rStyle w:val="IndexLink"/>
                <w:rtl w:val="true"/>
              </w:rPr>
              <w:t xml:space="preserve">: </w:t>
            </w:r>
            <w:r>
              <w:rPr>
                <w:rStyle w:val="IndexLink"/>
                <w:rtl w:val="true"/>
              </w:rPr>
              <w:t>بالزمان، و قدّر بيوم و ليلة</w:t>
            </w:r>
            <w:r>
              <w:rPr>
                <w:rStyle w:val="IndexLink"/>
                <w:rtl w:val="true"/>
              </w:rPr>
              <w:tab/>
            </w:r>
            <w:r>
              <w:rPr>
                <w:rStyle w:val="IndexLink"/>
              </w:rPr>
              <w:t>288</w:t>
            </w:r>
          </w:hyperlink>
        </w:p>
        <w:p>
          <w:pPr>
            <w:pStyle w:val="Contents6"/>
            <w:tabs>
              <w:tab w:val="clear" w:pos="7609"/>
              <w:tab w:val="right" w:pos="9026" w:leader="dot"/>
            </w:tabs>
            <w:rPr/>
          </w:pPr>
          <w:hyperlink w:anchor="__RefHeading___Toc1985840_2314609296">
            <w:r>
              <w:rPr>
                <w:webHidden/>
                <w:rStyle w:val="IndexLink"/>
                <w:rtl w:val="true"/>
              </w:rPr>
              <w:t>و ثالثها</w:t>
            </w:r>
            <w:r>
              <w:rPr>
                <w:rStyle w:val="IndexLink"/>
                <w:rtl w:val="true"/>
              </w:rPr>
              <w:t xml:space="preserve">: </w:t>
            </w:r>
            <w:r>
              <w:rPr>
                <w:rStyle w:val="IndexLink"/>
                <w:rtl w:val="true"/>
              </w:rPr>
              <w:t>بالعدد</w:t>
            </w:r>
            <w:r>
              <w:rPr>
                <w:rStyle w:val="IndexLink"/>
                <w:rtl w:val="true"/>
              </w:rPr>
              <w:tab/>
            </w:r>
            <w:r>
              <w:rPr>
                <w:rStyle w:val="IndexLink"/>
              </w:rPr>
              <w:t>290</w:t>
            </w:r>
          </w:hyperlink>
        </w:p>
        <w:p>
          <w:pPr>
            <w:pStyle w:val="Contents5"/>
            <w:tabs>
              <w:tab w:val="clear" w:pos="7892"/>
              <w:tab w:val="right" w:pos="9026" w:leader="dot"/>
            </w:tabs>
            <w:rPr/>
          </w:pPr>
          <w:hyperlink w:anchor="__RefHeading___Toc1985842_2314609296">
            <w:r>
              <w:rPr>
                <w:webHidden/>
                <w:rStyle w:val="IndexLink"/>
                <w:rtl w:val="true"/>
              </w:rPr>
              <w:t>[</w:t>
            </w:r>
            <w:r>
              <w:rPr>
                <w:rStyle w:val="IndexLink"/>
                <w:rtl w:val="true"/>
              </w:rPr>
              <w:t>شروط الرضعات المحرمة</w:t>
            </w:r>
            <w:r>
              <w:rPr>
                <w:rStyle w:val="IndexLink"/>
                <w:rtl w:val="true"/>
              </w:rPr>
              <w:t>]</w:t>
              <w:tab/>
            </w:r>
            <w:r>
              <w:rPr>
                <w:rStyle w:val="IndexLink"/>
              </w:rPr>
              <w:t>299</w:t>
            </w:r>
          </w:hyperlink>
        </w:p>
        <w:p>
          <w:pPr>
            <w:pStyle w:val="Contents6"/>
            <w:tabs>
              <w:tab w:val="clear" w:pos="7609"/>
              <w:tab w:val="right" w:pos="9026" w:leader="dot"/>
            </w:tabs>
            <w:rPr/>
          </w:pPr>
          <w:hyperlink w:anchor="__RefHeading___Toc1985844_2314609296">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1985846_2314609296">
            <w:r>
              <w:rPr>
                <w:webHidden/>
                <w:rStyle w:val="IndexLink"/>
                <w:rtl w:val="true"/>
              </w:rPr>
              <w:t>الأوّل</w:t>
            </w:r>
            <w:r>
              <w:rPr>
                <w:rStyle w:val="IndexLink"/>
                <w:rtl w:val="true"/>
              </w:rPr>
              <w:t xml:space="preserve">: </w:t>
            </w:r>
            <w:r>
              <w:rPr>
                <w:rStyle w:val="IndexLink"/>
                <w:rtl w:val="true"/>
              </w:rPr>
              <w:t>كمال الرضعة</w:t>
            </w:r>
            <w:r>
              <w:rPr>
                <w:rStyle w:val="IndexLink"/>
                <w:rtl w:val="true"/>
              </w:rPr>
              <w:tab/>
            </w:r>
            <w:r>
              <w:rPr>
                <w:rStyle w:val="IndexLink"/>
              </w:rPr>
              <w:t>299</w:t>
            </w:r>
          </w:hyperlink>
        </w:p>
        <w:p>
          <w:pPr>
            <w:pStyle w:val="Contents6"/>
            <w:tabs>
              <w:tab w:val="clear" w:pos="7609"/>
              <w:tab w:val="right" w:pos="9026" w:leader="dot"/>
            </w:tabs>
            <w:rPr/>
          </w:pPr>
          <w:hyperlink w:anchor="__RefHeading___Toc1985848_2314609296">
            <w:r>
              <w:rPr>
                <w:webHidden/>
                <w:rStyle w:val="IndexLink"/>
                <w:rtl w:val="true"/>
              </w:rPr>
              <w:t>الثاني</w:t>
            </w:r>
            <w:r>
              <w:rPr>
                <w:rStyle w:val="IndexLink"/>
                <w:rtl w:val="true"/>
              </w:rPr>
              <w:t xml:space="preserve">: </w:t>
            </w:r>
            <w:r>
              <w:rPr>
                <w:rStyle w:val="IndexLink"/>
                <w:rtl w:val="true"/>
              </w:rPr>
              <w:t>توالي الرضعات</w:t>
            </w:r>
            <w:r>
              <w:rPr>
                <w:rStyle w:val="IndexLink"/>
                <w:rtl w:val="true"/>
              </w:rPr>
              <w:tab/>
            </w:r>
            <w:r>
              <w:rPr>
                <w:rStyle w:val="IndexLink"/>
              </w:rPr>
              <w:t>300</w:t>
            </w:r>
          </w:hyperlink>
        </w:p>
        <w:p>
          <w:pPr>
            <w:pStyle w:val="Contents6"/>
            <w:tabs>
              <w:tab w:val="clear" w:pos="7609"/>
              <w:tab w:val="right" w:pos="9026" w:leader="dot"/>
            </w:tabs>
            <w:rPr/>
          </w:pPr>
          <w:hyperlink w:anchor="__RefHeading___Toc1985850_2314609296">
            <w:r>
              <w:rPr>
                <w:webHidden/>
                <w:rStyle w:val="IndexLink"/>
                <w:rtl w:val="true"/>
              </w:rPr>
              <w:t>الثالث</w:t>
            </w:r>
            <w:r>
              <w:rPr>
                <w:rStyle w:val="IndexLink"/>
                <w:rtl w:val="true"/>
              </w:rPr>
              <w:t xml:space="preserve">: </w:t>
            </w:r>
            <w:r>
              <w:rPr>
                <w:rStyle w:val="IndexLink"/>
                <w:rtl w:val="true"/>
              </w:rPr>
              <w:t>أن يكون كمال العدد المعتبر من امرأة واحدة</w:t>
            </w:r>
            <w:r>
              <w:rPr>
                <w:rStyle w:val="IndexLink"/>
                <w:rtl w:val="true"/>
              </w:rPr>
              <w:tab/>
            </w:r>
            <w:r>
              <w:rPr>
                <w:rStyle w:val="IndexLink"/>
              </w:rPr>
              <w:t>301</w:t>
            </w:r>
          </w:hyperlink>
        </w:p>
        <w:p>
          <w:pPr>
            <w:pStyle w:val="Contents6"/>
            <w:tabs>
              <w:tab w:val="clear" w:pos="7609"/>
              <w:tab w:val="right" w:pos="9026" w:leader="dot"/>
            </w:tabs>
            <w:rPr/>
          </w:pPr>
          <w:hyperlink w:anchor="__RefHeading___Toc1985852_2314609296">
            <w:r>
              <w:rPr>
                <w:webHidden/>
                <w:rStyle w:val="IndexLink"/>
                <w:rtl w:val="true"/>
              </w:rPr>
              <w:t>الرابع</w:t>
            </w:r>
            <w:r>
              <w:rPr>
                <w:rStyle w:val="IndexLink"/>
                <w:rtl w:val="true"/>
              </w:rPr>
              <w:t xml:space="preserve">: </w:t>
            </w:r>
            <w:r>
              <w:rPr>
                <w:rStyle w:val="IndexLink"/>
                <w:rtl w:val="true"/>
              </w:rPr>
              <w:t>أن يكون كمال العدد المعتبر من لبن فحل واحد</w:t>
            </w:r>
            <w:r>
              <w:rPr>
                <w:rStyle w:val="IndexLink"/>
                <w:rtl w:val="true"/>
              </w:rPr>
              <w:tab/>
            </w:r>
            <w:r>
              <w:rPr>
                <w:rStyle w:val="IndexLink"/>
              </w:rPr>
              <w:t>303</w:t>
            </w:r>
          </w:hyperlink>
        </w:p>
        <w:p>
          <w:pPr>
            <w:pStyle w:val="Contents5"/>
            <w:tabs>
              <w:tab w:val="clear" w:pos="7892"/>
              <w:tab w:val="right" w:pos="9026" w:leader="dot"/>
            </w:tabs>
            <w:rPr/>
          </w:pPr>
          <w:hyperlink w:anchor="__RefHeading___Toc1985854_2314609296">
            <w:r>
              <w:rPr>
                <w:webHidden/>
                <w:rStyle w:val="IndexLink"/>
                <w:rtl w:val="true"/>
              </w:rPr>
              <w:t>[</w:t>
            </w:r>
            <w:r>
              <w:rPr>
                <w:rStyle w:val="IndexLink"/>
                <w:rtl w:val="true"/>
              </w:rPr>
              <w:t>تفاصيل المسائل المتقدمة</w:t>
            </w:r>
            <w:r>
              <w:rPr>
                <w:rStyle w:val="IndexLink"/>
                <w:rtl w:val="true"/>
              </w:rPr>
              <w:t>]</w:t>
              <w:tab/>
            </w:r>
            <w:r>
              <w:rPr>
                <w:rStyle w:val="IndexLink"/>
              </w:rPr>
              <w:t>318</w:t>
            </w:r>
          </w:hyperlink>
        </w:p>
        <w:p>
          <w:pPr>
            <w:pStyle w:val="Contents6"/>
            <w:tabs>
              <w:tab w:val="clear" w:pos="7609"/>
              <w:tab w:val="right" w:pos="9026" w:leader="dot"/>
            </w:tabs>
            <w:rPr/>
          </w:pPr>
          <w:hyperlink w:anchor="__RefHeading___Toc1985856_2314609296">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1985858_2314609296">
            <w:r>
              <w:rPr>
                <w:webHidden/>
                <w:rStyle w:val="IndexLink"/>
                <w:rtl w:val="true"/>
              </w:rPr>
              <w:t>المسألة الاولى لا شكّ في تحريم المرتضع على المرضعة</w:t>
            </w:r>
            <w:r>
              <w:rPr>
                <w:rStyle w:val="IndexLink"/>
                <w:rtl w:val="true"/>
              </w:rPr>
              <w:tab/>
            </w:r>
            <w:r>
              <w:rPr>
                <w:rStyle w:val="IndexLink"/>
              </w:rPr>
              <w:t>318</w:t>
            </w:r>
          </w:hyperlink>
        </w:p>
        <w:p>
          <w:pPr>
            <w:pStyle w:val="Contents6"/>
            <w:tabs>
              <w:tab w:val="clear" w:pos="7609"/>
              <w:tab w:val="right" w:pos="9026" w:leader="dot"/>
            </w:tabs>
            <w:rPr/>
          </w:pPr>
          <w:hyperlink w:anchor="__RefHeading___Toc1985860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الثانية لا تحرم أصول المرتضع المذكور على المرضعة من جهة إرضاعها إيّاه</w:t>
            </w:r>
            <w:r>
              <w:rPr>
                <w:rStyle w:val="IndexLink"/>
                <w:rtl w:val="true"/>
              </w:rPr>
              <w:tab/>
            </w:r>
            <w:r>
              <w:rPr>
                <w:rStyle w:val="IndexLink"/>
              </w:rPr>
              <w:t>318</w:t>
            </w:r>
          </w:hyperlink>
        </w:p>
        <w:p>
          <w:pPr>
            <w:pStyle w:val="Contents6"/>
            <w:tabs>
              <w:tab w:val="clear" w:pos="7609"/>
              <w:tab w:val="right" w:pos="9026" w:leader="dot"/>
            </w:tabs>
            <w:rPr/>
          </w:pPr>
          <w:hyperlink w:anchor="__RefHeading___Toc1985862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الثالثة تحرم فروع المرتضع على المرضعة</w:t>
            </w:r>
            <w:r>
              <w:rPr>
                <w:rStyle w:val="IndexLink"/>
                <w:rtl w:val="true"/>
              </w:rPr>
              <w:tab/>
            </w:r>
            <w:r>
              <w:rPr>
                <w:rStyle w:val="IndexLink"/>
              </w:rPr>
              <w:t>319</w:t>
            </w:r>
          </w:hyperlink>
        </w:p>
        <w:p>
          <w:pPr>
            <w:pStyle w:val="Contents6"/>
            <w:tabs>
              <w:tab w:val="clear" w:pos="7609"/>
              <w:tab w:val="right" w:pos="9026" w:leader="dot"/>
            </w:tabs>
            <w:rPr/>
          </w:pPr>
          <w:hyperlink w:anchor="__RefHeading___Toc1985864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الرابعة حواشي المرتضع</w:t>
            </w:r>
            <w:r>
              <w:rPr>
                <w:rStyle w:val="IndexLink"/>
                <w:rtl w:val="true"/>
              </w:rPr>
              <w:tab/>
            </w:r>
            <w:r>
              <w:rPr>
                <w:rStyle w:val="IndexLink"/>
              </w:rPr>
              <w:t>320</w:t>
            </w:r>
          </w:hyperlink>
        </w:p>
        <w:p>
          <w:pPr>
            <w:pStyle w:val="Contents6"/>
            <w:tabs>
              <w:tab w:val="clear" w:pos="7609"/>
              <w:tab w:val="right" w:pos="9026" w:leader="dot"/>
            </w:tabs>
            <w:rPr/>
          </w:pPr>
          <w:hyperlink w:anchor="__RefHeading___Toc1985866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الخامسة يحرم المرتضع على أصول المرضعة من النساء و تحرم المرتضعة على أصولها من الذكور</w:t>
            </w:r>
            <w:r>
              <w:rPr>
                <w:rStyle w:val="IndexLink"/>
                <w:rtl w:val="true"/>
              </w:rPr>
              <w:tab/>
            </w:r>
            <w:r>
              <w:rPr>
                <w:rStyle w:val="IndexLink"/>
              </w:rPr>
              <w:t>321</w:t>
            </w:r>
          </w:hyperlink>
        </w:p>
        <w:p>
          <w:pPr>
            <w:pStyle w:val="Contents6"/>
            <w:tabs>
              <w:tab w:val="clear" w:pos="7609"/>
              <w:tab w:val="right" w:pos="9026" w:leader="dot"/>
            </w:tabs>
            <w:rPr/>
          </w:pPr>
          <w:hyperlink w:anchor="__RefHeading___Toc1985868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السادسة لا تحرم أصول المرتضع على أصول المرضعة</w:t>
            </w:r>
            <w:r>
              <w:rPr>
                <w:rStyle w:val="IndexLink"/>
                <w:rtl w:val="true"/>
              </w:rPr>
              <w:tab/>
            </w:r>
            <w:r>
              <w:rPr>
                <w:rStyle w:val="IndexLink"/>
              </w:rPr>
              <w:t>321</w:t>
            </w:r>
          </w:hyperlink>
        </w:p>
        <w:p>
          <w:pPr>
            <w:pStyle w:val="Contents6"/>
            <w:tabs>
              <w:tab w:val="clear" w:pos="7609"/>
              <w:tab w:val="right" w:pos="9026" w:leader="dot"/>
            </w:tabs>
            <w:rPr/>
          </w:pPr>
          <w:hyperlink w:anchor="__RefHeading___Toc1985870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السابعة تحرم فروع المرتضع على أصول المرضعة</w:t>
            </w:r>
            <w:r>
              <w:rPr>
                <w:rStyle w:val="IndexLink"/>
                <w:rtl w:val="true"/>
              </w:rPr>
              <w:tab/>
            </w:r>
            <w:r>
              <w:rPr>
                <w:rStyle w:val="IndexLink"/>
              </w:rPr>
              <w:t>321</w:t>
            </w:r>
          </w:hyperlink>
        </w:p>
        <w:p>
          <w:pPr>
            <w:pStyle w:val="Contents6"/>
            <w:tabs>
              <w:tab w:val="clear" w:pos="7609"/>
              <w:tab w:val="right" w:pos="9026" w:leader="dot"/>
            </w:tabs>
            <w:rPr/>
          </w:pPr>
          <w:hyperlink w:anchor="__RefHeading___Toc1985872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الثامنة لا تحرم حواشي المرتضع و فروعهم على أصول المرضعة و حواشيهم</w:t>
            </w:r>
            <w:r>
              <w:rPr>
                <w:rStyle w:val="IndexLink"/>
                <w:rtl w:val="true"/>
              </w:rPr>
              <w:tab/>
            </w:r>
            <w:r>
              <w:rPr>
                <w:rStyle w:val="IndexLink"/>
              </w:rPr>
              <w:t>321</w:t>
            </w:r>
          </w:hyperlink>
        </w:p>
        <w:p>
          <w:pPr>
            <w:pStyle w:val="Contents6"/>
            <w:tabs>
              <w:tab w:val="clear" w:pos="7609"/>
              <w:tab w:val="right" w:pos="9026" w:leader="dot"/>
            </w:tabs>
            <w:rPr/>
          </w:pPr>
          <w:hyperlink w:anchor="__RefHeading___Toc1985874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التاسعة يحرم المرتضع على فروع المرضعة نسبا</w:t>
            </w:r>
            <w:r>
              <w:rPr>
                <w:rStyle w:val="IndexLink"/>
                <w:rtl w:val="true"/>
              </w:rPr>
              <w:tab/>
            </w:r>
            <w:r>
              <w:rPr>
                <w:rStyle w:val="IndexLink"/>
              </w:rPr>
              <w:t>322</w:t>
            </w:r>
          </w:hyperlink>
        </w:p>
        <w:p>
          <w:pPr>
            <w:pStyle w:val="Contents6"/>
            <w:tabs>
              <w:tab w:val="clear" w:pos="7609"/>
              <w:tab w:val="right" w:pos="9026" w:leader="dot"/>
            </w:tabs>
            <w:rPr/>
          </w:pPr>
          <w:hyperlink w:anchor="__RefHeading___Toc1985876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العاشرة تحرم أصول المرتضع على فروع المرضعة من النسب</w:t>
            </w:r>
            <w:r>
              <w:rPr>
                <w:rStyle w:val="IndexLink"/>
                <w:rtl w:val="true"/>
              </w:rPr>
              <w:tab/>
            </w:r>
            <w:r>
              <w:rPr>
                <w:rStyle w:val="IndexLink"/>
              </w:rPr>
              <w:t>323</w:t>
            </w:r>
          </w:hyperlink>
        </w:p>
        <w:p>
          <w:pPr>
            <w:pStyle w:val="Contents6"/>
            <w:tabs>
              <w:tab w:val="clear" w:pos="7609"/>
              <w:tab w:val="right" w:pos="9026" w:leader="dot"/>
            </w:tabs>
            <w:rPr/>
          </w:pPr>
          <w:hyperlink w:anchor="__RefHeading___Toc1985878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الحادية عشرة فروع المرتضع و إن نزلوا نسبا أو رضاعا يحرمون على فروع المرضعة في المرتبة الأولى</w:t>
            </w:r>
            <w:r>
              <w:rPr>
                <w:rStyle w:val="IndexLink"/>
                <w:rtl w:val="true"/>
              </w:rPr>
              <w:tab/>
            </w:r>
            <w:r>
              <w:rPr>
                <w:rStyle w:val="IndexLink"/>
              </w:rPr>
              <w:t>325</w:t>
            </w:r>
          </w:hyperlink>
        </w:p>
        <w:p>
          <w:pPr>
            <w:pStyle w:val="Contents6"/>
            <w:tabs>
              <w:tab w:val="clear" w:pos="7609"/>
              <w:tab w:val="right" w:pos="9026" w:leader="dot"/>
            </w:tabs>
            <w:rPr/>
          </w:pPr>
          <w:hyperlink w:anchor="__RefHeading___Toc1985880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الثانية عشرة من في حاشية نسب المرتضع أو رضاعه</w:t>
            </w:r>
            <w:r>
              <w:rPr>
                <w:rStyle w:val="IndexLink"/>
                <w:rtl w:val="true"/>
              </w:rPr>
              <w:t xml:space="preserve">- </w:t>
            </w:r>
            <w:r>
              <w:rPr>
                <w:rStyle w:val="IndexLink"/>
                <w:rtl w:val="true"/>
              </w:rPr>
              <w:t>أعني إخوته أو أخواته النسبيّة أو الرضاعيّة</w:t>
            </w:r>
            <w:r>
              <w:rPr>
                <w:rStyle w:val="IndexLink"/>
                <w:rtl w:val="true"/>
              </w:rPr>
              <w:t xml:space="preserve">- </w:t>
            </w:r>
            <w:r>
              <w:rPr>
                <w:rStyle w:val="IndexLink"/>
                <w:rtl w:val="true"/>
              </w:rPr>
              <w:t>لا يحرمون لأجل ارتضاع أخيهم على فروع المرضعة الرضاعيّة</w:t>
            </w:r>
            <w:r>
              <w:rPr>
                <w:rStyle w:val="IndexLink"/>
                <w:rtl w:val="true"/>
              </w:rPr>
              <w:tab/>
            </w:r>
            <w:r>
              <w:rPr>
                <w:rStyle w:val="IndexLink"/>
              </w:rPr>
              <w:t>325</w:t>
            </w:r>
          </w:hyperlink>
        </w:p>
        <w:p>
          <w:pPr>
            <w:pStyle w:val="Contents6"/>
            <w:tabs>
              <w:tab w:val="clear" w:pos="7609"/>
              <w:tab w:val="right" w:pos="9026" w:leader="dot"/>
            </w:tabs>
            <w:rPr/>
          </w:pPr>
          <w:hyperlink w:anchor="__RefHeading___Toc1985882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الثالثة عشر يحرم المرتضع على من في حاشية نسب المرضعة</w:t>
            </w:r>
            <w:r>
              <w:rPr>
                <w:rStyle w:val="IndexLink"/>
                <w:rtl w:val="true"/>
              </w:rPr>
              <w:tab/>
            </w:r>
            <w:r>
              <w:rPr>
                <w:rStyle w:val="IndexLink"/>
              </w:rPr>
              <w:t>328</w:t>
            </w:r>
          </w:hyperlink>
        </w:p>
        <w:p>
          <w:pPr>
            <w:pStyle w:val="Contents6"/>
            <w:tabs>
              <w:tab w:val="clear" w:pos="7609"/>
              <w:tab w:val="right" w:pos="9026" w:leader="dot"/>
            </w:tabs>
            <w:rPr/>
          </w:pPr>
          <w:hyperlink w:anchor="__RefHeading___Toc1985884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الرابعة عشر لا تحرم أصول المرتضع على من في حاشية نسب المرضعة</w:t>
            </w:r>
            <w:r>
              <w:rPr>
                <w:rStyle w:val="IndexLink"/>
                <w:rtl w:val="true"/>
              </w:rPr>
              <w:tab/>
            </w:r>
            <w:r>
              <w:rPr>
                <w:rStyle w:val="IndexLink"/>
              </w:rPr>
              <w:t>329</w:t>
            </w:r>
          </w:hyperlink>
        </w:p>
        <w:p>
          <w:pPr>
            <w:pStyle w:val="Contents6"/>
            <w:tabs>
              <w:tab w:val="clear" w:pos="7609"/>
              <w:tab w:val="right" w:pos="9026" w:leader="dot"/>
            </w:tabs>
            <w:rPr/>
          </w:pPr>
          <w:hyperlink w:anchor="__RefHeading___Toc1985886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الخامسة عشر تحرم فروع المرتضع على حواشي نسب المرضعة و رضاعها</w:t>
            </w:r>
            <w:r>
              <w:rPr>
                <w:rStyle w:val="IndexLink"/>
                <w:rtl w:val="true"/>
              </w:rPr>
              <w:tab/>
            </w:r>
            <w:r>
              <w:rPr>
                <w:rStyle w:val="IndexLink"/>
              </w:rPr>
              <w:t>329</w:t>
            </w:r>
          </w:hyperlink>
        </w:p>
        <w:p>
          <w:pPr>
            <w:pStyle w:val="Contents6"/>
            <w:tabs>
              <w:tab w:val="clear" w:pos="7609"/>
              <w:tab w:val="right" w:pos="9026" w:leader="dot"/>
            </w:tabs>
            <w:rPr/>
          </w:pPr>
          <w:hyperlink w:anchor="__RefHeading___Toc1985888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السادسة عشر لا يحرم من في حاشية نسب المرتضع على من في حاشية نسب المرضعة</w:t>
            </w:r>
            <w:r>
              <w:rPr>
                <w:rStyle w:val="IndexLink"/>
                <w:rtl w:val="true"/>
              </w:rPr>
              <w:tab/>
            </w:r>
            <w:r>
              <w:rPr>
                <w:rStyle w:val="IndexLink"/>
              </w:rPr>
              <w:t>330</w:t>
            </w:r>
          </w:hyperlink>
        </w:p>
        <w:p>
          <w:pPr>
            <w:pStyle w:val="Contents6"/>
            <w:tabs>
              <w:tab w:val="clear" w:pos="7609"/>
              <w:tab w:val="right" w:pos="9026" w:leader="dot"/>
            </w:tabs>
            <w:rPr/>
          </w:pPr>
          <w:hyperlink w:anchor="__RefHeading___Toc1985890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السابعة عشر يحرم المرتضع لو كانت أنثى على الفحل</w:t>
            </w:r>
            <w:r>
              <w:rPr>
                <w:rStyle w:val="IndexLink"/>
                <w:rtl w:val="true"/>
              </w:rPr>
              <w:tab/>
            </w:r>
            <w:r>
              <w:rPr>
                <w:rStyle w:val="IndexLink"/>
              </w:rPr>
              <w:t>330</w:t>
            </w:r>
          </w:hyperlink>
        </w:p>
        <w:p>
          <w:pPr>
            <w:pStyle w:val="Contents6"/>
            <w:tabs>
              <w:tab w:val="clear" w:pos="7609"/>
              <w:tab w:val="right" w:pos="9026" w:leader="dot"/>
            </w:tabs>
            <w:rPr/>
          </w:pPr>
          <w:hyperlink w:anchor="__RefHeading___Toc1985892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الثامنة عشر لا تحرم أصول المرتضع الإناث</w:t>
            </w:r>
            <w:r>
              <w:rPr>
                <w:rStyle w:val="IndexLink"/>
                <w:rtl w:val="true"/>
              </w:rPr>
              <w:t xml:space="preserve">- </w:t>
            </w:r>
            <w:r>
              <w:rPr>
                <w:rStyle w:val="IndexLink"/>
                <w:rtl w:val="true"/>
              </w:rPr>
              <w:t>أعني أمّهاته، و إن علون</w:t>
            </w:r>
            <w:r>
              <w:rPr>
                <w:rStyle w:val="IndexLink"/>
                <w:rtl w:val="true"/>
              </w:rPr>
              <w:t xml:space="preserve">- </w:t>
            </w:r>
            <w:r>
              <w:rPr>
                <w:rStyle w:val="IndexLink"/>
                <w:rtl w:val="true"/>
              </w:rPr>
              <w:t>على الفحل</w:t>
            </w:r>
            <w:r>
              <w:rPr>
                <w:rStyle w:val="IndexLink"/>
                <w:rtl w:val="true"/>
              </w:rPr>
              <w:tab/>
            </w:r>
            <w:r>
              <w:rPr>
                <w:rStyle w:val="IndexLink"/>
              </w:rPr>
              <w:t>330</w:t>
            </w:r>
          </w:hyperlink>
        </w:p>
        <w:p>
          <w:pPr>
            <w:pStyle w:val="Contents6"/>
            <w:tabs>
              <w:tab w:val="clear" w:pos="7609"/>
              <w:tab w:val="right" w:pos="9026" w:leader="dot"/>
            </w:tabs>
            <w:rPr/>
          </w:pPr>
          <w:hyperlink w:anchor="__RefHeading___Toc1985894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التاسعة عشر تحرم فروع المرتضع و إن نزلوا على الفحل</w:t>
            </w:r>
            <w:r>
              <w:rPr>
                <w:rStyle w:val="IndexLink"/>
                <w:rtl w:val="true"/>
              </w:rPr>
              <w:tab/>
            </w:r>
            <w:r>
              <w:rPr>
                <w:rStyle w:val="IndexLink"/>
              </w:rPr>
              <w:t>331</w:t>
            </w:r>
          </w:hyperlink>
        </w:p>
        <w:p>
          <w:pPr>
            <w:pStyle w:val="Contents6"/>
            <w:tabs>
              <w:tab w:val="clear" w:pos="7609"/>
              <w:tab w:val="right" w:pos="9026" w:leader="dot"/>
            </w:tabs>
            <w:rPr/>
          </w:pPr>
          <w:hyperlink w:anchor="__RefHeading___Toc1985896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العشرون لا تحرم من في حاشية نسب المرتضع</w:t>
            </w:r>
            <w:r>
              <w:rPr>
                <w:rStyle w:val="IndexLink"/>
                <w:rtl w:val="true"/>
              </w:rPr>
              <w:t xml:space="preserve">- </w:t>
            </w:r>
            <w:r>
              <w:rPr>
                <w:rStyle w:val="IndexLink"/>
                <w:rtl w:val="true"/>
              </w:rPr>
              <w:t>أعني أخواته</w:t>
            </w:r>
            <w:r>
              <w:rPr>
                <w:rStyle w:val="IndexLink"/>
                <w:rtl w:val="true"/>
              </w:rPr>
              <w:t xml:space="preserve">- </w:t>
            </w:r>
            <w:r>
              <w:rPr>
                <w:rStyle w:val="IndexLink"/>
                <w:rtl w:val="true"/>
              </w:rPr>
              <w:t>على الفحل</w:t>
            </w:r>
            <w:r>
              <w:rPr>
                <w:rStyle w:val="IndexLink"/>
                <w:rtl w:val="true"/>
              </w:rPr>
              <w:tab/>
            </w:r>
            <w:r>
              <w:rPr>
                <w:rStyle w:val="IndexLink"/>
              </w:rPr>
              <w:t>331</w:t>
            </w:r>
          </w:hyperlink>
        </w:p>
        <w:p>
          <w:pPr>
            <w:pStyle w:val="Contents6"/>
            <w:tabs>
              <w:tab w:val="clear" w:pos="7609"/>
              <w:tab w:val="right" w:pos="9026" w:leader="dot"/>
            </w:tabs>
            <w:rPr/>
          </w:pPr>
          <w:hyperlink w:anchor="__RefHeading___Toc1985898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الحادية و العشرون يحرم المرتضع على أصول الفحل</w:t>
            </w:r>
            <w:r>
              <w:rPr>
                <w:rStyle w:val="IndexLink"/>
                <w:rtl w:val="true"/>
              </w:rPr>
              <w:tab/>
            </w:r>
            <w:r>
              <w:rPr>
                <w:rStyle w:val="IndexLink"/>
              </w:rPr>
              <w:t>331</w:t>
            </w:r>
          </w:hyperlink>
        </w:p>
        <w:p>
          <w:pPr>
            <w:pStyle w:val="Contents6"/>
            <w:tabs>
              <w:tab w:val="clear" w:pos="7609"/>
              <w:tab w:val="right" w:pos="9026" w:leader="dot"/>
            </w:tabs>
            <w:rPr/>
          </w:pPr>
          <w:hyperlink w:anchor="__RefHeading___Toc1985900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الثانية و العشرون لا تحرم أصول المرتضع على أصول الفحل</w:t>
            </w:r>
            <w:r>
              <w:rPr>
                <w:rStyle w:val="IndexLink"/>
                <w:rtl w:val="true"/>
              </w:rPr>
              <w:tab/>
            </w:r>
            <w:r>
              <w:rPr>
                <w:rStyle w:val="IndexLink"/>
              </w:rPr>
              <w:t>332</w:t>
            </w:r>
          </w:hyperlink>
        </w:p>
        <w:p>
          <w:pPr>
            <w:pStyle w:val="Contents6"/>
            <w:tabs>
              <w:tab w:val="clear" w:pos="7609"/>
              <w:tab w:val="right" w:pos="9026" w:leader="dot"/>
            </w:tabs>
            <w:rPr/>
          </w:pPr>
          <w:hyperlink w:anchor="__RefHeading___Toc1985902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الثالثة و العشرون تحرم فروع المرتضع على أصول الفحل</w:t>
            </w:r>
            <w:r>
              <w:rPr>
                <w:rStyle w:val="IndexLink"/>
                <w:rtl w:val="true"/>
              </w:rPr>
              <w:tab/>
            </w:r>
            <w:r>
              <w:rPr>
                <w:rStyle w:val="IndexLink"/>
              </w:rPr>
              <w:t>332</w:t>
            </w:r>
          </w:hyperlink>
        </w:p>
        <w:p>
          <w:pPr>
            <w:pStyle w:val="Contents6"/>
            <w:tabs>
              <w:tab w:val="clear" w:pos="7609"/>
              <w:tab w:val="right" w:pos="9026" w:leader="dot"/>
            </w:tabs>
            <w:rPr/>
          </w:pPr>
          <w:hyperlink w:anchor="__RefHeading___Toc1985904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الرابعة و العشرون لا يحرم من في حاشية نسب المرتضع على أصول الفحل</w:t>
            </w:r>
            <w:r>
              <w:rPr>
                <w:rStyle w:val="IndexLink"/>
                <w:rtl w:val="true"/>
              </w:rPr>
              <w:tab/>
            </w:r>
            <w:r>
              <w:rPr>
                <w:rStyle w:val="IndexLink"/>
              </w:rPr>
              <w:t>332</w:t>
            </w:r>
          </w:hyperlink>
        </w:p>
        <w:p>
          <w:pPr>
            <w:pStyle w:val="Contents6"/>
            <w:tabs>
              <w:tab w:val="clear" w:pos="7609"/>
              <w:tab w:val="right" w:pos="9026" w:leader="dot"/>
            </w:tabs>
            <w:rPr/>
          </w:pPr>
          <w:hyperlink w:anchor="__RefHeading___Toc1985906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الخامسة و العشرون يحرم المرتضع على فروع الفحل نسبا و رضاعا و إن نزلوا</w:t>
            </w:r>
            <w:r>
              <w:rPr>
                <w:rStyle w:val="IndexLink"/>
                <w:rtl w:val="true"/>
              </w:rPr>
              <w:tab/>
            </w:r>
            <w:r>
              <w:rPr>
                <w:rStyle w:val="IndexLink"/>
              </w:rPr>
              <w:t>332</w:t>
            </w:r>
          </w:hyperlink>
        </w:p>
        <w:p>
          <w:pPr>
            <w:pStyle w:val="Contents6"/>
            <w:tabs>
              <w:tab w:val="clear" w:pos="7609"/>
              <w:tab w:val="right" w:pos="9026" w:leader="dot"/>
            </w:tabs>
            <w:rPr/>
          </w:pPr>
          <w:hyperlink w:anchor="__RefHeading___Toc1985908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السادسة و العشرون تحرم أصول المرتضع على فروع الفحل</w:t>
            </w:r>
            <w:r>
              <w:rPr>
                <w:rStyle w:val="IndexLink"/>
                <w:rtl w:val="true"/>
              </w:rPr>
              <w:tab/>
            </w:r>
            <w:r>
              <w:rPr>
                <w:rStyle w:val="IndexLink"/>
              </w:rPr>
              <w:t>333</w:t>
            </w:r>
          </w:hyperlink>
        </w:p>
        <w:p>
          <w:pPr>
            <w:pStyle w:val="Contents6"/>
            <w:tabs>
              <w:tab w:val="clear" w:pos="7609"/>
              <w:tab w:val="right" w:pos="9026" w:leader="dot"/>
            </w:tabs>
            <w:rPr/>
          </w:pPr>
          <w:hyperlink w:anchor="__RefHeading___Toc1985910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السابعة و العشرون يحرم فروع المرتضع نسبا و رضاعا و إن نزلوا على فروع الفحل نسبا و رضاعا في المرتبة الأولى</w:t>
            </w:r>
            <w:r>
              <w:rPr>
                <w:rStyle w:val="IndexLink"/>
                <w:rtl w:val="true"/>
              </w:rPr>
              <w:tab/>
            </w:r>
            <w:r>
              <w:rPr>
                <w:rStyle w:val="IndexLink"/>
              </w:rPr>
              <w:t>334</w:t>
            </w:r>
          </w:hyperlink>
        </w:p>
        <w:p>
          <w:pPr>
            <w:pStyle w:val="Contents6"/>
            <w:tabs>
              <w:tab w:val="clear" w:pos="7609"/>
              <w:tab w:val="right" w:pos="9026" w:leader="dot"/>
            </w:tabs>
            <w:rPr/>
          </w:pPr>
          <w:hyperlink w:anchor="__RefHeading___Toc1985912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الثامنة و العشرون لا يحرم من في حاشية نسب المرتضع</w:t>
            </w:r>
            <w:r>
              <w:rPr>
                <w:rStyle w:val="IndexLink"/>
                <w:rtl w:val="true"/>
              </w:rPr>
              <w:t xml:space="preserve">- </w:t>
            </w:r>
            <w:r>
              <w:rPr>
                <w:rStyle w:val="IndexLink"/>
                <w:rtl w:val="true"/>
              </w:rPr>
              <w:t>و هم إخوته و أخوته</w:t>
            </w:r>
            <w:r>
              <w:rPr>
                <w:rStyle w:val="IndexLink"/>
                <w:rtl w:val="true"/>
              </w:rPr>
              <w:t xml:space="preserve">- </w:t>
            </w:r>
            <w:r>
              <w:rPr>
                <w:rStyle w:val="IndexLink"/>
                <w:rtl w:val="true"/>
              </w:rPr>
              <w:t>على فروع الفحل</w:t>
            </w:r>
            <w:r>
              <w:rPr>
                <w:rStyle w:val="IndexLink"/>
                <w:rtl w:val="true"/>
              </w:rPr>
              <w:tab/>
            </w:r>
            <w:r>
              <w:rPr>
                <w:rStyle w:val="IndexLink"/>
              </w:rPr>
              <w:t>334</w:t>
            </w:r>
          </w:hyperlink>
        </w:p>
        <w:p>
          <w:pPr>
            <w:pStyle w:val="Contents6"/>
            <w:tabs>
              <w:tab w:val="clear" w:pos="7609"/>
              <w:tab w:val="right" w:pos="9026" w:leader="dot"/>
            </w:tabs>
            <w:rPr/>
          </w:pPr>
          <w:hyperlink w:anchor="__RefHeading___Toc1985914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التاسعة و العشرون يحرم المرتضع على من في حاشية نسب الفحل أو رضاعه</w:t>
            </w:r>
            <w:r>
              <w:rPr>
                <w:rStyle w:val="IndexLink"/>
                <w:rtl w:val="true"/>
              </w:rPr>
              <w:tab/>
            </w:r>
            <w:r>
              <w:rPr>
                <w:rStyle w:val="IndexLink"/>
              </w:rPr>
              <w:t>335</w:t>
            </w:r>
          </w:hyperlink>
        </w:p>
        <w:p>
          <w:pPr>
            <w:pStyle w:val="Contents6"/>
            <w:tabs>
              <w:tab w:val="clear" w:pos="7609"/>
              <w:tab w:val="right" w:pos="9026" w:leader="dot"/>
            </w:tabs>
            <w:rPr/>
          </w:pPr>
          <w:hyperlink w:anchor="__RefHeading___Toc1985916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الثلاثون لا تحرم أصول المرتضع على من في حاشية نسب الفحل</w:t>
            </w:r>
            <w:r>
              <w:rPr>
                <w:rStyle w:val="IndexLink"/>
                <w:rtl w:val="true"/>
              </w:rPr>
              <w:tab/>
            </w:r>
            <w:r>
              <w:rPr>
                <w:rStyle w:val="IndexLink"/>
              </w:rPr>
              <w:t>335</w:t>
            </w:r>
          </w:hyperlink>
        </w:p>
        <w:p>
          <w:pPr>
            <w:pStyle w:val="Contents6"/>
            <w:tabs>
              <w:tab w:val="clear" w:pos="7609"/>
              <w:tab w:val="right" w:pos="9026" w:leader="dot"/>
            </w:tabs>
            <w:rPr/>
          </w:pPr>
          <w:hyperlink w:anchor="__RefHeading___Toc1985918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الحادية و الثلاثون يحرم فروع المرتضع نسبا و رضاعا و إن نزلوا على من في حاشية نسب الفحل نسبا أو رضاعا</w:t>
            </w:r>
            <w:r>
              <w:rPr>
                <w:rStyle w:val="IndexLink"/>
                <w:rtl w:val="true"/>
              </w:rPr>
              <w:tab/>
            </w:r>
            <w:r>
              <w:rPr>
                <w:rStyle w:val="IndexLink"/>
              </w:rPr>
              <w:t>336</w:t>
            </w:r>
          </w:hyperlink>
        </w:p>
        <w:p>
          <w:pPr>
            <w:pStyle w:val="Contents6"/>
            <w:tabs>
              <w:tab w:val="clear" w:pos="7609"/>
              <w:tab w:val="right" w:pos="9026" w:leader="dot"/>
            </w:tabs>
            <w:rPr/>
          </w:pPr>
          <w:hyperlink w:anchor="__RefHeading___Toc1985920_2314609296">
            <w:r>
              <w:rPr>
                <w:webHidden/>
                <w:rStyle w:val="IndexLink"/>
                <w:rtl w:val="true"/>
              </w:rPr>
              <w:t>[</w:t>
            </w:r>
            <w:r>
              <w:rPr>
                <w:rStyle w:val="IndexLink"/>
                <w:rtl w:val="true"/>
              </w:rPr>
              <w:t>المسألة</w:t>
            </w:r>
            <w:r>
              <w:rPr>
                <w:rStyle w:val="IndexLink"/>
                <w:rtl w:val="true"/>
              </w:rPr>
              <w:t xml:space="preserve">] </w:t>
            </w:r>
            <w:r>
              <w:rPr>
                <w:rStyle w:val="IndexLink"/>
                <w:rtl w:val="true"/>
              </w:rPr>
              <w:t>الثانية و الثلاثون لا يحرم من في حاشية نسب المرتضع على من في حاشية نسب الفحل</w:t>
            </w:r>
            <w:r>
              <w:rPr>
                <w:rStyle w:val="IndexLink"/>
                <w:rtl w:val="true"/>
              </w:rPr>
              <w:tab/>
            </w:r>
            <w:r>
              <w:rPr>
                <w:rStyle w:val="IndexLink"/>
              </w:rPr>
              <w:t>336</w:t>
            </w:r>
          </w:hyperlink>
        </w:p>
        <w:p>
          <w:pPr>
            <w:pStyle w:val="Contents5"/>
            <w:tabs>
              <w:tab w:val="clear" w:pos="7892"/>
              <w:tab w:val="right" w:pos="9026" w:leader="dot"/>
            </w:tabs>
            <w:rPr/>
          </w:pPr>
          <w:hyperlink w:anchor="__RefHeading___Toc1985922_2314609296">
            <w:r>
              <w:rPr>
                <w:webHidden/>
                <w:rStyle w:val="IndexLink"/>
                <w:rtl w:val="true"/>
              </w:rPr>
              <w:t>و ينبغي التنبيه على أمور</w:t>
            </w:r>
            <w:r>
              <w:rPr>
                <w:rStyle w:val="IndexLink"/>
                <w:rtl w:val="true"/>
              </w:rPr>
              <w:t>:</w:t>
              <w:tab/>
            </w:r>
            <w:r>
              <w:rPr>
                <w:rStyle w:val="IndexLink"/>
              </w:rPr>
              <w:t>337</w:t>
            </w:r>
          </w:hyperlink>
        </w:p>
        <w:p>
          <w:pPr>
            <w:pStyle w:val="Contents6"/>
            <w:tabs>
              <w:tab w:val="clear" w:pos="7609"/>
              <w:tab w:val="right" w:pos="9026" w:leader="dot"/>
            </w:tabs>
            <w:rPr/>
          </w:pPr>
          <w:hyperlink w:anchor="__RefHeading___Toc1985924_2314609296">
            <w:r>
              <w:rPr>
                <w:webHidden/>
                <w:rStyle w:val="IndexLink"/>
                <w:rtl w:val="true"/>
              </w:rPr>
              <w:t>[</w:t>
            </w:r>
            <w:r>
              <w:rPr>
                <w:rStyle w:val="IndexLink"/>
                <w:rtl w:val="true"/>
              </w:rPr>
              <w:t>الأول الرابطة النسبية المحرمة على نحوين</w:t>
            </w:r>
            <w:r>
              <w:rPr>
                <w:rStyle w:val="IndexLink"/>
                <w:rtl w:val="true"/>
              </w:rPr>
              <w:t>]</w:t>
              <w:tab/>
            </w:r>
            <w:r>
              <w:rPr>
                <w:rStyle w:val="IndexLink"/>
              </w:rPr>
              <w:t>337</w:t>
            </w:r>
          </w:hyperlink>
        </w:p>
        <w:p>
          <w:pPr>
            <w:pStyle w:val="Contents6"/>
            <w:tabs>
              <w:tab w:val="clear" w:pos="7609"/>
              <w:tab w:val="right" w:pos="9026" w:leader="dot"/>
            </w:tabs>
            <w:rPr/>
          </w:pPr>
          <w:hyperlink w:anchor="__RefHeading___Toc1985926_2314609296">
            <w:r>
              <w:rPr>
                <w:webHidden/>
                <w:rStyle w:val="IndexLink"/>
                <w:rtl w:val="true"/>
              </w:rPr>
              <w:t>[</w:t>
            </w:r>
            <w:r>
              <w:rPr>
                <w:rStyle w:val="IndexLink"/>
                <w:rtl w:val="true"/>
              </w:rPr>
              <w:t>الثاني تحريم الرضاع للنكاح ابتداء و استدامة</w:t>
            </w:r>
            <w:r>
              <w:rPr>
                <w:rStyle w:val="IndexLink"/>
                <w:rtl w:val="true"/>
              </w:rPr>
              <w:t>]</w:t>
              <w:tab/>
            </w:r>
            <w:r>
              <w:rPr>
                <w:rStyle w:val="IndexLink"/>
              </w:rPr>
              <w:t>340</w:t>
            </w:r>
          </w:hyperlink>
        </w:p>
        <w:p>
          <w:pPr>
            <w:pStyle w:val="Contents6"/>
            <w:tabs>
              <w:tab w:val="clear" w:pos="7609"/>
              <w:tab w:val="right" w:pos="9026" w:leader="dot"/>
            </w:tabs>
            <w:rPr/>
          </w:pPr>
          <w:hyperlink w:anchor="__RefHeading___Toc1985928_2314609296">
            <w:r>
              <w:rPr>
                <w:webHidden/>
                <w:rStyle w:val="IndexLink"/>
                <w:rtl w:val="true"/>
              </w:rPr>
              <w:t>[</w:t>
            </w:r>
            <w:r>
              <w:rPr>
                <w:rStyle w:val="IndexLink"/>
                <w:rtl w:val="true"/>
              </w:rPr>
              <w:t>الثالث توهم جماعة التحريم في بعض الصور</w:t>
            </w:r>
            <w:r>
              <w:rPr>
                <w:rStyle w:val="IndexLink"/>
                <w:rtl w:val="true"/>
              </w:rPr>
              <w:t>]</w:t>
              <w:tab/>
            </w:r>
            <w:r>
              <w:rPr>
                <w:rStyle w:val="IndexLink"/>
              </w:rPr>
              <w:t>344</w:t>
            </w:r>
          </w:hyperlink>
        </w:p>
        <w:p>
          <w:pPr>
            <w:pStyle w:val="Contents5"/>
            <w:tabs>
              <w:tab w:val="clear" w:pos="7892"/>
              <w:tab w:val="right" w:pos="9026" w:leader="dot"/>
            </w:tabs>
            <w:rPr/>
          </w:pPr>
          <w:hyperlink w:anchor="__RefHeading___Toc1985930_2314609296">
            <w:r>
              <w:rPr>
                <w:webHidden/>
                <w:rStyle w:val="IndexLink"/>
                <w:rtl w:val="true"/>
              </w:rPr>
              <w:t>[</w:t>
            </w:r>
            <w:r>
              <w:rPr>
                <w:rStyle w:val="IndexLink"/>
                <w:rtl w:val="true"/>
              </w:rPr>
              <w:t>المسائل المختلف فيها</w:t>
            </w:r>
            <w:r>
              <w:rPr>
                <w:rStyle w:val="IndexLink"/>
                <w:rtl w:val="true"/>
              </w:rPr>
              <w:t>]</w:t>
              <w:tab/>
            </w:r>
            <w:r>
              <w:rPr>
                <w:rStyle w:val="IndexLink"/>
              </w:rPr>
              <w:t>346</w:t>
            </w:r>
          </w:hyperlink>
        </w:p>
        <w:p>
          <w:pPr>
            <w:pStyle w:val="Contents6"/>
            <w:tabs>
              <w:tab w:val="clear" w:pos="7609"/>
              <w:tab w:val="right" w:pos="9026" w:leader="dot"/>
            </w:tabs>
            <w:rPr/>
          </w:pPr>
          <w:hyperlink w:anchor="__RefHeading___Toc1985932_2314609296">
            <w:r>
              <w:rPr>
                <w:webHidden/>
                <w:rStyle w:val="IndexLink"/>
                <w:rtl w:val="true"/>
              </w:rPr>
              <w:t>[</w:t>
            </w:r>
            <w:r>
              <w:rPr>
                <w:rStyle w:val="IndexLink"/>
                <w:rtl w:val="true"/>
              </w:rPr>
              <w:t>الأولى هل تحرم جدات المرتضع على الفحل</w:t>
            </w:r>
            <w:r>
              <w:rPr>
                <w:rStyle w:val="IndexLink"/>
                <w:rtl w:val="true"/>
              </w:rPr>
              <w:t>]</w:t>
              <w:tab/>
            </w:r>
            <w:r>
              <w:rPr>
                <w:rStyle w:val="IndexLink"/>
              </w:rPr>
              <w:t>346</w:t>
            </w:r>
          </w:hyperlink>
        </w:p>
        <w:p>
          <w:pPr>
            <w:pStyle w:val="Contents6"/>
            <w:tabs>
              <w:tab w:val="clear" w:pos="7609"/>
              <w:tab w:val="right" w:pos="9026" w:leader="dot"/>
            </w:tabs>
            <w:rPr/>
          </w:pPr>
          <w:hyperlink w:anchor="__RefHeading___Toc1985934_2314609296">
            <w:r>
              <w:rPr>
                <w:webHidden/>
                <w:rStyle w:val="IndexLink"/>
                <w:rtl w:val="true"/>
              </w:rPr>
              <w:t>[</w:t>
            </w:r>
            <w:r>
              <w:rPr>
                <w:rStyle w:val="IndexLink"/>
                <w:rtl w:val="true"/>
              </w:rPr>
              <w:t>الثانية هل تحل أخوات المرتضع للفحل مع اتحاده؟</w:t>
            </w:r>
            <w:r>
              <w:rPr>
                <w:rStyle w:val="IndexLink"/>
                <w:rtl w:val="true"/>
              </w:rPr>
              <w:t>]</w:t>
              <w:tab/>
            </w:r>
            <w:r>
              <w:rPr>
                <w:rStyle w:val="IndexLink"/>
              </w:rPr>
              <w:t>347</w:t>
            </w:r>
          </w:hyperlink>
        </w:p>
        <w:p>
          <w:pPr>
            <w:pStyle w:val="Contents6"/>
            <w:tabs>
              <w:tab w:val="clear" w:pos="7609"/>
              <w:tab w:val="right" w:pos="9026" w:leader="dot"/>
            </w:tabs>
            <w:rPr/>
          </w:pPr>
          <w:hyperlink w:anchor="__RefHeading___Toc1985936_2314609296">
            <w:r>
              <w:rPr>
                <w:webHidden/>
                <w:rStyle w:val="IndexLink"/>
                <w:rtl w:val="true"/>
              </w:rPr>
              <w:t>[</w:t>
            </w:r>
            <w:r>
              <w:rPr>
                <w:rStyle w:val="IndexLink"/>
                <w:rtl w:val="true"/>
              </w:rPr>
              <w:t>الثالثة هل يحرم أولاد صاحب اللبن و أولاد المرضعة ولادة على أب المرتضع؟</w:t>
            </w:r>
            <w:r>
              <w:rPr>
                <w:rStyle w:val="IndexLink"/>
                <w:rtl w:val="true"/>
              </w:rPr>
              <w:t>]</w:t>
              <w:tab/>
            </w:r>
            <w:r>
              <w:rPr>
                <w:rStyle w:val="IndexLink"/>
              </w:rPr>
              <w:t>347</w:t>
            </w:r>
          </w:hyperlink>
        </w:p>
        <w:p>
          <w:pPr>
            <w:pStyle w:val="Contents5"/>
            <w:tabs>
              <w:tab w:val="clear" w:pos="7892"/>
              <w:tab w:val="right" w:pos="9026" w:leader="dot"/>
            </w:tabs>
            <w:rPr/>
          </w:pPr>
          <w:hyperlink w:anchor="__RefHeading___Toc1985938_2314609296">
            <w:r>
              <w:rPr>
                <w:webHidden/>
                <w:rStyle w:val="IndexLink"/>
                <w:rtl w:val="true"/>
              </w:rPr>
              <w:t>[</w:t>
            </w:r>
            <w:r>
              <w:rPr>
                <w:rStyle w:val="IndexLink"/>
                <w:rtl w:val="true"/>
              </w:rPr>
              <w:t>المسائل التي نسب القول بالتحريم فيها إلى الوهم</w:t>
            </w:r>
            <w:r>
              <w:rPr>
                <w:rStyle w:val="IndexLink"/>
                <w:rtl w:val="true"/>
              </w:rPr>
              <w:t>]</w:t>
              <w:tab/>
            </w:r>
            <w:r>
              <w:rPr>
                <w:rStyle w:val="IndexLink"/>
              </w:rPr>
              <w:t>349</w:t>
            </w:r>
          </w:hyperlink>
        </w:p>
        <w:p>
          <w:pPr>
            <w:pStyle w:val="Contents6"/>
            <w:tabs>
              <w:tab w:val="clear" w:pos="7609"/>
              <w:tab w:val="right" w:pos="9026" w:leader="dot"/>
            </w:tabs>
            <w:rPr/>
          </w:pPr>
          <w:hyperlink w:anchor="__RefHeading___Toc1985940_2314609296">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1985942_2314609296">
            <w:r>
              <w:rPr>
                <w:webHidden/>
                <w:rStyle w:val="IndexLink"/>
                <w:rtl w:val="true"/>
              </w:rPr>
              <w:t>[</w:t>
            </w:r>
            <w:r>
              <w:rPr>
                <w:rStyle w:val="IndexLink"/>
                <w:rtl w:val="true"/>
              </w:rPr>
              <w:t>الأولى إرضاع الزوجة بلبن فحلها إخوتها أو أخواتها</w:t>
            </w:r>
            <w:r>
              <w:rPr>
                <w:rStyle w:val="IndexLink"/>
                <w:rtl w:val="true"/>
              </w:rPr>
              <w:t>]</w:t>
              <w:tab/>
            </w:r>
            <w:r>
              <w:rPr>
                <w:rStyle w:val="IndexLink"/>
              </w:rPr>
              <w:t>349</w:t>
            </w:r>
          </w:hyperlink>
        </w:p>
        <w:p>
          <w:pPr>
            <w:pStyle w:val="Contents6"/>
            <w:tabs>
              <w:tab w:val="clear" w:pos="7609"/>
              <w:tab w:val="right" w:pos="9026" w:leader="dot"/>
            </w:tabs>
            <w:rPr/>
          </w:pPr>
          <w:hyperlink w:anchor="__RefHeading___Toc1985944_2314609296">
            <w:r>
              <w:rPr>
                <w:webHidden/>
                <w:rStyle w:val="IndexLink"/>
                <w:rtl w:val="true"/>
              </w:rPr>
              <w:t>[</w:t>
            </w:r>
            <w:r>
              <w:rPr>
                <w:rStyle w:val="IndexLink"/>
                <w:rtl w:val="true"/>
              </w:rPr>
              <w:t>الثانية إرضاع الزوجة ولد أخيها أو ولد إخوتها</w:t>
            </w:r>
            <w:r>
              <w:rPr>
                <w:rStyle w:val="IndexLink"/>
                <w:rtl w:val="true"/>
              </w:rPr>
              <w:t>]</w:t>
              <w:tab/>
            </w:r>
            <w:r>
              <w:rPr>
                <w:rStyle w:val="IndexLink"/>
              </w:rPr>
              <w:t>350</w:t>
            </w:r>
          </w:hyperlink>
        </w:p>
        <w:p>
          <w:pPr>
            <w:pStyle w:val="Contents6"/>
            <w:tabs>
              <w:tab w:val="clear" w:pos="7609"/>
              <w:tab w:val="right" w:pos="9026" w:leader="dot"/>
            </w:tabs>
            <w:rPr/>
          </w:pPr>
          <w:hyperlink w:anchor="__RefHeading___Toc1985946_2314609296">
            <w:r>
              <w:rPr>
                <w:webHidden/>
                <w:rStyle w:val="IndexLink"/>
                <w:rtl w:val="true"/>
              </w:rPr>
              <w:t>[</w:t>
            </w:r>
            <w:r>
              <w:rPr>
                <w:rStyle w:val="IndexLink"/>
                <w:rtl w:val="true"/>
              </w:rPr>
              <w:t>الثالثة توهم الحرمة في المسألتين</w:t>
            </w:r>
            <w:r>
              <w:rPr>
                <w:rStyle w:val="IndexLink"/>
                <w:rtl w:val="true"/>
              </w:rPr>
              <w:t>]</w:t>
              <w:tab/>
            </w:r>
            <w:r>
              <w:rPr>
                <w:rStyle w:val="IndexLink"/>
              </w:rPr>
              <w:t>350</w:t>
            </w:r>
          </w:hyperlink>
        </w:p>
        <w:p>
          <w:pPr>
            <w:pStyle w:val="Contents6"/>
            <w:tabs>
              <w:tab w:val="clear" w:pos="7609"/>
              <w:tab w:val="right" w:pos="9026" w:leader="dot"/>
            </w:tabs>
            <w:rPr/>
          </w:pPr>
          <w:hyperlink w:anchor="__RefHeading___Toc1985948_2314609296">
            <w:r>
              <w:rPr>
                <w:webHidden/>
                <w:rStyle w:val="IndexLink"/>
                <w:rtl w:val="true"/>
              </w:rPr>
              <w:t>[</w:t>
            </w:r>
            <w:r>
              <w:rPr>
                <w:rStyle w:val="IndexLink"/>
                <w:rtl w:val="true"/>
              </w:rPr>
              <w:t>الرابعة في إرضاع الزوجة ولد ولدها و إرضاع إحدى الزوجتين ولد الأخرى</w:t>
            </w:r>
            <w:r>
              <w:rPr>
                <w:rStyle w:val="IndexLink"/>
                <w:rtl w:val="true"/>
              </w:rPr>
              <w:t>]</w:t>
              <w:tab/>
            </w:r>
            <w:r>
              <w:rPr>
                <w:rStyle w:val="IndexLink"/>
              </w:rPr>
              <w:t>351</w:t>
            </w:r>
          </w:hyperlink>
        </w:p>
        <w:p>
          <w:pPr>
            <w:pStyle w:val="Contents6"/>
            <w:tabs>
              <w:tab w:val="clear" w:pos="7609"/>
              <w:tab w:val="right" w:pos="9026" w:leader="dot"/>
            </w:tabs>
            <w:rPr/>
          </w:pPr>
          <w:hyperlink w:anchor="__RefHeading___Toc1985950_2314609296">
            <w:r>
              <w:rPr>
                <w:webHidden/>
                <w:rStyle w:val="IndexLink"/>
                <w:rtl w:val="true"/>
              </w:rPr>
              <w:t>[</w:t>
            </w:r>
            <w:r>
              <w:rPr>
                <w:rStyle w:val="IndexLink"/>
                <w:rtl w:val="true"/>
              </w:rPr>
              <w:t>الخامسة و السادسة إرضاع الزوجة عمّها أو عمّتها أو خالها أو خالتها</w:t>
            </w:r>
            <w:r>
              <w:rPr>
                <w:rStyle w:val="IndexLink"/>
                <w:rtl w:val="true"/>
              </w:rPr>
              <w:t>]</w:t>
              <w:tab/>
            </w:r>
            <w:r>
              <w:rPr>
                <w:rStyle w:val="IndexLink"/>
              </w:rPr>
              <w:t>352</w:t>
            </w:r>
          </w:hyperlink>
        </w:p>
        <w:p>
          <w:pPr>
            <w:pStyle w:val="Contents6"/>
            <w:tabs>
              <w:tab w:val="clear" w:pos="7609"/>
              <w:tab w:val="right" w:pos="9026" w:leader="dot"/>
            </w:tabs>
            <w:rPr/>
          </w:pPr>
          <w:hyperlink w:anchor="__RefHeading___Toc1985952_2314609296">
            <w:r>
              <w:rPr>
                <w:webHidden/>
                <w:rStyle w:val="IndexLink"/>
                <w:rtl w:val="true"/>
              </w:rPr>
              <w:t>[</w:t>
            </w:r>
            <w:r>
              <w:rPr>
                <w:rStyle w:val="IndexLink"/>
                <w:rtl w:val="true"/>
              </w:rPr>
              <w:t>السابعة و الثامنة إرضاع الزوجة ولد عمّها أو عمّتها أو ولد خالها أو خالتها</w:t>
            </w:r>
            <w:r>
              <w:rPr>
                <w:rStyle w:val="IndexLink"/>
                <w:rtl w:val="true"/>
              </w:rPr>
              <w:t>]</w:t>
              <w:tab/>
            </w:r>
            <w:r>
              <w:rPr>
                <w:rStyle w:val="IndexLink"/>
              </w:rPr>
              <w:t>352</w:t>
            </w:r>
          </w:hyperlink>
        </w:p>
        <w:p>
          <w:pPr>
            <w:pStyle w:val="Contents6"/>
            <w:tabs>
              <w:tab w:val="clear" w:pos="7609"/>
              <w:tab w:val="right" w:pos="9026" w:leader="dot"/>
            </w:tabs>
            <w:rPr/>
          </w:pPr>
          <w:hyperlink w:anchor="__RefHeading___Toc1985954_2314609296">
            <w:r>
              <w:rPr>
                <w:webHidden/>
                <w:rStyle w:val="IndexLink"/>
                <w:rtl w:val="true"/>
              </w:rPr>
              <w:t>[</w:t>
            </w:r>
            <w:r>
              <w:rPr>
                <w:rStyle w:val="IndexLink"/>
                <w:rtl w:val="true"/>
              </w:rPr>
              <w:t>التاسعة إرضاع الزوجة أخ الزوج أو أخته</w:t>
            </w:r>
            <w:r>
              <w:rPr>
                <w:rStyle w:val="IndexLink"/>
                <w:rtl w:val="true"/>
              </w:rPr>
              <w:t>]</w:t>
              <w:tab/>
            </w:r>
            <w:r>
              <w:rPr>
                <w:rStyle w:val="IndexLink"/>
              </w:rPr>
              <w:t>353</w:t>
            </w:r>
          </w:hyperlink>
        </w:p>
        <w:p>
          <w:pPr>
            <w:pStyle w:val="Contents6"/>
            <w:tabs>
              <w:tab w:val="clear" w:pos="7609"/>
              <w:tab w:val="right" w:pos="9026" w:leader="dot"/>
            </w:tabs>
            <w:rPr/>
          </w:pPr>
          <w:hyperlink w:anchor="__RefHeading___Toc1985956_2314609296">
            <w:r>
              <w:rPr>
                <w:webHidden/>
                <w:rStyle w:val="IndexLink"/>
                <w:rtl w:val="true"/>
              </w:rPr>
              <w:t>[</w:t>
            </w:r>
            <w:r>
              <w:rPr>
                <w:rStyle w:val="IndexLink"/>
                <w:rtl w:val="true"/>
              </w:rPr>
              <w:t>العاشرة إرضاع الزوجة ولد ولد الزوج</w:t>
            </w:r>
            <w:r>
              <w:rPr>
                <w:rStyle w:val="IndexLink"/>
                <w:rtl w:val="true"/>
              </w:rPr>
              <w:t>]</w:t>
              <w:tab/>
            </w:r>
            <w:r>
              <w:rPr>
                <w:rStyle w:val="IndexLink"/>
              </w:rPr>
              <w:t>353</w:t>
            </w:r>
          </w:hyperlink>
        </w:p>
        <w:p>
          <w:pPr>
            <w:pStyle w:val="Contents6"/>
            <w:tabs>
              <w:tab w:val="clear" w:pos="7609"/>
              <w:tab w:val="right" w:pos="9026" w:leader="dot"/>
            </w:tabs>
            <w:rPr/>
          </w:pPr>
          <w:hyperlink w:anchor="__RefHeading___Toc1985958_2314609296">
            <w:r>
              <w:rPr>
                <w:webHidden/>
                <w:rStyle w:val="IndexLink"/>
                <w:rtl w:val="true"/>
              </w:rPr>
              <w:t>[</w:t>
            </w:r>
            <w:r>
              <w:rPr>
                <w:rStyle w:val="IndexLink"/>
                <w:rtl w:val="true"/>
              </w:rPr>
              <w:t>الحادية عشرة إرضاع الزوجة ولد أخ الزوجة أو ولد أخته</w:t>
            </w:r>
            <w:r>
              <w:rPr>
                <w:rStyle w:val="IndexLink"/>
                <w:rtl w:val="true"/>
              </w:rPr>
              <w:t>]</w:t>
              <w:tab/>
            </w:r>
            <w:r>
              <w:rPr>
                <w:rStyle w:val="IndexLink"/>
              </w:rPr>
              <w:t>354</w:t>
            </w:r>
          </w:hyperlink>
        </w:p>
        <w:p>
          <w:pPr>
            <w:pStyle w:val="Contents6"/>
            <w:tabs>
              <w:tab w:val="clear" w:pos="7609"/>
              <w:tab w:val="right" w:pos="9026" w:leader="dot"/>
            </w:tabs>
            <w:rPr/>
          </w:pPr>
          <w:hyperlink w:anchor="__RefHeading___Toc1985960_2314609296">
            <w:r>
              <w:rPr>
                <w:webHidden/>
                <w:rStyle w:val="IndexLink"/>
                <w:rtl w:val="true"/>
              </w:rPr>
              <w:t>[</w:t>
            </w:r>
            <w:r>
              <w:rPr>
                <w:rStyle w:val="IndexLink"/>
                <w:rtl w:val="true"/>
              </w:rPr>
              <w:t>الثانية عشرة و الثالثة عشر إرضاع الزوجة عمّ الزوج أو عمّته أو خاله أو خالته</w:t>
            </w:r>
            <w:r>
              <w:rPr>
                <w:rStyle w:val="IndexLink"/>
                <w:rtl w:val="true"/>
              </w:rPr>
              <w:t>]</w:t>
              <w:tab/>
            </w:r>
            <w:r>
              <w:rPr>
                <w:rStyle w:val="IndexLink"/>
              </w:rPr>
              <w:t>354</w:t>
            </w:r>
          </w:hyperlink>
        </w:p>
        <w:p>
          <w:pPr>
            <w:pStyle w:val="Contents4"/>
            <w:tabs>
              <w:tab w:val="clear" w:pos="8176"/>
              <w:tab w:val="right" w:pos="9026" w:leader="dot"/>
            </w:tabs>
            <w:rPr/>
          </w:pPr>
          <w:hyperlink w:anchor="__RefHeading___Toc1985962_2314609296">
            <w:r>
              <w:rPr>
                <w:webHidden/>
                <w:rStyle w:val="IndexLink"/>
                <w:rtl w:val="true"/>
              </w:rPr>
              <w:t>[</w:t>
            </w:r>
            <w:r>
              <w:rPr>
                <w:rStyle w:val="IndexLink"/>
                <w:rtl w:val="true"/>
              </w:rPr>
              <w:t>المطلب الثاني في باقي أسباب التحريم</w:t>
            </w:r>
            <w:r>
              <w:rPr>
                <w:rStyle w:val="IndexLink"/>
                <w:rtl w:val="true"/>
              </w:rPr>
              <w:tab/>
            </w:r>
            <w:r>
              <w:rPr>
                <w:rStyle w:val="IndexLink"/>
              </w:rPr>
              <w:t>356</w:t>
            </w:r>
          </w:hyperlink>
        </w:p>
        <w:p>
          <w:pPr>
            <w:pStyle w:val="Contents5"/>
            <w:tabs>
              <w:tab w:val="clear" w:pos="7892"/>
              <w:tab w:val="right" w:pos="9026" w:leader="dot"/>
            </w:tabs>
            <w:rPr/>
          </w:pPr>
          <w:hyperlink w:anchor="__RefHeading___Toc1985964_2314609296">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1985966_2314609296">
            <w:r>
              <w:rPr>
                <w:webHidden/>
                <w:rStyle w:val="IndexLink"/>
                <w:rtl w:val="true"/>
              </w:rPr>
              <w:t>[</w:t>
            </w:r>
            <w:r>
              <w:rPr>
                <w:rStyle w:val="IndexLink"/>
                <w:rtl w:val="true"/>
              </w:rPr>
              <w:t>الباب الأوّل</w:t>
            </w:r>
            <w:r>
              <w:rPr>
                <w:rStyle w:val="IndexLink"/>
                <w:rtl w:val="true"/>
              </w:rPr>
              <w:t xml:space="preserve">]: </w:t>
            </w:r>
            <w:r>
              <w:rPr>
                <w:rStyle w:val="IndexLink"/>
                <w:rtl w:val="true"/>
              </w:rPr>
              <w:t>في المصاهرة</w:t>
            </w:r>
            <w:r>
              <w:rPr>
                <w:rStyle w:val="IndexLink"/>
                <w:rtl w:val="true"/>
              </w:rPr>
              <w:tab/>
            </w:r>
            <w:r>
              <w:rPr>
                <w:rStyle w:val="IndexLink"/>
              </w:rPr>
              <w:t>356</w:t>
            </w:r>
          </w:hyperlink>
        </w:p>
        <w:p>
          <w:pPr>
            <w:pStyle w:val="Contents6"/>
            <w:tabs>
              <w:tab w:val="clear" w:pos="7609"/>
              <w:tab w:val="right" w:pos="9026" w:leader="dot"/>
            </w:tabs>
            <w:rPr/>
          </w:pPr>
          <w:hyperlink w:anchor="__RefHeading___Toc1985968_2314609296">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1985970_2314609296">
            <w:r>
              <w:rPr>
                <w:webHidden/>
                <w:rStyle w:val="IndexLink"/>
                <w:rtl w:val="true"/>
              </w:rPr>
              <w:t>[</w:t>
            </w:r>
            <w:r>
              <w:rPr>
                <w:rStyle w:val="IndexLink"/>
                <w:rtl w:val="true"/>
              </w:rPr>
              <w:t>فيما لو وطأ أحدهما زوجة الآخر لشبهة</w:t>
            </w:r>
            <w:r>
              <w:rPr>
                <w:rStyle w:val="IndexLink"/>
                <w:rtl w:val="true"/>
              </w:rPr>
              <w:t>]</w:t>
              <w:tab/>
            </w:r>
            <w:r>
              <w:rPr>
                <w:rStyle w:val="IndexLink"/>
              </w:rPr>
              <w:t>359</w:t>
            </w:r>
          </w:hyperlink>
        </w:p>
        <w:p>
          <w:pPr>
            <w:pStyle w:val="Contents6"/>
            <w:tabs>
              <w:tab w:val="clear" w:pos="7609"/>
              <w:tab w:val="right" w:pos="9026" w:leader="dot"/>
            </w:tabs>
            <w:rPr/>
          </w:pPr>
          <w:hyperlink w:anchor="__RefHeading___Toc1985972_2314609296">
            <w:r>
              <w:rPr>
                <w:webHidden/>
                <w:rStyle w:val="IndexLink"/>
                <w:rtl w:val="true"/>
              </w:rPr>
              <w:t>[</w:t>
            </w:r>
            <w:r>
              <w:rPr>
                <w:rStyle w:val="IndexLink"/>
                <w:rtl w:val="true"/>
              </w:rPr>
              <w:t>لا تحرم الزانية على أبي الزاني و ابنه</w:t>
            </w:r>
            <w:r>
              <w:rPr>
                <w:rStyle w:val="IndexLink"/>
                <w:rtl w:val="true"/>
              </w:rPr>
              <w:t>]</w:t>
              <w:tab/>
            </w:r>
            <w:r>
              <w:rPr>
                <w:rStyle w:val="IndexLink"/>
              </w:rPr>
              <w:t>359</w:t>
            </w:r>
          </w:hyperlink>
        </w:p>
        <w:p>
          <w:pPr>
            <w:pStyle w:val="Contents6"/>
            <w:tabs>
              <w:tab w:val="clear" w:pos="7609"/>
              <w:tab w:val="right" w:pos="9026" w:leader="dot"/>
            </w:tabs>
            <w:rPr/>
          </w:pPr>
          <w:hyperlink w:anchor="__RefHeading___Toc1985974_2314609296">
            <w:r>
              <w:rPr>
                <w:webHidden/>
                <w:rStyle w:val="IndexLink"/>
                <w:rtl w:val="true"/>
              </w:rPr>
              <w:t>[</w:t>
            </w:r>
            <w:r>
              <w:rPr>
                <w:rStyle w:val="IndexLink"/>
                <w:rtl w:val="true"/>
              </w:rPr>
              <w:t>هل الوطء بالشبهة ينشر الحرمة؟</w:t>
            </w:r>
            <w:r>
              <w:rPr>
                <w:rStyle w:val="IndexLink"/>
                <w:rtl w:val="true"/>
              </w:rPr>
              <w:t>]</w:t>
              <w:tab/>
            </w:r>
            <w:r>
              <w:rPr>
                <w:rStyle w:val="IndexLink"/>
              </w:rPr>
              <w:t>362</w:t>
            </w:r>
          </w:hyperlink>
        </w:p>
        <w:p>
          <w:pPr>
            <w:pStyle w:val="Contents6"/>
            <w:tabs>
              <w:tab w:val="clear" w:pos="7609"/>
              <w:tab w:val="right" w:pos="9026" w:leader="dot"/>
            </w:tabs>
            <w:rPr/>
          </w:pPr>
          <w:hyperlink w:anchor="__RefHeading___Toc1985976_2314609296">
            <w:r>
              <w:rPr>
                <w:webHidden/>
                <w:rStyle w:val="IndexLink"/>
                <w:rtl w:val="true"/>
              </w:rPr>
              <w:t>[</w:t>
            </w:r>
            <w:r>
              <w:rPr>
                <w:rStyle w:val="IndexLink"/>
                <w:rtl w:val="true"/>
              </w:rPr>
              <w:t>النظر إلى ما يحرم على غير المالك النظر إليه هل ينشر الحرمة؟</w:t>
            </w:r>
            <w:r>
              <w:rPr>
                <w:rStyle w:val="IndexLink"/>
                <w:rtl w:val="true"/>
              </w:rPr>
              <w:t>]</w:t>
              <w:tab/>
            </w:r>
            <w:r>
              <w:rPr>
                <w:rStyle w:val="IndexLink"/>
              </w:rPr>
              <w:t>362</w:t>
            </w:r>
          </w:hyperlink>
        </w:p>
        <w:p>
          <w:pPr>
            <w:pStyle w:val="Contents6"/>
            <w:tabs>
              <w:tab w:val="clear" w:pos="7609"/>
              <w:tab w:val="right" w:pos="9026" w:leader="dot"/>
            </w:tabs>
            <w:rPr/>
          </w:pPr>
          <w:hyperlink w:anchor="__RefHeading___Toc1985978_2314609296">
            <w:r>
              <w:rPr>
                <w:webHidden/>
                <w:rStyle w:val="IndexLink"/>
                <w:rtl w:val="true"/>
              </w:rPr>
              <w:t>[</w:t>
            </w:r>
            <w:r>
              <w:rPr>
                <w:rStyle w:val="IndexLink"/>
                <w:rtl w:val="true"/>
              </w:rPr>
              <w:t>في حكم الجمع بين الأختين</w:t>
            </w:r>
            <w:r>
              <w:rPr>
                <w:rStyle w:val="IndexLink"/>
                <w:rtl w:val="true"/>
              </w:rPr>
              <w:t>]</w:t>
              <w:tab/>
            </w:r>
            <w:r>
              <w:rPr>
                <w:rStyle w:val="IndexLink"/>
              </w:rPr>
              <w:t>364</w:t>
            </w:r>
          </w:hyperlink>
        </w:p>
        <w:p>
          <w:pPr>
            <w:pStyle w:val="Contents6"/>
            <w:tabs>
              <w:tab w:val="clear" w:pos="7609"/>
              <w:tab w:val="right" w:pos="9026" w:leader="dot"/>
            </w:tabs>
            <w:rPr/>
          </w:pPr>
          <w:hyperlink w:anchor="__RefHeading___Toc1985980_2314609296">
            <w:r>
              <w:rPr>
                <w:webHidden/>
                <w:rStyle w:val="IndexLink"/>
                <w:rtl w:val="true"/>
              </w:rPr>
              <w:t>[</w:t>
            </w:r>
            <w:r>
              <w:rPr>
                <w:rStyle w:val="IndexLink"/>
                <w:rtl w:val="true"/>
              </w:rPr>
              <w:t>لو وطأ الأختين بالملك حرمت الثانية</w:t>
            </w:r>
            <w:r>
              <w:rPr>
                <w:rStyle w:val="IndexLink"/>
                <w:rtl w:val="true"/>
              </w:rPr>
              <w:t>]</w:t>
              <w:tab/>
            </w:r>
            <w:r>
              <w:rPr>
                <w:rStyle w:val="IndexLink"/>
              </w:rPr>
              <w:t>369</w:t>
            </w:r>
          </w:hyperlink>
        </w:p>
        <w:p>
          <w:pPr>
            <w:pStyle w:val="Contents5"/>
            <w:tabs>
              <w:tab w:val="clear" w:pos="7892"/>
              <w:tab w:val="right" w:pos="9026" w:leader="dot"/>
            </w:tabs>
            <w:rPr/>
          </w:pPr>
          <w:hyperlink w:anchor="__RefHeading___Toc1985982_2314609296">
            <w:r>
              <w:rPr>
                <w:webHidden/>
                <w:rStyle w:val="IndexLink"/>
                <w:rtl w:val="true"/>
              </w:rPr>
              <w:t>الباب الثاني</w:t>
            </w:r>
            <w:r>
              <w:rPr>
                <w:rStyle w:val="IndexLink"/>
                <w:rtl w:val="true"/>
              </w:rPr>
              <w:t xml:space="preserve">: </w:t>
            </w:r>
            <w:r>
              <w:rPr>
                <w:rStyle w:val="IndexLink"/>
                <w:rtl w:val="true"/>
              </w:rPr>
              <w:t>في الكفر</w:t>
            </w:r>
            <w:r>
              <w:rPr>
                <w:rStyle w:val="IndexLink"/>
                <w:rtl w:val="true"/>
              </w:rPr>
              <w:tab/>
            </w:r>
            <w:r>
              <w:rPr>
                <w:rStyle w:val="IndexLink"/>
              </w:rPr>
              <w:t>371</w:t>
            </w:r>
          </w:hyperlink>
        </w:p>
        <w:p>
          <w:pPr>
            <w:pStyle w:val="Contents6"/>
            <w:tabs>
              <w:tab w:val="clear" w:pos="7609"/>
              <w:tab w:val="right" w:pos="9026" w:leader="dot"/>
            </w:tabs>
            <w:rPr/>
          </w:pPr>
          <w:hyperlink w:anchor="__RefHeading___Toc1985984_2314609296">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1985986_2314609296">
            <w:r>
              <w:rPr>
                <w:webHidden/>
                <w:rStyle w:val="IndexLink"/>
                <w:rtl w:val="true"/>
              </w:rPr>
              <w:t>[</w:t>
            </w:r>
            <w:r>
              <w:rPr>
                <w:rStyle w:val="IndexLink"/>
                <w:rtl w:val="true"/>
              </w:rPr>
              <w:t>البحث الأول في من يجوز للمسلم نكاحه</w:t>
            </w:r>
            <w:r>
              <w:rPr>
                <w:rStyle w:val="IndexLink"/>
                <w:rtl w:val="true"/>
              </w:rPr>
              <w:t>]</w:t>
              <w:tab/>
            </w:r>
            <w:r>
              <w:rPr>
                <w:rStyle w:val="IndexLink"/>
              </w:rPr>
              <w:t>371</w:t>
            </w:r>
          </w:hyperlink>
        </w:p>
        <w:p>
          <w:pPr>
            <w:pStyle w:val="Contents6"/>
            <w:tabs>
              <w:tab w:val="clear" w:pos="7609"/>
              <w:tab w:val="right" w:pos="9026" w:leader="dot"/>
            </w:tabs>
            <w:rPr/>
          </w:pPr>
          <w:hyperlink w:anchor="__RefHeading___Toc1985988_2314609296">
            <w:r>
              <w:rPr>
                <w:webHidden/>
                <w:rStyle w:val="IndexLink"/>
                <w:rtl w:val="true"/>
              </w:rPr>
              <w:t>[</w:t>
            </w:r>
            <w:r>
              <w:rPr>
                <w:rStyle w:val="IndexLink"/>
                <w:rtl w:val="true"/>
              </w:rPr>
              <w:t>الأوّل يحرم على المسلم نكاح غير الكتابيّة دائما و متعة و ملك يمين</w:t>
            </w:r>
            <w:r>
              <w:rPr>
                <w:rStyle w:val="IndexLink"/>
                <w:rtl w:val="true"/>
              </w:rPr>
              <w:t>]</w:t>
              <w:tab/>
            </w:r>
            <w:r>
              <w:rPr>
                <w:rStyle w:val="IndexLink"/>
              </w:rPr>
              <w:t>371</w:t>
            </w:r>
          </w:hyperlink>
        </w:p>
        <w:p>
          <w:pPr>
            <w:pStyle w:val="Contents6"/>
            <w:tabs>
              <w:tab w:val="clear" w:pos="7609"/>
              <w:tab w:val="right" w:pos="9026" w:leader="dot"/>
            </w:tabs>
            <w:rPr/>
          </w:pPr>
          <w:hyperlink w:anchor="__RefHeading___Toc1985990_2314609296">
            <w:r>
              <w:rPr>
                <w:webHidden/>
                <w:rStyle w:val="IndexLink"/>
                <w:rtl w:val="true"/>
              </w:rPr>
              <w:t>[</w:t>
            </w:r>
            <w:r>
              <w:rPr>
                <w:rStyle w:val="IndexLink"/>
                <w:rtl w:val="true"/>
              </w:rPr>
              <w:t>إذا ارتد المسلم بعد الدخول عن غير فطرة</w:t>
            </w:r>
            <w:r>
              <w:rPr>
                <w:rStyle w:val="IndexLink"/>
                <w:rtl w:val="true"/>
              </w:rPr>
              <w:t>]</w:t>
              <w:tab/>
            </w:r>
            <w:r>
              <w:rPr>
                <w:rStyle w:val="IndexLink"/>
              </w:rPr>
              <w:t>377</w:t>
            </w:r>
          </w:hyperlink>
        </w:p>
        <w:p>
          <w:pPr>
            <w:pStyle w:val="Contents6"/>
            <w:tabs>
              <w:tab w:val="clear" w:pos="7609"/>
              <w:tab w:val="right" w:pos="9026" w:leader="dot"/>
            </w:tabs>
            <w:rPr/>
          </w:pPr>
          <w:hyperlink w:anchor="__RefHeading___Toc1985992_2314609296">
            <w:r>
              <w:rPr>
                <w:webHidden/>
                <w:rStyle w:val="IndexLink"/>
                <w:rtl w:val="true"/>
              </w:rPr>
              <w:t>البحث الثاني في حكم الزائد على العدد</w:t>
            </w:r>
            <w:r>
              <w:rPr>
                <w:rStyle w:val="IndexLink"/>
                <w:rtl w:val="true"/>
              </w:rPr>
              <w:tab/>
            </w:r>
            <w:r>
              <w:rPr>
                <w:rStyle w:val="IndexLink"/>
              </w:rPr>
              <w:t>383</w:t>
            </w:r>
          </w:hyperlink>
        </w:p>
        <w:p>
          <w:pPr>
            <w:pStyle w:val="Contents6"/>
            <w:tabs>
              <w:tab w:val="clear" w:pos="7609"/>
              <w:tab w:val="right" w:pos="9026" w:leader="dot"/>
            </w:tabs>
            <w:rPr/>
          </w:pPr>
          <w:hyperlink w:anchor="__RefHeading___Toc1985994_2314609296">
            <w:r>
              <w:rPr>
                <w:webHidden/>
                <w:rStyle w:val="IndexLink"/>
                <w:rtl w:val="true"/>
              </w:rPr>
              <w:t>اشارة</w:t>
            </w:r>
            <w:r>
              <w:rPr>
                <w:rStyle w:val="IndexLink"/>
                <w:rtl w:val="true"/>
              </w:rPr>
              <w:tab/>
            </w:r>
            <w:r>
              <w:rPr>
                <w:rStyle w:val="IndexLink"/>
              </w:rPr>
              <w:t>383</w:t>
            </w:r>
          </w:hyperlink>
        </w:p>
        <w:p>
          <w:pPr>
            <w:pStyle w:val="Contents6"/>
            <w:tabs>
              <w:tab w:val="clear" w:pos="7609"/>
              <w:tab w:val="right" w:pos="9026" w:leader="dot"/>
            </w:tabs>
            <w:rPr/>
          </w:pPr>
          <w:hyperlink w:anchor="__RefHeading___Toc1985996_2314609296">
            <w:r>
              <w:rPr>
                <w:webHidden/>
                <w:rStyle w:val="IndexLink"/>
                <w:rtl w:val="true"/>
              </w:rPr>
              <w:t>[</w:t>
            </w:r>
            <w:r>
              <w:rPr>
                <w:rStyle w:val="IndexLink"/>
                <w:rtl w:val="true"/>
              </w:rPr>
              <w:t>لو مات الزوج قبلهنّ فعليهنّ جمع العدة</w:t>
            </w:r>
            <w:r>
              <w:rPr>
                <w:rStyle w:val="IndexLink"/>
                <w:rtl w:val="true"/>
              </w:rPr>
              <w:t>]</w:t>
              <w:tab/>
            </w:r>
            <w:r>
              <w:rPr>
                <w:rStyle w:val="IndexLink"/>
              </w:rPr>
              <w:t>384</w:t>
            </w:r>
          </w:hyperlink>
        </w:p>
        <w:p>
          <w:pPr>
            <w:pStyle w:val="Contents6"/>
            <w:tabs>
              <w:tab w:val="clear" w:pos="7609"/>
              <w:tab w:val="right" w:pos="9026" w:leader="dot"/>
            </w:tabs>
            <w:rPr/>
          </w:pPr>
          <w:hyperlink w:anchor="__RefHeading___Toc1985998_2314609296">
            <w:r>
              <w:rPr>
                <w:webHidden/>
                <w:rStyle w:val="IndexLink"/>
                <w:rtl w:val="true"/>
              </w:rPr>
              <w:t>خاتمة</w:t>
            </w:r>
            <w:r>
              <w:rPr>
                <w:rStyle w:val="IndexLink"/>
                <w:rtl w:val="true"/>
              </w:rPr>
              <w:tab/>
            </w:r>
            <w:r>
              <w:rPr>
                <w:rStyle w:val="IndexLink"/>
              </w:rPr>
              <w:t>385</w:t>
            </w:r>
          </w:hyperlink>
        </w:p>
        <w:p>
          <w:pPr>
            <w:pStyle w:val="Contents6"/>
            <w:tabs>
              <w:tab w:val="clear" w:pos="7609"/>
              <w:tab w:val="right" w:pos="9026" w:leader="dot"/>
            </w:tabs>
            <w:rPr/>
          </w:pPr>
          <w:hyperlink w:anchor="__RefHeading___Toc1986000_2314609296">
            <w:r>
              <w:rPr>
                <w:webHidden/>
                <w:rStyle w:val="IndexLink"/>
                <w:rtl w:val="true"/>
              </w:rPr>
              <w:t>[</w:t>
            </w:r>
            <w:r>
              <w:rPr>
                <w:rStyle w:val="IndexLink"/>
                <w:rtl w:val="true"/>
              </w:rPr>
              <w:t>مسألة الاختيار قد يكون بالقول و قد يكون بالفعل</w:t>
            </w:r>
            <w:r>
              <w:rPr>
                <w:rStyle w:val="IndexLink"/>
                <w:rtl w:val="true"/>
              </w:rPr>
              <w:t>]</w:t>
              <w:tab/>
            </w:r>
            <w:r>
              <w:rPr>
                <w:rStyle w:val="IndexLink"/>
              </w:rPr>
              <w:t>385</w:t>
            </w:r>
          </w:hyperlink>
        </w:p>
        <w:p>
          <w:pPr>
            <w:pStyle w:val="Contents6"/>
            <w:tabs>
              <w:tab w:val="clear" w:pos="7609"/>
              <w:tab w:val="right" w:pos="9026" w:leader="dot"/>
            </w:tabs>
            <w:rPr/>
          </w:pPr>
          <w:hyperlink w:anchor="__RefHeading___Toc1986002_2314609296">
            <w:r>
              <w:rPr>
                <w:webHidden/>
                <w:rStyle w:val="IndexLink"/>
                <w:rtl w:val="true"/>
              </w:rPr>
              <w:t>[</w:t>
            </w:r>
            <w:r>
              <w:rPr>
                <w:rStyle w:val="IndexLink"/>
                <w:rtl w:val="true"/>
              </w:rPr>
              <w:t>مسألة إذا أسلم عن أكثر من أربع فأسلمن</w:t>
            </w:r>
            <w:r>
              <w:rPr>
                <w:rStyle w:val="IndexLink"/>
                <w:rtl w:val="true"/>
              </w:rPr>
              <w:t>]</w:t>
              <w:tab/>
            </w:r>
            <w:r>
              <w:rPr>
                <w:rStyle w:val="IndexLink"/>
              </w:rPr>
              <w:t>385</w:t>
            </w:r>
          </w:hyperlink>
        </w:p>
        <w:p>
          <w:pPr>
            <w:pStyle w:val="Contents5"/>
            <w:tabs>
              <w:tab w:val="clear" w:pos="7892"/>
              <w:tab w:val="right" w:pos="9026" w:leader="dot"/>
            </w:tabs>
            <w:rPr/>
          </w:pPr>
          <w:hyperlink w:anchor="__RefHeading___Toc1986004_2314609296">
            <w:r>
              <w:rPr>
                <w:webHidden/>
                <w:rStyle w:val="IndexLink"/>
                <w:rtl w:val="true"/>
              </w:rPr>
              <w:t>الباب الثالث</w:t>
            </w:r>
            <w:r>
              <w:rPr>
                <w:rStyle w:val="IndexLink"/>
                <w:rtl w:val="true"/>
              </w:rPr>
              <w:t xml:space="preserve">: </w:t>
            </w:r>
            <w:r>
              <w:rPr>
                <w:rStyle w:val="IndexLink"/>
                <w:rtl w:val="true"/>
              </w:rPr>
              <w:t>العقد و الوطء</w:t>
            </w:r>
            <w:r>
              <w:rPr>
                <w:rStyle w:val="IndexLink"/>
                <w:rtl w:val="true"/>
              </w:rPr>
              <w:tab/>
            </w:r>
            <w:r>
              <w:rPr>
                <w:rStyle w:val="IndexLink"/>
              </w:rPr>
              <w:t>387</w:t>
            </w:r>
          </w:hyperlink>
        </w:p>
        <w:p>
          <w:pPr>
            <w:pStyle w:val="Contents6"/>
            <w:tabs>
              <w:tab w:val="clear" w:pos="7609"/>
              <w:tab w:val="right" w:pos="9026" w:leader="dot"/>
            </w:tabs>
            <w:rPr/>
          </w:pPr>
          <w:hyperlink w:anchor="__RefHeading___Toc1986006_2314609296">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1986008_2314609296">
            <w:r>
              <w:rPr>
                <w:webHidden/>
                <w:rStyle w:val="IndexLink"/>
                <w:rtl w:val="true"/>
              </w:rPr>
              <w:t>[</w:t>
            </w:r>
            <w:r>
              <w:rPr>
                <w:rStyle w:val="IndexLink"/>
                <w:rtl w:val="true"/>
              </w:rPr>
              <w:t>مسألة إن طلقت الزوجة تسعا حرمت أبدا</w:t>
            </w:r>
            <w:r>
              <w:rPr>
                <w:rStyle w:val="IndexLink"/>
                <w:rtl w:val="true"/>
              </w:rPr>
              <w:t>]</w:t>
              <w:tab/>
            </w:r>
            <w:r>
              <w:rPr>
                <w:rStyle w:val="IndexLink"/>
              </w:rPr>
              <w:t>391</w:t>
            </w:r>
          </w:hyperlink>
        </w:p>
        <w:p>
          <w:pPr>
            <w:pStyle w:val="Contents5"/>
            <w:tabs>
              <w:tab w:val="clear" w:pos="7892"/>
              <w:tab w:val="right" w:pos="9026" w:leader="dot"/>
            </w:tabs>
            <w:rPr/>
          </w:pPr>
          <w:hyperlink w:anchor="__RefHeading___Toc1986010_2314609296">
            <w:r>
              <w:rPr>
                <w:webHidden/>
                <w:rStyle w:val="IndexLink"/>
                <w:rtl w:val="true"/>
              </w:rPr>
              <w:t>تتمة</w:t>
            </w:r>
            <w:r>
              <w:rPr>
                <w:rStyle w:val="IndexLink"/>
                <w:rtl w:val="true"/>
              </w:rPr>
              <w:tab/>
            </w:r>
            <w:r>
              <w:rPr>
                <w:rStyle w:val="IndexLink"/>
              </w:rPr>
              <w:t>405</w:t>
            </w:r>
          </w:hyperlink>
        </w:p>
        <w:p>
          <w:pPr>
            <w:pStyle w:val="Contents3"/>
            <w:tabs>
              <w:tab w:val="clear" w:pos="8459"/>
              <w:tab w:val="right" w:pos="9026" w:leader="dot"/>
            </w:tabs>
            <w:rPr/>
          </w:pPr>
          <w:hyperlink w:anchor="__RefHeading___Toc1986012_2314609296">
            <w:r>
              <w:rPr>
                <w:webHidden/>
                <w:rStyle w:val="IndexLink"/>
                <w:rtl w:val="true"/>
              </w:rPr>
              <w:t>المقصد الرّابع في موجب الخيار</w:t>
            </w:r>
            <w:r>
              <w:rPr>
                <w:rStyle w:val="IndexLink"/>
                <w:rtl w:val="true"/>
              </w:rPr>
              <w:tab/>
            </w:r>
            <w:r>
              <w:rPr>
                <w:rStyle w:val="IndexLink"/>
              </w:rPr>
              <w:t>409</w:t>
            </w:r>
          </w:hyperlink>
        </w:p>
        <w:p>
          <w:pPr>
            <w:pStyle w:val="Contents4"/>
            <w:tabs>
              <w:tab w:val="clear" w:pos="8176"/>
              <w:tab w:val="right" w:pos="9026" w:leader="dot"/>
            </w:tabs>
            <w:rPr/>
          </w:pPr>
          <w:hyperlink w:anchor="__RefHeading___Toc1986014_2314609296">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1986016_2314609296">
            <w:r>
              <w:rPr>
                <w:webHidden/>
                <w:rStyle w:val="IndexLink"/>
                <w:rtl w:val="true"/>
              </w:rPr>
              <w:t>[</w:t>
            </w:r>
            <w:r>
              <w:rPr>
                <w:rStyle w:val="IndexLink"/>
                <w:rtl w:val="true"/>
              </w:rPr>
              <w:t>الفصل</w:t>
            </w:r>
            <w:r>
              <w:rPr>
                <w:rStyle w:val="IndexLink"/>
                <w:rtl w:val="true"/>
              </w:rPr>
              <w:t xml:space="preserve">] </w:t>
            </w:r>
            <w:r>
              <w:rPr>
                <w:rStyle w:val="IndexLink"/>
                <w:rtl w:val="true"/>
              </w:rPr>
              <w:t>الأوّل في العيب</w:t>
            </w:r>
            <w:r>
              <w:rPr>
                <w:rStyle w:val="IndexLink"/>
                <w:rtl w:val="true"/>
              </w:rPr>
              <w:tab/>
            </w:r>
            <w:r>
              <w:rPr>
                <w:rStyle w:val="IndexLink"/>
              </w:rPr>
              <w:t>410</w:t>
            </w:r>
          </w:hyperlink>
        </w:p>
        <w:p>
          <w:pPr>
            <w:pStyle w:val="Contents5"/>
            <w:tabs>
              <w:tab w:val="clear" w:pos="7892"/>
              <w:tab w:val="right" w:pos="9026" w:leader="dot"/>
            </w:tabs>
            <w:rPr/>
          </w:pPr>
          <w:hyperlink w:anchor="__RefHeading___Toc1986018_2314609296">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1986020_2314609296">
            <w:r>
              <w:rPr>
                <w:webHidden/>
                <w:rStyle w:val="IndexLink"/>
                <w:rtl w:val="true"/>
              </w:rPr>
              <w:t>[</w:t>
            </w:r>
            <w:r>
              <w:rPr>
                <w:rStyle w:val="IndexLink"/>
                <w:rtl w:val="true"/>
              </w:rPr>
              <w:t>مسألة في احتساب مدة السفر للعنين</w:t>
            </w:r>
            <w:r>
              <w:rPr>
                <w:rStyle w:val="IndexLink"/>
                <w:rtl w:val="true"/>
              </w:rPr>
              <w:t>]</w:t>
              <w:tab/>
            </w:r>
            <w:r>
              <w:rPr>
                <w:rStyle w:val="IndexLink"/>
              </w:rPr>
              <w:t>421</w:t>
            </w:r>
          </w:hyperlink>
        </w:p>
        <w:p>
          <w:pPr>
            <w:pStyle w:val="Contents4"/>
            <w:tabs>
              <w:tab w:val="clear" w:pos="8176"/>
              <w:tab w:val="right" w:pos="9026" w:leader="dot"/>
            </w:tabs>
            <w:rPr/>
          </w:pPr>
          <w:hyperlink w:anchor="__RefHeading___Toc1986022_2314609296">
            <w:r>
              <w:rPr>
                <w:webHidden/>
                <w:rStyle w:val="IndexLink"/>
                <w:rtl w:val="true"/>
              </w:rPr>
              <w:t>الفصل الثاني في التدليس</w:t>
            </w:r>
            <w:r>
              <w:rPr>
                <w:rStyle w:val="IndexLink"/>
                <w:rtl w:val="true"/>
              </w:rPr>
              <w:tab/>
            </w:r>
            <w:r>
              <w:rPr>
                <w:rStyle w:val="IndexLink"/>
              </w:rPr>
              <w:t>429</w:t>
            </w:r>
          </w:hyperlink>
        </w:p>
        <w:p>
          <w:pPr>
            <w:pStyle w:val="Contents5"/>
            <w:tabs>
              <w:tab w:val="clear" w:pos="7892"/>
              <w:tab w:val="right" w:pos="9026" w:leader="dot"/>
            </w:tabs>
            <w:rPr/>
          </w:pPr>
          <w:hyperlink w:anchor="__RefHeading___Toc1986024_2314609296">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1986026_2314609296">
            <w:r>
              <w:rPr>
                <w:webHidden/>
                <w:rStyle w:val="IndexLink"/>
                <w:rtl w:val="true"/>
              </w:rPr>
              <w:t>نكت متفرّقة</w:t>
            </w:r>
            <w:r>
              <w:rPr>
                <w:rStyle w:val="IndexLink"/>
                <w:rtl w:val="true"/>
              </w:rPr>
              <w:tab/>
            </w:r>
            <w:r>
              <w:rPr>
                <w:rStyle w:val="IndexLink"/>
              </w:rPr>
              <w:t>438</w:t>
            </w:r>
          </w:hyperlink>
        </w:p>
        <w:p>
          <w:pPr>
            <w:pStyle w:val="Contents6"/>
            <w:tabs>
              <w:tab w:val="clear" w:pos="7609"/>
              <w:tab w:val="right" w:pos="9026" w:leader="dot"/>
            </w:tabs>
            <w:rPr/>
          </w:pPr>
          <w:hyperlink w:anchor="__RefHeading___Toc1986028_2314609296">
            <w:r>
              <w:rPr>
                <w:webHidden/>
                <w:rStyle w:val="IndexLink"/>
                <w:rtl w:val="true"/>
              </w:rPr>
              <w:t>[</w:t>
            </w:r>
            <w:r>
              <w:rPr>
                <w:rStyle w:val="IndexLink"/>
                <w:rtl w:val="true"/>
              </w:rPr>
              <w:t>الأولى هل التمكن من النفقة شرط في الكفاءة</w:t>
            </w:r>
            <w:r>
              <w:rPr>
                <w:rStyle w:val="IndexLink"/>
                <w:rtl w:val="true"/>
              </w:rPr>
              <w:t>]</w:t>
              <w:tab/>
            </w:r>
            <w:r>
              <w:rPr>
                <w:rStyle w:val="IndexLink"/>
              </w:rPr>
              <w:t>438</w:t>
            </w:r>
          </w:hyperlink>
        </w:p>
        <w:p>
          <w:pPr>
            <w:pStyle w:val="Contents6"/>
            <w:tabs>
              <w:tab w:val="clear" w:pos="7609"/>
              <w:tab w:val="right" w:pos="9026" w:leader="dot"/>
            </w:tabs>
            <w:rPr/>
          </w:pPr>
          <w:hyperlink w:anchor="__RefHeading___Toc1986030_2314609296">
            <w:r>
              <w:rPr>
                <w:webHidden/>
                <w:rStyle w:val="IndexLink"/>
                <w:rtl w:val="true"/>
              </w:rPr>
              <w:t>[</w:t>
            </w:r>
            <w:r>
              <w:rPr>
                <w:rStyle w:val="IndexLink"/>
                <w:rtl w:val="true"/>
              </w:rPr>
              <w:t>الثانية لو انتسب إلى قبيلة فبان من غيرها</w:t>
            </w:r>
            <w:r>
              <w:rPr>
                <w:rStyle w:val="IndexLink"/>
                <w:rtl w:val="true"/>
              </w:rPr>
              <w:t>]</w:t>
              <w:tab/>
            </w:r>
            <w:r>
              <w:rPr>
                <w:rStyle w:val="IndexLink"/>
              </w:rPr>
              <w:t>438</w:t>
            </w:r>
          </w:hyperlink>
        </w:p>
        <w:p>
          <w:pPr>
            <w:pStyle w:val="Contents6"/>
            <w:tabs>
              <w:tab w:val="clear" w:pos="7609"/>
              <w:tab w:val="right" w:pos="9026" w:leader="dot"/>
            </w:tabs>
            <w:rPr/>
          </w:pPr>
          <w:hyperlink w:anchor="__RefHeading___Toc1986032_2314609296">
            <w:r>
              <w:rPr>
                <w:webHidden/>
                <w:rStyle w:val="IndexLink"/>
                <w:rtl w:val="true"/>
              </w:rPr>
              <w:t>[</w:t>
            </w:r>
            <w:r>
              <w:rPr>
                <w:rStyle w:val="IndexLink"/>
                <w:rtl w:val="true"/>
              </w:rPr>
              <w:t>الثالثة لو علم بعد العقد أنها زانية</w:t>
            </w:r>
            <w:r>
              <w:rPr>
                <w:rStyle w:val="IndexLink"/>
                <w:rtl w:val="true"/>
              </w:rPr>
              <w:t>]</w:t>
              <w:tab/>
            </w:r>
            <w:r>
              <w:rPr>
                <w:rStyle w:val="IndexLink"/>
              </w:rPr>
              <w:t>438</w:t>
            </w:r>
          </w:hyperlink>
        </w:p>
        <w:p>
          <w:pPr>
            <w:pStyle w:val="Contents6"/>
            <w:tabs>
              <w:tab w:val="clear" w:pos="7609"/>
              <w:tab w:val="right" w:pos="9026" w:leader="dot"/>
            </w:tabs>
            <w:rPr/>
          </w:pPr>
          <w:hyperlink w:anchor="__RefHeading___Toc1986034_2314609296">
            <w:r>
              <w:rPr>
                <w:webHidden/>
                <w:rStyle w:val="IndexLink"/>
                <w:rtl w:val="true"/>
              </w:rPr>
              <w:t>[</w:t>
            </w:r>
            <w:r>
              <w:rPr>
                <w:rStyle w:val="IndexLink"/>
                <w:rtl w:val="true"/>
              </w:rPr>
              <w:t>الرابعة لو شرطت انتفاء النكاح عند التحليل</w:t>
            </w:r>
            <w:r>
              <w:rPr>
                <w:rStyle w:val="IndexLink"/>
                <w:rtl w:val="true"/>
              </w:rPr>
              <w:t>]</w:t>
              <w:tab/>
            </w:r>
            <w:r>
              <w:rPr>
                <w:rStyle w:val="IndexLink"/>
              </w:rPr>
              <w:t>439</w:t>
            </w:r>
          </w:hyperlink>
        </w:p>
        <w:p>
          <w:pPr>
            <w:pStyle w:val="Contents3"/>
            <w:tabs>
              <w:tab w:val="clear" w:pos="8459"/>
              <w:tab w:val="right" w:pos="9026" w:leader="dot"/>
            </w:tabs>
            <w:rPr/>
          </w:pPr>
          <w:hyperlink w:anchor="__RefHeading___Toc1986036_2314609296">
            <w:r>
              <w:rPr>
                <w:webHidden/>
                <w:rStyle w:val="IndexLink"/>
                <w:rtl w:val="true"/>
              </w:rPr>
              <w:t>المقصد الخامس في لواحق النّكاح</w:t>
            </w:r>
            <w:r>
              <w:rPr>
                <w:rStyle w:val="IndexLink"/>
                <w:rtl w:val="true"/>
              </w:rPr>
              <w:tab/>
            </w:r>
            <w:r>
              <w:rPr>
                <w:rStyle w:val="IndexLink"/>
              </w:rPr>
              <w:t>440</w:t>
            </w:r>
          </w:hyperlink>
        </w:p>
        <w:p>
          <w:pPr>
            <w:pStyle w:val="Contents4"/>
            <w:tabs>
              <w:tab w:val="clear" w:pos="8176"/>
              <w:tab w:val="right" w:pos="9026" w:leader="dot"/>
            </w:tabs>
            <w:rPr/>
          </w:pPr>
          <w:hyperlink w:anchor="__RefHeading___Toc1986038_2314609296">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1986040_2314609296">
            <w:r>
              <w:rPr>
                <w:webHidden/>
                <w:rStyle w:val="IndexLink"/>
                <w:rtl w:val="true"/>
              </w:rPr>
              <w:t>[</w:t>
            </w:r>
            <w:r>
              <w:rPr>
                <w:rStyle w:val="IndexLink"/>
                <w:rtl w:val="true"/>
              </w:rPr>
              <w:t>المطلب</w:t>
            </w:r>
            <w:r>
              <w:rPr>
                <w:rStyle w:val="IndexLink"/>
                <w:rtl w:val="true"/>
              </w:rPr>
              <w:t xml:space="preserve">]: </w:t>
            </w:r>
            <w:r>
              <w:rPr>
                <w:rStyle w:val="IndexLink"/>
                <w:rtl w:val="true"/>
              </w:rPr>
              <w:t>الأوّل في القسمة</w:t>
            </w:r>
            <w:r>
              <w:rPr>
                <w:rStyle w:val="IndexLink"/>
                <w:rtl w:val="true"/>
              </w:rPr>
              <w:tab/>
            </w:r>
            <w:r>
              <w:rPr>
                <w:rStyle w:val="IndexLink"/>
              </w:rPr>
              <w:t>441</w:t>
            </w:r>
          </w:hyperlink>
        </w:p>
        <w:p>
          <w:pPr>
            <w:pStyle w:val="Contents5"/>
            <w:tabs>
              <w:tab w:val="clear" w:pos="7892"/>
              <w:tab w:val="right" w:pos="9026" w:leader="dot"/>
            </w:tabs>
            <w:rPr/>
          </w:pPr>
          <w:hyperlink w:anchor="__RefHeading___Toc1986042_2314609296">
            <w:r>
              <w:rPr>
                <w:webHidden/>
                <w:rStyle w:val="IndexLink"/>
                <w:rtl w:val="true"/>
              </w:rPr>
              <w:t>[</w:t>
            </w:r>
            <w:r>
              <w:rPr>
                <w:rStyle w:val="IndexLink"/>
                <w:rtl w:val="true"/>
              </w:rPr>
              <w:t>مسألة هل القسمة واجبة؟</w:t>
            </w:r>
            <w:r>
              <w:rPr>
                <w:rStyle w:val="IndexLink"/>
                <w:rtl w:val="true"/>
              </w:rPr>
              <w:t>]</w:t>
              <w:tab/>
            </w:r>
            <w:r>
              <w:rPr>
                <w:rStyle w:val="IndexLink"/>
              </w:rPr>
              <w:t>441</w:t>
            </w:r>
          </w:hyperlink>
        </w:p>
        <w:p>
          <w:pPr>
            <w:pStyle w:val="Contents5"/>
            <w:tabs>
              <w:tab w:val="clear" w:pos="7892"/>
              <w:tab w:val="right" w:pos="9026" w:leader="dot"/>
            </w:tabs>
            <w:rPr/>
          </w:pPr>
          <w:hyperlink w:anchor="__RefHeading___Toc1986044_2314609296">
            <w:r>
              <w:rPr>
                <w:webHidden/>
                <w:rStyle w:val="IndexLink"/>
                <w:rtl w:val="true"/>
              </w:rPr>
              <w:t>[</w:t>
            </w:r>
            <w:r>
              <w:rPr>
                <w:rStyle w:val="IndexLink"/>
                <w:rtl w:val="true"/>
              </w:rPr>
              <w:t>مسألة لا يزور الضرّة إلّا مع المرض</w:t>
            </w:r>
            <w:r>
              <w:rPr>
                <w:rStyle w:val="IndexLink"/>
                <w:rtl w:val="true"/>
              </w:rPr>
              <w:t>]</w:t>
              <w:tab/>
            </w:r>
            <w:r>
              <w:rPr>
                <w:rStyle w:val="IndexLink"/>
              </w:rPr>
              <w:t>442</w:t>
            </w:r>
          </w:hyperlink>
        </w:p>
        <w:p>
          <w:pPr>
            <w:pStyle w:val="Contents5"/>
            <w:tabs>
              <w:tab w:val="clear" w:pos="7892"/>
              <w:tab w:val="right" w:pos="9026" w:leader="dot"/>
            </w:tabs>
            <w:rPr/>
          </w:pPr>
          <w:hyperlink w:anchor="__RefHeading___Toc1986046_2314609296">
            <w:r>
              <w:rPr>
                <w:webHidden/>
                <w:rStyle w:val="IndexLink"/>
                <w:rtl w:val="true"/>
              </w:rPr>
              <w:t>[</w:t>
            </w:r>
            <w:r>
              <w:rPr>
                <w:rStyle w:val="IndexLink"/>
                <w:rtl w:val="true"/>
              </w:rPr>
              <w:t>مسألة لو طلّق الرابعة بعد حضور ليلتها ثم تزوجها</w:t>
            </w:r>
            <w:r>
              <w:rPr>
                <w:rStyle w:val="IndexLink"/>
                <w:rtl w:val="true"/>
              </w:rPr>
              <w:t>]</w:t>
              <w:tab/>
            </w:r>
            <w:r>
              <w:rPr>
                <w:rStyle w:val="IndexLink"/>
              </w:rPr>
              <w:t>442</w:t>
            </w:r>
          </w:hyperlink>
        </w:p>
        <w:p>
          <w:pPr>
            <w:pStyle w:val="Contents5"/>
            <w:tabs>
              <w:tab w:val="clear" w:pos="7892"/>
              <w:tab w:val="right" w:pos="9026" w:leader="dot"/>
            </w:tabs>
            <w:rPr/>
          </w:pPr>
          <w:hyperlink w:anchor="__RefHeading___Toc1986048_2314609296">
            <w:r>
              <w:rPr>
                <w:webHidden/>
                <w:rStyle w:val="IndexLink"/>
                <w:rtl w:val="true"/>
              </w:rPr>
              <w:t>خاتمة</w:t>
            </w:r>
            <w:r>
              <w:rPr>
                <w:rStyle w:val="IndexLink"/>
                <w:rtl w:val="true"/>
              </w:rPr>
              <w:tab/>
            </w:r>
            <w:r>
              <w:rPr>
                <w:rStyle w:val="IndexLink"/>
              </w:rPr>
              <w:t>443</w:t>
            </w:r>
          </w:hyperlink>
        </w:p>
        <w:p>
          <w:pPr>
            <w:pStyle w:val="Contents5"/>
            <w:tabs>
              <w:tab w:val="clear" w:pos="7892"/>
              <w:tab w:val="right" w:pos="9026" w:leader="dot"/>
            </w:tabs>
            <w:rPr/>
          </w:pPr>
          <w:hyperlink w:anchor="__RefHeading___Toc1986050_2314609296">
            <w:r>
              <w:rPr>
                <w:webHidden/>
                <w:rStyle w:val="IndexLink"/>
                <w:rtl w:val="true"/>
              </w:rPr>
              <w:t xml:space="preserve">مسألة </w:t>
            </w:r>
            <w:r>
              <w:rPr>
                <w:rStyle w:val="IndexLink"/>
                <w:rtl w:val="true"/>
              </w:rPr>
              <w:t>[</w:t>
            </w:r>
            <w:r>
              <w:rPr>
                <w:rStyle w:val="IndexLink"/>
                <w:rtl w:val="true"/>
              </w:rPr>
              <w:t>في وجوب القسم بين الزوجات</w:t>
            </w:r>
            <w:r>
              <w:rPr>
                <w:rStyle w:val="IndexLink"/>
                <w:rtl w:val="true"/>
              </w:rPr>
              <w:t>]</w:t>
              <w:tab/>
            </w:r>
            <w:r>
              <w:rPr>
                <w:rStyle w:val="IndexLink"/>
              </w:rPr>
              <w:t>444</w:t>
            </w:r>
          </w:hyperlink>
        </w:p>
        <w:p>
          <w:pPr>
            <w:pStyle w:val="Contents4"/>
            <w:tabs>
              <w:tab w:val="clear" w:pos="8176"/>
              <w:tab w:val="right" w:pos="9026" w:leader="dot"/>
            </w:tabs>
            <w:rPr/>
          </w:pPr>
          <w:hyperlink w:anchor="__RefHeading___Toc1986052_2314609296">
            <w:r>
              <w:rPr>
                <w:webHidden/>
                <w:rStyle w:val="IndexLink"/>
                <w:rtl w:val="true"/>
              </w:rPr>
              <w:t>المطلب الثاني</w:t>
            </w:r>
            <w:r>
              <w:rPr>
                <w:rStyle w:val="IndexLink"/>
                <w:rtl w:val="true"/>
              </w:rPr>
              <w:t xml:space="preserve">: </w:t>
            </w:r>
            <w:r>
              <w:rPr>
                <w:rStyle w:val="IndexLink"/>
                <w:rtl w:val="true"/>
              </w:rPr>
              <w:t>في النفقة</w:t>
            </w:r>
            <w:r>
              <w:rPr>
                <w:rStyle w:val="IndexLink"/>
                <w:rtl w:val="true"/>
              </w:rPr>
              <w:tab/>
            </w:r>
            <w:r>
              <w:rPr>
                <w:rStyle w:val="IndexLink"/>
              </w:rPr>
              <w:t>454</w:t>
            </w:r>
          </w:hyperlink>
        </w:p>
        <w:p>
          <w:pPr>
            <w:pStyle w:val="Contents5"/>
            <w:tabs>
              <w:tab w:val="clear" w:pos="7892"/>
              <w:tab w:val="right" w:pos="9026" w:leader="dot"/>
            </w:tabs>
            <w:rPr/>
          </w:pPr>
          <w:hyperlink w:anchor="__RefHeading___Toc1986054_2314609296">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1986056_2314609296">
            <w:r>
              <w:rPr>
                <w:webHidden/>
                <w:rStyle w:val="IndexLink"/>
                <w:rtl w:val="true"/>
              </w:rPr>
              <w:t>الفصل الأوّل</w:t>
            </w:r>
            <w:r>
              <w:rPr>
                <w:rStyle w:val="IndexLink"/>
                <w:rtl w:val="true"/>
              </w:rPr>
              <w:t xml:space="preserve">: </w:t>
            </w:r>
            <w:r>
              <w:rPr>
                <w:rStyle w:val="IndexLink"/>
                <w:rtl w:val="true"/>
              </w:rPr>
              <w:t>في نفقة الزوجة</w:t>
            </w:r>
            <w:r>
              <w:rPr>
                <w:rStyle w:val="IndexLink"/>
                <w:rtl w:val="true"/>
              </w:rPr>
              <w:tab/>
            </w:r>
            <w:r>
              <w:rPr>
                <w:rStyle w:val="IndexLink"/>
              </w:rPr>
              <w:t>455</w:t>
            </w:r>
          </w:hyperlink>
        </w:p>
        <w:p>
          <w:pPr>
            <w:pStyle w:val="Contents6"/>
            <w:tabs>
              <w:tab w:val="clear" w:pos="7609"/>
              <w:tab w:val="right" w:pos="9026" w:leader="dot"/>
            </w:tabs>
            <w:rPr/>
          </w:pPr>
          <w:hyperlink w:anchor="__RefHeading___Toc1986058_2314609296">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1986060_2314609296">
            <w:r>
              <w:rPr>
                <w:webHidden/>
                <w:rStyle w:val="IndexLink"/>
                <w:rtl w:val="true"/>
              </w:rPr>
              <w:t>الأول</w:t>
            </w:r>
            <w:r>
              <w:rPr>
                <w:rStyle w:val="IndexLink"/>
                <w:rtl w:val="true"/>
              </w:rPr>
              <w:t xml:space="preserve">: </w:t>
            </w:r>
            <w:r>
              <w:rPr>
                <w:rStyle w:val="IndexLink"/>
                <w:rtl w:val="true"/>
              </w:rPr>
              <w:t>الواجب</w:t>
            </w:r>
            <w:r>
              <w:rPr>
                <w:rStyle w:val="IndexLink"/>
                <w:rtl w:val="true"/>
              </w:rPr>
              <w:t>.</w:t>
              <w:tab/>
            </w:r>
            <w:r>
              <w:rPr>
                <w:rStyle w:val="IndexLink"/>
              </w:rPr>
              <w:t>455</w:t>
            </w:r>
          </w:hyperlink>
        </w:p>
        <w:p>
          <w:pPr>
            <w:pStyle w:val="Contents6"/>
            <w:tabs>
              <w:tab w:val="clear" w:pos="7609"/>
              <w:tab w:val="right" w:pos="9026" w:leader="dot"/>
            </w:tabs>
            <w:rPr/>
          </w:pPr>
          <w:hyperlink w:anchor="__RefHeading___Toc1986062_2314609296">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1986064_2314609296">
            <w:r>
              <w:rPr>
                <w:webHidden/>
                <w:rStyle w:val="IndexLink"/>
                <w:rtl w:val="true"/>
              </w:rPr>
              <w:t>الأوّل</w:t>
            </w:r>
            <w:r>
              <w:rPr>
                <w:rStyle w:val="IndexLink"/>
                <w:rtl w:val="true"/>
              </w:rPr>
              <w:t xml:space="preserve">: </w:t>
            </w:r>
            <w:r>
              <w:rPr>
                <w:rStyle w:val="IndexLink"/>
                <w:rtl w:val="true"/>
              </w:rPr>
              <w:t>الطعام</w:t>
            </w:r>
            <w:r>
              <w:rPr>
                <w:rStyle w:val="IndexLink"/>
                <w:rtl w:val="true"/>
              </w:rPr>
              <w:tab/>
            </w:r>
            <w:r>
              <w:rPr>
                <w:rStyle w:val="IndexLink"/>
              </w:rPr>
              <w:t>455</w:t>
            </w:r>
          </w:hyperlink>
        </w:p>
        <w:p>
          <w:pPr>
            <w:pStyle w:val="Contents6"/>
            <w:tabs>
              <w:tab w:val="clear" w:pos="7609"/>
              <w:tab w:val="right" w:pos="9026" w:leader="dot"/>
            </w:tabs>
            <w:rPr/>
          </w:pPr>
          <w:hyperlink w:anchor="__RefHeading___Toc1986066_2314609296">
            <w:r>
              <w:rPr>
                <w:webHidden/>
                <w:rStyle w:val="IndexLink"/>
                <w:rtl w:val="true"/>
              </w:rPr>
              <w:t>الثاني</w:t>
            </w:r>
            <w:r>
              <w:rPr>
                <w:rStyle w:val="IndexLink"/>
                <w:rtl w:val="true"/>
              </w:rPr>
              <w:t xml:space="preserve">: </w:t>
            </w:r>
            <w:r>
              <w:rPr>
                <w:rStyle w:val="IndexLink"/>
                <w:rtl w:val="true"/>
              </w:rPr>
              <w:t>الأدم</w:t>
            </w:r>
            <w:r>
              <w:rPr>
                <w:rStyle w:val="IndexLink"/>
                <w:rtl w:val="true"/>
              </w:rPr>
              <w:tab/>
            </w:r>
            <w:r>
              <w:rPr>
                <w:rStyle w:val="IndexLink"/>
              </w:rPr>
              <w:t>455</w:t>
            </w:r>
          </w:hyperlink>
        </w:p>
        <w:p>
          <w:pPr>
            <w:pStyle w:val="Contents6"/>
            <w:tabs>
              <w:tab w:val="clear" w:pos="7609"/>
              <w:tab w:val="right" w:pos="9026" w:leader="dot"/>
            </w:tabs>
            <w:rPr/>
          </w:pPr>
          <w:hyperlink w:anchor="__RefHeading___Toc1986068_2314609296">
            <w:r>
              <w:rPr>
                <w:webHidden/>
                <w:rStyle w:val="IndexLink"/>
                <w:rtl w:val="true"/>
              </w:rPr>
              <w:t>الثالث</w:t>
            </w:r>
            <w:r>
              <w:rPr>
                <w:rStyle w:val="IndexLink"/>
                <w:rtl w:val="true"/>
              </w:rPr>
              <w:t xml:space="preserve">: </w:t>
            </w:r>
            <w:r>
              <w:rPr>
                <w:rStyle w:val="IndexLink"/>
                <w:rtl w:val="true"/>
              </w:rPr>
              <w:t>الإخدام</w:t>
            </w:r>
            <w:r>
              <w:rPr>
                <w:rStyle w:val="IndexLink"/>
                <w:rtl w:val="true"/>
              </w:rPr>
              <w:tab/>
            </w:r>
            <w:r>
              <w:rPr>
                <w:rStyle w:val="IndexLink"/>
              </w:rPr>
              <w:t>456</w:t>
            </w:r>
          </w:hyperlink>
        </w:p>
        <w:p>
          <w:pPr>
            <w:pStyle w:val="Contents6"/>
            <w:tabs>
              <w:tab w:val="clear" w:pos="7609"/>
              <w:tab w:val="right" w:pos="9026" w:leader="dot"/>
            </w:tabs>
            <w:rPr/>
          </w:pPr>
          <w:hyperlink w:anchor="__RefHeading___Toc1986070_2314609296">
            <w:r>
              <w:rPr>
                <w:webHidden/>
                <w:rStyle w:val="IndexLink"/>
                <w:rtl w:val="true"/>
              </w:rPr>
              <w:t>الرابع</w:t>
            </w:r>
            <w:r>
              <w:rPr>
                <w:rStyle w:val="IndexLink"/>
                <w:rtl w:val="true"/>
              </w:rPr>
              <w:t xml:space="preserve">: </w:t>
            </w:r>
            <w:r>
              <w:rPr>
                <w:rStyle w:val="IndexLink"/>
                <w:rtl w:val="true"/>
              </w:rPr>
              <w:t>الكسوة</w:t>
            </w:r>
            <w:r>
              <w:rPr>
                <w:rStyle w:val="IndexLink"/>
                <w:rtl w:val="true"/>
              </w:rPr>
              <w:tab/>
            </w:r>
            <w:r>
              <w:rPr>
                <w:rStyle w:val="IndexLink"/>
              </w:rPr>
              <w:t>456</w:t>
            </w:r>
          </w:hyperlink>
        </w:p>
        <w:p>
          <w:pPr>
            <w:pStyle w:val="Contents6"/>
            <w:tabs>
              <w:tab w:val="clear" w:pos="7609"/>
              <w:tab w:val="right" w:pos="9026" w:leader="dot"/>
            </w:tabs>
            <w:rPr/>
          </w:pPr>
          <w:hyperlink w:anchor="__RefHeading___Toc1986072_2314609296">
            <w:r>
              <w:rPr>
                <w:webHidden/>
                <w:rStyle w:val="IndexLink"/>
                <w:rtl w:val="true"/>
              </w:rPr>
              <w:t>الخامس</w:t>
            </w:r>
            <w:r>
              <w:rPr>
                <w:rStyle w:val="IndexLink"/>
                <w:rtl w:val="true"/>
              </w:rPr>
              <w:t xml:space="preserve">: </w:t>
            </w:r>
            <w:r>
              <w:rPr>
                <w:rStyle w:val="IndexLink"/>
                <w:rtl w:val="true"/>
              </w:rPr>
              <w:t>آلة التنظيف</w:t>
            </w:r>
            <w:r>
              <w:rPr>
                <w:rStyle w:val="IndexLink"/>
                <w:rtl w:val="true"/>
              </w:rPr>
              <w:t>.</w:t>
              <w:tab/>
            </w:r>
            <w:r>
              <w:rPr>
                <w:rStyle w:val="IndexLink"/>
              </w:rPr>
              <w:t>456</w:t>
            </w:r>
          </w:hyperlink>
        </w:p>
        <w:p>
          <w:pPr>
            <w:pStyle w:val="Contents6"/>
            <w:tabs>
              <w:tab w:val="clear" w:pos="7609"/>
              <w:tab w:val="right" w:pos="9026" w:leader="dot"/>
            </w:tabs>
            <w:rPr/>
          </w:pPr>
          <w:hyperlink w:anchor="__RefHeading___Toc1986074_2314609296">
            <w:r>
              <w:rPr>
                <w:webHidden/>
                <w:rStyle w:val="IndexLink"/>
                <w:rtl w:val="true"/>
              </w:rPr>
              <w:t>السادس</w:t>
            </w:r>
            <w:r>
              <w:rPr>
                <w:rStyle w:val="IndexLink"/>
                <w:rtl w:val="true"/>
              </w:rPr>
              <w:t xml:space="preserve">: </w:t>
            </w:r>
            <w:r>
              <w:rPr>
                <w:rStyle w:val="IndexLink"/>
                <w:rtl w:val="true"/>
              </w:rPr>
              <w:t>السكنى في دار تليق بها</w:t>
            </w:r>
            <w:r>
              <w:rPr>
                <w:rStyle w:val="IndexLink"/>
                <w:rtl w:val="true"/>
              </w:rPr>
              <w:tab/>
            </w:r>
            <w:r>
              <w:rPr>
                <w:rStyle w:val="IndexLink"/>
              </w:rPr>
              <w:t>456</w:t>
            </w:r>
          </w:hyperlink>
        </w:p>
        <w:p>
          <w:pPr>
            <w:pStyle w:val="Contents6"/>
            <w:tabs>
              <w:tab w:val="clear" w:pos="7609"/>
              <w:tab w:val="right" w:pos="9026" w:leader="dot"/>
            </w:tabs>
            <w:rPr/>
          </w:pPr>
          <w:hyperlink w:anchor="__RefHeading___Toc1986076_2314609296">
            <w:r>
              <w:rPr>
                <w:webHidden/>
                <w:rStyle w:val="IndexLink"/>
                <w:rtl w:val="true"/>
              </w:rPr>
              <w:t>البحث الثاني</w:t>
            </w:r>
            <w:r>
              <w:rPr>
                <w:rStyle w:val="IndexLink"/>
                <w:rtl w:val="true"/>
              </w:rPr>
              <w:t xml:space="preserve">: </w:t>
            </w:r>
            <w:r>
              <w:rPr>
                <w:rStyle w:val="IndexLink"/>
                <w:rtl w:val="true"/>
              </w:rPr>
              <w:t>في الموجب</w:t>
            </w:r>
            <w:r>
              <w:rPr>
                <w:rStyle w:val="IndexLink"/>
                <w:rtl w:val="true"/>
              </w:rPr>
              <w:tab/>
            </w:r>
            <w:r>
              <w:rPr>
                <w:rStyle w:val="IndexLink"/>
              </w:rPr>
              <w:t>458</w:t>
            </w:r>
          </w:hyperlink>
        </w:p>
        <w:p>
          <w:pPr>
            <w:pStyle w:val="Contents5"/>
            <w:tabs>
              <w:tab w:val="clear" w:pos="7892"/>
              <w:tab w:val="right" w:pos="9026" w:leader="dot"/>
            </w:tabs>
            <w:rPr/>
          </w:pPr>
          <w:hyperlink w:anchor="__RefHeading___Toc1986078_2314609296">
            <w:r>
              <w:rPr>
                <w:webHidden/>
                <w:rStyle w:val="IndexLink"/>
                <w:rtl w:val="true"/>
              </w:rPr>
              <w:t>الفصل الثاني</w:t>
            </w:r>
            <w:r>
              <w:rPr>
                <w:rStyle w:val="IndexLink"/>
                <w:rtl w:val="true"/>
              </w:rPr>
              <w:t xml:space="preserve">: </w:t>
            </w:r>
            <w:r>
              <w:rPr>
                <w:rStyle w:val="IndexLink"/>
                <w:rtl w:val="true"/>
              </w:rPr>
              <w:t>في النسب</w:t>
            </w:r>
            <w:r>
              <w:rPr>
                <w:rStyle w:val="IndexLink"/>
                <w:rtl w:val="true"/>
              </w:rPr>
              <w:tab/>
            </w:r>
            <w:r>
              <w:rPr>
                <w:rStyle w:val="IndexLink"/>
              </w:rPr>
              <w:t>459</w:t>
            </w:r>
          </w:hyperlink>
        </w:p>
        <w:p>
          <w:pPr>
            <w:pStyle w:val="Contents5"/>
            <w:tabs>
              <w:tab w:val="clear" w:pos="7892"/>
              <w:tab w:val="right" w:pos="9026" w:leader="dot"/>
            </w:tabs>
            <w:rPr/>
          </w:pPr>
          <w:hyperlink w:anchor="__RefHeading___Toc1986080_2314609296">
            <w:r>
              <w:rPr>
                <w:webHidden/>
                <w:rStyle w:val="IndexLink"/>
                <w:rtl w:val="true"/>
              </w:rPr>
              <w:t>الفصل الثالث</w:t>
            </w:r>
            <w:r>
              <w:rPr>
                <w:rStyle w:val="IndexLink"/>
                <w:rtl w:val="true"/>
              </w:rPr>
              <w:t xml:space="preserve">: </w:t>
            </w:r>
            <w:r>
              <w:rPr>
                <w:rStyle w:val="IndexLink"/>
                <w:rtl w:val="true"/>
              </w:rPr>
              <w:t>في نفقة المملوك</w:t>
            </w:r>
            <w:r>
              <w:rPr>
                <w:rStyle w:val="IndexLink"/>
                <w:rtl w:val="true"/>
              </w:rPr>
              <w:tab/>
            </w:r>
            <w:r>
              <w:rPr>
                <w:rStyle w:val="IndexLink"/>
              </w:rPr>
              <w:t>460</w:t>
            </w:r>
          </w:hyperlink>
        </w:p>
        <w:p>
          <w:pPr>
            <w:pStyle w:val="Contents4"/>
            <w:tabs>
              <w:tab w:val="clear" w:pos="8176"/>
              <w:tab w:val="right" w:pos="9026" w:leader="dot"/>
            </w:tabs>
            <w:rPr/>
          </w:pPr>
          <w:hyperlink w:anchor="__RefHeading___Toc1986082_2314609296">
            <w:r>
              <w:rPr>
                <w:webHidden/>
                <w:rStyle w:val="IndexLink"/>
                <w:rtl w:val="true"/>
              </w:rPr>
              <w:t>المطلب الثالث</w:t>
            </w:r>
            <w:r>
              <w:rPr>
                <w:rStyle w:val="IndexLink"/>
                <w:rtl w:val="true"/>
              </w:rPr>
              <w:t xml:space="preserve">: </w:t>
            </w:r>
            <w:r>
              <w:rPr>
                <w:rStyle w:val="IndexLink"/>
                <w:rtl w:val="true"/>
              </w:rPr>
              <w:t>في أحكام الأولاد</w:t>
            </w:r>
            <w:r>
              <w:rPr>
                <w:rStyle w:val="IndexLink"/>
                <w:rtl w:val="true"/>
              </w:rPr>
              <w:tab/>
            </w:r>
            <w:r>
              <w:rPr>
                <w:rStyle w:val="IndexLink"/>
              </w:rPr>
              <w:t>461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18_238891"/>
      <w:bookmarkStart w:id="1" w:name="pg19718_238891"/>
      <w:bookmarkEnd w:id="1"/>
    </w:p>
    <w:p>
      <w:pPr>
        <w:pStyle w:val="Heading2"/>
        <w:numPr>
          <w:ilvl w:val="1"/>
          <w:numId w:val="1"/>
        </w:numPr>
        <w:rPr/>
      </w:pPr>
      <w:bookmarkStart w:id="2" w:name="pg19718_238891"/>
      <w:bookmarkStart w:id="3" w:name="__RefHeading___Toc1985710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مرتضي الانصاري؛ اعداد لجنه تحقيق تراث الشيخ الاعظم؛ الموتمرالعالمي بمناسبه الذكري المئويه الثانيه لميلادالشيخ الانصاري، المكتبه‌الفقهيه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مجمع‌الفكرالاسلامي،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 الشيخ الاعظم؛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لاتيني‌شده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Ansari, Murtada. Kitab Al -Nikah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زناشويي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الاسلامي</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جهاني بزرگداشت دويستمين سالگرد تولد شيخ 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آثار شيخ اعظم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جهاني بزرگداشت دويستمين سالگرد تولد شيخ 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دزفول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۱۸۹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۲۹۵۱۶۸۹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5712_2314609296"/>
      <w:bookmarkStart w:id="6" w:name="_Toc2"/>
      <w:bookmarkEnd w:id="5"/>
      <w:r>
        <w:rPr>
          <w:rtl w:val="true"/>
        </w:rPr>
        <w:t>اشارة</w:t>
      </w:r>
      <w:bookmarkStart w:id="7" w:name="pg19718_238897"/>
      <w:bookmarkEnd w:id="6"/>
    </w:p>
    <w:p>
      <w:pPr>
        <w:pStyle w:val="Heading2"/>
        <w:numPr>
          <w:ilvl w:val="1"/>
          <w:numId w:val="1"/>
        </w:numPr>
        <w:rPr/>
      </w:pPr>
      <w:bookmarkStart w:id="8" w:name="__RefHeading___Toc1985714_2314609296"/>
      <w:bookmarkStart w:id="9" w:name="_Toc3"/>
      <w:bookmarkEnd w:id="7"/>
      <w:bookmarkEnd w:id="8"/>
      <w:r>
        <w:rPr>
          <w:rtl w:val="true"/>
        </w:rPr>
        <w:t>[</w:t>
      </w:r>
      <w:r>
        <w:rPr>
          <w:rtl w:val="true"/>
        </w:rPr>
        <w:t>المقدمة</w:t>
      </w:r>
      <w:r>
        <w:rPr>
          <w:rtl w:val="true"/>
        </w:rPr>
        <w:t>]</w:t>
      </w:r>
      <w:bookmarkEnd w:id="9"/>
    </w:p>
    <w:p>
      <w:pPr>
        <w:pStyle w:val="Heading3"/>
        <w:numPr>
          <w:ilvl w:val="2"/>
          <w:numId w:val="1"/>
        </w:numPr>
        <w:rPr/>
      </w:pPr>
      <w:bookmarkStart w:id="10" w:name="__RefHeading___Toc1985716_2314609296"/>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1985718_2314609296"/>
      <w:bookmarkStart w:id="13" w:name="_Toc5"/>
      <w:bookmarkEnd w:id="12"/>
      <w:r>
        <w:rPr>
          <w:rtl w:val="true"/>
        </w:rPr>
        <w:t>[</w:t>
      </w:r>
      <w:r>
        <w:rPr>
          <w:rtl w:val="true"/>
        </w:rPr>
        <w:t>كلمة الأمين العام لمؤتمر الشيخ الأنصاري</w:t>
      </w:r>
      <w:r>
        <w:rPr>
          <w:rtl w:val="true"/>
        </w:rPr>
        <w:t>]</w:t>
      </w:r>
      <w:bookmarkEnd w:id="13"/>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الثورة الإسلاميّة بقيادة الإمام الخميني رضوان اللّٰه عليه حدثا سياسيّا تتحدّد آثاره التغييريّة بحدود الأوضاع السياسيّة إقليميّة أو عالميّة، بل كانت و بفعل التغييرات الجذريّة التي أعقبتها في القيم و البنى الحضاريّة التي شيّد عليها صرح الحياة الإنسانيّة في عصرها الجديد حدثا حضاريّا إنسانيّا شاملا حمل إلى الإنسان المعاصر رسالة الحياة الحرّة الكريمة التي بشّر بها الأنبياء عليهم الصلاة و السلام على مدى التاريخ و فتح أمام تطلّعات الإنسان الحاضر أفقا باسما بالنور و الحياة، و الخير و العطاء</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أولي نتائج هذا التحوّل الحضاري الثورة الثقافيّة الشاملة التي شهدها مهد الثورة الإسلاميّة إيران و التي دفعت بالمسلم الإيراني إلى اقتحام ميادين الثقافة و العلوم بشتّى فروعها، و جعلت من إيران، و من قم المقدّسة بوجه خاصّ عاصمة للفكر الإسلامي و قلبا نابضا بثقافة القرآن و علوم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كانت تعاليم الإمام الراحل رضوان اللّٰه تعالى عليه و وصاياه و كذا توجيهات قائد الثورة الإسلاميّة و وليّ أمر المسلمين آية اللّٰه الخامنئي المصدر الأوّل الذي تستلهم الثورة الثقافيّة منه دستورها و منهجها، و لقد كانت الثقافة الإسلاميّة بالذات على رأس اهتمامات الإمام الراحل رضوان اللّٰه عليه و قد أولاها سماحة آية اللّٰه الخامنئي حفظه اللّٰه تعالى رعايته الخاصّة، فكان من نتائج ذاك التوجيه و هذه الرّعاية ظهور آفاق جديدة من التطوّر في مناهج الدراسات الإسلاميّة بل و مضامينها، و انبثاق مشاريع و طروح تغييريّة تتّجه إلى تنمية و تطوير العلوم الإسلاميّة و مناهجها بما يناسب مرحلة الثورة الإسلاميّة و حاجات الإنسان الحاضر و تطلّعاته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العلوم الإسلاميّة حصيلة الجهود التي بذلها عباقرة الفكر الإسلاميّ في مجال فهم القرآن الكريم و السنّة الشريفة فقد كان من أهمّ ما تتطلّبه عمليّة التطوير العلمي في الدراسات الإسلاميّة تسليط الأضواء على حصائل آراء العباقرة و النوابغ الأوّلين الذين تصدّروا حركة البناء العلمي لصرح الثقافة الإسلاميّة، و القيام بمحاولة جادّة و جديدة لعرض آرائهم و أفكارهم على طاولة البحث العلمي و النقد الموضوعي، و دعوة أصحاب الرأي و الفكر المعاصرين إلى دراسة جديدة و شاملة لتراث السلف الصالح من بناة الصرح الشامخ للعلوم و الدراسات الإسلاميّة و روّاد الفكر الإسلاميّ و عباقرته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الإمام المجدّد الشيخ الأعظم الأنصاري قدّس اللّٰه نفسه يعتبر الرائد الأوّل للتجديد العلمي في العصر الأخير في مجالي الفقه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أهمّ فروع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اضطلعت الأمانة العامّة لمؤتمر الشيخ الأعظم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بتوجيه من سماحة قائد الثورة الإسلاميّة</w:t>
      </w:r>
    </w:p>
    <w:p>
      <w:pPr>
        <w:pStyle w:val="BookText"/>
        <w:rPr/>
      </w:pPr>
      <w:r>
        <w:rPr>
          <w:rFonts w:ascii="Amiri" w:hAnsi="Amiri" w:eastAsia="Amiri" w:cs="Amiri"/>
          <w:color w:val="111111"/>
          <w:sz w:val="28"/>
          <w:sz w:val="28"/>
          <w:szCs w:val="28"/>
          <w:rtl w:val="true"/>
          <w:lang w:bidi="ar-SA"/>
        </w:rPr>
        <w:t>آية اللّٰه الخامنئي و 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بمشروع إحياء الذكرى المائويّة الثانية لميلاد الشيخ الأعظم الأنصاري قدّس سرّه و ليتمّ من خلال هذا المشروع عرض مدرسة الشيخ الأنصاري الفكريّة في شتّى أبعادها و على الخصوص إبداعات هذه المدرسة و إنتاجاتها المتميّزة التي جعلت منها المدرسة الأمّ لما تلتها من مدارس فكريّة كمدرسة الميرزا الشيرازي و الآخوند الخراساني و المحقّق النائيني و المحقّق العراقي و المحقّق الأصفهاني و غيرهم من زعماء المدارس الفكريّة الحديثة على صعيد الفقه الإسلامي و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تمهيدا لهذا المشروع فقد ارتأت الأمانة العامّة أن تقوم لجنة مختصّة من فضلاء الحوزة العلميّة بقم المقدّسة بمهمّة إحياء تراث الشيخ الأنصاري و تحقيق تركته العلميّة و إخراجها بالاسلوب العلمي اللّائق و عرضها لروّاد الفكر الإسلاميّ و المكتبة الإسلاميّة بالطريقة التي تسهّل للباحثين الاطّلاع على فكر الشيخ الأنصاري و نتاجه العلمي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الأمانة العامّة لمؤتمر الشيخ الأنصاري إذ تشكر اللّٰه سبحانه و تعالى على هذا التوفيق تبتهل إليه في أن يديم ظلّ قائد الثورة الإسلاميّة و يحفظه للإسلام ناصرا و للمسلمين رائدا و قائدا و أن يتقبّل من العاملين في لجنة التحقيق جهدهم العظيم في سبيل إحياء تراث الشيخ الأعظم الأنصاري و أن يمنّ عليهم بأضعاف من الأجر و الثواب</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أمين عام مؤتمر الشيخ الأعظم الأنصاري محسن العراقي</w:t>
      </w:r>
      <w:bookmarkStart w:id="14" w:name="pg19718_238901"/>
    </w:p>
    <w:p>
      <w:pPr>
        <w:pStyle w:val="Heading3"/>
        <w:numPr>
          <w:ilvl w:val="2"/>
          <w:numId w:val="1"/>
        </w:numPr>
        <w:rPr/>
      </w:pPr>
      <w:bookmarkStart w:id="15" w:name="__RefHeading___Toc1985720_2314609296"/>
      <w:bookmarkStart w:id="16" w:name="_Toc6"/>
      <w:bookmarkEnd w:id="14"/>
      <w:bookmarkEnd w:id="15"/>
      <w:r>
        <w:rPr>
          <w:rtl w:val="true"/>
        </w:rPr>
        <w:t>[</w:t>
      </w:r>
      <w:r>
        <w:rPr>
          <w:rtl w:val="true"/>
        </w:rPr>
        <w:t>كلمة مسئول لجنة التحقيق</w:t>
      </w:r>
      <w:r>
        <w:rPr>
          <w:rtl w:val="true"/>
        </w:rPr>
        <w:t>]</w:t>
      </w:r>
      <w:bookmarkEnd w:id="16"/>
    </w:p>
    <w:p>
      <w:pPr>
        <w:pStyle w:val="Heading4"/>
        <w:numPr>
          <w:ilvl w:val="3"/>
          <w:numId w:val="1"/>
        </w:numPr>
        <w:rPr/>
      </w:pPr>
      <w:bookmarkStart w:id="17" w:name="__RefHeading___Toc1985722_2314609296"/>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محمد و آله الطاهرين، و اللعنة على أعداء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أيدينا كتاب النكاح، للشيخ الأعظم الأنصاري قدّس سرّه، و الكتاب يحتوي على رسائل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تتضمّن البحث حول المقصدين الأوّل و الثاني من كتاب إرشاد الأذهان للعلّامة الحلّي قدّس سرّه، الأوّل منه يبحث حول أقسام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و المتعة و نكاح الإماء، و الثاني يبحث حول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الرسالة لم تكن شرحا للإرشاد، بل هي رسالة مستقلّة، و لكنّا جعلناها بعد رسالة النكاح لتشغل قسما من المطلب الأوّل من المقصد الثالث، الذي يتضمّن البحث حول المحرّمات بالنسب و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اشتهرت هذه الرسالة برسالة المصاهرة في حين أنّها شرح للمواضيع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الثاني من المقصد الثالث، و هو يتضمّن البحث حول باقي أسباب التحريم،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المصاهرة، و الكفر، و العقد و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يكن بحثه حول الكفر و العقد و الوطء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الرابع، و هو موجب الخيار الشامل للعيب و التدليس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مستقلّة تتعلّق بالقسمة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يبحث حول المقصد الخامس و هو لواحق النكاح، الذي يتضمّن 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و النفقة، و أحكام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تمكنّا أن نعرض هذه الرسائل الثلاث بشكل كتاب يشتمل على أغلب مباحث النكاح طبقا لإرشاد الأذهان، و المباحث التي بقيت من دون تعرّض لها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المحرّمات بالنسب، و تتمّة في 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المقصد الخامس في اللواحق، و هي القسمة و النفقة و أحكام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نرى من اللازم أن نشير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اشتهرت باسم رسالة المصاهرة في حين أنّ موضوع المصاهرة جزء من الرسالة، لأنّها تتضمّن مواضيع أخرى كما تقدّم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لدينا هل أنّ الشيخ قدّس سرّه شرح جميع كتاب النكاح من الإرشاد لكنّه ضاع بعضه كما ربما يظهر ممّا هو موجود من النسخة</w:t>
      </w:r>
      <w:bookmarkStart w:id="19" w:name="pg19718_238903"/>
    </w:p>
    <w:p>
      <w:pPr>
        <w:pStyle w:val="BookText"/>
        <w:rPr/>
      </w:pPr>
      <w:bookmarkEnd w:id="19"/>
      <w:r>
        <w:rPr>
          <w:rFonts w:ascii="Amiri" w:hAnsi="Amiri" w:eastAsia="Amiri" w:cs="Amiri"/>
          <w:color w:val="111111"/>
          <w:sz w:val="28"/>
          <w:sz w:val="28"/>
          <w:szCs w:val="28"/>
          <w:rtl w:val="true"/>
          <w:lang w:bidi="ar-SA"/>
        </w:rPr>
        <w:t>الأصلية حيث يشاهد فيها انقطاع فجائي في الأثناء؟ كما في نهاية الباب الثالث من المقصد الثالث، حيث يبحث فيه حول العقد و الوطء، و هما من أسباب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إتمامه يترك البحث حول بعض الفروعات المذكورة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يشرح بعضها الآخر، فهنا نلمس بوضوح ضياع بعض الأوراق، أو أنّه كان متقصّدا في ذلك؟</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قدّس سرّه قد كتب حول الرضاع حوالي ورقة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أعرض عنه و كتب من جديد، و نحن أوردناهما معا رعاية للأمانة</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985724_2314609296"/>
      <w:bookmarkStart w:id="21" w:name="_Toc8"/>
      <w:bookmarkEnd w:id="20"/>
      <w:r>
        <w:rPr>
          <w:rtl w:val="true"/>
        </w:rPr>
        <w:t>النسخ المعتمد عليها</w:t>
      </w:r>
      <w:r>
        <w:rPr>
          <w:rtl w:val="true"/>
        </w:rPr>
        <w:t>:</w:t>
      </w:r>
      <w:bookmarkEnd w:id="21"/>
    </w:p>
    <w:p>
      <w:pPr>
        <w:pStyle w:val="BookText"/>
        <w:rPr/>
      </w:pPr>
      <w:r>
        <w:rPr>
          <w:rFonts w:ascii="Amiri" w:hAnsi="Amiri" w:eastAsia="Amiri" w:cs="Amiri"/>
          <w:color w:val="111111"/>
          <w:sz w:val="28"/>
          <w:sz w:val="28"/>
          <w:szCs w:val="28"/>
          <w:rtl w:val="true"/>
          <w:lang w:bidi="ar-SA"/>
        </w:rPr>
        <w:t>اعتمدنا في تحقيق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النسخ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أكثر اعتمادنا على النسخة الأصلية التي توجد في مكتبة الإمام الرضا عليه السلام ضمن مجموعة تحتوي على الوصايا و القضاء و غيرهما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تبدأ رسالة النكاح من الورقة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الرضاع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المصاهرة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بدورنا نشكر إدارة المكتبة لما بذلته من مساع حميدة في تحضير مصوّرات النسخ الخطّية و منها هذه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رمزنا لهذه النسخة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لرسالة الرضاع نسخة خطّية أخرى في مكتبة الإمام</w:t>
      </w:r>
      <w:bookmarkStart w:id="22" w:name="pg19718_238904"/>
    </w:p>
    <w:p>
      <w:pPr>
        <w:pStyle w:val="BookText"/>
        <w:rPr/>
      </w:pPr>
      <w:bookmarkEnd w:id="22"/>
      <w:r>
        <w:rPr>
          <w:rFonts w:ascii="Amiri" w:hAnsi="Amiri" w:eastAsia="Amiri" w:cs="Amiri"/>
          <w:color w:val="111111"/>
          <w:sz w:val="28"/>
          <w:sz w:val="28"/>
          <w:szCs w:val="28"/>
          <w:rtl w:val="true"/>
          <w:lang w:bidi="ar-SA"/>
        </w:rPr>
        <w:t>الرضا عليه السلام و لكن لم نعتمد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النسخة الثانية التي اعتمدنا عليها هي نسخة من المكاسب مطبوعة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تتضمّن سوى المكاسب رسائل اخرى للشيخ الأنصاري قدّس سرّه، منها هذه الرسائل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رمزنا لهذه النسخة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ثانية من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المطبوعة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أصفهان منضمّة معها الرسائل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رمزنا لهذه النسخة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ثالثة من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المطبوعة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تبريز مع شرح الشهيدي و قد استفيد منها في رسالتي الرضاع و المصاهرة حيث طبعتا ملحقتين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رمزنا لها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23" w:name="__RefHeading___Toc1985726_2314609296"/>
      <w:bookmarkStart w:id="24" w:name="_Toc9"/>
      <w:bookmarkEnd w:id="23"/>
      <w:r>
        <w:rPr>
          <w:rtl w:val="true"/>
        </w:rPr>
        <w:t>شكر و تقدير</w:t>
      </w:r>
      <w:r>
        <w:rPr>
          <w:rtl w:val="true"/>
        </w:rPr>
        <w:t>:</w:t>
      </w:r>
      <w:bookmarkEnd w:id="24"/>
    </w:p>
    <w:p>
      <w:pPr>
        <w:pStyle w:val="BookText"/>
        <w:rPr/>
      </w:pPr>
      <w:r>
        <w:rPr>
          <w:rFonts w:ascii="Amiri" w:hAnsi="Amiri" w:eastAsia="Amiri" w:cs="Amiri"/>
          <w:color w:val="111111"/>
          <w:sz w:val="28"/>
          <w:sz w:val="28"/>
          <w:szCs w:val="28"/>
          <w:rtl w:val="true"/>
          <w:lang w:bidi="ar-SA"/>
        </w:rPr>
        <w:t>و في الختام نشكر جميع الإخوة الذين بذلوا جهودا متواصلة في إحياء هذا الأثر القيّم، و نخصّ منهم بالذكر، أصحاب السماحة حجج الإسلام و المسلمين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الحسّون الذي اشترك في تحقيق رسالتي النكاح و الرضاع، و الشيخ رحمة اللّٰه الرحمتي الذي حقّق رسالة المصاهرة و اشترك في تحقيق</w:t>
      </w:r>
    </w:p>
    <w:p>
      <w:pPr>
        <w:pStyle w:val="BookText"/>
        <w:rPr/>
      </w:pPr>
      <w:r>
        <w:rPr>
          <w:rFonts w:ascii="Amiri" w:hAnsi="Amiri" w:eastAsia="Amiri" w:cs="Amiri"/>
          <w:color w:val="111111"/>
          <w:sz w:val="28"/>
          <w:sz w:val="28"/>
          <w:szCs w:val="28"/>
          <w:rtl w:val="true"/>
          <w:lang w:bidi="ar-SA"/>
        </w:rPr>
        <w:t>رسالة الرضاع و قام بمراجعتها، و السيّد علي الموسوي الذي اشترك في تحقيق رسالة النكاح و قام بمراجعتها، و السيّد منذر الحكيم الذي قام بتنظيم العناوين الجانبيّة للكتاب، و السيّد محمّد جواد الجلالي الذي قام بملاحظة الصيغة النهائية للكتاب، و السيّد هادي العظيمي الذي قام بتنظيم الفهارس الفنّية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نسأل اللّٰه تعالى لنا و لكلّ المساهمين في إحياء فقه أهل البيت عليهم السلام التوفيق، إنّه قريب مجيب</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مسئول لجنة التحقيق محمّد علي الأنصاري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محمد و آله الطاهرين، و لعنة اللّٰه على أعدائهم أجمعين إلى يوم الدين</w:t>
      </w:r>
      <w:r>
        <w:rPr>
          <w:rFonts w:eastAsia="Amiri" w:cs="Amiri" w:ascii="Amiri" w:hAnsi="Amiri"/>
          <w:color w:val="111111"/>
          <w:sz w:val="28"/>
          <w:szCs w:val="28"/>
          <w:rtl w:val="true"/>
          <w:lang w:bidi="ar-SA"/>
        </w:rPr>
        <w:t>.</w:t>
      </w:r>
      <w:bookmarkStart w:id="25" w:name="pg19718_238915"/>
    </w:p>
    <w:p>
      <w:pPr>
        <w:pStyle w:val="Heading2"/>
        <w:numPr>
          <w:ilvl w:val="1"/>
          <w:numId w:val="1"/>
        </w:numPr>
        <w:rPr/>
      </w:pPr>
      <w:bookmarkStart w:id="26" w:name="__RefHeading___Toc1985728_2314609296"/>
      <w:bookmarkStart w:id="27" w:name="_Toc10"/>
      <w:bookmarkEnd w:id="25"/>
      <w:bookmarkEnd w:id="26"/>
      <w:r>
        <w:rPr>
          <w:rtl w:val="true"/>
        </w:rPr>
        <w:t>[</w:t>
      </w:r>
      <w:r>
        <w:rPr>
          <w:rtl w:val="true"/>
        </w:rPr>
        <w:t>شرح</w:t>
      </w:r>
      <w:r>
        <w:rPr>
          <w:rtl w:val="true"/>
        </w:rPr>
        <w:t xml:space="preserve">] </w:t>
      </w:r>
      <w:r>
        <w:rPr>
          <w:rtl w:val="true"/>
        </w:rPr>
        <w:t xml:space="preserve">كتاب النكاح </w:t>
      </w:r>
      <w:r>
        <w:rPr>
          <w:rtl w:val="true"/>
        </w:rPr>
        <w:t>[</w:t>
      </w:r>
      <w:r>
        <w:rPr>
          <w:rtl w:val="true"/>
        </w:rPr>
        <w:t>من الإرشاد</w:t>
      </w:r>
      <w:r>
        <w:rPr>
          <w:rtl w:val="true"/>
        </w:rPr>
        <w:t>]</w:t>
      </w:r>
      <w:bookmarkEnd w:id="27"/>
    </w:p>
    <w:p>
      <w:pPr>
        <w:pStyle w:val="Heading3"/>
        <w:numPr>
          <w:ilvl w:val="2"/>
          <w:numId w:val="1"/>
        </w:numPr>
        <w:rPr/>
      </w:pPr>
      <w:bookmarkStart w:id="28" w:name="__RefHeading___Toc1985730_2314609296"/>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و قد اختلف في أنّه حقيقة في الوطء، أو العقد، أو فيهما، أو مجاز فيهما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الحاصل من العقد لا نفس الإيجاب و القبول، و هو الذي يعبّر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الفارسية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يشهد بذلك ما ذكر أهل اللغة له من الاستعمالات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فيه في مقاصد خمسة</w:t>
      </w:r>
      <w:r>
        <w:rPr>
          <w:rFonts w:eastAsia="Amiri" w:cs="Amiri" w:ascii="Amiri" w:hAnsi="Amiri"/>
          <w:color w:val="111111"/>
          <w:sz w:val="28"/>
          <w:szCs w:val="28"/>
          <w:rtl w:val="true"/>
          <w:lang w:bidi="ar-SA"/>
        </w:rPr>
        <w:t>:</w:t>
      </w:r>
      <w:bookmarkStart w:id="30" w:name="pg19718_238917"/>
    </w:p>
    <w:p>
      <w:pPr>
        <w:pStyle w:val="Heading3"/>
        <w:numPr>
          <w:ilvl w:val="2"/>
          <w:numId w:val="1"/>
        </w:numPr>
        <w:rPr/>
      </w:pPr>
      <w:bookmarkStart w:id="31" w:name="__RefHeading___Toc1985732_2314609296"/>
      <w:bookmarkStart w:id="32" w:name="_Toc12"/>
      <w:bookmarkEnd w:id="30"/>
      <w:bookmarkEnd w:id="31"/>
      <w:r>
        <w:rPr>
          <w:rtl w:val="true"/>
        </w:rPr>
        <w:t>المقصد الأوّل في أقسام النّكاح</w:t>
      </w:r>
      <w:bookmarkEnd w:id="3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 w:name="__RefHeading___Toc1985734_2314609296"/>
      <w:bookmarkStart w:id="34" w:name="_Toc13"/>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الروايات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نكاح بميراث و هو الدائم، و نكاح بلا ميراث و هو المنقطع، و نكاح بملك يمين</w:t>
      </w:r>
      <w:r>
        <w:rPr>
          <w:rFonts w:eastAsia="Amiri" w:cs="Amiri" w:ascii="Amiri" w:hAnsi="Amiri"/>
          <w:color w:val="111111"/>
          <w:sz w:val="28"/>
          <w:szCs w:val="28"/>
          <w:rtl w:val="true"/>
          <w:lang w:bidi="ar-SA"/>
        </w:rPr>
        <w:t>.</w:t>
      </w:r>
      <w:bookmarkStart w:id="35" w:name="pg19718_238919"/>
    </w:p>
    <w:p>
      <w:pPr>
        <w:pStyle w:val="Heading4"/>
        <w:numPr>
          <w:ilvl w:val="3"/>
          <w:numId w:val="1"/>
        </w:numPr>
        <w:rPr/>
      </w:pPr>
      <w:bookmarkStart w:id="36" w:name="__RefHeading___Toc1985736_2314609296"/>
      <w:bookmarkStart w:id="37" w:name="_Toc14"/>
      <w:bookmarkEnd w:id="35"/>
      <w:bookmarkEnd w:id="36"/>
      <w:r>
        <w:rPr>
          <w:rtl w:val="true"/>
        </w:rPr>
        <w:t>القسم الأوّل في الدّائم</w:t>
      </w:r>
      <w:bookmarkEnd w:id="37"/>
    </w:p>
    <w:p>
      <w:pPr>
        <w:pStyle w:val="Heading5"/>
        <w:numPr>
          <w:ilvl w:val="4"/>
          <w:numId w:val="1"/>
        </w:numPr>
        <w:rPr/>
      </w:pPr>
      <w:bookmarkStart w:id="38" w:name="__RefHeading___Toc1985738_2314609296"/>
      <w:bookmarkStart w:id="39" w:name="_Toc15"/>
      <w:bookmarkEnd w:id="38"/>
      <w:r>
        <w:rPr>
          <w:rtl w:val="true"/>
        </w:rPr>
        <w:t>اشارة</w:t>
      </w:r>
      <w:bookmarkEnd w:id="3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فيه في مطالب</w:t>
      </w:r>
      <w:bookmarkStart w:id="40" w:name="pg19718_238921"/>
    </w:p>
    <w:p>
      <w:pPr>
        <w:pStyle w:val="Heading5"/>
        <w:numPr>
          <w:ilvl w:val="4"/>
          <w:numId w:val="1"/>
        </w:numPr>
        <w:rPr/>
      </w:pPr>
      <w:bookmarkStart w:id="41" w:name="__RefHeading___Toc1985740_2314609296"/>
      <w:bookmarkStart w:id="42" w:name="_Toc16"/>
      <w:bookmarkEnd w:id="40"/>
      <w:bookmarkEnd w:id="41"/>
      <w:r>
        <w:rPr>
          <w:rtl w:val="true"/>
        </w:rPr>
        <w:t>المطلب الأوّل في بيان حكمه و آدابه</w:t>
      </w:r>
      <w:bookmarkEnd w:id="42"/>
    </w:p>
    <w:p>
      <w:pPr>
        <w:pStyle w:val="BookText"/>
        <w:rPr/>
      </w:pPr>
      <w:r>
        <w:rPr>
          <w:rFonts w:ascii="Amiri" w:hAnsi="Amiri" w:eastAsia="Amiri" w:cs="Amiri"/>
          <w:color w:val="111111"/>
          <w:sz w:val="28"/>
          <w:sz w:val="28"/>
          <w:szCs w:val="28"/>
          <w:rtl w:val="true"/>
          <w:lang w:bidi="ar-SA"/>
        </w:rPr>
        <w:t>اعلم أنّه يستحبّ النكاح استحبابا مؤكّدا خصوصا مع شدّة الطلب، و لا يختصّ بصورة الطلب، للعمومات، مثل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تناكحوا تناسلوا</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استفاد مسلم فائدة بعد الإسلام أفضل من زوجة مسلمة، تسرّه إذا نظر إليها، و تطيعه إذا أمرها، و تحفظه إذا غاب عنها</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الركعتان يصلّيهما متزوّج أفضل من رجل أعزب يقوم ليله و يصوم نهاره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الأخيرين يظهر أفضلية النكاح من التفرّغ للعبادة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خاف أن يفضي تركه إلى الوقوع في الزنى و شبهه، كالنظر و اللّمس و غيرهما وجب مقدّمة لترك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العلم بإفضاء تركه إلى الحرام و بين الظنّ به، و في الشكّ تردّد، و في الوهم الظاهر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آدابه المستحبّة فهي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البكر الولود العفيفة الكريمة الأصل كلّ ذلك بحكم الأخبار </w:t>
      </w:r>
      <w:r>
        <w:rPr>
          <w:rStyle w:val="FootnoteAnchor"/>
          <w:rtl w:val="true"/>
        </w:rPr>
        <w:footnoteReference w:id="8"/>
      </w:r>
      <w:r>
        <w:rPr>
          <w:rFonts w:ascii="Amiri" w:hAnsi="Amiri" w:eastAsia="Amiri" w:cs="Amiri"/>
          <w:color w:val="111111"/>
          <w:sz w:val="28"/>
          <w:sz w:val="28"/>
          <w:szCs w:val="28"/>
          <w:rtl w:val="true"/>
          <w:lang w:bidi="ar-SA"/>
        </w:rPr>
        <w:t>، و شهادة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بكرم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أصلها </w:t>
      </w:r>
      <w:r>
        <w:rPr>
          <w:rStyle w:val="FootnoteAnchor"/>
          <w:rtl w:val="true"/>
        </w:rPr>
        <w:footnoteReference w:id="9"/>
      </w:r>
      <w:r>
        <w:rPr>
          <w:rFonts w:ascii="IRNazanin" w:hAnsi="IRNazanin" w:eastAsia="IRNazanin"/>
          <w:color w:val="111111"/>
          <w:sz w:val="28"/>
          <w:sz w:val="28"/>
          <w:szCs w:val="28"/>
          <w:rtl w:val="true"/>
          <w:lang w:bidi="fa-IR"/>
        </w:rPr>
        <w:t xml:space="preserve">عن زنى </w:t>
      </w:r>
      <w:r>
        <w:rPr>
          <w:rStyle w:val="FootnoteAnchor"/>
          <w:rtl w:val="true"/>
        </w:rPr>
        <w:footnoteReference w:id="10"/>
      </w:r>
      <w:r>
        <w:rPr>
          <w:rFonts w:ascii="Amiri" w:hAnsi="Amiri" w:eastAsia="Amiri" w:cs="Amiri"/>
          <w:color w:val="111111"/>
          <w:sz w:val="28"/>
          <w:sz w:val="28"/>
          <w:szCs w:val="28"/>
          <w:rtl w:val="true"/>
          <w:lang w:bidi="ar-SA"/>
        </w:rPr>
        <w:t>، و الحق بالزنى الحيض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فيه غير ذلك </w:t>
      </w:r>
      <w:r>
        <w:rPr>
          <w:rStyle w:val="FootnoteAnchor"/>
          <w:rtl w:val="true"/>
        </w:rPr>
        <w:footnoteReference w:id="11"/>
      </w:r>
      <w:r>
        <w:rPr>
          <w:rFonts w:ascii="Amiri" w:hAnsi="Amiri" w:eastAsia="Amiri" w:cs="Amiri"/>
          <w:color w:val="111111"/>
          <w:sz w:val="28"/>
          <w:sz w:val="28"/>
          <w:szCs w:val="28"/>
          <w:rtl w:val="true"/>
          <w:lang w:bidi="ar-SA"/>
        </w:rPr>
        <w:t>، و المرجع في أغلب أفراده هو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ركعتين، و الدعاء بعدهما، و ذلك بعد إرادة التزويج، كما يستفاد من الرواية </w:t>
      </w:r>
      <w:r>
        <w:rPr>
          <w:rStyle w:val="FootnoteAnchor"/>
          <w:rtl w:val="true"/>
        </w:rPr>
        <w:footnoteReference w:id="12"/>
      </w:r>
      <w:r>
        <w:rPr>
          <w:rFonts w:ascii="Amiri" w:hAnsi="Amiri" w:eastAsia="Amiri" w:cs="Amiri"/>
          <w:color w:val="111111"/>
          <w:sz w:val="28"/>
          <w:sz w:val="28"/>
          <w:szCs w:val="28"/>
          <w:rtl w:val="true"/>
          <w:lang w:bidi="ar-SA"/>
        </w:rPr>
        <w:t xml:space="preserve">، قيل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تعيين الزوجة، كما يستفاد من الدعاء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الإشهاد على المشهور، خلافا للعماني </w:t>
      </w:r>
      <w:r>
        <w:rPr>
          <w:rStyle w:val="FootnoteAnchor"/>
          <w:rtl w:val="true"/>
        </w:rPr>
        <w:footnoteReference w:id="15"/>
      </w:r>
      <w:r>
        <w:rPr>
          <w:rFonts w:ascii="Amiri" w:hAnsi="Amiri" w:eastAsia="Amiri" w:cs="Amiri"/>
          <w:color w:val="111111"/>
          <w:sz w:val="28"/>
          <w:sz w:val="28"/>
          <w:szCs w:val="28"/>
          <w:rtl w:val="true"/>
          <w:lang w:bidi="ar-SA"/>
        </w:rPr>
        <w:t>و جماعة</w:t>
      </w:r>
    </w:p>
    <w:p>
      <w:pPr>
        <w:pStyle w:val="BookText"/>
        <w:rPr/>
      </w:pPr>
      <w:r>
        <w:rPr>
          <w:rFonts w:ascii="Amiri" w:hAnsi="Amiri" w:eastAsia="Amiri" w:cs="Amiri"/>
          <w:color w:val="111111"/>
          <w:sz w:val="28"/>
          <w:sz w:val="28"/>
          <w:szCs w:val="28"/>
          <w:rtl w:val="true"/>
          <w:lang w:bidi="ar-SA"/>
        </w:rPr>
        <w:t xml:space="preserve">من العامّة </w:t>
      </w:r>
      <w:r>
        <w:rPr>
          <w:rStyle w:val="FootnoteAnchor"/>
          <w:rtl w:val="true"/>
        </w:rPr>
        <w:footnoteReference w:id="16"/>
      </w:r>
      <w:r>
        <w:rPr>
          <w:rFonts w:ascii="Amiri" w:hAnsi="Amiri" w:eastAsia="Amiri" w:cs="Amiri"/>
          <w:color w:val="111111"/>
          <w:sz w:val="28"/>
          <w:sz w:val="28"/>
          <w:szCs w:val="28"/>
          <w:rtl w:val="true"/>
          <w:lang w:bidi="ar-SA"/>
        </w:rPr>
        <w:t>فأوجبوه لمستند ضعيف لا يرفع به اليد عن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الإعلان، و هو ضدّ الإسرار و أبلغ من الإشهاد، لأنّ الإشهاد لا ينافي الإسرار، و هو مستحبّ من غير خلاف يحكى هنا، و يدلّ عليه النبوي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الخطبة أمام العقد و الخطبة </w:t>
      </w:r>
      <w:r>
        <w:rPr>
          <w:rStyle w:val="FootnoteAnchor"/>
          <w:rtl w:val="true"/>
        </w:rPr>
        <w:footnoteReference w:id="18"/>
      </w:r>
      <w:r>
        <w:rPr>
          <w:rFonts w:ascii="Amiri" w:hAnsi="Amiri" w:eastAsia="Amiri" w:cs="Amiri"/>
          <w:color w:val="111111"/>
          <w:sz w:val="28"/>
          <w:sz w:val="28"/>
          <w:szCs w:val="28"/>
          <w:rtl w:val="true"/>
          <w:lang w:bidi="ar-SA"/>
        </w:rPr>
        <w:t>، و أقلّها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و الصلاة على محمد و آله صلّى اللّٰه عليه و آله و سلّم، و أكملها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الشهادتين، و الوصيّة بتقوى اللّٰه، و الدعاء للزوجين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إيقاع العقد ليلا، للخبر عن الرضا عليه السلام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صلاة ركعتين عند الدخول، و الدعاء بالمأثور و أمر المرأة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 يده على ناصيتها و الدعاء بما في رواية أبي بصير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الدخول ليلا للخبر عن الصادق عليه السلام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التسمية عند الجماع لئلّا يشاركه الشيطان فيه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سؤال اللّٰه الولد الذكر السويّ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الوليمة عند الزفاف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إهداء العروس إلى زوجها، و ظاهر هذه العبارة ليلة الزفاف، لكن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زفّوا عرائسكم ليلا و أطعموا ضحى</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 لا يبعد أن يراد به ضحى تلك الليلة، فتكون الوليمة بعد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يستفاد من بعض الروايات </w:t>
      </w:r>
      <w:r>
        <w:rPr>
          <w:rStyle w:val="FootnoteAnchor"/>
          <w:rtl w:val="true"/>
        </w:rPr>
        <w:footnoteReference w:id="23"/>
      </w:r>
      <w:r>
        <w:rPr>
          <w:rFonts w:ascii="Amiri" w:hAnsi="Amiri" w:eastAsia="Amiri" w:cs="Amiri"/>
          <w:color w:val="111111"/>
          <w:sz w:val="28"/>
          <w:sz w:val="28"/>
          <w:szCs w:val="28"/>
          <w:rtl w:val="true"/>
          <w:lang w:bidi="ar-SA"/>
        </w:rPr>
        <w:t>من الإطعام بعد العقد و قبل الدخول، فلعلّه على غير جهة الوليمة الموظّفة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 فقد حدّت </w:t>
      </w:r>
      <w:r>
        <w:rPr>
          <w:rStyle w:val="FootnoteAnchor"/>
          <w:rtl w:val="true"/>
        </w:rPr>
        <w:footnoteReference w:id="25"/>
      </w:r>
      <w:r>
        <w:rPr>
          <w:rFonts w:ascii="Amiri" w:hAnsi="Amiri" w:eastAsia="Amiri" w:cs="Amiri"/>
          <w:color w:val="111111"/>
          <w:sz w:val="28"/>
          <w:sz w:val="28"/>
          <w:szCs w:val="28"/>
          <w:rtl w:val="true"/>
          <w:lang w:bidi="ar-SA"/>
        </w:rPr>
        <w:t xml:space="preserve">وقتها في الأخبار بيوم أو يومين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يجوز أكل ما ينثر في الأعراس كما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النثار و نحوه ممّا هو مقصود</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للعقلاء في هذه المقامات، فيخرج بذلك عن الإسراف و إضاعة المال،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جواز الأكل مع العلم برضى المالك بالأكل، و المراد ما يعمّ الظنّ الذي يطمئنّ إليه </w:t>
      </w:r>
      <w:r>
        <w:rPr>
          <w:rStyle w:val="FootnoteAnchor"/>
          <w:rtl w:val="true"/>
        </w:rPr>
        <w:footnoteReference w:id="29"/>
      </w:r>
      <w:r>
        <w:rPr>
          <w:rFonts w:ascii="Amiri" w:hAnsi="Amiri" w:eastAsia="Amiri" w:cs="Amiri"/>
          <w:color w:val="111111"/>
          <w:sz w:val="28"/>
          <w:sz w:val="28"/>
          <w:szCs w:val="28"/>
          <w:rtl w:val="true"/>
          <w:lang w:bidi="ar-SA"/>
        </w:rPr>
        <w:t xml:space="preserve">العقلاء في أمثال المقام من دلالة الألفاظ و غيرها </w:t>
      </w:r>
      <w:r>
        <w:rPr>
          <w:rStyle w:val="FootnoteAnchor"/>
          <w:rtl w:val="true"/>
        </w:rPr>
        <w:footnoteReference w:id="30"/>
      </w:r>
      <w:r>
        <w:rPr>
          <w:rFonts w:ascii="Amiri" w:hAnsi="Amiri" w:eastAsia="Amiri" w:cs="Amiri"/>
          <w:color w:val="111111"/>
          <w:sz w:val="28"/>
          <w:sz w:val="28"/>
          <w:szCs w:val="28"/>
          <w:rtl w:val="true"/>
          <w:lang w:bidi="ar-SA"/>
        </w:rPr>
        <w:t>سواء حصل بشاهد الحال أو بالإباحة القوليّة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جاز </w:t>
      </w:r>
      <w:r>
        <w:rPr>
          <w:rStyle w:val="FootnoteAnchor"/>
          <w:rtl w:val="true"/>
        </w:rPr>
        <w:footnoteReference w:id="31"/>
      </w:r>
      <w:r>
        <w:rPr>
          <w:rFonts w:ascii="Amiri" w:hAnsi="Amiri" w:eastAsia="Amiri" w:cs="Amiri"/>
          <w:color w:val="111111"/>
          <w:sz w:val="28"/>
          <w:sz w:val="28"/>
          <w:szCs w:val="28"/>
          <w:rtl w:val="true"/>
          <w:lang w:bidi="ar-SA"/>
        </w:rPr>
        <w:t>الأكل لا يجوز الأخذ إلّا مع العلم كذلك، و حيث جاز فهل يملك المأخوذ بالأخذ، أم لا؟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 إلى المشهور الأوّل </w:t>
      </w:r>
      <w:r>
        <w:rPr>
          <w:rStyle w:val="FootnoteAnchor"/>
          <w:rtl w:val="true"/>
        </w:rPr>
        <w:footnoteReference w:id="32"/>
      </w:r>
      <w:r>
        <w:rPr>
          <w:rFonts w:ascii="Amiri" w:hAnsi="Amiri" w:eastAsia="Amiri" w:cs="Amiri"/>
          <w:color w:val="111111"/>
          <w:sz w:val="28"/>
          <w:sz w:val="28"/>
          <w:szCs w:val="28"/>
          <w:rtl w:val="true"/>
          <w:lang w:bidi="ar-SA"/>
        </w:rPr>
        <w:t>، لأنّه مال أعرض عنه صاحبه فيجوز تملّكه، كسائر ما يعرض عنه و يلحق بالمباحات الأصليّة، و لأنّ مالكه مسلّط على ملكه فله إباحة تملّكه لغيره، و قد صدر منه ذلك بحكم ما يستفاد من النثار عرفا و عادة، فيجوز للآخذ تملّكه بالأخذ، و يكشف عن ذلك السيرة الجارية بين الناس في معاملتهم للمأخوذ معاملة الأملاك، و تعاطيهم إيّاه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أمّا عن الإعراض فبأنّ 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 للمعرض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بالمباحات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قصد الإعراض عنه أوّلا و بالذات من غير تعلّق القصد أوّلا بأخذ الغير له، لا ما كان المقصود منه بالذات تصرّف الغير فيه و أخذ الغير له و استلزمه </w:t>
      </w:r>
      <w:r>
        <w:rPr>
          <w:rStyle w:val="FootnoteAnchor"/>
          <w:rtl w:val="true"/>
        </w:rPr>
        <w:footnoteReference w:id="34"/>
      </w:r>
      <w:r>
        <w:rPr>
          <w:rFonts w:ascii="IRNazanin" w:hAnsi="IRNazanin" w:eastAsia="IRNazanin"/>
          <w:color w:val="111111"/>
          <w:sz w:val="28"/>
          <w:sz w:val="28"/>
          <w:szCs w:val="28"/>
          <w:rtl w:val="true"/>
          <w:lang w:bidi="fa-IR"/>
        </w:rPr>
        <w:t xml:space="preserve">الإعراض عنه </w:t>
      </w:r>
      <w:r>
        <w:rPr>
          <w:rStyle w:val="FootnoteAnchor"/>
          <w:rtl w:val="true"/>
        </w:rPr>
        <w:footnoteReference w:id="35"/>
      </w:r>
      <w:r>
        <w:rPr>
          <w:rFonts w:ascii="Amiri" w:hAnsi="Amiri" w:eastAsia="Amiri" w:cs="Amiri"/>
          <w:color w:val="111111"/>
          <w:sz w:val="28"/>
          <w:sz w:val="28"/>
          <w:szCs w:val="28"/>
          <w:rtl w:val="true"/>
          <w:lang w:bidi="ar-SA"/>
        </w:rPr>
        <w:t>، و إلّا فهذا الإعراض ثابت في جميع الإباحات حتّى في المعاطاة، مع أنّ أحدا لم يستدلّ على حصول الملك فيها بإعراض المالك عن العين، و صيرورتها كالمباحات الأصليّة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الإعراض قد يحصل قصدا و بالذات، و قد يحصل في</w:t>
      </w:r>
    </w:p>
    <w:p>
      <w:pPr>
        <w:pStyle w:val="BookText"/>
        <w:rPr/>
      </w:pPr>
      <w:r>
        <w:rPr>
          <w:rFonts w:ascii="Amiri" w:hAnsi="Amiri" w:eastAsia="Amiri" w:cs="Amiri"/>
          <w:color w:val="111111"/>
          <w:sz w:val="28"/>
          <w:sz w:val="28"/>
          <w:szCs w:val="28"/>
          <w:rtl w:val="true"/>
          <w:lang w:bidi="ar-SA"/>
        </w:rPr>
        <w:t>ضمن إرادة تصرّف الغير و أخذه و إتلافه، و الملحق بالمباحات الأصليّة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وجود الدليل عليه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الثاني المتحقّق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الثاني فبأنّ </w:t>
      </w:r>
      <w:r>
        <w:rPr>
          <w:rStyle w:val="FootnoteAnchor"/>
          <w:rtl w:val="true"/>
        </w:rPr>
        <w:footnoteReference w:id="36"/>
      </w:r>
      <w:r>
        <w:rPr>
          <w:rFonts w:ascii="Amiri" w:hAnsi="Amiri" w:eastAsia="Amiri" w:cs="Amiri"/>
          <w:color w:val="111111"/>
          <w:sz w:val="28"/>
          <w:sz w:val="28"/>
          <w:szCs w:val="28"/>
          <w:rtl w:val="true"/>
          <w:lang w:bidi="ar-SA"/>
        </w:rPr>
        <w:t>تملّك الأخذ إن كان ناشئا عن تمليك المالك، فلم يقع من المالك شي‌ء يدلّ على التمليك، و النثار لا يستفاد منه إلّا الإذن في التصرّف، و إن كان ناشئا عن إباحة المالك لتملّكه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كلام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خروج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بالنثار وحده أو مع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 مالكه، و إلّا فمع الخروج لا يحتاج تملّك الآخذ إلى إباحة المالك ذلك له، بل بمجرّد الخروج يجوز تملّكه، لأنّه شي‌ء لا ملك لأحد عليه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يظهر المنافاة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الكلامين، إذ لو صدر منه إباحة ملكه لغيره</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 حصل له لا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إلى إباحة التملّك </w:t>
      </w:r>
      <w:r>
        <w:rPr>
          <w:rStyle w:val="FootnoteAnchor"/>
          <w:rtl w:val="true"/>
        </w:rPr>
        <w:footnoteReference w:id="39"/>
      </w:r>
      <w:r>
        <w:rPr>
          <w:rFonts w:ascii="Amiri" w:hAnsi="Amiri" w:eastAsia="Amiri" w:cs="Amiri"/>
          <w:color w:val="111111"/>
          <w:sz w:val="28"/>
          <w:sz w:val="28"/>
          <w:szCs w:val="28"/>
          <w:rtl w:val="true"/>
          <w:lang w:bidi="ar-SA"/>
        </w:rPr>
        <w:t>، بل له ذلك بإباحته العرفية، فيحصل الإعراض، بل حصل إباحة التملّك فهو في الحقيقة تمليك من المالك، فكيف يتملّك بالحيازة كالمباحات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السيرة المدّعاة، فهي إنّما تدلّ على جواز التصرّف في المأخوذ تصرّف الملّاك في أملاكهم، و هذا لا يدلّ على تملّكه بالأخذ، فلعلّ الملك موقوف على موت الآخذ، أو التصرّف فيه تصرّفا متلفا أو كالمتلف كالبيع،</w:t>
      </w:r>
    </w:p>
    <w:p>
      <w:pPr>
        <w:pStyle w:val="BookText"/>
        <w:rPr/>
      </w:pPr>
      <w:r>
        <w:rPr>
          <w:rFonts w:ascii="Amiri" w:hAnsi="Amiri" w:eastAsia="Amiri" w:cs="Amiri"/>
          <w:color w:val="111111"/>
          <w:sz w:val="28"/>
          <w:sz w:val="28"/>
          <w:szCs w:val="28"/>
          <w:rtl w:val="true"/>
          <w:lang w:bidi="ar-SA"/>
        </w:rPr>
        <w:t xml:space="preserve">و يحكم بالملك قبل البيع آنا ما كما في شراء القريب المنعتق </w:t>
      </w:r>
      <w:r>
        <w:rPr>
          <w:rStyle w:val="FootnoteAnchor"/>
          <w:rtl w:val="true"/>
        </w:rPr>
        <w:footnoteReference w:id="40"/>
      </w:r>
      <w:r>
        <w:rPr>
          <w:rFonts w:ascii="Amiri" w:hAnsi="Amiri" w:eastAsia="Amiri" w:cs="Amiri"/>
          <w:color w:val="111111"/>
          <w:sz w:val="28"/>
          <w:sz w:val="28"/>
          <w:szCs w:val="28"/>
          <w:rtl w:val="true"/>
          <w:lang w:bidi="ar-SA"/>
        </w:rPr>
        <w:t>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أنّ القول بالتملّك بالأخذ أقرب من هذه التكلّفات، و الدليل عليه هي السيرة الكاشفة عن أنّ النثار مفيد للتمليك </w:t>
      </w:r>
      <w:r>
        <w:rPr>
          <w:rStyle w:val="FootnoteAnchor"/>
          <w:rtl w:val="true"/>
        </w:rPr>
        <w:footnoteReference w:id="41"/>
      </w:r>
      <w:r>
        <w:rPr>
          <w:rFonts w:ascii="Amiri" w:hAnsi="Amiri" w:eastAsia="Amiri" w:cs="Amiri"/>
          <w:color w:val="111111"/>
          <w:sz w:val="28"/>
          <w:sz w:val="28"/>
          <w:szCs w:val="28"/>
          <w:rtl w:val="true"/>
          <w:lang w:bidi="ar-SA"/>
        </w:rPr>
        <w:t>، و بناء الناثر على التمليك، دون مجرّد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المنثور لا يخرج عن ملكه بمجرّد النثار، بل لا بدّ من الأخذ، فما لم يأخذه أحد فهو باق على ملك مالكه، فالنثار و الأخذ إيجاب و قبول فعليّان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استندنا في تملّك الآخذ إلى إعراض المالك و صيرورة العين كالمباحات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يجوز حيازتها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القول بخروج المنثور عن ملك المالك بمجرّد النثار، بل بمجرّد التوكيل فيه، لصدق 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لكنّك قد عرفت ضعف ذلك </w:t>
      </w:r>
      <w:r>
        <w:rPr>
          <w:rStyle w:val="FootnoteAnchor"/>
          <w:rtl w:val="true"/>
        </w:rPr>
        <w:footnoteReference w:id="42"/>
      </w:r>
      <w:r>
        <w:rPr>
          <w:rFonts w:ascii="IRNazanin" w:hAnsi="IRNazanin" w:eastAsia="IRNazanin"/>
          <w:color w:val="111111"/>
          <w:sz w:val="28"/>
          <w:sz w:val="28"/>
          <w:szCs w:val="28"/>
          <w:rtl w:val="true"/>
          <w:lang w:bidi="fa-IR"/>
        </w:rPr>
        <w:t>الاستناد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يجوز الرجوع على </w:t>
      </w:r>
      <w:r>
        <w:rPr>
          <w:rStyle w:val="FootnoteAnchor"/>
          <w:rtl w:val="true"/>
        </w:rPr>
        <w:footnoteReference w:id="43"/>
      </w:r>
      <w:r>
        <w:rPr>
          <w:rFonts w:ascii="Amiri" w:hAnsi="Amiri" w:eastAsia="Amiri" w:cs="Amiri"/>
          <w:color w:val="111111"/>
          <w:sz w:val="28"/>
          <w:sz w:val="28"/>
          <w:szCs w:val="28"/>
          <w:rtl w:val="true"/>
          <w:lang w:bidi="ar-SA"/>
        </w:rPr>
        <w:t>الآخذ بما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من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وجهان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أصالة اللزوم في الملك، و من أنّ هذا التملّك </w:t>
      </w:r>
      <w:r>
        <w:rPr>
          <w:rStyle w:val="FootnoteAnchor"/>
          <w:rtl w:val="true"/>
        </w:rPr>
        <w:footnoteReference w:id="44"/>
      </w:r>
      <w:r>
        <w:rPr>
          <w:rFonts w:ascii="Amiri" w:hAnsi="Amiri" w:eastAsia="Amiri" w:cs="Amiri"/>
          <w:color w:val="111111"/>
          <w:sz w:val="28"/>
          <w:sz w:val="28"/>
          <w:szCs w:val="28"/>
          <w:rtl w:val="true"/>
          <w:lang w:bidi="ar-SA"/>
        </w:rPr>
        <w:t>لا يزيد على المعاطاة بناء على إفادتها الملك، بل هي أولى باللزوم، من حيث إنّها معاوضة، و ما نحن فيه تبرّع محض، أو أشبه شي‌ء بالهبة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المعتبر في التملّك هو الأخذ، و لو بأن يبسط حجره أو طرف ردائه أو يأخذ طبقا كبيرا، إلّا أن لا يرضى المالك بالأخذ بهذا النحو، و لا يكفي في الأخذ مجرّد وقوعه في يده أو حجره أو عمامته، بل لو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استندنا في التملّك إلى إعراض المالك، جاء الإشكال الآتي في مثل ما إذا تعشّش طائر في ملكه أو وقع صيد في شبكته بغير قصد، و لا يبعد الحكم بعدم التملّك في أمثال ذلك، و اللّٰه العالم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للرجل أن ينظر إلى وجه من يريد تزويجها و إلى كفّيها اتّفاقا على الظاهر المصرّح به </w:t>
      </w:r>
      <w:r>
        <w:rPr>
          <w:rStyle w:val="FootnoteAnchor"/>
          <w:rtl w:val="true"/>
        </w:rPr>
        <w:footnoteReference w:id="46"/>
      </w:r>
      <w:r>
        <w:rPr>
          <w:rFonts w:ascii="Amiri" w:hAnsi="Amiri" w:eastAsia="Amiri" w:cs="Amiri"/>
          <w:color w:val="111111"/>
          <w:sz w:val="28"/>
          <w:sz w:val="28"/>
          <w:szCs w:val="28"/>
          <w:rtl w:val="true"/>
          <w:lang w:bidi="ar-SA"/>
        </w:rPr>
        <w:t>، لحسنة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بإبراهيم ابن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الرجل يريد أن يتزوّج المرأة أ ينظر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يشتريها بأغلى الثمن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حسنة هشام و حمّاد و حفص </w:t>
      </w:r>
      <w:r>
        <w:rPr>
          <w:rStyle w:val="FootnoteAnchor"/>
          <w:rtl w:val="true"/>
        </w:rPr>
        <w:footnoteReference w:id="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ينظر إلى وجهها و معاصمها إذا أراد أن يتزوّجها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الحسن بن السريّ،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يتزوّج المرأة، يتأمّلها و ينظر إلى خلفها و إلى وجهها؟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ينظر الرجل إلى المرأة إذا أراد أن يتزوّجها، ينظر إلى خلفها و إلى</w:t>
      </w:r>
    </w:p>
    <w:p>
      <w:pPr>
        <w:pStyle w:val="BookText"/>
        <w:rPr/>
      </w:pPr>
      <w:r>
        <w:rPr>
          <w:rFonts w:ascii="IRNazanin" w:hAnsi="IRNazanin" w:eastAsia="IRNazanin"/>
          <w:color w:val="111111"/>
          <w:sz w:val="28"/>
          <w:sz w:val="28"/>
          <w:szCs w:val="28"/>
          <w:rtl w:val="true"/>
          <w:lang w:bidi="fa-IR"/>
        </w:rPr>
        <w:t>وجهها</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الحسنة الاولى، و إن كانت بإطلاقها مجوّزة للنظر إلى غير الوجه و الكفّين، إلّا أنّ المتبادر من النظر إلى المرأة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هو النظر إلى الوجه و اليدين، لأنّهما </w:t>
      </w:r>
      <w:r>
        <w:rPr>
          <w:rStyle w:val="FootnoteAnchor"/>
          <w:rtl w:val="true"/>
        </w:rPr>
        <w:footnoteReference w:id="52"/>
      </w:r>
      <w:r>
        <w:rPr>
          <w:rFonts w:ascii="Amiri" w:hAnsi="Amiri" w:eastAsia="Amiri" w:cs="Amiri"/>
          <w:color w:val="111111"/>
          <w:sz w:val="28"/>
          <w:sz w:val="28"/>
          <w:szCs w:val="28"/>
          <w:rtl w:val="true"/>
          <w:lang w:bidi="ar-SA"/>
        </w:rPr>
        <w:t xml:space="preserve">موقع النظر غالبا و غيرهما </w:t>
      </w:r>
      <w:r>
        <w:rPr>
          <w:rStyle w:val="FootnoteAnchor"/>
          <w:rtl w:val="true"/>
        </w:rPr>
        <w:footnoteReference w:id="53"/>
      </w:r>
      <w:r>
        <w:rPr>
          <w:rFonts w:ascii="Amiri" w:hAnsi="Amiri" w:eastAsia="Amiri" w:cs="Amiri"/>
          <w:color w:val="111111"/>
          <w:sz w:val="28"/>
          <w:sz w:val="28"/>
          <w:szCs w:val="28"/>
          <w:rtl w:val="true"/>
          <w:lang w:bidi="ar-SA"/>
        </w:rPr>
        <w:t>مستور غالبا بالثياب، مضافا إلى أنّ تخصيص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المجوّز في الحسنة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بالوجه و المعاصم ابتداء، لا يظهر له وجه إلّا اختصاصهما بجواز النظر، و إن لم نقل بمفهوم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 ذلك الرواية الثالثة، فإنّه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خلفها و إلى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w:t>
      </w:r>
      <w:r>
        <w:rPr>
          <w:rStyle w:val="FootnoteAnchor"/>
          <w:rtl w:val="true"/>
        </w:rPr>
        <w:footnoteReference w:id="54"/>
      </w:r>
      <w:r>
        <w:rPr>
          <w:rFonts w:ascii="Amiri" w:hAnsi="Amiri" w:eastAsia="Amiri" w:cs="Amiri"/>
          <w:color w:val="111111"/>
          <w:sz w:val="28"/>
          <w:sz w:val="28"/>
          <w:szCs w:val="28"/>
          <w:rtl w:val="true"/>
          <w:lang w:bidi="ar-SA"/>
        </w:rPr>
        <w:t>هذا التقييد بعد الإطلاق لدفع توهّم إرادة الإطلاق المتوهّم بادئ النظر من الفقرة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بالنظر إلى خلفها النظر إلى قامتها المستورة بالثياب من خلفها، و المراد بالمعاصم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الحسنة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موهنات الإطلاق المتوهّم في حسنة محمد بن مسلم</w:t>
      </w:r>
    </w:p>
    <w:p>
      <w:pPr>
        <w:pStyle w:val="BookText"/>
        <w:rPr/>
      </w:pPr>
      <w:r>
        <w:rPr>
          <w:rFonts w:ascii="IRNazanin" w:hAnsi="IRNazanin" w:eastAsia="IRNazanin"/>
          <w:color w:val="111111"/>
          <w:sz w:val="28"/>
          <w:sz w:val="28"/>
          <w:szCs w:val="28"/>
          <w:rtl w:val="true"/>
          <w:lang w:bidi="fa-IR"/>
        </w:rPr>
        <w:t xml:space="preserve">و نحوها </w:t>
      </w:r>
      <w:r>
        <w:rPr>
          <w:rStyle w:val="FootnoteAnchor"/>
          <w:rtl w:val="true"/>
        </w:rPr>
        <w:footnoteReference w:id="56"/>
      </w:r>
      <w:r>
        <w:rPr>
          <w:rFonts w:ascii="Amiri" w:hAnsi="Amiri" w:eastAsia="Amiri" w:cs="Amiri"/>
          <w:color w:val="111111"/>
          <w:sz w:val="28"/>
          <w:sz w:val="28"/>
          <w:szCs w:val="28"/>
          <w:rtl w:val="true"/>
          <w:lang w:bidi="ar-SA"/>
        </w:rPr>
        <w:t>من المعتبرة المعتضدة بالتعليل المذكور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يشتريها بأغلى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المقتضي لجواز النظر حتّى يندفع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Style w:val="FootnoteAnchor"/>
          <w:rtl w:val="true"/>
        </w:rPr>
        <w:footnoteReference w:id="57"/>
      </w:r>
      <w:r>
        <w:rPr>
          <w:rFonts w:ascii="Amiri" w:hAnsi="Amiri" w:eastAsia="Amiri" w:cs="Amiri"/>
          <w:color w:val="111111"/>
          <w:sz w:val="28"/>
          <w:sz w:val="28"/>
          <w:szCs w:val="28"/>
          <w:rtl w:val="true"/>
          <w:lang w:bidi="ar-SA"/>
        </w:rPr>
        <w:t xml:space="preserve">ضعف ما قوّاه بعض متأخّري المتأخّرين من جواز النظر إلى جميع جسدها عدا العورة، تمسّكا بالإطلاق المذكور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التعليل المزبور، فالمراد أنّ إرادة تزويجه بالمهر </w:t>
      </w:r>
      <w:r>
        <w:rPr>
          <w:rStyle w:val="FootnoteAnchor"/>
          <w:rtl w:val="true"/>
        </w:rPr>
        <w:footnoteReference w:id="59"/>
      </w:r>
      <w:r>
        <w:rPr>
          <w:rFonts w:ascii="Amiri" w:hAnsi="Amiri" w:eastAsia="Amiri" w:cs="Amiri"/>
          <w:color w:val="111111"/>
          <w:sz w:val="28"/>
          <w:sz w:val="28"/>
          <w:szCs w:val="28"/>
          <w:rtl w:val="true"/>
          <w:lang w:bidi="ar-SA"/>
        </w:rPr>
        <w:t>الغير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النظر إلى ما يندفع بالاطّلاع عليه معظم الغرر الحاصل من جهة حسن الخلقة و اللون و قبحهما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ذلك يندفع بالنظر إلى الوجه و الكفّين، إذ يستدلّ بهما غالبا على حسن سائر الأعضاء و قبحها من حيث الخلقة و اللون المطلوبين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الحاصل من جهة العيوب العارضة فإنّه لا يندفع بملاحظة جميع الجسد ما عدا العورة أيضا، بل لا بدّ في اندفاعه من ملاحظة العورة أيضا، مع أنّ أحدا لم يقل به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ملاحظة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الواردة</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الجليل </w:t>
      </w:r>
      <w:r>
        <w:rPr>
          <w:rStyle w:val="FootnoteAnchor"/>
          <w:rtl w:val="true"/>
        </w:rPr>
        <w:footnoteReference w:id="61"/>
      </w:r>
      <w:r>
        <w:rPr>
          <w:rFonts w:ascii="Amiri" w:hAnsi="Amiri" w:eastAsia="Amiri" w:cs="Amiri"/>
          <w:color w:val="111111"/>
          <w:sz w:val="28"/>
          <w:sz w:val="28"/>
          <w:szCs w:val="28"/>
          <w:rtl w:val="true"/>
          <w:lang w:bidi="ar-SA"/>
        </w:rPr>
        <w:t>و إن كانت تؤدّي إلى الحكم بجواز النظر مطلقا، إلّا أنّ ملاحظتها</w:t>
      </w:r>
    </w:p>
    <w:p>
      <w:pPr>
        <w:pStyle w:val="BookText"/>
        <w:rPr/>
      </w:pPr>
      <w:r>
        <w:rPr>
          <w:rFonts w:ascii="Amiri" w:hAnsi="Amiri" w:eastAsia="Amiri" w:cs="Amiri"/>
          <w:color w:val="111111"/>
          <w:sz w:val="28"/>
          <w:sz w:val="28"/>
          <w:szCs w:val="28"/>
          <w:rtl w:val="true"/>
          <w:lang w:bidi="ar-SA"/>
        </w:rPr>
        <w:t>بدقيق النظر لا تورث الجرأة على الخروج عمّا دلّ على حرمة النظر إلى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أنّه إذا قلنا في المسألة الآتية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النظر إلى وجه الأجنبيّة و كفّيها و إن كانت ذات بعل، فما الفرق بين من يراد تزويجها و من لا يراد تزويجها؟</w:t>
      </w:r>
    </w:p>
    <w:p>
      <w:pPr>
        <w:pStyle w:val="BookText"/>
        <w:rPr/>
      </w:pPr>
      <w:r>
        <w:rPr>
          <w:rFonts w:ascii="Amiri" w:hAnsi="Amiri" w:eastAsia="Amiri" w:cs="Amiri"/>
          <w:color w:val="111111"/>
          <w:sz w:val="28"/>
          <w:sz w:val="28"/>
          <w:szCs w:val="28"/>
          <w:rtl w:val="true"/>
          <w:lang w:bidi="ar-SA"/>
        </w:rPr>
        <w:t>و يمكن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النظر هنا غير مرجوح اتّفاقا، و في المسألة الآتية مرجوح اتّفاقا، كما يظهر من المسالك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النظر إلى من يريد تزويجها إنّما هو لاختبارها </w:t>
      </w:r>
      <w:r>
        <w:rPr>
          <w:rStyle w:val="FootnoteAnchor"/>
          <w:rtl w:val="true"/>
        </w:rPr>
        <w:footnoteReference w:id="64"/>
      </w:r>
      <w:r>
        <w:rPr>
          <w:rFonts w:ascii="Amiri" w:hAnsi="Amiri" w:eastAsia="Amiri" w:cs="Amiri"/>
          <w:color w:val="111111"/>
          <w:sz w:val="28"/>
          <w:sz w:val="28"/>
          <w:szCs w:val="28"/>
          <w:rtl w:val="true"/>
          <w:lang w:bidi="ar-SA"/>
        </w:rPr>
        <w:t>و أنّها حسنة خلقة و لونا تصلح لأن يزوّجها و يعاشرها و يقضي بها شهوته بالنظر و الملاعبة و المواقعة، أم لا؟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النظر بهذا القصد لا يجوز فيمن لا يريد تزويجها، لعدم دلالة أدلّة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بل النظر لهذا الداعي لا ينفك غالبا عن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بها ما يخطر في البال من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اشترط </w:t>
      </w:r>
      <w:r>
        <w:rPr>
          <w:rStyle w:val="FootnoteAnchor"/>
          <w:rtl w:val="true"/>
        </w:rPr>
        <w:footnoteReference w:id="66"/>
      </w:r>
      <w:r>
        <w:rPr>
          <w:rFonts w:ascii="Amiri" w:hAnsi="Amiri" w:eastAsia="Amiri" w:cs="Amiri"/>
          <w:color w:val="111111"/>
          <w:sz w:val="28"/>
          <w:sz w:val="28"/>
          <w:szCs w:val="28"/>
          <w:rtl w:val="true"/>
          <w:lang w:bidi="ar-SA"/>
        </w:rPr>
        <w:t>في مسألتنا هذه في جواز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يمنع من تزويجها مانع فعليّ مثل كونها ذات بعل أو معتدّة، و أن يكون المقصود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لا التلذّذ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بحصول اللذّة بالنظر و إن علم بها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يحتمل أن يطّلع</w:t>
      </w:r>
    </w:p>
    <w:p>
      <w:pPr>
        <w:pStyle w:val="BookText"/>
        <w:rPr/>
      </w:pPr>
      <w:r>
        <w:rPr>
          <w:rFonts w:ascii="Amiri" w:hAnsi="Amiri" w:eastAsia="Amiri" w:cs="Amiri"/>
          <w:color w:val="111111"/>
          <w:sz w:val="28"/>
          <w:sz w:val="28"/>
          <w:szCs w:val="28"/>
          <w:rtl w:val="true"/>
          <w:lang w:bidi="ar-SA"/>
        </w:rPr>
        <w:t xml:space="preserve">بالنظر على ما لا يطّلع </w:t>
      </w:r>
      <w:r>
        <w:rPr>
          <w:rStyle w:val="FootnoteAnchor"/>
          <w:rtl w:val="true"/>
        </w:rPr>
        <w:footnoteReference w:id="67"/>
      </w:r>
      <w:r>
        <w:rPr>
          <w:rFonts w:ascii="Amiri" w:hAnsi="Amiri" w:eastAsia="Amiri" w:cs="Amiri"/>
          <w:color w:val="111111"/>
          <w:sz w:val="28"/>
          <w:sz w:val="28"/>
          <w:szCs w:val="28"/>
          <w:rtl w:val="true"/>
          <w:lang w:bidi="ar-SA"/>
        </w:rPr>
        <w:t>عليه بدونه، لأنّه المتبادر من مساق الأخبار و تعليلها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يشترط فقد من يخبره بأوصافه </w:t>
      </w:r>
      <w:r>
        <w:rPr>
          <w:rStyle w:val="FootnoteAnchor"/>
          <w:rtl w:val="true"/>
        </w:rPr>
        <w:footnoteReference w:id="68"/>
      </w:r>
      <w:r>
        <w:rPr>
          <w:rFonts w:ascii="Amiri" w:hAnsi="Amiri" w:eastAsia="Amiri" w:cs="Amiri"/>
          <w:color w:val="111111"/>
          <w:sz w:val="28"/>
          <w:sz w:val="28"/>
          <w:szCs w:val="28"/>
          <w:rtl w:val="true"/>
          <w:lang w:bidi="ar-SA"/>
        </w:rPr>
        <w:t>، فإنّ المسموع ليس كالمبصر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يقتصر في النظر على مرّة واحدة، بل يجوز تكراره بشرط أن يحتمل أن يفيده الثاني ما لم يفده الأوّل، لإطلاق الأخبار المعتضدة بالتعليل الدالّ على أنّ الرخصة من جهة اندفاع معظم الغرر بلونها و خلقها، فيجوز إذا توقّف على تكرار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مقتضى إطلاق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النظر و لو </w:t>
      </w:r>
      <w:r>
        <w:rPr>
          <w:rStyle w:val="FootnoteAnchor"/>
          <w:rtl w:val="true"/>
        </w:rPr>
        <w:footnoteReference w:id="69"/>
      </w:r>
      <w:r>
        <w:rPr>
          <w:rFonts w:ascii="Amiri" w:hAnsi="Amiri" w:eastAsia="Amiri" w:cs="Amiri"/>
          <w:color w:val="111111"/>
          <w:sz w:val="28"/>
          <w:sz w:val="28"/>
          <w:szCs w:val="28"/>
          <w:rtl w:val="true"/>
          <w:lang w:bidi="ar-SA"/>
        </w:rPr>
        <w:t>من غير إذن منها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هل يجوز للمرأة أن تنظر إلى من يريد التزوّج </w:t>
      </w:r>
      <w:r>
        <w:rPr>
          <w:rStyle w:val="FootnoteAnchor"/>
          <w:rtl w:val="true"/>
        </w:rPr>
        <w:footnoteReference w:id="71"/>
      </w:r>
      <w:r>
        <w:rPr>
          <w:rFonts w:ascii="IRNazanin" w:hAnsi="IRNazanin" w:eastAsia="IRNazanin"/>
          <w:color w:val="111111"/>
          <w:sz w:val="28"/>
          <w:sz w:val="28"/>
          <w:szCs w:val="28"/>
          <w:rtl w:val="true"/>
          <w:lang w:bidi="fa-IR"/>
        </w:rPr>
        <w:t>أم لا؟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قولان، 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كما صرّح به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لما يستفاد من التعليل في أخبار المسألة، فإنّ الرجل إذا جاز له النظر لئلّا يضيع ماله الذي يعطيها</w:t>
      </w:r>
    </w:p>
    <w:p>
      <w:pPr>
        <w:pStyle w:val="BookText"/>
        <w:rPr/>
      </w:pPr>
      <w:r>
        <w:rPr>
          <w:rFonts w:ascii="Amiri" w:hAnsi="Amiri" w:eastAsia="Amiri" w:cs="Amiri"/>
          <w:color w:val="111111"/>
          <w:sz w:val="28"/>
          <w:sz w:val="28"/>
          <w:szCs w:val="28"/>
          <w:rtl w:val="true"/>
          <w:lang w:bidi="ar-SA"/>
        </w:rPr>
        <w:t xml:space="preserve">على جهة الصداق و غيره، فلأن يجوز النظر </w:t>
      </w:r>
      <w:r>
        <w:rPr>
          <w:rStyle w:val="FootnoteAnchor"/>
          <w:rtl w:val="true"/>
        </w:rPr>
        <w:footnoteReference w:id="73"/>
      </w:r>
      <w:r>
        <w:rPr>
          <w:rFonts w:ascii="Amiri" w:hAnsi="Amiri" w:eastAsia="Amiri" w:cs="Amiri"/>
          <w:color w:val="111111"/>
          <w:sz w:val="28"/>
          <w:sz w:val="28"/>
          <w:szCs w:val="28"/>
          <w:rtl w:val="true"/>
          <w:lang w:bidi="ar-SA"/>
        </w:rPr>
        <w:t>للمرأة لئلّا يضيع بضعها أولى، سيّما مع أنّ للرجل مناصا عن المرأة بالطلاق إذا لم يجدها على ما يريد بخلاف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حيث دلّت الأخبار على أنّ الرجل يشتري بأغلى الثمن </w:t>
      </w:r>
      <w:r>
        <w:rPr>
          <w:rStyle w:val="FootnoteAnchor"/>
          <w:rtl w:val="true"/>
        </w:rPr>
        <w:footnoteReference w:id="74"/>
      </w:r>
      <w:r>
        <w:rPr>
          <w:rFonts w:ascii="Amiri" w:hAnsi="Amiri" w:eastAsia="Amiri" w:cs="Amiri"/>
          <w:color w:val="111111"/>
          <w:sz w:val="28"/>
          <w:sz w:val="28"/>
          <w:szCs w:val="28"/>
          <w:rtl w:val="true"/>
          <w:lang w:bidi="ar-SA"/>
        </w:rPr>
        <w:t>فيجوز له النظر استفيد منها أنّ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 نفسها و بضعها، و لا ريب أنّه أغلى 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ضعف القول الآخر مستندا إلى عدم الدليل، فإنّه ناش عن عدم الدقّة في مفاد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النظر إلى أمة يريد شراءها، و تحقيق ذلك في كتاب البيع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جماعة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النظر إلى نساء أهل الذمة، و شعورهنّ إذا كان النظر بغير ريبة أو قصد التلذّذ و مستند </w:t>
      </w:r>
      <w:r>
        <w:rPr>
          <w:rStyle w:val="FootnoteAnchor"/>
          <w:rtl w:val="true"/>
        </w:rPr>
        <w:footnoteReference w:id="76"/>
      </w:r>
      <w:r>
        <w:rPr>
          <w:rFonts w:ascii="Amiri" w:hAnsi="Amiri" w:eastAsia="Amiri" w:cs="Amiri"/>
          <w:color w:val="111111"/>
          <w:sz w:val="28"/>
          <w:sz w:val="28"/>
          <w:szCs w:val="28"/>
          <w:rtl w:val="true"/>
          <w:lang w:bidi="ar-SA"/>
        </w:rPr>
        <w:t xml:space="preserve">المسألة ضعيف مجبور، و لضعفه طرحه الحلّي </w:t>
      </w:r>
      <w:r>
        <w:rPr>
          <w:rStyle w:val="FootnoteAnchor"/>
          <w:rtl w:val="true"/>
        </w:rPr>
        <w:footnoteReference w:id="77"/>
      </w:r>
      <w:r>
        <w:rPr>
          <w:rFonts w:ascii="Amiri" w:hAnsi="Amiri" w:eastAsia="Amiri" w:cs="Amiri"/>
          <w:color w:val="111111"/>
          <w:sz w:val="28"/>
          <w:sz w:val="28"/>
          <w:szCs w:val="28"/>
          <w:rtl w:val="true"/>
          <w:lang w:bidi="ar-SA"/>
        </w:rPr>
        <w:t xml:space="preserve">و الفاضل في المختلف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لانجباره أخذ به الآخرون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للرجل أن ينظر إلى جسد مثله عدا العورة أو مع قصد التلذّذ، و أن ينظر إلى جسد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و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متلذّذا، و يستوي في ذلك عورتها و غيرها، و في حكم الزوجة أمته الغير المزوّجة، أمّا المزوّجة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كلام غير واحد أنّ المعروف بينهم أنّها كالأجنبيّة </w:t>
      </w:r>
      <w:r>
        <w:rPr>
          <w:rStyle w:val="FootnoteAnchor"/>
          <w:rtl w:val="true"/>
        </w:rPr>
        <w:footnoteReference w:id="80"/>
      </w:r>
      <w:r>
        <w:rPr>
          <w:rFonts w:ascii="Amiri" w:hAnsi="Amiri" w:eastAsia="Amiri" w:cs="Amiri"/>
          <w:color w:val="111111"/>
          <w:sz w:val="28"/>
          <w:sz w:val="28"/>
          <w:szCs w:val="28"/>
          <w:rtl w:val="true"/>
          <w:lang w:bidi="ar-SA"/>
        </w:rPr>
        <w:t>، و كذا المكاتبة و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المرهونة و المؤجرة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ينظر إلى المحارم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يحرم عليه نكاحها دائما بنسب أو رضاع أو 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للزوجة كالزوج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جسد الزوج و عورته تلذّذا، و إلى محارمها عدا العورة، لا مع قصد التلذّذ</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لا خلاف في أنّه لا يجوز </w:t>
      </w:r>
      <w:r>
        <w:rPr>
          <w:rStyle w:val="FootnoteAnchor"/>
          <w:rtl w:val="true"/>
        </w:rPr>
        <w:footnoteReference w:id="81"/>
      </w:r>
      <w:r>
        <w:rPr>
          <w:rFonts w:ascii="Amiri" w:hAnsi="Amiri" w:eastAsia="Amiri" w:cs="Amiri"/>
          <w:color w:val="111111"/>
          <w:sz w:val="28"/>
          <w:sz w:val="28"/>
          <w:szCs w:val="28"/>
          <w:rtl w:val="true"/>
          <w:lang w:bidi="ar-SA"/>
        </w:rPr>
        <w:t>النظر إلى الأجنبيّة مطلقا مع قصد التلذّذ أو الريبة، و لا في أنّه لا يجوز مطلقا في غير الوجه و الكفّين، و أمّا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فيه، فقيل بالجواز مطلقا على كراهيّة </w:t>
      </w:r>
      <w:r>
        <w:rPr>
          <w:rStyle w:val="FootnoteAnchor"/>
          <w:rtl w:val="true"/>
        </w:rPr>
        <w:footnoteReference w:id="82"/>
      </w:r>
      <w:r>
        <w:rPr>
          <w:rFonts w:ascii="Amiri" w:hAnsi="Amiri" w:eastAsia="Amiri" w:cs="Amiri"/>
          <w:color w:val="111111"/>
          <w:sz w:val="28"/>
          <w:sz w:val="28"/>
          <w:szCs w:val="28"/>
          <w:rtl w:val="true"/>
          <w:lang w:bidi="ar-SA"/>
        </w:rPr>
        <w:t xml:space="preserve">، و قيل بالجواز مرّة لا أزيد </w:t>
      </w:r>
      <w:r>
        <w:rPr>
          <w:rStyle w:val="FootnoteAnchor"/>
          <w:rtl w:val="true"/>
        </w:rPr>
        <w:footnoteReference w:id="83"/>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مطلقا إلّا للحاجة </w:t>
      </w:r>
      <w:r>
        <w:rPr>
          <w:rStyle w:val="FootnoteAnchor"/>
          <w:rtl w:val="true"/>
        </w:rPr>
        <w:footnoteReference w:id="84"/>
      </w:r>
      <w:r>
        <w:rPr>
          <w:rFonts w:ascii="Amiri" w:hAnsi="Amiri" w:eastAsia="Amiri" w:cs="Amiri"/>
          <w:color w:val="111111"/>
          <w:sz w:val="28"/>
          <w:sz w:val="28"/>
          <w:szCs w:val="28"/>
          <w:rtl w:val="true"/>
          <w:lang w:bidi="ar-SA"/>
        </w:rPr>
        <w:t>، و هو الذي اختاره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آخر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تمسّكا بعموم ما دلّ على وجوب غضّ البصر </w:t>
      </w:r>
      <w:r>
        <w:rPr>
          <w:rStyle w:val="FootnoteAnchor"/>
          <w:rtl w:val="true"/>
        </w:rPr>
        <w:footnoteReference w:id="86"/>
      </w:r>
      <w:r>
        <w:rPr>
          <w:rFonts w:ascii="Amiri" w:hAnsi="Amiri" w:eastAsia="Amiri" w:cs="Amiri"/>
          <w:color w:val="111111"/>
          <w:sz w:val="28"/>
          <w:sz w:val="28"/>
          <w:szCs w:val="28"/>
          <w:rtl w:val="true"/>
          <w:lang w:bidi="ar-SA"/>
        </w:rPr>
        <w:t xml:space="preserve">، و قوله تعالى وَ لٰا يُبْدِينَ زِينَتَهُنَّ </w:t>
      </w:r>
      <w:r>
        <w:rPr>
          <w:rStyle w:val="FootnoteAnchor"/>
          <w:rtl w:val="true"/>
        </w:rPr>
        <w:footnoteReference w:id="87"/>
      </w:r>
      <w:r>
        <w:rPr>
          <w:rFonts w:ascii="Amiri" w:hAnsi="Amiri" w:eastAsia="Amiri" w:cs="Amiri"/>
          <w:color w:val="111111"/>
          <w:sz w:val="28"/>
          <w:sz w:val="28"/>
          <w:szCs w:val="28"/>
          <w:rtl w:val="true"/>
          <w:lang w:bidi="ar-SA"/>
        </w:rPr>
        <w:t xml:space="preserve">، مؤيّدا بمفهوم الأخبار المتقدّمة في أنّه لا بأس بالنظر إلى وجه من يراد </w:t>
      </w:r>
      <w:r>
        <w:rPr>
          <w:rStyle w:val="FootnoteAnchor"/>
          <w:rtl w:val="true"/>
        </w:rPr>
        <w:footnoteReference w:id="88"/>
      </w:r>
      <w:r>
        <w:rPr>
          <w:rFonts w:ascii="Amiri" w:hAnsi="Amiri" w:eastAsia="Amiri" w:cs="Amiri"/>
          <w:color w:val="111111"/>
          <w:sz w:val="28"/>
          <w:sz w:val="28"/>
          <w:szCs w:val="28"/>
          <w:rtl w:val="true"/>
          <w:lang w:bidi="ar-SA"/>
        </w:rPr>
        <w:t xml:space="preserve">تزويجها </w:t>
      </w:r>
      <w:r>
        <w:rPr>
          <w:rStyle w:val="FootnoteAnchor"/>
          <w:rtl w:val="true"/>
        </w:rPr>
        <w:footnoteReference w:id="89"/>
      </w:r>
      <w:r>
        <w:rPr>
          <w:rFonts w:ascii="Amiri" w:hAnsi="Amiri" w:eastAsia="Amiri" w:cs="Amiri"/>
          <w:color w:val="111111"/>
          <w:sz w:val="28"/>
          <w:sz w:val="28"/>
          <w:szCs w:val="28"/>
          <w:rtl w:val="true"/>
          <w:lang w:bidi="ar-SA"/>
        </w:rPr>
        <w:t xml:space="preserve">، حيث اشترط في بعضها عدم البأس بصورة إرادة التزويج </w:t>
      </w:r>
      <w:r>
        <w:rPr>
          <w:rStyle w:val="FootnoteAnchor"/>
          <w:rtl w:val="true"/>
        </w:rPr>
        <w:footnoteReference w:id="90"/>
      </w:r>
      <w:r>
        <w:rPr>
          <w:rFonts w:ascii="Amiri" w:hAnsi="Amiri" w:eastAsia="Amiri" w:cs="Amiri"/>
          <w:color w:val="111111"/>
          <w:sz w:val="28"/>
          <w:sz w:val="28"/>
          <w:szCs w:val="28"/>
          <w:rtl w:val="true"/>
          <w:lang w:bidi="ar-SA"/>
        </w:rPr>
        <w:t xml:space="preserve">، و بما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النظر سهم من سهام إبليس</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زنى العين النظر</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ربّ نظرة أورثت حسرة يوم القيامة</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و بمكاتبة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 السلام </w:t>
      </w:r>
      <w:r>
        <w:rPr>
          <w:rStyle w:val="FootnoteAnchor"/>
          <w:rtl w:val="true"/>
        </w:rPr>
        <w:footnoteReference w:id="94"/>
      </w:r>
      <w:r>
        <w:rPr>
          <w:rFonts w:ascii="Amiri" w:hAnsi="Amiri" w:eastAsia="Amiri" w:cs="Amiri"/>
          <w:color w:val="111111"/>
          <w:sz w:val="28"/>
          <w:sz w:val="28"/>
          <w:szCs w:val="28"/>
          <w:rtl w:val="true"/>
          <w:lang w:bidi="ar-SA"/>
        </w:rPr>
        <w:t>في رجل أراد أن يشهد على امرأة ليس لها بمحرم، هل يجوز له أن يشهد عليها و هي من وراء الستر، و يسمع كلامها إذا شهد رجلان عدلان أنّها فلانة بنت فلان التي تشهدك و هذا كلامها، أو لا يجوز له الشهادة حتّى تبرز و يثبتها بعينها؟ فوقّع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تتنقّب و تظهر للشهود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بجريان السيرة على منع النساء من أن يخرجن متكشفات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النظر مظنّة الفتنة، فالأليق بمحاسن الشرع حسم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خثعمية جاءت إلى</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رسول اللّٰه صلّى اللّٰه عليه و آله و سلّم في حجّة الوداع تستفتيه، و كان الفضل بن العبّاس رديف رسول اللّٰه صلّى اللّٰه عليه و آله و سلّم، فأخذ ينظر إليها و تنظر إليه، فصرف رسول اللّٰه صلّى اللّٰه عليه و آله و سلّم وجه الفضل عنها،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شابّ و امرأة شابّة أخاف أن يدخل الشيطان بينهما</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جملة ما وقفت عليه من أدلّة القول بالمنع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الجميع نظر، أمّا في آية الغض </w:t>
      </w:r>
      <w:r>
        <w:rPr>
          <w:rStyle w:val="FootnoteAnchor"/>
          <w:rtl w:val="true"/>
        </w:rPr>
        <w:footnoteReference w:id="99"/>
      </w:r>
      <w:r>
        <w:rPr>
          <w:rFonts w:ascii="Amiri" w:hAnsi="Amiri" w:eastAsia="Amiri" w:cs="Amiri"/>
          <w:color w:val="111111"/>
          <w:sz w:val="28"/>
          <w:sz w:val="28"/>
          <w:szCs w:val="28"/>
          <w:rtl w:val="true"/>
          <w:lang w:bidi="ar-SA"/>
        </w:rPr>
        <w:t>فلأنّها لا تفيد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لٰا يُبْدِينَ زِينَتَهُنَّ </w:t>
      </w:r>
      <w:r>
        <w:rPr>
          <w:rStyle w:val="FootnoteAnchor"/>
          <w:rtl w:val="true"/>
        </w:rPr>
        <w:footnoteReference w:id="100"/>
      </w:r>
      <w:r>
        <w:rPr>
          <w:rFonts w:ascii="Amiri" w:hAnsi="Amiri" w:eastAsia="Amiri" w:cs="Amiri"/>
          <w:color w:val="111111"/>
          <w:sz w:val="28"/>
          <w:sz w:val="28"/>
          <w:szCs w:val="28"/>
          <w:rtl w:val="true"/>
          <w:lang w:bidi="ar-SA"/>
        </w:rPr>
        <w:t xml:space="preserve">فلتخصيصها بقوله إِلّٰا مٰا ظَهَرَ مِنْهٰا </w:t>
      </w:r>
      <w:r>
        <w:rPr>
          <w:rStyle w:val="FootnoteAnchor"/>
          <w:rtl w:val="true"/>
        </w:rPr>
        <w:footnoteReference w:id="101"/>
      </w:r>
      <w:r>
        <w:rPr>
          <w:rFonts w:ascii="Amiri" w:hAnsi="Amiri" w:eastAsia="Amiri" w:cs="Amiri"/>
          <w:color w:val="111111"/>
          <w:sz w:val="28"/>
          <w:sz w:val="28"/>
          <w:szCs w:val="28"/>
          <w:rtl w:val="true"/>
          <w:lang w:bidi="ar-SA"/>
        </w:rPr>
        <w:t>، و فسّر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المحكية عن 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الثياب و الكحل و الخاتم و خضاب الكف و السوار</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موثقة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القاسم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بالثاني و الثالث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بالخاتم و السوار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أنّ إبداءهما مستلزم لإبداء الكفّين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الذراعين من المرأة، هما من الزينة التي قال اللّٰه وَ لٰا يُبْدِينَ زِينَتَهُنَّ إِلّٰا لِبُعُولَتِهِنَّ </w:t>
      </w:r>
      <w:r>
        <w:rPr>
          <w:rStyle w:val="FootnoteAnchor"/>
          <w:rtl w:val="true"/>
        </w:rPr>
        <w:footnoteReference w:id="10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ما دون الخمار </w:t>
      </w:r>
      <w:r>
        <w:rPr>
          <w:rStyle w:val="FootnoteAnchor"/>
          <w:rtl w:val="true"/>
        </w:rPr>
        <w:footnoteReference w:id="106"/>
      </w:r>
      <w:r>
        <w:rPr>
          <w:rFonts w:ascii="Amiri" w:hAnsi="Amiri" w:eastAsia="Amiri" w:cs="Amiri"/>
          <w:color w:val="111111"/>
          <w:sz w:val="28"/>
          <w:sz w:val="28"/>
          <w:szCs w:val="28"/>
          <w:rtl w:val="true"/>
          <w:lang w:bidi="ar-SA"/>
        </w:rPr>
        <w:t>من الزينة، و ما دون السوارين</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دلالة ظاهرة على خروج الوجه و الكفين عن الزينة التي يحرم إبداؤها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مروك بن عبيد، لكن فيها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و الكفين</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تقدح </w:t>
      </w:r>
      <w:r>
        <w:rPr>
          <w:rStyle w:val="FootnoteAnchor"/>
          <w:rtl w:val="true"/>
        </w:rPr>
        <w:footnoteReference w:id="109"/>
      </w:r>
      <w:r>
        <w:rPr>
          <w:rFonts w:ascii="Amiri" w:hAnsi="Amiri" w:eastAsia="Amiri" w:cs="Amiri"/>
          <w:color w:val="111111"/>
          <w:sz w:val="28"/>
          <w:sz w:val="28"/>
          <w:szCs w:val="28"/>
          <w:rtl w:val="true"/>
          <w:lang w:bidi="ar-SA"/>
        </w:rPr>
        <w:t xml:space="preserve">، لأنّ طرح بعض الرواية لدليل </w:t>
      </w:r>
      <w:r>
        <w:rPr>
          <w:rStyle w:val="FootnoteAnchor"/>
          <w:rtl w:val="true"/>
        </w:rPr>
        <w:footnoteReference w:id="110"/>
      </w:r>
      <w:r>
        <w:rPr>
          <w:rFonts w:ascii="Amiri" w:hAnsi="Amiri" w:eastAsia="Amiri" w:cs="Amiri"/>
          <w:color w:val="111111"/>
          <w:sz w:val="28"/>
          <w:sz w:val="28"/>
          <w:szCs w:val="28"/>
          <w:rtl w:val="true"/>
          <w:lang w:bidi="ar-SA"/>
        </w:rPr>
        <w:t>لا يسقط باقيها عن درجة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الكفاية عن قرب الإسناد عن الحميري، عن مسعدة </w:t>
      </w:r>
      <w:r>
        <w:rPr>
          <w:rStyle w:val="FootnoteAnchor"/>
          <w:rtl w:val="true"/>
        </w:rPr>
        <w:footnoteReference w:id="111"/>
      </w:r>
      <w:r>
        <w:rPr>
          <w:rFonts w:ascii="Amiri" w:hAnsi="Amiri" w:eastAsia="Amiri" w:cs="Amiri"/>
          <w:color w:val="111111"/>
          <w:sz w:val="28"/>
          <w:sz w:val="28"/>
          <w:szCs w:val="28"/>
          <w:rtl w:val="true"/>
          <w:lang w:bidi="ar-SA"/>
        </w:rPr>
        <w:t>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جعفرا عليه السلام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عما تظهر المرأة من 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و الكفّين</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لم يستبعد صحّته، عن 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ما يصلح له أن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من المرأة التي لا تحلّ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الوجه و الكفّين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التي يقف عليها المتتبّع،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سيجي‌ء في مسألة جواز النظر لمعالجة المريض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سيجي‌ء في جواز سماع صوتها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كراهة القنازع و القصة </w:t>
      </w:r>
      <w:r>
        <w:rPr>
          <w:rStyle w:val="FootnoteAnchor"/>
          <w:rtl w:val="true"/>
        </w:rPr>
        <w:footnoteReference w:id="119"/>
      </w:r>
      <w:r>
        <w:rPr>
          <w:rFonts w:ascii="Amiri" w:hAnsi="Amiri" w:eastAsia="Amiri" w:cs="Amiri"/>
          <w:color w:val="111111"/>
          <w:sz w:val="28"/>
          <w:sz w:val="28"/>
          <w:szCs w:val="28"/>
          <w:rtl w:val="true"/>
          <w:lang w:bidi="ar-SA"/>
        </w:rPr>
        <w:t>و نقش الراحة بالخضاب</w:t>
      </w:r>
    </w:p>
    <w:p>
      <w:pPr>
        <w:pStyle w:val="BookText"/>
        <w:rPr/>
      </w:pPr>
      <w:r>
        <w:rPr>
          <w:rFonts w:ascii="Amiri" w:hAnsi="Amiri" w:eastAsia="Amiri" w:cs="Amiri"/>
          <w:color w:val="111111"/>
          <w:sz w:val="28"/>
          <w:sz w:val="28"/>
          <w:szCs w:val="28"/>
          <w:rtl w:val="true"/>
          <w:lang w:bidi="ar-SA"/>
        </w:rPr>
        <w:t xml:space="preserve">للمرأة، و أنّ نساء بني إسرائيل هلكن بهذه </w:t>
      </w:r>
      <w:r>
        <w:rPr>
          <w:rStyle w:val="FootnoteAnchor"/>
          <w:rtl w:val="true"/>
        </w:rPr>
        <w:footnoteReference w:id="120"/>
      </w:r>
      <w:r>
        <w:rPr>
          <w:rFonts w:ascii="Amiri" w:hAnsi="Amiri" w:eastAsia="Amiri" w:cs="Amiri"/>
          <w:color w:val="111111"/>
          <w:sz w:val="28"/>
          <w:sz w:val="28"/>
          <w:szCs w:val="28"/>
          <w:rtl w:val="true"/>
          <w:lang w:bidi="ar-SA"/>
        </w:rPr>
        <w:t>، إذ لو وجب ستر الوجه و الكفّين كغيرها لم يكره تزيينها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يكره تزيين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دخول جابر مع النبيّ صلّى اللّٰه عليه و آله و سلّم على فاطمة عليها السلام فرأى وجهها أصفر من الجوع فدعا رسول اللّٰه صلّى اللّٰه عليه و آله و سلّم فشبعت و عاد وجهها أحمر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فيما دلّ من أخبار المسألة السابقة </w:t>
      </w:r>
      <w:r>
        <w:rPr>
          <w:rStyle w:val="FootnoteAnchor"/>
          <w:rtl w:val="true"/>
        </w:rPr>
        <w:footnoteReference w:id="122"/>
      </w:r>
      <w:r>
        <w:rPr>
          <w:rFonts w:ascii="Amiri" w:hAnsi="Amiri" w:eastAsia="Amiri" w:cs="Amiri"/>
          <w:color w:val="111111"/>
          <w:sz w:val="28"/>
          <w:sz w:val="28"/>
          <w:szCs w:val="28"/>
          <w:rtl w:val="true"/>
          <w:lang w:bidi="ar-SA"/>
        </w:rPr>
        <w:t xml:space="preserve">على اشتراط جواز النظر بإرادة التزويج ففيه </w:t>
      </w:r>
      <w:r>
        <w:rPr>
          <w:rStyle w:val="FootnoteAnchor"/>
          <w:rtl w:val="true"/>
        </w:rPr>
        <w:footnoteReference w:id="123"/>
      </w:r>
      <w:r>
        <w:rPr>
          <w:rFonts w:ascii="Amiri" w:hAnsi="Amiri" w:eastAsia="Amiri" w:cs="Amiri"/>
          <w:color w:val="111111"/>
          <w:sz w:val="28"/>
          <w:sz w:val="28"/>
          <w:szCs w:val="28"/>
          <w:rtl w:val="true"/>
          <w:lang w:bidi="ar-SA"/>
        </w:rPr>
        <w:t>،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سياق الشرط فيها ليس مفيدا للتعليق كما يظهر بالتأمّل فيها، مع أنّه لو سلم ثبوت المفهوم فقد عرفت أنّ الجواز هناك غير مشروط بما يشترط هنا من عدم قصد اختبار حسن المرأة خلقة و لونا و قبحها و قابليّتها للمعاشرة و المباشرة و عدمها، و لا شكّ أنّ النظر بهذا القصد معلّق على إرادة التزويج، مع أنّ الجواز هناك أريد به 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الأعم</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و هو معلّق على إرادة التزويج</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أنّ في الأخبار التي ذكرناها كفاية في الخروج عن ظاهر المفهوم بحمل البأس في المفهوم على الكراهة، بل لعلّه ليس مخالفا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سهم من سهام إبليس</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فلأنّه ظاهر فيما كان عن شهوة كما لا يخفى، و كذا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زنى العين النظر</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و يشهد له </w:t>
      </w:r>
      <w:r>
        <w:rPr>
          <w:rStyle w:val="FootnoteAnchor"/>
          <w:rtl w:val="true"/>
        </w:rPr>
        <w:footnoteReference w:id="127"/>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زنا الفم القبلة</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فإنّها لا تكون إلّا عن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نظرة أورثت حسرة</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فلأنّه على وجه الإيجاب الجزئي، و لا يجدي في ما نحن فيه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في المكاتبة </w:t>
      </w:r>
      <w:r>
        <w:rPr>
          <w:rStyle w:val="FootnoteAnchor"/>
          <w:rtl w:val="true"/>
        </w:rPr>
        <w:footnoteReference w:id="131"/>
      </w:r>
      <w:r>
        <w:rPr>
          <w:rFonts w:ascii="Amiri" w:hAnsi="Amiri" w:eastAsia="Amiri" w:cs="Amiri"/>
          <w:color w:val="111111"/>
          <w:sz w:val="28"/>
          <w:sz w:val="28"/>
          <w:szCs w:val="28"/>
          <w:rtl w:val="true"/>
          <w:lang w:bidi="ar-SA"/>
        </w:rPr>
        <w:t>، فلعدم دلالتها على وجوب التنقّب أوّلا، و احتمال كون الأمر بالتنقّب من جهة إباء المرأة عن التكشّف لكونها متستّرة مستحيية عن أن تبرز للرجال، فإنّ ذلك ممّا يشقّ على كثير من النساء، و إن كان جائزا، إذ ربّ جائز يشقّ من جهة الغيرة و المروّة، فإنّك قد عرفت جواز النظر إلى وجه من يراد تزويجها و كفّيها اتّفاقا، مع أنّ هذا شاقّ على كثير من النسوان و أهليهنّ سيّما الأبكار من أولي الأخطار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أنّه لمّا قال أبو حنيفة لمؤمن الطاق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تحلّ المتعة، فلم لا ترخص نساءك أن يتمتّعن و يكتسبن؟ فقال له مؤمن الطاق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الصناعات يرغب فيها</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 ما روي أنّ أمير المؤمنين عليه السلام قال لأهل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نبّئت أنّ نساءكم يدافعن الرجال في الطريق أما تستحيون؟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و في حديث آخر إنّ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تستحيون و لا تغارون، نساؤكم يخرجن إلى الأسواق و يزاحمن العلوج</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 جائز يقتضي الحياء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يظهر وجه النظر فيما ادّعي من جريان السيرة على منع النساء من أن يخرجن سافرات، إذ لا يخفى أنّ هذا المنع ليس بآكد من منع تكشّفهنّ لمن يريد تزويجهنّ، بل هذا آكد </w:t>
      </w:r>
      <w:r>
        <w:rPr>
          <w:rStyle w:val="FootnoteAnchor"/>
          <w:rtl w:val="true"/>
        </w:rPr>
        <w:footnoteReference w:id="136"/>
      </w:r>
      <w:r>
        <w:rPr>
          <w:rFonts w:ascii="Amiri" w:hAnsi="Amiri" w:eastAsia="Amiri" w:cs="Amiri"/>
          <w:color w:val="111111"/>
          <w:sz w:val="28"/>
          <w:sz w:val="28"/>
          <w:szCs w:val="28"/>
          <w:rtl w:val="true"/>
          <w:lang w:bidi="ar-SA"/>
        </w:rPr>
        <w:t>بمراتب شتّى، فإن أريد أنّ سيرة العلماء على منعهنّ،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تمسّك بالإجماع في محلّ النزاع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يظهر العجب من بعض المعاصرين حيث ادّعى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ترجيح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التطلّع على النساء المتستّرات من المنكرات</w:t>
      </w:r>
    </w:p>
    <w:p>
      <w:pPr>
        <w:pStyle w:val="BookText"/>
        <w:rPr/>
      </w:pPr>
      <w:r>
        <w:rPr>
          <w:rFonts w:ascii="Amiri" w:hAnsi="Amiri" w:eastAsia="Amiri" w:cs="Amiri"/>
          <w:color w:val="111111"/>
          <w:sz w:val="28"/>
          <w:sz w:val="28"/>
          <w:szCs w:val="28"/>
          <w:rtl w:val="true"/>
          <w:lang w:bidi="ar-SA"/>
        </w:rPr>
        <w:t xml:space="preserve">في دين الإسلام </w:t>
      </w:r>
      <w:r>
        <w:rPr>
          <w:rStyle w:val="FootnoteAnchor"/>
          <w:rtl w:val="true"/>
        </w:rPr>
        <w:footnoteReference w:id="13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جواز النظر إلى من يريد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النظر إلى جميع جسدها </w:t>
      </w:r>
      <w:r>
        <w:rPr>
          <w:rStyle w:val="FootnoteAnchor"/>
          <w:rtl w:val="true"/>
        </w:rPr>
        <w:footnoteReference w:id="138"/>
      </w:r>
      <w:r>
        <w:rPr>
          <w:rFonts w:ascii="Amiri" w:hAnsi="Amiri" w:eastAsia="Amiri" w:cs="Amiri"/>
          <w:color w:val="111111"/>
          <w:sz w:val="28"/>
          <w:sz w:val="28"/>
          <w:szCs w:val="28"/>
          <w:rtl w:val="true"/>
          <w:lang w:bidi="ar-SA"/>
        </w:rPr>
        <w:t>، فيا ليت شعري التطلّع إلى جسد المرأة الباكرة المخدّرة من اولي الخطر بغير اطّلاعها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لاختبار خلقتها و لونها و قابليّتها للأمور المطلوبة من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عند الناس إذا اطّلعوا على تطلّعه عليها لأجل الاختبار، أم تطلّعه على وجهها لا لقصد الاختبار المذكور، بل لأجل معاملة أو غرض آخر مع عدم قصد التلذّذ و عدم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الإنكار في المقامين إلّا لأجل الغيرة و الاستحياء إذا كانت المرأة من أولي الأخطار و ذوات الأستار و سكنة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فيما ذكره من أنّ النظر مظنّة الشهوة </w:t>
      </w:r>
      <w:r>
        <w:rPr>
          <w:rStyle w:val="FootnoteAnchor"/>
          <w:rtl w:val="true"/>
        </w:rPr>
        <w:footnoteReference w:id="139"/>
      </w:r>
      <w:r>
        <w:rPr>
          <w:rFonts w:ascii="Amiri" w:hAnsi="Amiri" w:eastAsia="Amiri" w:cs="Amiri"/>
          <w:color w:val="111111"/>
          <w:sz w:val="28"/>
          <w:sz w:val="28"/>
          <w:szCs w:val="28"/>
          <w:rtl w:val="true"/>
          <w:lang w:bidi="ar-SA"/>
        </w:rPr>
        <w:t>و وقوع الفتنة،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المعهود من الشارع حسم الباب في أمثال هذه المظان بالحكم بالكراهة دون التحريم كما يعلم بالتتبّع في الأحكام الشرعية، مع أنّ هذا استحسان </w:t>
      </w:r>
      <w:r>
        <w:rPr>
          <w:rStyle w:val="FootnoteAnchor"/>
          <w:rtl w:val="true"/>
        </w:rPr>
        <w:footnoteReference w:id="140"/>
      </w:r>
      <w:r>
        <w:rPr>
          <w:rFonts w:ascii="IRNazanin" w:hAnsi="IRNazanin" w:eastAsia="IRNazanin"/>
          <w:color w:val="111111"/>
          <w:sz w:val="28"/>
          <w:sz w:val="28"/>
          <w:szCs w:val="28"/>
          <w:rtl w:val="true"/>
          <w:lang w:bidi="fa-IR"/>
        </w:rPr>
        <w:t>لا نقول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خبر الخثعميّة </w:t>
      </w:r>
      <w:r>
        <w:rPr>
          <w:rStyle w:val="FootnoteAnchor"/>
          <w:rtl w:val="true"/>
        </w:rPr>
        <w:footnoteReference w:id="141"/>
      </w:r>
      <w:r>
        <w:rPr>
          <w:rFonts w:ascii="IRNazanin" w:hAnsi="IRNazanin" w:eastAsia="IRNazanin"/>
          <w:color w:val="111111"/>
          <w:sz w:val="28"/>
          <w:sz w:val="28"/>
          <w:szCs w:val="28"/>
          <w:rtl w:val="true"/>
          <w:lang w:bidi="fa-IR"/>
        </w:rPr>
        <w:t xml:space="preserve">فهو على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أدلّ</w:t>
      </w:r>
      <w:r>
        <w:rPr>
          <w:rFonts w:eastAsia="IRNazanin" w:cs="IRNazanin"/>
          <w:color w:val="111111"/>
          <w:sz w:val="28"/>
          <w:szCs w:val="28"/>
          <w:rtl w:val="true"/>
          <w:lang w:bidi="fa-IR"/>
        </w:rPr>
        <w:t xml:space="preserve">] </w:t>
      </w:r>
      <w:r>
        <w:rPr>
          <w:rStyle w:val="FootnoteAnchor"/>
          <w:rtl w:val="true"/>
        </w:rPr>
        <w:footnoteReference w:id="142"/>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الأخبار المجوّزة مطلقة، فتشمل النظرة الاولى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من خصّ الجواز بالأولى بأدلّة ضعيفة لا تنهض لتقييد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قد عرفت أنّ النظر إذا كان بقصد التلذّذ فهو حرام إجماعا </w:t>
      </w:r>
      <w:r>
        <w:rPr>
          <w:rStyle w:val="FootnoteAnchor"/>
          <w:rtl w:val="true"/>
        </w:rPr>
        <w:footnoteReference w:id="143"/>
      </w:r>
      <w:r>
        <w:rPr>
          <w:rFonts w:ascii="Amiri" w:hAnsi="Amiri" w:eastAsia="Amiri" w:cs="Amiri"/>
          <w:color w:val="111111"/>
          <w:sz w:val="28"/>
          <w:sz w:val="28"/>
          <w:szCs w:val="28"/>
          <w:rtl w:val="true"/>
          <w:lang w:bidi="ar-SA"/>
        </w:rPr>
        <w:t xml:space="preserve">، كما ادّعاه غير واحد </w:t>
      </w:r>
      <w:r>
        <w:rPr>
          <w:rStyle w:val="FootnoteAnchor"/>
          <w:rtl w:val="true"/>
        </w:rPr>
        <w:footnoteReference w:id="144"/>
      </w:r>
      <w:r>
        <w:rPr>
          <w:rFonts w:ascii="Amiri" w:hAnsi="Amiri" w:eastAsia="Amiri" w:cs="Amiri"/>
          <w:color w:val="111111"/>
          <w:sz w:val="28"/>
          <w:sz w:val="28"/>
          <w:szCs w:val="28"/>
          <w:rtl w:val="true"/>
          <w:lang w:bidi="ar-SA"/>
        </w:rPr>
        <w:t>، و عليه أو على خوف الفتنة يحمل ما ورد من ذمّ النظر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يقصد به التلذّذ و لكن علم بحصول اللذّة بالنظر، أو لم يعلم به، و لكن تلذّذ في أثناء النظر، فهل يجب الكفّ، أم لا؟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لإطلاق الأدلّة، و لأنّ النظر إلى حسان الوجوه من الذكور و الإناث لا ينفكّ عن التلذذ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الطبيعة البشرية المجبولة على ملاءمة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حرم النظر مع حصول التلذذ لوجب استثناء النظر إلى حسان الوجوه مع أنّه لا قائل بالفصل بينهم و بين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ما رواه في الكافي عن عليّ بن سويد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مبتلى بالنظر إلى المرأة الجميلة، فيعجبني النظر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يا علي </w:t>
      </w:r>
      <w:r>
        <w:rPr>
          <w:rStyle w:val="FootnoteAnchor"/>
          <w:rtl w:val="true"/>
        </w:rPr>
        <w:footnoteReference w:id="145"/>
      </w:r>
      <w:r>
        <w:rPr>
          <w:rFonts w:ascii="Amiri" w:hAnsi="Amiri" w:eastAsia="Amiri" w:cs="Amiri"/>
          <w:color w:val="111111"/>
          <w:sz w:val="28"/>
          <w:sz w:val="28"/>
          <w:szCs w:val="28"/>
          <w:rtl w:val="true"/>
          <w:lang w:bidi="ar-SA"/>
        </w:rPr>
        <w:t>إذا عرف اللّٰه من نيّتك الصدق، و إيّاك و الزنى فإنّه يمحق البركة و يذهب بالدين</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مراد السائل أنّه كثيرا ما يتّفق له الابتلاء بالنظر إلى المرأة</w:t>
      </w:r>
    </w:p>
    <w:p>
      <w:pPr>
        <w:pStyle w:val="BookText"/>
        <w:rPr/>
      </w:pPr>
      <w:r>
        <w:rPr>
          <w:rFonts w:ascii="Amiri" w:hAnsi="Amiri" w:eastAsia="Amiri" w:cs="Amiri"/>
          <w:color w:val="111111"/>
          <w:sz w:val="28"/>
          <w:sz w:val="28"/>
          <w:szCs w:val="28"/>
          <w:rtl w:val="true"/>
          <w:lang w:bidi="ar-SA"/>
        </w:rPr>
        <w:t>الجميلة، و أنّه حين النظر إليها و المكالمة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لمعاملة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يتلذّذ بالنظر لمكان حسنها، و لعلّ ذلك من جهة كون الراوي من أهل الصنائع و الحرف التي يكثر مخالطتهم للنساء كالصائغ و البزّاز حيث يكثر تردّد النساء إليهم، سيّما نساء البوادي اللاتي لا يتسترن، فسأل عن أنّه يجب الكف عن النظر عند التلذّذ أم لا؟ فأجاب عليه السلام بأنّه لا بأس بذلك إذا علم اللّٰه من قصدك مطابقة ما تظهره من أنّ نظرك ليس لمجرّد التلذّذ حيث عبّرت عن مخالطتك معهنّ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بالابتلاء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أنّك كاره لإعجابك الحاصل حين النظر، ثم حذّره عن الزنى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الرواية بعض من عاصرناه </w:t>
      </w:r>
      <w:r>
        <w:rPr>
          <w:rStyle w:val="FootnoteAnchor"/>
          <w:rtl w:val="true"/>
        </w:rPr>
        <w:footnoteReference w:id="147"/>
      </w:r>
      <w:r>
        <w:rPr>
          <w:rFonts w:ascii="Amiri" w:hAnsi="Amiri" w:eastAsia="Amiri" w:cs="Amiri"/>
          <w:color w:val="111111"/>
          <w:sz w:val="28"/>
          <w:sz w:val="28"/>
          <w:szCs w:val="28"/>
          <w:rtl w:val="true"/>
          <w:lang w:bidi="ar-SA"/>
        </w:rPr>
        <w:t>على النظرة الاتفاقيّة و حصول الإعجاب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اللذّة بعد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علم اللّٰه منك الصدق،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لم تتعمّد النظر،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بعد هذا الحمل بل الظاهر ما ذكرنا من معنى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ينافي هذا الخبر ما رواه في الكافي في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بن عبد اللّٰه،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يسلّم على النساء و يرددن عليه، و كان أمير المؤمنين عليه السلام يسلّم على النساء، و كان يكره أن يسلّم على الشابّة منهنّ،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أتخوّف أن يعجبني صوتها فيدخل عليّ </w:t>
      </w:r>
      <w:r>
        <w:rPr>
          <w:rStyle w:val="FootnoteAnchor"/>
          <w:rtl w:val="true"/>
        </w:rPr>
        <w:footnoteReference w:id="148"/>
      </w:r>
      <w:r>
        <w:rPr>
          <w:rFonts w:ascii="Amiri" w:hAnsi="Amiri" w:eastAsia="Amiri" w:cs="Amiri"/>
          <w:color w:val="111111"/>
          <w:sz w:val="28"/>
          <w:sz w:val="28"/>
          <w:szCs w:val="28"/>
          <w:rtl w:val="true"/>
          <w:lang w:bidi="ar-SA"/>
        </w:rPr>
        <w:t>أكثر مما طلبت من الأجر</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الرواية على أنّه عليه السلام كان يكره التسليم عليهنّ لاحتمال التلذّذ بصوتهنّ، فصورة العلم بالتلذّذ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بالمراعاة، إلّا أنّ حمله على الكراهة ممّا لا غائلة فيه، خصوصا بعد جعله التقابل بين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يرد عليه من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 السلام المستحب، و إن كان الوارد على ذلك أكثر، لكن لا تبلغ درجة الحرمة، فتدبر</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أنّه قد فسّرت الريبة في المسالك </w:t>
      </w:r>
      <w:r>
        <w:rPr>
          <w:rStyle w:val="FootnoteAnchor"/>
          <w:rtl w:val="true"/>
        </w:rPr>
        <w:footnoteReference w:id="151"/>
      </w:r>
      <w:r>
        <w:rPr>
          <w:rFonts w:ascii="Amiri" w:hAnsi="Amiri" w:eastAsia="Amiri" w:cs="Amiri"/>
          <w:color w:val="111111"/>
          <w:sz w:val="28"/>
          <w:sz w:val="28"/>
          <w:szCs w:val="28"/>
          <w:rtl w:val="true"/>
          <w:lang w:bidi="ar-SA"/>
        </w:rPr>
        <w:t xml:space="preserve">و غيره </w:t>
      </w:r>
      <w:r>
        <w:rPr>
          <w:rStyle w:val="FootnoteAnchor"/>
          <w:rtl w:val="true"/>
        </w:rPr>
        <w:footnoteReference w:id="152"/>
      </w:r>
      <w:r>
        <w:rPr>
          <w:rFonts w:ascii="Amiri" w:hAnsi="Amiri" w:eastAsia="Amiri" w:cs="Amiri"/>
          <w:color w:val="111111"/>
          <w:sz w:val="28"/>
          <w:sz w:val="28"/>
          <w:szCs w:val="28"/>
          <w:rtl w:val="true"/>
          <w:lang w:bidi="ar-SA"/>
        </w:rPr>
        <w:t>بخوف الوقوع في المحرّم، و جعل خوف الافتتان عبارة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يخطر بالبال عند النظر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فعل الحرام مع المنظور إليه، من الزنى و التقبيل و نحوهما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حرمة النظر مع الريبة، سواء فسرت بخوف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الوقوع في الحرام، أو</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بخوف الافتتان، أو خطور ما يخطر في البال </w:t>
      </w:r>
      <w:r>
        <w:rPr>
          <w:rStyle w:val="FootnoteAnchor"/>
          <w:rtl w:val="true"/>
        </w:rPr>
        <w:footnoteReference w:id="155"/>
      </w:r>
      <w:r>
        <w:rPr>
          <w:rFonts w:ascii="Amiri" w:hAnsi="Amiri" w:eastAsia="Amiri" w:cs="Amiri"/>
          <w:color w:val="111111"/>
          <w:sz w:val="28"/>
          <w:sz w:val="28"/>
          <w:szCs w:val="28"/>
          <w:rtl w:val="true"/>
          <w:lang w:bidi="ar-SA"/>
        </w:rPr>
        <w:t>من قبائح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فظاهر، و أمّا الثاني و الثالث فلأنّ فيهما الفساد المنهي</w:t>
      </w:r>
    </w:p>
    <w:p>
      <w:pPr>
        <w:pStyle w:val="BookText"/>
        <w:rPr/>
      </w:pPr>
      <w:r>
        <w:rPr>
          <w:rFonts w:ascii="Amiri" w:hAnsi="Amiri" w:eastAsia="Amiri" w:cs="Amiri"/>
          <w:color w:val="111111"/>
          <w:sz w:val="28"/>
          <w:sz w:val="28"/>
          <w:szCs w:val="28"/>
          <w:rtl w:val="true"/>
          <w:lang w:bidi="ar-SA"/>
        </w:rPr>
        <w:t xml:space="preserve">عنه، و ما تقدّم من صرف النبي صلّى اللّٰه عليه و آله وجه ابن العبّاس عن الخثعمية معلّلا بخوف دخول الشيطان بينهما يشمل كلّ واحد من المعاني الثلاثة، فيصلح دليلا لحرمة النظر مع الريبة </w:t>
      </w:r>
      <w:r>
        <w:rPr>
          <w:rStyle w:val="FootnoteAnchor"/>
          <w:rtl w:val="true"/>
        </w:rPr>
        <w:footnoteReference w:id="156"/>
      </w:r>
      <w:r>
        <w:rPr>
          <w:rFonts w:ascii="Amiri" w:hAnsi="Amiri" w:eastAsia="Amiri" w:cs="Amiri"/>
          <w:color w:val="111111"/>
          <w:sz w:val="28"/>
          <w:sz w:val="28"/>
          <w:szCs w:val="28"/>
          <w:rtl w:val="true"/>
          <w:lang w:bidi="ar-SA"/>
        </w:rPr>
        <w:t xml:space="preserve">مطلقا، لأنّها بأي معنى كانت </w:t>
      </w:r>
      <w:r>
        <w:rPr>
          <w:rStyle w:val="FootnoteAnchor"/>
          <w:rtl w:val="true"/>
        </w:rPr>
        <w:footnoteReference w:id="157"/>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استثناها المصنّف قدّس سرّه من تحريم النظر إلى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الحاجة المضطرّ إليها </w:t>
      </w:r>
      <w:r>
        <w:rPr>
          <w:rStyle w:val="FootnoteAnchor"/>
          <w:rtl w:val="true"/>
        </w:rPr>
        <w:footnoteReference w:id="158"/>
      </w:r>
      <w:r>
        <w:rPr>
          <w:rFonts w:ascii="Amiri" w:hAnsi="Amiri" w:eastAsia="Amiri" w:cs="Amiri"/>
          <w:color w:val="111111"/>
          <w:sz w:val="28"/>
          <w:sz w:val="28"/>
          <w:szCs w:val="28"/>
          <w:rtl w:val="true"/>
          <w:lang w:bidi="ar-SA"/>
        </w:rPr>
        <w:t>دون مطلق الحاجة، و إلّا فالنظر غالبا لا يكون إلّا لحاجة، مع أنّ مطلق الحاجة لا دليل على تسويغها للنظر المحرّم، و إنّما المسوغ هي الضرورة بحكم العقل و النقل، و للضرورة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فيجوز للطبيب أن ينظر إلى عورة الأجنبيّة فضلا عن سائر مواضع جسدها، للعمومات الدالّة على إباحة الضرورات للمحظورات </w:t>
      </w:r>
      <w:r>
        <w:rPr>
          <w:rStyle w:val="FootnoteAnchor"/>
          <w:rtl w:val="true"/>
        </w:rPr>
        <w:footnoteReference w:id="159"/>
      </w:r>
      <w:r>
        <w:rPr>
          <w:rFonts w:ascii="Amiri" w:hAnsi="Amiri" w:eastAsia="Amiri" w:cs="Amiri"/>
          <w:color w:val="111111"/>
          <w:sz w:val="28"/>
          <w:sz w:val="28"/>
          <w:szCs w:val="28"/>
          <w:rtl w:val="true"/>
          <w:lang w:bidi="ar-SA"/>
        </w:rPr>
        <w:t>، و خصوص صحيحة الثمالي، عن أبي جعفر عليه السلام،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المسلمة يصيبها البلاء في جسدها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كسر و إمّا 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لا يصلح النظر إليه، و يكون الرجل أرفق بعلاجه من النساء،</w:t>
      </w:r>
    </w:p>
    <w:p>
      <w:pPr>
        <w:pStyle w:val="BookText"/>
        <w:rPr/>
      </w:pPr>
      <w:r>
        <w:rPr>
          <w:rFonts w:ascii="Amiri" w:hAnsi="Amiri" w:eastAsia="Amiri" w:cs="Amiri"/>
          <w:color w:val="111111"/>
          <w:sz w:val="28"/>
          <w:sz w:val="28"/>
          <w:szCs w:val="28"/>
          <w:rtl w:val="true"/>
          <w:lang w:bidi="ar-SA"/>
        </w:rPr>
        <w:t xml:space="preserve">أ يصلح له أن ينظرها </w:t>
      </w:r>
      <w:r>
        <w:rPr>
          <w:rStyle w:val="FootnoteAnchor"/>
          <w:rtl w:val="true"/>
        </w:rPr>
        <w:footnoteReference w:id="1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اضطرّت إليه فليعالجها إن شاءت</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في هذه الصحيحة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النظر إلى المرأة في الجملة، و ليس إلّا الوجه و الكفين، للإجماع على المنع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الشهادة على المرأة، و تحمّل الشهادة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Style w:val="FootnoteAnchor"/>
          <w:rtl w:val="true"/>
        </w:rPr>
        <w:footnoteReference w:id="162"/>
      </w:r>
      <w:r>
        <w:rPr>
          <w:rFonts w:ascii="Amiri" w:hAnsi="Amiri" w:eastAsia="Amiri" w:cs="Amiri"/>
          <w:color w:val="111111"/>
          <w:sz w:val="28"/>
          <w:sz w:val="28"/>
          <w:szCs w:val="28"/>
          <w:rtl w:val="true"/>
          <w:lang w:bidi="ar-SA"/>
        </w:rPr>
        <w:t>توقف إنقاذها من مهلكة أو مضرّة على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استثني من الكلّية أيضا مواضع أخر غير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جواز النظر إلى من يراد </w:t>
      </w:r>
      <w:r>
        <w:rPr>
          <w:rStyle w:val="FootnoteAnchor"/>
          <w:rtl w:val="true"/>
        </w:rPr>
        <w:footnoteReference w:id="163"/>
      </w:r>
      <w:r>
        <w:rPr>
          <w:rFonts w:ascii="Amiri" w:hAnsi="Amiri" w:eastAsia="Amiri" w:cs="Amiri"/>
          <w:color w:val="111111"/>
          <w:sz w:val="28"/>
          <w:sz w:val="28"/>
          <w:szCs w:val="28"/>
          <w:rtl w:val="true"/>
          <w:lang w:bidi="ar-SA"/>
        </w:rPr>
        <w:t>تزويجها أو شراؤها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فرج الزانيين، ليشهد عليهما بالزنى </w:t>
      </w:r>
      <w:r>
        <w:rPr>
          <w:rStyle w:val="FootnoteAnchor"/>
          <w:rtl w:val="true"/>
        </w:rPr>
        <w:footnoteReference w:id="164"/>
      </w:r>
      <w:r>
        <w:rPr>
          <w:rFonts w:ascii="Amiri" w:hAnsi="Amiri" w:eastAsia="Amiri" w:cs="Amiri"/>
          <w:color w:val="111111"/>
          <w:sz w:val="28"/>
          <w:sz w:val="28"/>
          <w:szCs w:val="28"/>
          <w:rtl w:val="true"/>
          <w:lang w:bidi="ar-SA"/>
        </w:rPr>
        <w:t xml:space="preserve">عند الحاكم، جوّزه المصنف في القواعد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عن إشكال، لأنّ وجوب الشهادة مشروط بالمشاهدة، و لا دليل على الإذن في تحصيلها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حصلت اضطرارا وجبت الشهادة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Style w:val="FootnoteAnchor"/>
          <w:rtl w:val="true"/>
        </w:rPr>
        <w:footnoteReference w:id="166"/>
      </w:r>
      <w:r>
        <w:rPr>
          <w:rFonts w:ascii="Amiri" w:hAnsi="Amiri" w:eastAsia="Amiri" w:cs="Amiri"/>
          <w:color w:val="111111"/>
          <w:sz w:val="28"/>
          <w:sz w:val="28"/>
          <w:szCs w:val="28"/>
          <w:rtl w:val="true"/>
          <w:lang w:bidi="ar-SA"/>
        </w:rPr>
        <w:t>لو دعت الحاجة إلى شهادة الرجال بالولادة، فقد جوّز النظر حينئذ إلى فرج المرأة لتشهد بالولادة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كانت المنظورة عجوزة </w:t>
      </w:r>
      <w:r>
        <w:rPr>
          <w:rStyle w:val="FootnoteAnchor"/>
          <w:rtl w:val="true"/>
        </w:rPr>
        <w:footnoteReference w:id="167"/>
      </w:r>
      <w:r>
        <w:rPr>
          <w:rFonts w:ascii="Amiri" w:hAnsi="Amiri" w:eastAsia="Amiri" w:cs="Amiri"/>
          <w:color w:val="111111"/>
          <w:sz w:val="28"/>
          <w:sz w:val="28"/>
          <w:szCs w:val="28"/>
          <w:rtl w:val="true"/>
          <w:lang w:bidi="ar-SA"/>
        </w:rPr>
        <w:t>قد يئست من النكاح لكبر سنّها، و ليست مظنّة للشهوة،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عَلَيْهِنَّ جُنٰاحٌ أَنْ يَضَعْنَ ثِيٰابَهُنَّ </w:t>
      </w:r>
      <w:r>
        <w:rPr>
          <w:rStyle w:val="FootnoteAnchor"/>
          <w:rtl w:val="true"/>
        </w:rPr>
        <w:footnoteReference w:id="168"/>
      </w:r>
      <w:r>
        <w:rPr>
          <w:rFonts w:ascii="Amiri" w:hAnsi="Amiri" w:eastAsia="Amiri" w:cs="Amiri"/>
          <w:color w:val="111111"/>
          <w:sz w:val="28"/>
          <w:sz w:val="28"/>
          <w:szCs w:val="28"/>
          <w:rtl w:val="true"/>
          <w:lang w:bidi="ar-SA"/>
        </w:rPr>
        <w:t xml:space="preserve">، و الثياب الموضوعة قد فسّرت في حسنتي الحلبي </w:t>
      </w:r>
      <w:r>
        <w:rPr>
          <w:rStyle w:val="FootnoteAnchor"/>
          <w:rtl w:val="true"/>
        </w:rPr>
        <w:footnoteReference w:id="169"/>
      </w:r>
      <w:r>
        <w:rPr>
          <w:rFonts w:ascii="Amiri" w:hAnsi="Amiri" w:eastAsia="Amiri" w:cs="Amiri"/>
          <w:color w:val="111111"/>
          <w:sz w:val="28"/>
          <w:sz w:val="28"/>
          <w:szCs w:val="28"/>
          <w:rtl w:val="true"/>
          <w:lang w:bidi="ar-SA"/>
        </w:rPr>
        <w:t xml:space="preserve">و حريز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بالخمار و الجلباب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يظهر من صحيحة ابن مسلم </w:t>
      </w:r>
      <w:r>
        <w:rPr>
          <w:rStyle w:val="FootnoteAnchor"/>
          <w:rtl w:val="true"/>
        </w:rPr>
        <w:footnoteReference w:id="171"/>
      </w:r>
      <w:r>
        <w:rPr>
          <w:rFonts w:ascii="Amiri" w:hAnsi="Amiri" w:eastAsia="Amiri" w:cs="Amiri"/>
          <w:color w:val="111111"/>
          <w:sz w:val="28"/>
          <w:sz w:val="28"/>
          <w:szCs w:val="28"/>
          <w:rtl w:val="true"/>
          <w:lang w:bidi="ar-SA"/>
        </w:rPr>
        <w:t xml:space="preserve">و حسنة ابن أبي حمزة </w:t>
      </w:r>
      <w:r>
        <w:rPr>
          <w:rStyle w:val="FootnoteAnchor"/>
          <w:rtl w:val="true"/>
        </w:rPr>
        <w:footnoteReference w:id="172"/>
      </w:r>
      <w:r>
        <w:rPr>
          <w:rFonts w:ascii="IRNazanin" w:hAnsi="IRNazanin" w:eastAsia="IRNazanin"/>
          <w:color w:val="111111"/>
          <w:sz w:val="28"/>
          <w:sz w:val="28"/>
          <w:szCs w:val="28"/>
          <w:rtl w:val="true"/>
          <w:lang w:bidi="fa-IR"/>
        </w:rPr>
        <w:t>اختصاصه بالجلباب وحده، و لعلّه محمول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وضع الخمار و الجلباب يستلزم جواز كشف الشعر و الذراع و نحوهما ممّا هو معتاد الظهور عند وضع الخمار و الجلباب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المنظورة غير بالغة، فيجوز للرجل النظر إليها، للأصل، و صحيحة البجلي المروية في 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عليه السلام عن الجارية التي لم تدرك متى ينبغي لها أن تغطّي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رأسها ممّن</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ليس بينها و بينه محرم، و متى يجب عليها أن تقنع رأسها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تغطّي رأسها حتى تحرم عليها الصلاة</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يعني حتى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البزنطي المحكية عن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يؤخذ الغلام بالصلاة و هو ابن سبع </w:t>
      </w:r>
      <w:r>
        <w:rPr>
          <w:rStyle w:val="FootnoteAnchor"/>
          <w:rtl w:val="true"/>
        </w:rPr>
        <w:footnoteReference w:id="175"/>
      </w:r>
      <w:r>
        <w:rPr>
          <w:rFonts w:ascii="Amiri" w:hAnsi="Amiri" w:eastAsia="Amiri" w:cs="Amiri"/>
          <w:color w:val="111111"/>
          <w:sz w:val="28"/>
          <w:sz w:val="28"/>
          <w:szCs w:val="28"/>
          <w:rtl w:val="true"/>
          <w:lang w:bidi="ar-SA"/>
        </w:rPr>
        <w:t>، و لا تغطّي المرأة شعرها منه حتّى يحتلم</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المحكية عن قرب الإسناد عن ابن عيسى </w:t>
      </w:r>
      <w:r>
        <w:rPr>
          <w:rStyle w:val="FootnoteAnchor"/>
          <w:rtl w:val="true"/>
        </w:rPr>
        <w:footnoteReference w:id="177"/>
      </w:r>
      <w:r>
        <w:rPr>
          <w:rFonts w:ascii="Amiri" w:hAnsi="Amiri" w:eastAsia="Amiri" w:cs="Amiri"/>
          <w:color w:val="111111"/>
          <w:sz w:val="28"/>
          <w:sz w:val="28"/>
          <w:szCs w:val="28"/>
          <w:rtl w:val="true"/>
          <w:lang w:bidi="ar-SA"/>
        </w:rPr>
        <w:t xml:space="preserve">عن البزنطي عن الرضا عليه السلام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هاتان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الروايتان</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و إن دلّتا على جواز تكشّف المرأة عند الصبيّ، إلّا أنّهما تدلّان على جواز نظر الرجل إلى الصبيّة،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خصّ السائل و المعصوم عليه السلام التغطية بالشعر و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إلى جواز كشف الوجه، و إلّا لم يحتج إلى ذكر الشعر و الرأس </w:t>
      </w:r>
      <w:r>
        <w:rPr>
          <w:rStyle w:val="FootnoteAnchor"/>
          <w:rtl w:val="true"/>
        </w:rPr>
        <w:footnoteReference w:id="180"/>
      </w:r>
      <w:r>
        <w:rPr>
          <w:rFonts w:ascii="Amiri" w:hAnsi="Amiri" w:eastAsia="Amiri" w:cs="Amiri"/>
          <w:color w:val="111111"/>
          <w:sz w:val="28"/>
          <w:sz w:val="28"/>
          <w:szCs w:val="28"/>
          <w:rtl w:val="true"/>
          <w:lang w:bidi="ar-SA"/>
        </w:rPr>
        <w:t>، لأنّه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تخصيصا في مورد التعميم، بل كان ينبغي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تغطي المرأة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ذكر المتعلّق</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جواز النظر إلى الصبيّة مشروط بعدم الوصفين السابقين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التلذّذ و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معهما، و مع مظنتهما يكره، و لذا ورد في الأخبار النهي عن تقبيل الصغيرة البالغة ستّ سنين و وضعها في الحجر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النهي عن تقبيل الصبي البالغ سبع سنين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ما ذكر حكم نظر البالغ إلى الأجنبيّة، و أمّا نظر غير البالغ إليها، فإن كان غير مميّز، فلا يجب التستر عنه إجماعا، لقوله تعالى أَوِ الطِّفْلِ الَّذِينَ لَمْ يَظْهَرُوا عَلىٰ عَوْرٰاتِ النِّسٰاءِ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كان مميزا بحيث يترتّب على نظره ثوران الشهوة أو التشوّق، فقد نسب </w:t>
      </w:r>
      <w:r>
        <w:rPr>
          <w:rStyle w:val="FootnoteAnchor"/>
          <w:rtl w:val="true"/>
        </w:rPr>
        <w:footnoteReference w:id="182"/>
      </w:r>
      <w:r>
        <w:rPr>
          <w:rFonts w:ascii="Amiri" w:hAnsi="Amiri" w:eastAsia="Amiri" w:cs="Amiri"/>
          <w:color w:val="111111"/>
          <w:sz w:val="28"/>
          <w:sz w:val="28"/>
          <w:szCs w:val="28"/>
          <w:rtl w:val="true"/>
          <w:lang w:bidi="ar-SA"/>
        </w:rPr>
        <w:t xml:space="preserve">إلى الأصحاب جعله كالبالغ، و يجب على الوليّ منعه عن النظر، و على الأجنبيّة الاستتار منه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ثوران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ترتبه فعلا على النظر، فلا كلام في التحريم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به أن يكون من شأنه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يترتّب فعلا على </w:t>
      </w:r>
      <w:r>
        <w:rPr>
          <w:rStyle w:val="FootnoteAnchor"/>
          <w:rtl w:val="true"/>
        </w:rPr>
        <w:footnoteReference w:id="184"/>
      </w:r>
      <w:r>
        <w:rPr>
          <w:rFonts w:ascii="Amiri" w:hAnsi="Amiri" w:eastAsia="Amiri" w:cs="Amiri"/>
          <w:color w:val="111111"/>
          <w:sz w:val="28"/>
          <w:sz w:val="28"/>
          <w:szCs w:val="28"/>
          <w:rtl w:val="true"/>
          <w:lang w:bidi="ar-SA"/>
        </w:rPr>
        <w:t xml:space="preserve">النظر، ففي وجوب منعه على الولي و وجوب التستّر عنه على المرأة نظر، لعدم الدليل، بل قد عرفت أنّ الصحيحتين </w:t>
      </w:r>
      <w:r>
        <w:rPr>
          <w:rStyle w:val="FootnoteAnchor"/>
          <w:rtl w:val="true"/>
        </w:rPr>
        <w:footnoteReference w:id="185"/>
      </w:r>
      <w:r>
        <w:rPr>
          <w:rFonts w:ascii="Amiri" w:hAnsi="Amiri" w:eastAsia="Amiri" w:cs="Amiri"/>
          <w:color w:val="111111"/>
          <w:sz w:val="28"/>
          <w:sz w:val="28"/>
          <w:szCs w:val="28"/>
          <w:rtl w:val="true"/>
          <w:lang w:bidi="ar-SA"/>
        </w:rPr>
        <w:t>المحكيتين</w:t>
      </w:r>
    </w:p>
    <w:p>
      <w:pPr>
        <w:pStyle w:val="BookText"/>
        <w:rPr/>
      </w:pPr>
      <w:r>
        <w:rPr>
          <w:rFonts w:ascii="Amiri" w:hAnsi="Amiri" w:eastAsia="Amiri" w:cs="Amiri"/>
          <w:color w:val="111111"/>
          <w:sz w:val="28"/>
          <w:sz w:val="28"/>
          <w:szCs w:val="28"/>
          <w:rtl w:val="true"/>
          <w:lang w:bidi="ar-SA"/>
        </w:rPr>
        <w:t xml:space="preserve">عن الفقيه و قرب الإسناد </w:t>
      </w:r>
      <w:r>
        <w:rPr>
          <w:rStyle w:val="FootnoteAnchor"/>
          <w:rtl w:val="true"/>
        </w:rPr>
        <w:footnoteReference w:id="186"/>
      </w:r>
      <w:r>
        <w:rPr>
          <w:rFonts w:ascii="Amiri" w:hAnsi="Amiri" w:eastAsia="Amiri" w:cs="Amiri"/>
          <w:color w:val="111111"/>
          <w:sz w:val="28"/>
          <w:sz w:val="28"/>
          <w:szCs w:val="28"/>
          <w:rtl w:val="true"/>
          <w:lang w:bidi="ar-SA"/>
        </w:rPr>
        <w:t>مطلقتان في عدم وجوب تستّر المرأة عنه، الملازم لعدم وجوب منعه على الوليّ بحكم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بالقول بالكراهة في المميّز الذي يقدر أن يصف ما يرى، لما روي في الكافي عن السكوني عن الصادق عليه السلام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عليه السلام عن الصبيّ يحجم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يحسن أن يصف فلا</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عموم الآية وَ لٰا يُبْدِينَ زِينَتَهُنَّ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من قال بالتحريم إذا كان الصبيّ مميّزا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الخبر معارض بما هو أقوى منه، و قد تقدم </w:t>
      </w:r>
      <w:r>
        <w:rPr>
          <w:rStyle w:val="FootnoteAnchor"/>
          <w:rtl w:val="true"/>
        </w:rPr>
        <w:footnoteReference w:id="189"/>
      </w:r>
      <w:r>
        <w:rPr>
          <w:rFonts w:ascii="Amiri" w:hAnsi="Amiri" w:eastAsia="Amiri" w:cs="Amiri"/>
          <w:color w:val="111111"/>
          <w:sz w:val="28"/>
          <w:sz w:val="28"/>
          <w:szCs w:val="28"/>
          <w:rtl w:val="true"/>
          <w:lang w:bidi="ar-SA"/>
        </w:rPr>
        <w:t>، و هو المخصّص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النظر إلى العورة و تكشّفها عنده مستثنى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الولي منعه عن النظر إليها، و يحرم أيضا </w:t>
      </w:r>
      <w:r>
        <w:rPr>
          <w:rStyle w:val="FootnoteAnchor"/>
          <w:rtl w:val="true"/>
        </w:rPr>
        <w:footnoteReference w:id="190"/>
      </w:r>
      <w:r>
        <w:rPr>
          <w:rFonts w:ascii="Amiri" w:hAnsi="Amiri" w:eastAsia="Amiri" w:cs="Amiri"/>
          <w:color w:val="111111"/>
          <w:sz w:val="28"/>
          <w:sz w:val="28"/>
          <w:szCs w:val="28"/>
          <w:rtl w:val="true"/>
          <w:lang w:bidi="ar-SA"/>
        </w:rPr>
        <w:t>للرجال و النساء كشفها عنده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علم أنّه كما لا يجوز للرجل أن ينظر إلى الأجنبية، كذلك لا يجوز للمرأة النظر إلى الأجنبي و إن كان أعمى، لعموم الأدلّة، و يستثنى</w:t>
      </w:r>
    </w:p>
    <w:p>
      <w:pPr>
        <w:pStyle w:val="BookText"/>
        <w:rPr/>
      </w:pPr>
      <w:r>
        <w:rPr>
          <w:rFonts w:ascii="Amiri" w:hAnsi="Amiri" w:eastAsia="Amiri" w:cs="Amiri"/>
          <w:color w:val="111111"/>
          <w:sz w:val="28"/>
          <w:sz w:val="28"/>
          <w:szCs w:val="28"/>
          <w:rtl w:val="true"/>
          <w:lang w:bidi="ar-SA"/>
        </w:rPr>
        <w:t xml:space="preserve">هنا ما استثني في أصل المسألة حرفا بحرف، 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الأجنبي</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 إن كان يشمل البالغ و غيره، لكن قد عرفت أنّ في روايتي الفقيه و قرب الإسناد </w:t>
      </w:r>
      <w:r>
        <w:rPr>
          <w:rStyle w:val="FootnoteAnchor"/>
          <w:rtl w:val="true"/>
        </w:rPr>
        <w:footnoteReference w:id="192"/>
      </w:r>
      <w:r>
        <w:rPr>
          <w:rFonts w:ascii="Amiri" w:hAnsi="Amiri" w:eastAsia="Amiri" w:cs="Amiri"/>
          <w:color w:val="111111"/>
          <w:sz w:val="28"/>
          <w:sz w:val="28"/>
          <w:szCs w:val="28"/>
          <w:rtl w:val="true"/>
          <w:lang w:bidi="ar-SA"/>
        </w:rPr>
        <w:t xml:space="preserve">عدم وجوب تغطي الرأس عمّن لم يحتلم، و يلزمه </w:t>
      </w:r>
      <w:r>
        <w:rPr>
          <w:rStyle w:val="FootnoteAnchor"/>
          <w:rtl w:val="true"/>
        </w:rPr>
        <w:footnoteReference w:id="193"/>
      </w:r>
      <w:r>
        <w:rPr>
          <w:rFonts w:ascii="Amiri" w:hAnsi="Amiri" w:eastAsia="Amiri" w:cs="Amiri"/>
          <w:color w:val="111111"/>
          <w:sz w:val="28"/>
          <w:sz w:val="28"/>
          <w:szCs w:val="28"/>
          <w:rtl w:val="true"/>
          <w:lang w:bidi="ar-SA"/>
        </w:rPr>
        <w:t xml:space="preserve">جواز نظرها إليه بعدم القول بالفصل، و أنّه لا يعارضهما رواية السكوني </w:t>
      </w:r>
      <w:r>
        <w:rPr>
          <w:rStyle w:val="FootnoteAnchor"/>
          <w:rtl w:val="true"/>
        </w:rPr>
        <w:footnoteReference w:id="194"/>
      </w:r>
      <w:r>
        <w:rPr>
          <w:rFonts w:ascii="Amiri" w:hAnsi="Amiri" w:eastAsia="Amiri" w:cs="Amiri"/>
          <w:color w:val="111111"/>
          <w:sz w:val="28"/>
          <w:sz w:val="28"/>
          <w:szCs w:val="28"/>
          <w:rtl w:val="true"/>
          <w:lang w:bidi="ar-SA"/>
        </w:rPr>
        <w:t xml:space="preserve">و آية وَ لٰا يُبْدِينَ زِينَتَهُنَّ </w:t>
      </w:r>
      <w:r>
        <w:rPr>
          <w:rStyle w:val="FootnoteAnchor"/>
          <w:rtl w:val="true"/>
        </w:rPr>
        <w:footnoteReference w:id="195"/>
      </w:r>
      <w:r>
        <w:rPr>
          <w:rFonts w:ascii="Amiri" w:hAnsi="Amiri" w:eastAsia="Amiri" w:cs="Amiri"/>
          <w:color w:val="111111"/>
          <w:sz w:val="28"/>
          <w:sz w:val="28"/>
          <w:szCs w:val="28"/>
          <w:rtl w:val="true"/>
          <w:lang w:bidi="ar-SA"/>
        </w:rPr>
        <w:t>لوجوب طرح الاولى، و تخصيص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تأبى عن التخصيص من جهة أنّ توصيف الطفل فيها ب الَّذِينَ لَمْ يَظْهَرُوا عَلىٰ عَوْرٰاتِ النِّسٰاءِ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غير المميزين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لإرادة إخراج مطلق الطفل من عموم </w:t>
      </w:r>
      <w:r>
        <w:rPr>
          <w:rStyle w:val="FootnoteAnchor"/>
          <w:rtl w:val="true"/>
        </w:rPr>
        <w:footnoteReference w:id="197"/>
      </w:r>
      <w:r>
        <w:rPr>
          <w:rFonts w:ascii="Amiri" w:hAnsi="Amiri" w:eastAsia="Amiri" w:cs="Amiri"/>
          <w:color w:val="111111"/>
          <w:sz w:val="28"/>
          <w:sz w:val="28"/>
          <w:szCs w:val="28"/>
          <w:rtl w:val="true"/>
          <w:lang w:bidi="ar-SA"/>
        </w:rPr>
        <w:t>التحريم، لأنّه تخصيص في مقام إرادة التعميم، و هو هذر،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زيدا 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أقيم القرينة </w:t>
      </w:r>
      <w:r>
        <w:rPr>
          <w:rStyle w:val="FootnoteAnchor"/>
          <w:rtl w:val="true"/>
        </w:rPr>
        <w:footnoteReference w:id="198"/>
      </w:r>
      <w:r>
        <w:rPr>
          <w:rFonts w:ascii="Amiri" w:hAnsi="Amiri" w:eastAsia="Amiri" w:cs="Amiri"/>
          <w:color w:val="111111"/>
          <w:sz w:val="28"/>
          <w:sz w:val="28"/>
          <w:szCs w:val="28"/>
          <w:rtl w:val="true"/>
          <w:lang w:bidi="ar-SA"/>
        </w:rPr>
        <w:t>على خروج زيد الجاهل أيضا، فإنّه يوجب هذرية الصفة، لا من جهة القول بمفهوم الوصف، بل من جهة أنّ ذكره محوج إلى القرينة لإخراج غير مورد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العموم، و تركه مغن عنها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إذا لم يظهر للوصف فائدة ترجح ذكره، و إن أحوج</w:t>
      </w:r>
    </w:p>
    <w:p>
      <w:pPr>
        <w:pStyle w:val="BookText"/>
        <w:rPr/>
      </w:pPr>
      <w:r>
        <w:rPr>
          <w:rFonts w:ascii="Amiri" w:hAnsi="Amiri" w:eastAsia="Amiri" w:cs="Amiri"/>
          <w:color w:val="111111"/>
          <w:sz w:val="28"/>
          <w:sz w:val="28"/>
          <w:szCs w:val="28"/>
          <w:rtl w:val="true"/>
          <w:lang w:bidi="ar-SA"/>
        </w:rPr>
        <w:t>إلى القرينة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أغنى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الفائدة موجودة، لأنّ حكم إبداء الزينة في من استثني في الآية هو الإباحة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عطف الطفل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لاتّحاد حكمه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في الطفل الَّذِينَ لَمْ يَظْهَرُوا عَلىٰ عَوْرٰاتِ النِّسٰاءِ، و إلّا فالظاهارون على عورات النساء يكره إبداء الزينة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و إن كان غير محرم، فلذا احتيج إلى ذكر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فالأقوى جواز نظر المرأة إلى الصبيّ المميّز مع عدم قصد التلذّذ و عدم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الخصيّ و غيره، فلا يجوز نظرها إلى الخصي، كما لا جوز للخصي أن ينظر إليها إلى غير ما استثني، لعموم الأدلّة، و خصوص روايتي عبد الملك </w:t>
      </w:r>
      <w:r>
        <w:rPr>
          <w:rStyle w:val="FootnoteAnchor"/>
          <w:rtl w:val="true"/>
        </w:rPr>
        <w:footnoteReference w:id="200"/>
      </w:r>
      <w:r>
        <w:rPr>
          <w:rFonts w:ascii="IRNazanin" w:hAnsi="IRNazanin" w:eastAsia="IRNazanin"/>
          <w:color w:val="111111"/>
          <w:sz w:val="28"/>
          <w:sz w:val="28"/>
          <w:szCs w:val="28"/>
          <w:rtl w:val="true"/>
          <w:lang w:bidi="fa-IR"/>
        </w:rPr>
        <w:t xml:space="preserve">و محمد بن إسحاق </w:t>
      </w:r>
      <w:r>
        <w:rPr>
          <w:rStyle w:val="FootnoteAnchor"/>
          <w:rtl w:val="true"/>
        </w:rPr>
        <w:footnoteReference w:id="201"/>
      </w:r>
      <w:r>
        <w:rPr>
          <w:rFonts w:ascii="Amiri" w:hAnsi="Amiri" w:eastAsia="Amiri" w:cs="Amiri"/>
          <w:color w:val="111111"/>
          <w:sz w:val="28"/>
          <w:sz w:val="28"/>
          <w:szCs w:val="28"/>
          <w:rtl w:val="true"/>
          <w:lang w:bidi="ar-SA"/>
        </w:rPr>
        <w:t>، نعم في صحيحة ابن بزيع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الأحرار لا يتقنعن منهم</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 و عن الشيخ حملها على التقيّة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ذلك روايتان أخريان، سكت المعصوم عن الجواب في أحدهما </w:t>
      </w:r>
      <w:r>
        <w:rPr>
          <w:rStyle w:val="FootnoteAnchor"/>
          <w:rtl w:val="true"/>
        </w:rPr>
        <w:footnoteReference w:id="204"/>
      </w:r>
      <w:r>
        <w:rPr>
          <w:rFonts w:ascii="Amiri" w:hAnsi="Amiri" w:eastAsia="Amiri" w:cs="Amiri"/>
          <w:color w:val="111111"/>
          <w:sz w:val="28"/>
          <w:sz w:val="28"/>
          <w:szCs w:val="28"/>
          <w:rtl w:val="true"/>
          <w:lang w:bidi="ar-SA"/>
        </w:rPr>
        <w:t xml:space="preserve">، و أمر السائل بالإمساك </w:t>
      </w:r>
      <w:r>
        <w:rPr>
          <w:rStyle w:val="FootnoteAnchor"/>
          <w:rtl w:val="true"/>
        </w:rPr>
        <w:footnoteReference w:id="205"/>
      </w:r>
      <w:r>
        <w:rPr>
          <w:rFonts w:ascii="Amiri" w:hAnsi="Amiri" w:eastAsia="Amiri" w:cs="Amiri"/>
          <w:color w:val="111111"/>
          <w:sz w:val="28"/>
          <w:sz w:val="28"/>
          <w:szCs w:val="28"/>
          <w:rtl w:val="true"/>
          <w:lang w:bidi="ar-SA"/>
        </w:rPr>
        <w:t xml:space="preserve">عن هذه المسألة في الأخرى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ظاهر إطلاق العبارة عدم الفرق في المرأة بين كونها مالكة للخصي أو غير مالكة له، و ظاهر المحكي عن المصنف قدّس سرّه في المختلف </w:t>
      </w:r>
      <w:r>
        <w:rPr>
          <w:rStyle w:val="FootnoteAnchor"/>
          <w:rtl w:val="true"/>
        </w:rPr>
        <w:footnoteReference w:id="207"/>
      </w:r>
      <w:r>
        <w:rPr>
          <w:rFonts w:ascii="Amiri" w:hAnsi="Amiri" w:eastAsia="Amiri" w:cs="Amiri"/>
          <w:color w:val="111111"/>
          <w:sz w:val="28"/>
          <w:sz w:val="28"/>
          <w:szCs w:val="28"/>
          <w:rtl w:val="true"/>
          <w:lang w:bidi="ar-SA"/>
        </w:rPr>
        <w:t xml:space="preserve">جواز نظر الخصي إلى مالكته </w:t>
      </w:r>
      <w:r>
        <w:rPr>
          <w:rStyle w:val="FootnoteAnchor"/>
          <w:rtl w:val="true"/>
        </w:rPr>
        <w:footnoteReference w:id="208"/>
      </w:r>
      <w:r>
        <w:rPr>
          <w:rFonts w:ascii="Amiri" w:hAnsi="Amiri" w:eastAsia="Amiri" w:cs="Amiri"/>
          <w:color w:val="111111"/>
          <w:sz w:val="28"/>
          <w:sz w:val="28"/>
          <w:szCs w:val="28"/>
          <w:rtl w:val="true"/>
          <w:lang w:bidi="ar-SA"/>
        </w:rPr>
        <w:t xml:space="preserve">على كراهة، استنادا إلى استثناء مٰا مَلَكَتْ أَيْمٰانُهُنَّ في الآية </w:t>
      </w:r>
      <w:r>
        <w:rPr>
          <w:rStyle w:val="FootnoteAnchor"/>
          <w:rtl w:val="true"/>
        </w:rPr>
        <w:footnoteReference w:id="209"/>
      </w:r>
      <w:r>
        <w:rPr>
          <w:rFonts w:ascii="Amiri" w:hAnsi="Amiri" w:eastAsia="Amiri" w:cs="Amiri"/>
          <w:color w:val="111111"/>
          <w:sz w:val="28"/>
          <w:sz w:val="28"/>
          <w:szCs w:val="28"/>
          <w:rtl w:val="true"/>
          <w:lang w:bidi="ar-SA"/>
        </w:rPr>
        <w:t>من عموم وَ لٰا يُبْدِينَ زِينَتَهُنَّ، و الموصول عام للعبيد و الإماء، و أنّ تخصيصه بالإماء لا وجه 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الأخبار الدالّة على جواز نظر المملوك إلى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مولاته</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 و في بعضها إضافة الساق </w:t>
      </w:r>
      <w:r>
        <w:rPr>
          <w:rStyle w:val="FootnoteAnchor"/>
          <w:rtl w:val="true"/>
        </w:rPr>
        <w:footnoteReference w:id="211"/>
      </w:r>
      <w:r>
        <w:rPr>
          <w:rFonts w:ascii="Amiri" w:hAnsi="Amiri" w:eastAsia="Amiri" w:cs="Amiri"/>
          <w:color w:val="111111"/>
          <w:sz w:val="28"/>
          <w:sz w:val="28"/>
          <w:szCs w:val="28"/>
          <w:rtl w:val="true"/>
          <w:lang w:bidi="ar-SA"/>
        </w:rPr>
        <w:t>، خرج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مقابل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لو ثبت، و بقي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بحمل الأخبار على التقية </w:t>
      </w:r>
      <w:r>
        <w:rPr>
          <w:rStyle w:val="FootnoteAnchor"/>
          <w:rtl w:val="true"/>
        </w:rPr>
        <w:footnoteReference w:id="212"/>
      </w:r>
      <w:r>
        <w:rPr>
          <w:rFonts w:ascii="Amiri" w:hAnsi="Amiri" w:eastAsia="Amiri" w:cs="Amiri"/>
          <w:color w:val="111111"/>
          <w:sz w:val="28"/>
          <w:sz w:val="28"/>
          <w:szCs w:val="28"/>
          <w:rtl w:val="true"/>
          <w:lang w:bidi="ar-SA"/>
        </w:rPr>
        <w:t xml:space="preserve">، و هو مشكل، لا لما ذكره في المسالك من اختلاف علماء العامة في هذه المسألة </w:t>
      </w:r>
      <w:r>
        <w:rPr>
          <w:rStyle w:val="FootnoteAnchor"/>
          <w:rtl w:val="true"/>
        </w:rPr>
        <w:footnoteReference w:id="213"/>
      </w:r>
      <w:r>
        <w:rPr>
          <w:rFonts w:ascii="Amiri" w:hAnsi="Amiri" w:eastAsia="Amiri" w:cs="Amiri"/>
          <w:color w:val="111111"/>
          <w:sz w:val="28"/>
          <w:sz w:val="28"/>
          <w:szCs w:val="28"/>
          <w:rtl w:val="true"/>
          <w:lang w:bidi="ar-SA"/>
        </w:rPr>
        <w:t>، إذ يكفي في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عن سلطان الوقت، و لا ريب في أنّ الخصاء </w:t>
      </w:r>
      <w:r>
        <w:rPr>
          <w:rStyle w:val="FootnoteAnchor"/>
          <w:rtl w:val="true"/>
        </w:rPr>
        <w:footnoteReference w:id="214"/>
      </w:r>
      <w:r>
        <w:rPr>
          <w:rFonts w:ascii="Amiri" w:hAnsi="Amiri" w:eastAsia="Amiri" w:cs="Amiri"/>
          <w:color w:val="111111"/>
          <w:sz w:val="28"/>
          <w:sz w:val="28"/>
          <w:szCs w:val="28"/>
          <w:rtl w:val="true"/>
          <w:lang w:bidi="ar-SA"/>
        </w:rPr>
        <w:t>يدخلون على حريم السلاطين في كلّ زمان، بل لأنّ الحمل على التقيّة مختصّ بالأخبار المتعارضة لا على جهة العموم و الخصوص المطلق، إذ المعين في هذا النحو من التعارض حمل العام على الخاصّ، و إن كان الخاصّ موافقا للعامّة، و لا ريب</w:t>
      </w:r>
    </w:p>
    <w:p>
      <w:pPr>
        <w:pStyle w:val="BookText"/>
        <w:rPr/>
      </w:pPr>
      <w:r>
        <w:rPr>
          <w:rFonts w:ascii="IRNazanin" w:hAnsi="IRNazanin" w:eastAsia="IRNazanin"/>
          <w:color w:val="111111"/>
          <w:sz w:val="28"/>
          <w:sz w:val="28"/>
          <w:szCs w:val="28"/>
          <w:rtl w:val="true"/>
          <w:lang w:bidi="fa-IR"/>
        </w:rPr>
        <w:t>أنّ أخبار الجواز أخصّ من عمومات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على فرض الإغماض عن عموم مٰا مَلَكَتْ أَيْمٰانُهُنَّ </w:t>
      </w:r>
      <w:r>
        <w:rPr>
          <w:rStyle w:val="FootnoteAnchor"/>
          <w:rtl w:val="true"/>
        </w:rPr>
        <w:footnoteReference w:id="215"/>
      </w:r>
      <w:r>
        <w:rPr>
          <w:rFonts w:ascii="Amiri" w:hAnsi="Amiri" w:eastAsia="Amiri" w:cs="Amiri"/>
          <w:color w:val="111111"/>
          <w:sz w:val="28"/>
          <w:sz w:val="28"/>
          <w:szCs w:val="28"/>
          <w:rtl w:val="true"/>
          <w:lang w:bidi="ar-SA"/>
        </w:rPr>
        <w:t>لما نحن فيه، و إلّا كفى هو مخصّصا لعموم تحريم النظر إلى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أنّ الأخبار المجوّزة لو بقيت على عمومها بحيث يشمل الفحل، كاد أن يخالف الإجماع، إذ لم يعرف </w:t>
      </w:r>
      <w:r>
        <w:rPr>
          <w:rStyle w:val="FootnoteAnchor"/>
          <w:rtl w:val="true"/>
        </w:rPr>
        <w:footnoteReference w:id="216"/>
      </w:r>
      <w:r>
        <w:rPr>
          <w:rFonts w:ascii="Amiri" w:hAnsi="Amiri" w:eastAsia="Amiri" w:cs="Amiri"/>
          <w:color w:val="111111"/>
          <w:sz w:val="28"/>
          <w:sz w:val="28"/>
          <w:szCs w:val="28"/>
          <w:rtl w:val="true"/>
          <w:lang w:bidi="ar-SA"/>
        </w:rPr>
        <w:t xml:space="preserve">قبل صاحب المسالك مقوّ له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يوهمه ظاهر عبارة المبسوط المحكيّة </w:t>
      </w:r>
      <w:r>
        <w:rPr>
          <w:rStyle w:val="FootnoteAnchor"/>
          <w:rtl w:val="true"/>
        </w:rPr>
        <w:footnoteReference w:id="218"/>
      </w:r>
      <w:r>
        <w:rPr>
          <w:rFonts w:ascii="Amiri" w:hAnsi="Amiri" w:eastAsia="Amiri" w:cs="Amiri"/>
          <w:color w:val="111111"/>
          <w:sz w:val="28"/>
          <w:sz w:val="28"/>
          <w:szCs w:val="28"/>
          <w:rtl w:val="true"/>
          <w:lang w:bidi="ar-SA"/>
        </w:rPr>
        <w:t xml:space="preserve">، و يظهر من الكليني حيث أورد الأخبار المجوّزة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قيّدت بغير الفحل كان تقييدا بالفرد النادر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فيتردّد الأمر بين رفع اليد عن ظهور عمومات المنع و ارتكاب خلاف الراجح في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بالقول بعمومها و إن خالف المشهور بل الإجماع المحكيّ </w:t>
      </w:r>
      <w:r>
        <w:rPr>
          <w:rStyle w:val="FootnoteAnchor"/>
          <w:rtl w:val="true"/>
        </w:rPr>
        <w:footnoteReference w:id="220"/>
      </w:r>
      <w:r>
        <w:rPr>
          <w:rFonts w:ascii="Amiri" w:hAnsi="Amiri" w:eastAsia="Amiri" w:cs="Amiri"/>
          <w:color w:val="111111"/>
          <w:sz w:val="28"/>
          <w:sz w:val="28"/>
          <w:szCs w:val="28"/>
          <w:rtl w:val="true"/>
          <w:lang w:bidi="ar-SA"/>
        </w:rPr>
        <w:t>، و إمّا بتقييدها بالفرد النادر، و هو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إبقاء عمومات المنع على ظهورها و طرح هذه الأخبار، أو تأويلها بما لا يكون أدون من التقييد بالفرد النادر، سيّما إذا أوجب </w:t>
      </w:r>
      <w:r>
        <w:rPr>
          <w:rStyle w:val="FootnoteAnchor"/>
          <w:rtl w:val="true"/>
        </w:rPr>
        <w:footnoteReference w:id="221"/>
      </w:r>
      <w:r>
        <w:rPr>
          <w:rFonts w:ascii="IRNazanin" w:hAnsi="IRNazanin" w:eastAsia="IRNazanin"/>
          <w:color w:val="111111"/>
          <w:sz w:val="28"/>
          <w:sz w:val="28"/>
          <w:szCs w:val="28"/>
          <w:rtl w:val="true"/>
          <w:lang w:bidi="fa-IR"/>
        </w:rPr>
        <w:t>إبقاء عمومات</w:t>
      </w:r>
    </w:p>
    <w:p>
      <w:pPr>
        <w:pStyle w:val="BookText"/>
        <w:rPr/>
      </w:pPr>
      <w:r>
        <w:rPr>
          <w:rFonts w:ascii="Amiri" w:hAnsi="Amiri" w:eastAsia="Amiri" w:cs="Amiri"/>
          <w:color w:val="111111"/>
          <w:sz w:val="28"/>
          <w:sz w:val="28"/>
          <w:szCs w:val="28"/>
          <w:rtl w:val="true"/>
          <w:lang w:bidi="ar-SA"/>
        </w:rPr>
        <w:t xml:space="preserve">المنع على حالها، ما ارتكبه بعض </w:t>
      </w:r>
      <w:r>
        <w:rPr>
          <w:rStyle w:val="FootnoteAnchor"/>
          <w:rtl w:val="true"/>
        </w:rPr>
        <w:footnoteReference w:id="222"/>
      </w:r>
      <w:r>
        <w:rPr>
          <w:rFonts w:ascii="Amiri" w:hAnsi="Amiri" w:eastAsia="Amiri" w:cs="Amiri"/>
          <w:color w:val="111111"/>
          <w:sz w:val="28"/>
          <w:sz w:val="28"/>
          <w:szCs w:val="28"/>
          <w:rtl w:val="true"/>
          <w:lang w:bidi="ar-SA"/>
        </w:rPr>
        <w:t xml:space="preserve">، حيث حملها على النظر الاتّفاقي لا الاختياري بقرينة تقييد الجواز في بعض تلك الروايات </w:t>
      </w:r>
      <w:r>
        <w:rPr>
          <w:rStyle w:val="FootnoteAnchor"/>
          <w:rtl w:val="true"/>
        </w:rPr>
        <w:footnoteReference w:id="223"/>
      </w:r>
      <w:r>
        <w:rPr>
          <w:rFonts w:ascii="Amiri" w:hAnsi="Amiri" w:eastAsia="Amiri" w:cs="Amiri"/>
          <w:color w:val="111111"/>
          <w:sz w:val="28"/>
          <w:sz w:val="28"/>
          <w:szCs w:val="28"/>
          <w:rtl w:val="true"/>
          <w:lang w:bidi="ar-SA"/>
        </w:rPr>
        <w:t>بعدم التعمّد،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بالتعرّض لحكم الأمر الاتّفاقي إذا كانت مقدّماته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عموم استثناء ملك اليمين في الآية، فعن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روى أصحابنا أنّه مختصّ بالإماء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و إن كانت مرسلة إلّا أنّ اشتهار العمل بها، بل اشتهار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نسبتها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يوجب الاعتماد عليها في تفسير الآية، فتخرج الآية عن دلالة عن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لمسألة </w:t>
      </w:r>
      <w:r>
        <w:rPr>
          <w:rStyle w:val="FootnoteAnchor"/>
          <w:rtl w:val="true"/>
        </w:rPr>
        <w:footnoteReference w:id="225"/>
      </w:r>
      <w:r>
        <w:rPr>
          <w:rFonts w:ascii="Amiri" w:hAnsi="Amiri" w:eastAsia="Amiri" w:cs="Amiri"/>
          <w:color w:val="111111"/>
          <w:sz w:val="28"/>
          <w:sz w:val="28"/>
          <w:szCs w:val="28"/>
          <w:rtl w:val="true"/>
          <w:lang w:bidi="ar-SA"/>
        </w:rPr>
        <w:t>محلّ إشكال لا ينبغي فيها ترك الاحتياط</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للأعمى فضلا عن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صوت الأجنبيّة و بالعكس للتلذّذ أو مع الريبة اتّفاقا، و أمّا مع عدم الوصفين فالذي اختاره المصنّف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قبله المحقّق </w:t>
      </w:r>
      <w:r>
        <w:rPr>
          <w:rStyle w:val="FootnoteAnchor"/>
          <w:rtl w:val="true"/>
        </w:rPr>
        <w:footnoteReference w:id="226"/>
      </w:r>
      <w:r>
        <w:rPr>
          <w:rFonts w:ascii="Amiri" w:hAnsi="Amiri" w:eastAsia="Amiri" w:cs="Amiri"/>
          <w:color w:val="111111"/>
          <w:sz w:val="28"/>
          <w:sz w:val="28"/>
          <w:szCs w:val="28"/>
          <w:rtl w:val="true"/>
          <w:lang w:bidi="ar-SA"/>
        </w:rPr>
        <w:t xml:space="preserve">و غيره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أيضا،</w:t>
      </w:r>
    </w:p>
    <w:p>
      <w:pPr>
        <w:pStyle w:val="BookText"/>
        <w:rPr/>
      </w:pPr>
      <w:r>
        <w:rPr>
          <w:rFonts w:ascii="Amiri" w:hAnsi="Amiri" w:eastAsia="Amiri" w:cs="Amiri"/>
          <w:color w:val="111111"/>
          <w:sz w:val="28"/>
          <w:sz w:val="28"/>
          <w:szCs w:val="28"/>
          <w:rtl w:val="true"/>
          <w:lang w:bidi="ar-SA"/>
        </w:rPr>
        <w:t>و لعلّه لموثّقة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تبدءوا النساء بالسلام</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و موثقة غياث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تسلّم على المرأة</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و عن خبر المناهي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صلّى اللّٰه عليه و آله و سلّم أن تتكلّم المرأة عند غير زوجها و غير ذي محرم منها أكثر من خمس كلمات</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الجميع نظر، أمّا الموثقتان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فلمكان دلالتهما </w:t>
      </w:r>
      <w:r>
        <w:rPr>
          <w:rStyle w:val="FootnoteAnchor"/>
          <w:rtl w:val="true"/>
        </w:rPr>
        <w:footnoteReference w:id="231"/>
      </w:r>
      <w:r>
        <w:rPr>
          <w:rFonts w:ascii="Amiri" w:hAnsi="Amiri" w:eastAsia="Amiri" w:cs="Amiri"/>
          <w:color w:val="111111"/>
          <w:sz w:val="28"/>
          <w:sz w:val="28"/>
          <w:szCs w:val="28"/>
          <w:rtl w:val="true"/>
          <w:lang w:bidi="ar-SA"/>
        </w:rPr>
        <w:t>على تحريم مطلق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معارضتان بما هو أقوى منهما، من تسليم النبيّ و الوصيّ صلّى اللّٰه عليهما و على آلهما الطاهرين على النساء و ردّهنّ عليهما، كما في حسنة ربعي ابن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هاشم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المعتضدة بما ورد مستفيضا من تكلّم فاطمة عليها السلام مع كثير من الصحابة، و ذهابها إلى المسجد و قراءتها للخطبة المذكورة في الاحتجاج، و احتجاجها على الأوّل و الثاني في قضية فدك </w:t>
      </w:r>
      <w:r>
        <w:rPr>
          <w:rStyle w:val="FootnoteAnchor"/>
          <w:rtl w:val="true"/>
        </w:rPr>
        <w:footnoteReference w:id="233"/>
      </w:r>
      <w:r>
        <w:rPr>
          <w:rFonts w:ascii="Amiri" w:hAnsi="Amiri" w:eastAsia="Amiri" w:cs="Amiri"/>
          <w:color w:val="111111"/>
          <w:sz w:val="28"/>
          <w:sz w:val="28"/>
          <w:szCs w:val="28"/>
          <w:rtl w:val="true"/>
          <w:lang w:bidi="ar-SA"/>
        </w:rPr>
        <w:t xml:space="preserve">، و من تكلّم النبي و الأئمة صلوات اللّٰه عليه و عليهم مع النساء في غير الضرورة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بالسيرة القطعية الجارية بين المسلمين من استماع النساء صوت الرجال في المراثي، و ائتمامهنّ بهم في الصلاة، و متابعتهم في تلاوة الأدعية و الزيارات،</w:t>
      </w:r>
    </w:p>
    <w:p>
      <w:pPr>
        <w:pStyle w:val="BookText"/>
        <w:rPr/>
      </w:pPr>
      <w:r>
        <w:rPr>
          <w:rFonts w:ascii="Amiri" w:hAnsi="Amiri" w:eastAsia="Amiri" w:cs="Amiri"/>
          <w:color w:val="111111"/>
          <w:sz w:val="28"/>
          <w:sz w:val="28"/>
          <w:szCs w:val="28"/>
          <w:rtl w:val="true"/>
          <w:lang w:bidi="ar-SA"/>
        </w:rPr>
        <w:t>و المكالمة معهنّ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مناص عن حمل الخبرين على المرأة الشابّة، كما يدلّ عليه الحسنة المذكورة، أو على صورة التلذّذ و الريبة، أو حمل النهي على الكراهة، لأنّ تعارف ذلك بين النساء و الرجال مظنّة الفتنة و محلّ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المناهي فهو و إن لم يناف الحسنة المذكورة المجوّزة للتسليم عليهن و ردّهنّ، إلّا أنّه ضعيف سندا و دلالة، لاقتران هذا النهي فيه بمناهي تنزيهيّة كثيرة، و موهون بكثير ممّا مرّ من معتضدات الحسنة، فتعيّن حمله أيضا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المصنّف قدّس سرّه لم يتعرّض لحكم اللمس، لكنه اكتفى </w:t>
      </w:r>
      <w:r>
        <w:rPr>
          <w:rStyle w:val="FootnoteAnchor"/>
          <w:rtl w:val="true"/>
        </w:rPr>
        <w:footnoteReference w:id="235"/>
      </w:r>
      <w:r>
        <w:rPr>
          <w:rFonts w:ascii="Amiri" w:hAnsi="Amiri" w:eastAsia="Amiri" w:cs="Amiri"/>
          <w:color w:val="111111"/>
          <w:sz w:val="28"/>
          <w:sz w:val="28"/>
          <w:szCs w:val="28"/>
          <w:rtl w:val="true"/>
          <w:lang w:bidi="ar-SA"/>
        </w:rPr>
        <w:t xml:space="preserve">عن حكمه بالحكم بحرمة النظر، حيث إنّه إذا حرم النظر حرم اللمس قطعا، بل لا إشكال في حرمة اللمس و إن جاز النظر، للأخبار الكثيرة </w:t>
      </w:r>
      <w:r>
        <w:rPr>
          <w:rStyle w:val="FootnoteAnchor"/>
          <w:rtl w:val="true"/>
        </w:rPr>
        <w:footnoteReference w:id="236"/>
      </w:r>
      <w:r>
        <w:rPr>
          <w:rFonts w:ascii="Amiri" w:hAnsi="Amiri" w:eastAsia="Amiri" w:cs="Amiri"/>
          <w:color w:val="111111"/>
          <w:sz w:val="28"/>
          <w:sz w:val="28"/>
          <w:szCs w:val="28"/>
          <w:rtl w:val="true"/>
          <w:lang w:bidi="ar-SA"/>
        </w:rPr>
        <w:t>، و الظاهر أنّه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يجوز النظر إلى العضو المنفصل عن البدن، و لمسه </w:t>
      </w:r>
      <w:r>
        <w:rPr>
          <w:rStyle w:val="FootnoteAnchor"/>
          <w:rtl w:val="true"/>
        </w:rPr>
        <w:footnoteReference w:id="237"/>
      </w:r>
      <w:r>
        <w:rPr>
          <w:rFonts w:ascii="IRNazanin" w:hAnsi="IRNazanin" w:eastAsia="IRNazanin"/>
          <w:color w:val="111111"/>
          <w:sz w:val="28"/>
          <w:sz w:val="28"/>
          <w:szCs w:val="28"/>
          <w:rtl w:val="true"/>
          <w:lang w:bidi="fa-IR"/>
        </w:rPr>
        <w:t>، أم لا؟</w:t>
      </w:r>
    </w:p>
    <w:p>
      <w:pPr>
        <w:pStyle w:val="BookText"/>
        <w:rPr/>
      </w:pPr>
      <w:r>
        <w:rPr>
          <w:rFonts w:ascii="Amiri" w:hAnsi="Amiri" w:eastAsia="Amiri" w:cs="Amiri"/>
          <w:color w:val="111111"/>
          <w:sz w:val="28"/>
          <w:sz w:val="28"/>
          <w:szCs w:val="28"/>
          <w:rtl w:val="true"/>
          <w:lang w:bidi="ar-SA"/>
        </w:rPr>
        <w:t xml:space="preserve">استشكل الحكم في القواعد </w:t>
      </w:r>
      <w:r>
        <w:rPr>
          <w:rStyle w:val="FootnoteAnchor"/>
          <w:rtl w:val="true"/>
        </w:rPr>
        <w:footnoteReference w:id="238"/>
      </w:r>
      <w:r>
        <w:rPr>
          <w:rFonts w:ascii="Amiri" w:hAnsi="Amiri" w:eastAsia="Amiri" w:cs="Amiri"/>
          <w:color w:val="111111"/>
          <w:sz w:val="28"/>
          <w:sz w:val="28"/>
          <w:szCs w:val="28"/>
          <w:rtl w:val="true"/>
          <w:lang w:bidi="ar-SA"/>
        </w:rPr>
        <w:t>، و لعلّه من استصحاب الحرمة، و أنّه لو جاز النظر إلى العضو المنقطع و لمسه، لزم جواز تغسيل الرجل للمرأة المقطّعة قطعتين أو ثلاث قطع أو أزيد، مع أنّ الظاهر أنّه لا يجوز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تحريم غسل الأجنبي تعبّدي، لا من جهة حرمة النظر و اللمس، بعيد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أنّ حرمة النظر و لمسه حال الاتصال إنّما كان لكونه نظرا</w:t>
      </w:r>
    </w:p>
    <w:p>
      <w:pPr>
        <w:pStyle w:val="BookText"/>
        <w:rPr/>
      </w:pPr>
      <w:r>
        <w:rPr>
          <w:rFonts w:ascii="Amiri" w:hAnsi="Amiri" w:eastAsia="Amiri" w:cs="Amiri"/>
          <w:color w:val="111111"/>
          <w:sz w:val="28"/>
          <w:sz w:val="28"/>
          <w:szCs w:val="28"/>
          <w:rtl w:val="true"/>
          <w:lang w:bidi="ar-SA"/>
        </w:rPr>
        <w:t>إلى المرأة و لمسا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حرمة النظر و اللمس هي المرأة، فالنظر إلى يدها و لمسها حرام باعتبار أنّه نظر إلى المرأة و لمس لها، و بعد الانقطاع يرتفع الموضوع قطعا، إذ لا يصدق النظر إلى المرأة حينئذ </w:t>
      </w:r>
      <w:r>
        <w:rPr>
          <w:rStyle w:val="FootnoteAnchor"/>
          <w:rtl w:val="true"/>
        </w:rPr>
        <w:footnoteReference w:id="239"/>
      </w:r>
      <w:r>
        <w:rPr>
          <w:rFonts w:ascii="IRNazanin" w:hAnsi="IRNazanin" w:eastAsia="IRNazanin"/>
          <w:color w:val="111111"/>
          <w:sz w:val="28"/>
          <w:sz w:val="28"/>
          <w:szCs w:val="28"/>
          <w:rtl w:val="true"/>
          <w:lang w:bidi="fa-IR"/>
        </w:rPr>
        <w:t xml:space="preserve">و لا مجرى للاستصحاب </w:t>
      </w:r>
      <w:r>
        <w:rPr>
          <w:rStyle w:val="FootnoteAnchor"/>
          <w:rtl w:val="true"/>
        </w:rPr>
        <w:footnoteReference w:id="240"/>
      </w:r>
      <w:r>
        <w:rPr>
          <w:rFonts w:ascii="Amiri" w:hAnsi="Amiri" w:eastAsia="Amiri" w:cs="Amiri"/>
          <w:color w:val="111111"/>
          <w:sz w:val="28"/>
          <w:sz w:val="28"/>
          <w:szCs w:val="28"/>
          <w:rtl w:val="true"/>
          <w:lang w:bidi="ar-SA"/>
        </w:rPr>
        <w:t>مع ارتفاع الموضوع، فالمرجع أصالة البراءة، لكن يبقى الإشكال في المسألة من جهة مسألة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الإشكال في جواز النظر إلى مثل الظفر و السنّ، بل و كذا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يجوز النظر إلى الخنثى أم لا؟ حكي عن جامع المقاصد المنع؛ معلّلا بأنّ النظر إلى الأجنبيّة حرام، و لا يتمّ تركه إلّا بترك النظر إلى الخنثى </w:t>
      </w:r>
      <w:r>
        <w:rPr>
          <w:rStyle w:val="FootnoteAnchor"/>
          <w:rtl w:val="true"/>
        </w:rPr>
        <w:footnoteReference w:id="241"/>
      </w:r>
      <w:r>
        <w:rPr>
          <w:rFonts w:ascii="Amiri" w:hAnsi="Amiri" w:eastAsia="Amiri" w:cs="Amiri"/>
          <w:color w:val="111111"/>
          <w:sz w:val="28"/>
          <w:sz w:val="28"/>
          <w:szCs w:val="28"/>
          <w:rtl w:val="true"/>
          <w:lang w:bidi="ar-SA"/>
        </w:rPr>
        <w:t>، و هو ضعيف، لأنّ التكليف في الواقعة غير معلوم تفصيلا و لا إجمالا، حتّى يجب امتثاله بترك ما يحتمل كونه حراما، و لهذا لا يحرم النظر إلى البعيد المردّد بين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الخنثى بإمكان استعلام الحال فيه دون الخنثى، ضعيف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على الخنثى الغضّ عن الذكر و الأنثى؟ أم له النظر إليهما؟</w:t>
      </w:r>
    </w:p>
    <w:p>
      <w:pPr>
        <w:pStyle w:val="BookText"/>
        <w:rPr/>
      </w:pPr>
      <w:r>
        <w:rPr>
          <w:rFonts w:ascii="Amiri" w:hAnsi="Amiri" w:eastAsia="Amiri" w:cs="Amiri"/>
          <w:color w:val="111111"/>
          <w:sz w:val="28"/>
          <w:sz w:val="28"/>
          <w:szCs w:val="28"/>
          <w:rtl w:val="true"/>
          <w:lang w:bidi="ar-SA"/>
        </w:rPr>
        <w:t>أم يتخيّر بين البناء على الغضّ عن الذكر، و بين البناء على الغضّ عن الأنثى تخييرا؟ وجوه، أحوطها الأوّل، و أقواها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الأوّل أحوط، فواضح</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 الثالث أقوى منه، فلأنّه لم يكلّف تفصيلا بالغضّ عن الرجل</w:t>
      </w:r>
    </w:p>
    <w:p>
      <w:pPr>
        <w:pStyle w:val="BookText"/>
        <w:rPr/>
      </w:pPr>
      <w:r>
        <w:rPr>
          <w:rFonts w:ascii="Amiri" w:hAnsi="Amiri" w:eastAsia="Amiri" w:cs="Amiri"/>
          <w:color w:val="111111"/>
          <w:sz w:val="28"/>
          <w:sz w:val="28"/>
          <w:szCs w:val="28"/>
          <w:rtl w:val="true"/>
          <w:lang w:bidi="ar-SA"/>
        </w:rPr>
        <w:t xml:space="preserve">و لا عن المرأة كما هو المفروض، و لم يكلّف هو أيضا بالغضّ عن مفهوم مجمل </w:t>
      </w:r>
      <w:r>
        <w:rPr>
          <w:rStyle w:val="FootnoteAnchor"/>
          <w:rtl w:val="true"/>
        </w:rPr>
        <w:footnoteReference w:id="242"/>
      </w:r>
      <w:r>
        <w:rPr>
          <w:rFonts w:ascii="Amiri" w:hAnsi="Amiri" w:eastAsia="Amiri" w:cs="Amiri"/>
          <w:color w:val="111111"/>
          <w:sz w:val="28"/>
          <w:sz w:val="28"/>
          <w:szCs w:val="28"/>
          <w:rtl w:val="true"/>
          <w:lang w:bidi="ar-SA"/>
        </w:rPr>
        <w:t xml:space="preserve">مردّد بين الأمرين ليجب عليه الاحتياط، لأنّ حكم الغضّ عن المرأة تعلّق على </w:t>
      </w:r>
      <w:r>
        <w:rPr>
          <w:rStyle w:val="FootnoteAnchor"/>
          <w:rtl w:val="true"/>
        </w:rPr>
        <w:footnoteReference w:id="243"/>
      </w:r>
      <w:r>
        <w:rPr>
          <w:rFonts w:ascii="Amiri" w:hAnsi="Amiri" w:eastAsia="Amiri" w:cs="Amiri"/>
          <w:color w:val="111111"/>
          <w:sz w:val="28"/>
          <w:sz w:val="28"/>
          <w:szCs w:val="28"/>
          <w:rtl w:val="true"/>
          <w:lang w:bidi="ar-SA"/>
        </w:rPr>
        <w:t xml:space="preserve">الرجال، و حكم الغضّ عن الرجل تعلّق بالنساء، و الخنثى لم يتعلّق عليه </w:t>
      </w:r>
      <w:r>
        <w:rPr>
          <w:rStyle w:val="FootnoteAnchor"/>
          <w:rtl w:val="true"/>
        </w:rPr>
        <w:footnoteReference w:id="244"/>
      </w:r>
      <w:r>
        <w:rPr>
          <w:rFonts w:ascii="Amiri" w:hAnsi="Amiri" w:eastAsia="Amiri" w:cs="Amiri"/>
          <w:color w:val="111111"/>
          <w:sz w:val="28"/>
          <w:sz w:val="28"/>
          <w:szCs w:val="28"/>
          <w:rtl w:val="true"/>
          <w:lang w:bidi="ar-SA"/>
        </w:rPr>
        <w:t>تفصيلا تكليف بأمر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يعلم إجمالا بدخوله تحت أحد الصنفين المكلّفين، و هذا غير كاف في ثبوت التكليف، بل لا بدّ فيه من تعلّقه تفصيلا بالمكلّف، سواء كان المكلّف به أمرا مفصّلا أو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مخالفته لتكليف كلا الصنفين يعدّ في العرف عصيانا من حيث علمه بمخالفة حكمه الواقعي، فإنّه يعدّ تجرّيا و طغيانا و إن لم يعلم بمخالفة التكليف الظاهري، لعدم العلم بثبوته، إذ العلم بثبوت الحكم الواقعي إجمالا لا يستلزم العلم بثبوت التكليف الظاهري بمقتضى الواقع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w:t>
      </w:r>
      <w:r>
        <w:rPr>
          <w:rStyle w:val="FootnoteAnchor"/>
          <w:rtl w:val="true"/>
        </w:rPr>
        <w:footnoteReference w:id="245"/>
      </w:r>
      <w:r>
        <w:rPr>
          <w:rFonts w:ascii="Amiri" w:hAnsi="Amiri" w:eastAsia="Amiri" w:cs="Amiri"/>
          <w:color w:val="111111"/>
          <w:sz w:val="28"/>
          <w:sz w:val="28"/>
          <w:szCs w:val="28"/>
          <w:rtl w:val="true"/>
          <w:lang w:bidi="ar-SA"/>
        </w:rPr>
        <w:t>يجوز أن يصرّح الشارع بعدم ثبوت التكليف ظاهرا 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شرعا، لعدم ثبوت الدليل الشرعي على الملازمة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التخيير الذي قلنا به، هل هو بدويّ،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مخيّر في بدء الأمر بين البناء على التكليف بواحد من تكليفي الرجل و المرأة، بحيث لا يجوز العدول عما بنى عليه؟ أم هو استمراري، بمعنى أنّه يجوز له </w:t>
      </w:r>
      <w:r>
        <w:rPr>
          <w:rStyle w:val="FootnoteAnchor"/>
          <w:rtl w:val="true"/>
        </w:rPr>
        <w:footnoteReference w:id="246"/>
      </w:r>
      <w:r>
        <w:rPr>
          <w:rFonts w:ascii="Amiri" w:hAnsi="Amiri" w:eastAsia="Amiri" w:cs="Amiri"/>
          <w:color w:val="111111"/>
          <w:sz w:val="28"/>
          <w:sz w:val="28"/>
          <w:szCs w:val="28"/>
          <w:rtl w:val="true"/>
          <w:lang w:bidi="ar-SA"/>
        </w:rPr>
        <w:t>العدول عمّا بنى عليه؟ وجهان، أحوطهما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اختلف الفقهاء في حكم العزل عن الحرة بغير إذنها، و هو إفراغ المني خارج الفرج، بإخراج الذكر عن الفرج عند إرادة الإنزال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فالمحكي عن الشيخين </w:t>
      </w:r>
      <w:r>
        <w:rPr>
          <w:rStyle w:val="FootnoteAnchor"/>
          <w:rtl w:val="true"/>
        </w:rPr>
        <w:footnoteReference w:id="247"/>
      </w:r>
      <w:r>
        <w:rPr>
          <w:rFonts w:ascii="Amiri" w:hAnsi="Amiri" w:eastAsia="Amiri" w:cs="Amiri"/>
          <w:color w:val="111111"/>
          <w:sz w:val="28"/>
          <w:sz w:val="28"/>
          <w:szCs w:val="28"/>
          <w:rtl w:val="true"/>
          <w:lang w:bidi="ar-SA"/>
        </w:rPr>
        <w:t xml:space="preserve">و جماعة </w:t>
      </w:r>
      <w:r>
        <w:rPr>
          <w:rStyle w:val="FootnoteAnchor"/>
          <w:rtl w:val="true"/>
        </w:rPr>
        <w:footnoteReference w:id="248"/>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محرّم، بل عن الشيخ الإجماع عليه </w:t>
      </w:r>
      <w:r>
        <w:rPr>
          <w:rStyle w:val="FootnoteAnchor"/>
          <w:rtl w:val="true"/>
        </w:rPr>
        <w:footnoteReference w:id="249"/>
      </w:r>
      <w:r>
        <w:rPr>
          <w:rFonts w:ascii="Amiri" w:hAnsi="Amiri" w:eastAsia="Amiri" w:cs="Amiri"/>
          <w:color w:val="111111"/>
          <w:sz w:val="28"/>
          <w:sz w:val="28"/>
          <w:szCs w:val="28"/>
          <w:rtl w:val="true"/>
          <w:lang w:bidi="ar-SA"/>
        </w:rPr>
        <w:t xml:space="preserve">، لمنافاته لغرض الشارع من شرع النكاح، لأنّه تضييع للنسل، و لذا حرم الاستمناء، و لأنّ فيه إيذاء للمرأة، و لمفهوم رواية يعقوب الجعفي الآتية المثبت للبأس الظاهر في الحرمة فيما عدا الستة المذكورة فيها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روي عن أنّ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أن يعزل عن الحرّة إلّا بإذنها</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الداء </w:t>
      </w:r>
      <w:r>
        <w:rPr>
          <w:rStyle w:val="FootnoteAnchor"/>
          <w:rtl w:val="true"/>
        </w:rPr>
        <w:footnoteReference w:id="252"/>
      </w:r>
      <w:r>
        <w:rPr>
          <w:rFonts w:ascii="Amiri" w:hAnsi="Amiri" w:eastAsia="Amiri" w:cs="Amiri"/>
          <w:color w:val="111111"/>
          <w:sz w:val="28"/>
          <w:sz w:val="28"/>
          <w:szCs w:val="28"/>
          <w:rtl w:val="true"/>
          <w:lang w:bidi="ar-SA"/>
        </w:rPr>
        <w:t>الخفي</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 و فسّر الداء بقتل</w:t>
      </w:r>
    </w:p>
    <w:p>
      <w:pPr>
        <w:pStyle w:val="BookText"/>
        <w:rPr/>
      </w:pPr>
      <w:r>
        <w:rPr>
          <w:rFonts w:ascii="IRNazanin" w:hAnsi="IRNazanin" w:eastAsia="IRNazanin"/>
          <w:color w:val="111111"/>
          <w:sz w:val="28"/>
          <w:sz w:val="28"/>
          <w:szCs w:val="28"/>
          <w:rtl w:val="true"/>
          <w:lang w:bidi="fa-IR"/>
        </w:rPr>
        <w:t xml:space="preserve">الولد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ضعف الجميع، فالأقوى ما عليه المشهور من أنّه يكره العزل عن الحرّة بغير إذنها، للأصل، و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الرجل يصرفه حيث شاء</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الصحيح </w:t>
      </w:r>
      <w:r>
        <w:rPr>
          <w:rStyle w:val="FootnoteAnchor"/>
          <w:rtl w:val="true"/>
        </w:rPr>
        <w:footnoteReference w:id="2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 السلام لا يرى بالعزل بأسا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بالعزل عن المرأة الحرّة إن أحبّ صاحبها، و إن كرهت ليس لها من الأمر شي‌ء</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مستند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مسلم عن أحدهما عليهما السلام أنّه سأله </w:t>
      </w:r>
      <w:r>
        <w:rPr>
          <w:rStyle w:val="FootnoteAnchor"/>
          <w:rtl w:val="true"/>
        </w:rPr>
        <w:footnoteReference w:id="259"/>
      </w:r>
      <w:r>
        <w:rPr>
          <w:rFonts w:ascii="Amiri" w:hAnsi="Amiri" w:eastAsia="Amiri" w:cs="Amiri"/>
          <w:color w:val="111111"/>
          <w:sz w:val="28"/>
          <w:sz w:val="28"/>
          <w:szCs w:val="28"/>
          <w:rtl w:val="true"/>
          <w:lang w:bidi="ar-SA"/>
        </w:rPr>
        <w:t>عن العزل؟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الأمة فلا بأس به </w:t>
      </w:r>
      <w:r>
        <w:rPr>
          <w:rStyle w:val="FootnoteAnchor"/>
          <w:rtl w:val="true"/>
        </w:rPr>
        <w:footnoteReference w:id="260"/>
      </w:r>
      <w:r>
        <w:rPr>
          <w:rFonts w:ascii="Amiri" w:hAnsi="Amiri" w:eastAsia="Amiri" w:cs="Amiri"/>
          <w:color w:val="111111"/>
          <w:sz w:val="28"/>
          <w:sz w:val="28"/>
          <w:szCs w:val="28"/>
          <w:rtl w:val="true"/>
          <w:lang w:bidi="ar-SA"/>
        </w:rPr>
        <w:t>، و أمّا الحرّة فإنّي أكره ذلك إلّا أن يشترط عليها حين يتزوجها</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مقتضى الأصل، و ظاهر هذه الأخبار، و صريح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لا يجب بالعزل دية؛ لأنّ المفروض إذن الشارع فيه، بل يمكن دعوى صراحة صحيحة محمد بن مسلم و موثقته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ذهب المحقّق </w:t>
      </w:r>
      <w:r>
        <w:rPr>
          <w:rStyle w:val="FootnoteAnchor"/>
          <w:rtl w:val="true"/>
        </w:rPr>
        <w:footnoteReference w:id="262"/>
      </w:r>
      <w:r>
        <w:rPr>
          <w:rFonts w:ascii="Amiri" w:hAnsi="Amiri" w:eastAsia="Amiri" w:cs="Amiri"/>
          <w:color w:val="111111"/>
          <w:sz w:val="28"/>
          <w:sz w:val="28"/>
          <w:szCs w:val="28"/>
          <w:rtl w:val="true"/>
          <w:lang w:bidi="ar-SA"/>
        </w:rPr>
        <w:t>و المصنّف رحمهما اللّٰه هنا إلى أنّه يجب به دية النطفة عشرة دنانير للزوجة؛ لأنّ الزوج بمنزلة متلف الولد حيث منع من تكوّنه، فكأنّه قاتل الولد، فلا يرث من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يحك لهذا القول مستند، عدا ما ذكر من الرواية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أفزع حال الجماع فعزل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على المفزع دية النطفة عشرة دنانير</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أنّ تسرية حكم الرواية إلى ما نحن فيه في غاية الإشكال، مع ظهور الفرق و جلائه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عزل عن الأمة فلا شي‌ء قولا واحدا، و ظاهره عدم الفرق بين أمته و أمة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كراهة في العزل عن الأمة؛ لرواية يعقوب الجعفي،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بالعزل في ستّة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أيقنت أنّها لا تلد، و المسنّة، و المرأة السليطة </w:t>
      </w:r>
      <w:r>
        <w:rPr>
          <w:rStyle w:val="FootnoteAnchor"/>
          <w:rtl w:val="true"/>
        </w:rPr>
        <w:footnoteReference w:id="264"/>
      </w:r>
      <w:r>
        <w:rPr>
          <w:rFonts w:ascii="Amiri" w:hAnsi="Amiri" w:eastAsia="Amiri" w:cs="Amiri"/>
          <w:color w:val="111111"/>
          <w:sz w:val="28"/>
          <w:sz w:val="28"/>
          <w:szCs w:val="28"/>
          <w:rtl w:val="true"/>
          <w:lang w:bidi="ar-SA"/>
        </w:rPr>
        <w:t>، و البذيّة، و المرأة التي لا ترضع ولدها، و الأمة</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الأصل كاف في نفيها</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يحرم على الرجل الوطء لامرأته قبل أن تبلغ المرأة تسع سنين،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في كلام جماعة </w:t>
      </w:r>
      <w:r>
        <w:rPr>
          <w:rStyle w:val="FootnoteAnchor"/>
          <w:rtl w:val="true"/>
        </w:rPr>
        <w:footnoteReference w:id="267"/>
      </w:r>
      <w:r>
        <w:rPr>
          <w:rFonts w:ascii="Amiri" w:hAnsi="Amiri" w:eastAsia="Amiri" w:cs="Amiri"/>
          <w:color w:val="111111"/>
          <w:sz w:val="28"/>
          <w:sz w:val="28"/>
          <w:szCs w:val="28"/>
          <w:rtl w:val="true"/>
          <w:lang w:bidi="ar-SA"/>
        </w:rPr>
        <w:t xml:space="preserve">، و الأخبار به مستفيضة كصحيحة الحلبي </w:t>
      </w:r>
      <w:r>
        <w:rPr>
          <w:rStyle w:val="FootnoteAnchor"/>
          <w:rtl w:val="true"/>
        </w:rPr>
        <w:footnoteReference w:id="268"/>
      </w:r>
      <w:r>
        <w:rPr>
          <w:rFonts w:ascii="Amiri" w:hAnsi="Amiri" w:eastAsia="Amiri" w:cs="Amiri"/>
          <w:color w:val="111111"/>
          <w:sz w:val="28"/>
          <w:sz w:val="28"/>
          <w:szCs w:val="28"/>
          <w:rtl w:val="true"/>
          <w:lang w:bidi="ar-SA"/>
        </w:rPr>
        <w:t xml:space="preserve">، و روايتي أبي بصير </w:t>
      </w:r>
      <w:r>
        <w:rPr>
          <w:rStyle w:val="FootnoteAnchor"/>
          <w:rtl w:val="true"/>
        </w:rPr>
        <w:footnoteReference w:id="269"/>
      </w:r>
      <w:r>
        <w:rPr>
          <w:rFonts w:ascii="Amiri" w:hAnsi="Amiri" w:eastAsia="Amiri" w:cs="Amiri"/>
          <w:color w:val="111111"/>
          <w:sz w:val="28"/>
          <w:sz w:val="28"/>
          <w:szCs w:val="28"/>
          <w:rtl w:val="true"/>
          <w:lang w:bidi="ar-SA"/>
        </w:rPr>
        <w:t xml:space="preserve">و زرارة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تحرم المرأة الموطوءة به على الواطئ إلّا مع الإفضاء و هو جعل مسلك البول و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مدخل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التحريم مع عدم الإفضاء فهو المشهور، و يدلّ عليه الأصل </w:t>
      </w:r>
      <w:r>
        <w:rPr>
          <w:rStyle w:val="FootnoteAnchor"/>
          <w:rtl w:val="true"/>
        </w:rPr>
        <w:footnoteReference w:id="271"/>
      </w:r>
      <w:r>
        <w:rPr>
          <w:rFonts w:ascii="Amiri" w:hAnsi="Amiri" w:eastAsia="Amiri" w:cs="Amiri"/>
          <w:color w:val="111111"/>
          <w:sz w:val="28"/>
          <w:sz w:val="28"/>
          <w:szCs w:val="28"/>
          <w:rtl w:val="true"/>
          <w:lang w:bidi="ar-SA"/>
        </w:rPr>
        <w:t>، و عدم الدليل على التحريم، عدا مرسلة يعقوب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خطب الرجل المرأة فدخل بها قبل أن تبلغ تسع سنين، فرّق بينهما، و لم تحل له أبدا</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ضعفها بالإرسال، مضافا إلى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للمشهور، فلا تنهض حجّة في رفع اليد عن الأصول القطعيّة الثابتة من حصول الحلّية بعقد النكاح، فلا بدّ من حملها على صورة الإفضاء، التي لا خلاف في كونها سببا للتحريم المؤبّد مع بقاء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للمسألة فروع و أحكام تأتي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على الرجل أيضا أن يترك وطء الزوجة أكثر من أربعة أشهر اتفاقا كما في المسالك </w:t>
      </w:r>
      <w:r>
        <w:rPr>
          <w:rStyle w:val="FootnoteAnchor"/>
          <w:rtl w:val="true"/>
        </w:rPr>
        <w:footnoteReference w:id="273"/>
      </w:r>
      <w:r>
        <w:rPr>
          <w:rFonts w:ascii="Amiri" w:hAnsi="Amiri" w:eastAsia="Amiri" w:cs="Amiri"/>
          <w:color w:val="111111"/>
          <w:sz w:val="28"/>
          <w:sz w:val="28"/>
          <w:szCs w:val="28"/>
          <w:rtl w:val="true"/>
          <w:lang w:bidi="ar-SA"/>
        </w:rPr>
        <w:t>،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صفوان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سأله عن رجل </w:t>
      </w:r>
      <w:r>
        <w:rPr>
          <w:rStyle w:val="FootnoteAnchor"/>
          <w:rtl w:val="true"/>
        </w:rPr>
        <w:footnoteReference w:id="274"/>
      </w:r>
      <w:r>
        <w:rPr>
          <w:rFonts w:ascii="Amiri" w:hAnsi="Amiri" w:eastAsia="Amiri" w:cs="Amiri"/>
          <w:color w:val="111111"/>
          <w:sz w:val="28"/>
          <w:sz w:val="28"/>
          <w:szCs w:val="28"/>
          <w:rtl w:val="true"/>
          <w:lang w:bidi="ar-SA"/>
        </w:rPr>
        <w:t>تكون عنده المرأة الشابة، فيمسك عنها الأشهر و السنة لا يقربها، ليس يريد الإضرار بها، يكون لهم مصيبة، أ يكون في ذلك آثما؟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تركها أربعة أشهر كان آثما بعد ذلك</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زيد في التهذيب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بإذنها</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و في سندها ابن أشيم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بالشابة، و قصر الحكم عليها بعض متأخّري المتأخرين كالمحدّث الكاشاني </w:t>
      </w:r>
      <w:r>
        <w:rPr>
          <w:rStyle w:val="FootnoteAnchor"/>
          <w:rtl w:val="true"/>
        </w:rPr>
        <w:footnoteReference w:id="277"/>
      </w:r>
      <w:r>
        <w:rPr>
          <w:rFonts w:ascii="Amiri" w:hAnsi="Amiri" w:eastAsia="Amiri" w:cs="Amiri"/>
          <w:color w:val="111111"/>
          <w:sz w:val="28"/>
          <w:sz w:val="28"/>
          <w:szCs w:val="28"/>
          <w:rtl w:val="true"/>
          <w:lang w:bidi="ar-SA"/>
        </w:rPr>
        <w:t xml:space="preserve">و المحدّث الحرّ العاملي </w:t>
      </w:r>
      <w:r>
        <w:rPr>
          <w:rStyle w:val="FootnoteAnchor"/>
          <w:rtl w:val="true"/>
        </w:rPr>
        <w:footnoteReference w:id="278"/>
      </w:r>
      <w:r>
        <w:rPr>
          <w:rFonts w:ascii="Amiri" w:hAnsi="Amiri" w:eastAsia="Amiri" w:cs="Amiri"/>
          <w:color w:val="111111"/>
          <w:sz w:val="28"/>
          <w:sz w:val="28"/>
          <w:szCs w:val="28"/>
          <w:rtl w:val="true"/>
          <w:lang w:bidi="ar-SA"/>
        </w:rPr>
        <w:t xml:space="preserve">، و مال إليه في الحدائق </w:t>
      </w:r>
      <w:r>
        <w:rPr>
          <w:rStyle w:val="FootnoteAnchor"/>
          <w:rtl w:val="true"/>
        </w:rPr>
        <w:footnoteReference w:id="279"/>
      </w:r>
      <w:r>
        <w:rPr>
          <w:rFonts w:ascii="Amiri" w:hAnsi="Amiri" w:eastAsia="Amiri" w:cs="Amiri"/>
          <w:color w:val="111111"/>
          <w:sz w:val="28"/>
          <w:sz w:val="28"/>
          <w:szCs w:val="28"/>
          <w:rtl w:val="true"/>
          <w:lang w:bidi="ar-SA"/>
        </w:rPr>
        <w:t xml:space="preserve">، و قوّاه بعض مشايخنا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قد عرفت دعوى الوفاق على التعميم؛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حكي عن الرياض الإجماع على عدم الفرق بين الشابة و غيرها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 التعميم قاعدة نفي الإضرار؛ لما روي من أنّ غاية صبر النساء عن الوقاع أربعة أشهر، و أنّه إذا مضت أربعة أشهر فنى صبرهن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المسالك إنّ المراد بالوطء الواجب مسمّاه الموجب للغسل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يخلو عن إشكال؛ لأنّ الغالب المتعارف الذي ينبغي أن يجعله الشارع لرفع الإضرار، هو الجماع مع الإنزال، و منه يظهر اختصاصه بالوطء في القبل؛ لأنّه المتعارف الذي يحصل به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حق للمرأة، لها المطالبة و لها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بعيدا أن يكون مجرّد تكليف في ذمّة الزوج</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شمول الزوجة للمتمتّعة وجهان، و كذا في إطلاق الحكم لما إذا كان الزوج غائبا</w:t>
      </w:r>
      <w:r>
        <w:rPr>
          <w:rFonts w:eastAsia="Amiri" w:cs="Amiri" w:ascii="Amiri" w:hAnsi="Amiri"/>
          <w:color w:val="111111"/>
          <w:sz w:val="28"/>
          <w:szCs w:val="28"/>
          <w:rtl w:val="true"/>
          <w:lang w:bidi="ar-SA"/>
        </w:rPr>
        <w:t>.</w:t>
      </w:r>
      <w:bookmarkStart w:id="43" w:name="pg19718_238967"/>
    </w:p>
    <w:p>
      <w:pPr>
        <w:pStyle w:val="Heading5"/>
        <w:numPr>
          <w:ilvl w:val="4"/>
          <w:numId w:val="1"/>
        </w:numPr>
        <w:rPr/>
      </w:pPr>
      <w:bookmarkStart w:id="44" w:name="__RefHeading___Toc1985742_2314609296"/>
      <w:bookmarkStart w:id="45" w:name="_Toc17"/>
      <w:bookmarkEnd w:id="43"/>
      <w:bookmarkEnd w:id="44"/>
      <w:r>
        <w:rPr>
          <w:rtl w:val="true"/>
        </w:rPr>
        <w:t>المطلب الثاني في أركانها</w:t>
      </w:r>
      <w:bookmarkEnd w:id="45"/>
    </w:p>
    <w:p>
      <w:pPr>
        <w:pStyle w:val="Heading6"/>
        <w:numPr>
          <w:ilvl w:val="5"/>
          <w:numId w:val="1"/>
        </w:numPr>
        <w:rPr/>
      </w:pPr>
      <w:bookmarkStart w:id="46" w:name="__RefHeading___Toc1985744_2314609296"/>
      <w:bookmarkStart w:id="47" w:name="_Toc18"/>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المطلب الثاني في أركانها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لم يعلم وجه لتأنيث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و المتعاقدان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1985746_2314609296"/>
      <w:bookmarkStart w:id="49" w:name="_Toc19"/>
      <w:bookmarkEnd w:id="48"/>
      <w:r>
        <w:rPr>
          <w:rtl w:val="true"/>
        </w:rPr>
        <w:t>الأوّل</w:t>
      </w:r>
      <w:r>
        <w:rPr>
          <w:rtl w:val="true"/>
        </w:rPr>
        <w:t xml:space="preserve">: </w:t>
      </w:r>
      <w:r>
        <w:rPr>
          <w:rtl w:val="true"/>
        </w:rPr>
        <w:t>في الصيغة</w:t>
      </w:r>
      <w:bookmarkEnd w:id="4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الصيغة أجمع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أصل الصيغة في عقد النكاح، و أنّ الفروج لا تباح بالإباحة و لا بالمعاطاة، و بذلك يمتاز النكاح عن السفاح؛ لأنّ فيه التراضي أيضا غالبا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 أنّه لا بدّ من أن يكون الإيجاب و القبول بصيغة الماضي لأنّها الصريحة في الإنشاء، بخلاف المضارع و الأمر، و لأنّ تحقّق</w:t>
      </w:r>
    </w:p>
    <w:p>
      <w:pPr>
        <w:pStyle w:val="BookText"/>
        <w:rPr/>
      </w:pPr>
      <w:r>
        <w:rPr>
          <w:rFonts w:ascii="Amiri" w:hAnsi="Amiri" w:eastAsia="Amiri" w:cs="Amiri"/>
          <w:color w:val="111111"/>
          <w:sz w:val="28"/>
          <w:sz w:val="28"/>
          <w:szCs w:val="28"/>
          <w:rtl w:val="true"/>
          <w:lang w:bidi="ar-SA"/>
        </w:rPr>
        <w:t xml:space="preserve">الزوجية معها </w:t>
      </w:r>
      <w:r>
        <w:rPr>
          <w:rStyle w:val="FootnoteAnchor"/>
          <w:rtl w:val="true"/>
        </w:rPr>
        <w:footnoteReference w:id="287"/>
      </w:r>
      <w:r>
        <w:rPr>
          <w:rFonts w:ascii="Amiri" w:hAnsi="Amiri" w:eastAsia="Amiri" w:cs="Amiri"/>
          <w:color w:val="111111"/>
          <w:sz w:val="28"/>
          <w:sz w:val="28"/>
          <w:szCs w:val="28"/>
          <w:rtl w:val="true"/>
          <w:lang w:bidi="ar-SA"/>
        </w:rPr>
        <w:t>متيقّن و مع غيرها مشكوك، فيجب الاقتصار في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أمرها على الاحتياط بحكم العقل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اختصاص الماضي بالصراحة، بل الجملة الاسميّة أصرح من الماضي، و لذا جازت في الطلاق إجماعا، مع أنّه ليس بأدون من النكاح في مطلوبيّة الاحتياط إن لم يكن أولى، فإذا جاز بالجملة الاسميّة، جاز في المضارع </w:t>
      </w:r>
      <w:r>
        <w:rPr>
          <w:rStyle w:val="FootnoteAnchor"/>
          <w:rtl w:val="true"/>
        </w:rPr>
        <w:footnoteReference w:id="288"/>
      </w:r>
      <w:r>
        <w:rPr>
          <w:rFonts w:ascii="Amiri" w:hAnsi="Amiri" w:eastAsia="Amiri" w:cs="Amiri"/>
          <w:color w:val="111111"/>
          <w:sz w:val="28"/>
          <w:sz w:val="28"/>
          <w:szCs w:val="28"/>
          <w:rtl w:val="true"/>
          <w:lang w:bidi="ar-SA"/>
        </w:rPr>
        <w:t>و الأمر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للشكّ في غير الماضي بعد اقتضاء العموم، مثل أَوْفُوا بِالْعُقُودِ </w:t>
      </w:r>
      <w:r>
        <w:rPr>
          <w:rStyle w:val="FootnoteAnchor"/>
          <w:rtl w:val="true"/>
        </w:rPr>
        <w:footnoteReference w:id="289"/>
      </w:r>
      <w:r>
        <w:rPr>
          <w:rFonts w:ascii="Amiri" w:hAnsi="Amiri" w:eastAsia="Amiri" w:cs="Amiri"/>
          <w:color w:val="111111"/>
          <w:sz w:val="28"/>
          <w:sz w:val="28"/>
          <w:szCs w:val="28"/>
          <w:rtl w:val="true"/>
          <w:lang w:bidi="ar-SA"/>
        </w:rPr>
        <w:t>، و خصوص ما ورد في غير واحد من الأخبار من جواز المتعة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أتزوّجك متعة</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الموجب لجواز ذلك في الدائم أيضا؛ لعدم الفرق، حيث إنّ كلّا منهما عقد لازم موجب للتسلّط على البضع، مع أنّ في بعض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أخلّ بذكر الأجل انقلب دائما </w:t>
      </w:r>
      <w:r>
        <w:rPr>
          <w:rStyle w:val="FootnoteAnchor"/>
          <w:rtl w:val="true"/>
        </w:rPr>
        <w:footnoteReference w:id="291"/>
      </w:r>
      <w:r>
        <w:rPr>
          <w:rFonts w:ascii="Amiri" w:hAnsi="Amiri" w:eastAsia="Amiri" w:cs="Amiri"/>
          <w:color w:val="111111"/>
          <w:sz w:val="28"/>
          <w:sz w:val="28"/>
          <w:szCs w:val="28"/>
          <w:rtl w:val="true"/>
          <w:lang w:bidi="ar-SA"/>
        </w:rPr>
        <w:t>، فهو صريح في صلاحيّة المضارع للدائم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يستدلّ بخبر سهل الساعدي </w:t>
      </w:r>
      <w:r>
        <w:rPr>
          <w:rStyle w:val="FootnoteAnchor"/>
          <w:rtl w:val="true"/>
        </w:rPr>
        <w:footnoteReference w:id="292"/>
      </w:r>
      <w:r>
        <w:rPr>
          <w:rFonts w:ascii="Amiri" w:hAnsi="Amiri" w:eastAsia="Amiri" w:cs="Amiri"/>
          <w:color w:val="111111"/>
          <w:sz w:val="28"/>
          <w:sz w:val="28"/>
          <w:szCs w:val="28"/>
          <w:rtl w:val="true"/>
          <w:lang w:bidi="ar-SA"/>
        </w:rPr>
        <w:t>المشهور، حيث إنّه يظهر منه جواز القبول بلفظ الأمر مقدّما على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لمنع كون الأمر</w:t>
      </w:r>
    </w:p>
    <w:p>
      <w:pPr>
        <w:pStyle w:val="BookText"/>
        <w:rPr/>
      </w:pPr>
      <w:r>
        <w:rPr>
          <w:rFonts w:ascii="Amiri" w:hAnsi="Amiri" w:eastAsia="Amiri" w:cs="Amiri"/>
          <w:color w:val="111111"/>
          <w:sz w:val="28"/>
          <w:sz w:val="28"/>
          <w:szCs w:val="28"/>
          <w:rtl w:val="true"/>
          <w:lang w:bidi="ar-SA"/>
        </w:rPr>
        <w:t xml:space="preserve">قبولا، إذ يحتمل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قويّا</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تحقق القبول بعد الإيجاب بلفظ آخر، كما يظهر بالتأمّل في متن الرواية، و سيجي‌ء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وقوعهما بالعربيّة مع القدرة، و هذا الاشتراط أيضا لا يخلو من نظر؛ لعدم ما ينهض دليلا بعد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انصراف العقود إلى العقود العربيّة غير مسموعة، كدعوى اختصاصها بها في الخطاب الملقى إلى المشافهين حيث إنّهم أعراب، و لم يثبت إلحاق العقود الفارسيّة بها؛ و ذلك لأنّ ظاهر أدلة العقود و الشروط وجوب الوفاء بها من حيث هي عقود و شروط، من غير عبرة بعباراتها المؤدّية لها، و لهذا لو القي مثل هذه الخطابات إلينا معاشر الفرس، لم نشكّ في عمومها لما عبّر عنه بالعربي أو الفارسي و التركي و الزنجي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ذلك كلّه ما ذكره المحقّق الثاني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الرهن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صدق العقد على غير العربي مع القدرة على العربي </w:t>
      </w:r>
      <w:r>
        <w:rPr>
          <w:rStyle w:val="FootnoteAnchor"/>
          <w:rtl w:val="true"/>
        </w:rPr>
        <w:footnoteReference w:id="296"/>
      </w:r>
      <w:r>
        <w:rPr>
          <w:rFonts w:ascii="Amiri" w:hAnsi="Amiri" w:eastAsia="Amiri" w:cs="Amiri"/>
          <w:color w:val="111111"/>
          <w:sz w:val="28"/>
          <w:sz w:val="28"/>
          <w:szCs w:val="28"/>
          <w:rtl w:val="true"/>
          <w:lang w:bidi="ar-SA"/>
        </w:rPr>
        <w:t>إذ لا ريب في أنّ القدرة و عدمها لا مدخل لهما في معاني الألفاظ و منصرفها، كما لا يخفى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فاللفظ الصريح في الإيجاب </w:t>
      </w:r>
      <w:r>
        <w:rPr>
          <w:rStyle w:val="FootnoteAnchor"/>
          <w:rtl w:val="true"/>
        </w:rPr>
        <w:footnoteReference w:id="297"/>
      </w:r>
      <w:r>
        <w:rPr>
          <w:rFonts w:ascii="Amiri" w:hAnsi="Amiri" w:eastAsia="Amiri" w:cs="Amiri"/>
          <w:color w:val="111111"/>
          <w:sz w:val="28"/>
          <w:sz w:val="28"/>
          <w:szCs w:val="28"/>
          <w:rtl w:val="true"/>
          <w:lang w:bidi="ar-SA"/>
        </w:rPr>
        <w:t>فيه لفظان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زوّجتك، و أنكحتك </w:t>
      </w:r>
      <w:r>
        <w:rPr>
          <w:rStyle w:val="FootnoteAnchor"/>
          <w:rtl w:val="true"/>
        </w:rPr>
        <w:footnoteReference w:id="298"/>
      </w:r>
      <w:r>
        <w:rPr>
          <w:rFonts w:ascii="Amiri" w:hAnsi="Amiri" w:eastAsia="Amiri" w:cs="Amiri"/>
          <w:color w:val="111111"/>
          <w:sz w:val="28"/>
          <w:sz w:val="28"/>
          <w:szCs w:val="28"/>
          <w:rtl w:val="true"/>
          <w:lang w:bidi="ar-SA"/>
        </w:rPr>
        <w:t xml:space="preserve">لورود الكتاب </w:t>
      </w:r>
      <w:r>
        <w:rPr>
          <w:rStyle w:val="FootnoteAnchor"/>
          <w:rtl w:val="true"/>
        </w:rPr>
        <w:footnoteReference w:id="299"/>
      </w:r>
      <w:r>
        <w:rPr>
          <w:rFonts w:ascii="Amiri" w:hAnsi="Amiri" w:eastAsia="Amiri" w:cs="Amiri"/>
          <w:color w:val="111111"/>
          <w:sz w:val="28"/>
          <w:sz w:val="28"/>
          <w:szCs w:val="28"/>
          <w:rtl w:val="true"/>
          <w:lang w:bidi="ar-SA"/>
        </w:rPr>
        <w:t xml:space="preserve">و السنّة </w:t>
      </w:r>
      <w:r>
        <w:rPr>
          <w:rStyle w:val="FootnoteAnchor"/>
          <w:rtl w:val="true"/>
        </w:rPr>
        <w:footnoteReference w:id="300"/>
      </w:r>
      <w:r>
        <w:rPr>
          <w:rFonts w:ascii="Amiri" w:hAnsi="Amiri" w:eastAsia="Amiri" w:cs="Amiri"/>
          <w:color w:val="111111"/>
          <w:sz w:val="28"/>
          <w:sz w:val="28"/>
          <w:szCs w:val="28"/>
          <w:rtl w:val="true"/>
          <w:lang w:bidi="ar-SA"/>
        </w:rPr>
        <w:t>بهما في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متّعتك خلاف </w:t>
      </w:r>
      <w:r>
        <w:rPr>
          <w:rStyle w:val="FootnoteAnchor"/>
          <w:rtl w:val="true"/>
        </w:rPr>
        <w:footnoteReference w:id="301"/>
      </w:r>
      <w:r>
        <w:rPr>
          <w:rFonts w:ascii="Amiri" w:hAnsi="Amiri" w:eastAsia="Amiri" w:cs="Amiri"/>
          <w:color w:val="111111"/>
          <w:sz w:val="28"/>
          <w:sz w:val="28"/>
          <w:szCs w:val="28"/>
          <w:rtl w:val="true"/>
          <w:lang w:bidi="ar-SA"/>
        </w:rPr>
        <w:t>، من أنّه صريح في المنقطع، فالتعبير به عن الدائم يحتاج إلى القرينة، و الألفاظ المحتاجة إلى القرائن محترز عنها و لو مع القرائن في العقود اللازمة، سيما المبنية منها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منع وجوب الاقتصار على ما لا يحتاج في صراحته إلى القرينة، مع أنّ الاحتياج إلى القرينة إن كان لمجازيّة اللفظ فهو ممنوع، و إن كان لكونه حقيقة في القدر المشترك فيحتاج إلى القرينة فلا ريب في جواز استعمال المشترك المعنوي في العقود اللازمة، فظهر أنّ الجواز أقوى، و إن كان المنع أحوط</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w:t>
      </w:r>
      <w:r>
        <w:rPr>
          <w:rStyle w:val="FootnoteAnchor"/>
          <w:rtl w:val="true"/>
        </w:rPr>
        <w:footnoteReference w:id="302"/>
      </w:r>
      <w:r>
        <w:rPr>
          <w:rFonts w:ascii="Amiri" w:hAnsi="Amiri" w:eastAsia="Amiri" w:cs="Amiri"/>
          <w:color w:val="111111"/>
          <w:sz w:val="28"/>
          <w:sz w:val="28"/>
          <w:szCs w:val="28"/>
          <w:rtl w:val="true"/>
          <w:lang w:bidi="ar-SA"/>
        </w:rPr>
        <w:t xml:space="preserve">إمّا لصدق العقد، فيدخل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 و إمّا لخصوص رواية سهل الساعدي المرويّة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امرأة إلى النبيّ صلّى اللّٰه عليه و آله و سلّم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زوّجني،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لهذه؟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صلّى اللّٰه عليه و آله و سلّم، زوّجنيها،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فأعادت، فأعاد رسول اللّٰه صلّى اللّٰه عليه و آله و سلّم الكلام، فلم يقم أحد غير الرجل، ثمّ أعادت، فقال رسول اللّٰه صلّى اللّٰه عليه و آله و سلّم في المرّة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تحسن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زوّجتكها </w:t>
      </w:r>
      <w:r>
        <w:rPr>
          <w:rStyle w:val="FootnoteAnchor"/>
          <w:rtl w:val="true"/>
        </w:rPr>
        <w:footnoteReference w:id="305"/>
      </w:r>
      <w:r>
        <w:rPr>
          <w:rFonts w:ascii="Amiri" w:hAnsi="Amiri" w:eastAsia="Amiri" w:cs="Amiri"/>
          <w:color w:val="111111"/>
          <w:sz w:val="28"/>
          <w:sz w:val="28"/>
          <w:szCs w:val="28"/>
          <w:rtl w:val="true"/>
          <w:lang w:bidi="ar-SA"/>
        </w:rPr>
        <w:t>على ما تحسن من القرآن، فعلّمها إياه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على جواز الاكتفاء بالأمر السابق، فلعلّه قد قبل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الأصل عدم تحقّق القبول اللاحق، فيثبت منه أنّ الرجل اكتفى في القبول بما تقدّم منه من الطلب، و لازمة صحّة العقد بهذا القدر، منظور فيها كما قرر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الأصول الشرعيّة ترتيب الآثار الشرعيّة لا الآثار الغير الشرعيّة و إن ترتّب عليها أثر شرعي</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مع أنّ الطلب السابق الصادر من الرجل ليس فيه دلالة على الرضى بالتزويج بالقرآن؛ لعدم التفاته إلى ذلك أوّلا، و عدم علمه بجواز جعل تعليم السورة مهرا، بل اعتقد أنّ الصداق لا بدّ من أن يكون مالا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له ما ورد في بعض الروايات الحاكية هذه الحكاية أنّ النبي صلّى اللّٰه عليه و آله و سلّم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عندك شي‌ء تصدقها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w:t>
      </w:r>
    </w:p>
    <w:p>
      <w:pPr>
        <w:pStyle w:val="BookText"/>
        <w:rPr/>
      </w:pPr>
      <w:r>
        <w:rPr>
          <w:rFonts w:ascii="Amiri" w:hAnsi="Amiri" w:eastAsia="Amiri" w:cs="Amiri"/>
          <w:color w:val="111111"/>
          <w:sz w:val="28"/>
          <w:sz w:val="28"/>
          <w:szCs w:val="28"/>
          <w:rtl w:val="true"/>
          <w:lang w:bidi="ar-SA"/>
        </w:rPr>
        <w:t>إلّا إزاري هذا</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فلو لا العموم أشكل التمسّك بخصوص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قيل بصحّة العقد لو قال الرجل في مقام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w:t>
      </w:r>
      <w:r>
        <w:rPr>
          <w:rStyle w:val="FootnoteAnchor"/>
          <w:rtl w:val="true"/>
        </w:rPr>
        <w:footnoteReference w:id="309"/>
      </w:r>
      <w:r>
        <w:rPr>
          <w:rFonts w:ascii="Amiri" w:hAnsi="Amiri" w:eastAsia="Amiri" w:cs="Amiri"/>
          <w:color w:val="111111"/>
          <w:sz w:val="28"/>
          <w:sz w:val="28"/>
          <w:szCs w:val="28"/>
          <w:rtl w:val="true"/>
          <w:lang w:bidi="ar-SA"/>
        </w:rPr>
        <w:t>، و يدلّ على هذا القول ما مرّ في اشتراط الماضوية من الدليل العام 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بنتك من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كفى في الإيجاب </w:t>
      </w:r>
      <w:r>
        <w:rPr>
          <w:rStyle w:val="FootnoteAnchor"/>
          <w:rtl w:val="true"/>
        </w:rPr>
        <w:footnoteReference w:id="310"/>
      </w:r>
      <w:r>
        <w:rPr>
          <w:rFonts w:ascii="Amiri" w:hAnsi="Amiri" w:eastAsia="Amiri" w:cs="Amiri"/>
          <w:color w:val="111111"/>
          <w:sz w:val="28"/>
          <w:sz w:val="28"/>
          <w:szCs w:val="28"/>
          <w:rtl w:val="true"/>
          <w:lang w:bidi="ar-SA"/>
        </w:rPr>
        <w:t xml:space="preserve">إذا أراد به الإنشاء لا الإخبار، و قد يشكل من حيث إنّ الثابت هو كون نفس </w:t>
      </w:r>
      <w:r>
        <w:rPr>
          <w:rStyle w:val="FootnoteAnchor"/>
          <w:rtl w:val="true"/>
        </w:rPr>
        <w:footnoteReference w:id="311"/>
      </w:r>
      <w:r>
        <w:rPr>
          <w:rFonts w:ascii="Amiri" w:hAnsi="Amiri" w:eastAsia="Amiri" w:cs="Amiri"/>
          <w:color w:val="111111"/>
          <w:sz w:val="28"/>
          <w:sz w:val="28"/>
          <w:szCs w:val="28"/>
          <w:rtl w:val="true"/>
          <w:lang w:bidi="ar-SA"/>
        </w:rPr>
        <w:t>أحد اللفظين أو الألفاظ الثلاثة صالحا لإيجاب النكاح، و لم يثبت صلاحيّة ما قام مقامهما و إن كان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تسليم الصلاحيّة فهو غير صريح في الإنشاء، بل هو ظاهر في الإخبار، فيحتاج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ظهوره فيه، فلا ريب أنّه أضعف ظهورا من المضارع الذي منع المصنّف قدّس سرّه من وقوع الإيجاب 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يستفاد من بعض الأخبار الواردة في المتعة أنّه إذا قالت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قول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أتزوّجك متعة بكذا إلى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امرأته </w:t>
      </w:r>
      <w:r>
        <w:rPr>
          <w:rStyle w:val="FootnoteAnchor"/>
          <w:rtl w:val="true"/>
        </w:rPr>
        <w:footnoteReference w:id="313"/>
      </w:r>
      <w:r>
        <w:rPr>
          <w:rFonts w:ascii="Amiri" w:hAnsi="Amiri" w:eastAsia="Amiri" w:cs="Amiri"/>
          <w:color w:val="111111"/>
          <w:sz w:val="28"/>
          <w:sz w:val="28"/>
          <w:szCs w:val="28"/>
          <w:rtl w:val="true"/>
          <w:lang w:bidi="ar-SA"/>
        </w:rPr>
        <w:t xml:space="preserve">، و لا 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المرأة إيجاب، فدلّ على جواز الإيجاب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قدّم القبول صحّ العقد؛ لعموم الوفاء بالعقود، و لما دلّ على التقديم في المتعة </w:t>
      </w:r>
      <w:r>
        <w:rPr>
          <w:rStyle w:val="FootnoteAnchor"/>
          <w:rtl w:val="true"/>
        </w:rPr>
        <w:footnoteReference w:id="314"/>
      </w:r>
      <w:r>
        <w:rPr>
          <w:rFonts w:ascii="Amiri" w:hAnsi="Amiri" w:eastAsia="Amiri" w:cs="Amiri"/>
          <w:color w:val="111111"/>
          <w:sz w:val="28"/>
          <w:sz w:val="28"/>
          <w:szCs w:val="28"/>
          <w:rtl w:val="true"/>
          <w:lang w:bidi="ar-SA"/>
        </w:rPr>
        <w:t>، مع صلاحيّة عقده للدوام بالإخلال بالأجل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أنّ النزاع في جواز التقديم ليس فيما كان القبول بلفظ قبلت أو رضيت؛ للاتفاق على عدم جواز تقديمها، بل فيما كان بلفظ منشئ للتزوج </w:t>
      </w:r>
      <w:r>
        <w:rPr>
          <w:rStyle w:val="FootnoteAnchor"/>
          <w:rtl w:val="true"/>
        </w:rPr>
        <w:footnoteReference w:id="315"/>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نفسي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عقد النكاح ليس إيجابه مختصّا بالمرأة؛ لأنّ كلّا منهما يزوّج نفسه من صاحبه و ينكح صاحبه، فإنّ لفظ النكاح و التزويج و التزوّج </w:t>
      </w:r>
      <w:r>
        <w:rPr>
          <w:rStyle w:val="FootnoteAnchor"/>
          <w:rtl w:val="true"/>
        </w:rPr>
        <w:footnoteReference w:id="316"/>
      </w:r>
      <w:r>
        <w:rPr>
          <w:rFonts w:ascii="Amiri" w:hAnsi="Amiri" w:eastAsia="Amiri" w:cs="Amiri"/>
          <w:color w:val="111111"/>
          <w:sz w:val="28"/>
          <w:sz w:val="28"/>
          <w:szCs w:val="28"/>
          <w:rtl w:val="true"/>
          <w:lang w:bidi="ar-SA"/>
        </w:rPr>
        <w:t>يصلح أن يستعمل كلّ منهما مستندا إلى كلّ من الرجل و المرأة، قال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تَنْكِحُوا مٰا نَكَحَ آبٰاؤُكُمْ </w:t>
      </w:r>
      <w:r>
        <w:rPr>
          <w:rStyle w:val="FootnoteAnchor"/>
          <w:rtl w:val="true"/>
        </w:rPr>
        <w:footnoteReference w:id="317"/>
      </w:r>
      <w:r>
        <w:rPr>
          <w:rFonts w:ascii="Amiri" w:hAnsi="Amiri" w:eastAsia="Amiri" w:cs="Amiri"/>
          <w:color w:val="111111"/>
          <w:sz w:val="28"/>
          <w:sz w:val="28"/>
          <w:szCs w:val="28"/>
          <w:rtl w:val="true"/>
          <w:lang w:bidi="ar-SA"/>
        </w:rPr>
        <w:t xml:space="preserve">، و قال حَتّٰى تَنْكِحَ زَوْجاً غَيْرَهُ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تنشئ تسليط الرجل على بضعها في مقابل المهر، فمقتضى المقابلة أن يصدر من الرجل إمّا إنشاء القبول للتسليط </w:t>
      </w:r>
      <w:r>
        <w:rPr>
          <w:rStyle w:val="FootnoteAnchor"/>
          <w:rtl w:val="true"/>
        </w:rPr>
        <w:footnoteReference w:id="319"/>
      </w:r>
      <w:r>
        <w:rPr>
          <w:rFonts w:ascii="Amiri" w:hAnsi="Amiri" w:eastAsia="Amiri" w:cs="Amiri"/>
          <w:color w:val="111111"/>
          <w:sz w:val="28"/>
          <w:sz w:val="28"/>
          <w:szCs w:val="28"/>
          <w:rtl w:val="true"/>
          <w:lang w:bidi="ar-SA"/>
        </w:rPr>
        <w:t>المذكور</w:t>
      </w:r>
    </w:p>
    <w:p>
      <w:pPr>
        <w:pStyle w:val="BookText"/>
        <w:rPr/>
      </w:pPr>
      <w:r>
        <w:rPr>
          <w:rFonts w:ascii="Amiri" w:hAnsi="Amiri" w:eastAsia="Amiri" w:cs="Amiri"/>
          <w:color w:val="111111"/>
          <w:sz w:val="28"/>
          <w:sz w:val="28"/>
          <w:szCs w:val="28"/>
          <w:rtl w:val="true"/>
          <w:lang w:bidi="ar-SA"/>
        </w:rPr>
        <w:t xml:space="preserve">بالمهر المزبور، و إمّا أن ينشئ ابتداء تمليك المهر بإزاء البضع فتقبل الزوجة، و لمّا لم يجز العقد بالطريق الثاني اتّفاقا تعيّن الأوّل، فإنشاؤه للتزوّج </w:t>
      </w:r>
      <w:r>
        <w:rPr>
          <w:rStyle w:val="FootnoteAnchor"/>
          <w:rtl w:val="true"/>
        </w:rPr>
        <w:footnoteReference w:id="320"/>
      </w:r>
      <w:r>
        <w:rPr>
          <w:rFonts w:ascii="Amiri" w:hAnsi="Amiri" w:eastAsia="Amiri" w:cs="Amiri"/>
          <w:color w:val="111111"/>
          <w:sz w:val="28"/>
          <w:sz w:val="28"/>
          <w:szCs w:val="28"/>
          <w:rtl w:val="true"/>
          <w:lang w:bidi="ar-SA"/>
        </w:rPr>
        <w:t>بها بأن يقول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تزوّجتك</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مريدا به إنشاء زوجيّته لها لا قبول تزويجها أمر لا ينطبق على إنشاء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المهر عوضا حقيقيا في النكاح، حتّى يقابل إنشاء المرأة للتسليط على بضعها بإزاء المهر بإنشاء الرجل لقبول ذلك التسليط كالمشتري، أو بإنشائه ابتداء لتمليك المهر بإزاء البضع، كما في الصلح حيث يصحّ فيه الإيجاب عن </w:t>
      </w:r>
      <w:r>
        <w:rPr>
          <w:rStyle w:val="FootnoteAnchor"/>
          <w:rtl w:val="true"/>
        </w:rPr>
        <w:footnoteReference w:id="322"/>
      </w:r>
      <w:r>
        <w:rPr>
          <w:rFonts w:ascii="Amiri" w:hAnsi="Amiri" w:eastAsia="Amiri" w:cs="Amiri"/>
          <w:color w:val="111111"/>
          <w:sz w:val="28"/>
          <w:sz w:val="28"/>
          <w:szCs w:val="28"/>
          <w:rtl w:val="true"/>
          <w:lang w:bidi="ar-SA"/>
        </w:rPr>
        <w:t>كلّ من المتصالحين، بل كلّ منهما صالح لإنشاء زوجيّته لصاحبه ابتداء، فيتعقّبه صاحبه بالقبول، فهو كالصلح من جهة صلاحيّة كلّ واحد لإنشاء نكاح صاحبه و زوجيّته له، لا من جهة معاوضة كلّ من البضع و الصداق بالآخر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إنشاء النكاح و الزوجية من الرجل و قبوله من المرأة، كما يجوز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أبان بن تغلب،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أتزوّجك متعة بكذا إلى كذا فقد رضيت فهي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عليه السلام حدوث الزوجيّة برضاها بما أنشأه الرجل، و على هذا فإذا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تزوّجتك، فقالت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 أو رضيت،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المسألة حينئذ </w:t>
      </w:r>
      <w:r>
        <w:rPr>
          <w:rStyle w:val="FootnoteAnchor"/>
          <w:rtl w:val="true"/>
        </w:rPr>
        <w:footnoteReference w:id="324"/>
      </w:r>
      <w:r>
        <w:rPr>
          <w:rFonts w:ascii="Amiri" w:hAnsi="Amiri" w:eastAsia="Amiri" w:cs="Amiri"/>
          <w:color w:val="111111"/>
          <w:sz w:val="28"/>
          <w:sz w:val="28"/>
          <w:szCs w:val="28"/>
          <w:rtl w:val="true"/>
          <w:lang w:bidi="ar-SA"/>
        </w:rPr>
        <w:t>تخرج عن تقديم القبول على الإيجاب، و لا يضرّ، فإنّ المقصود أنّه يصحّ سبق الرجل بإنشاء النكاح، و إلّا فإذا كان المقصود سبق الرجل بالإنشاء على وجه كونه قبولا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به </w:t>
      </w:r>
      <w:r>
        <w:rPr>
          <w:rStyle w:val="FootnoteAnchor"/>
          <w:rtl w:val="true"/>
        </w:rPr>
        <w:footnoteReference w:id="325"/>
      </w:r>
      <w:r>
        <w:rPr>
          <w:rFonts w:ascii="Amiri" w:hAnsi="Amiri" w:eastAsia="Amiri" w:cs="Amiri"/>
          <w:color w:val="111111"/>
          <w:sz w:val="28"/>
          <w:sz w:val="28"/>
          <w:szCs w:val="28"/>
          <w:rtl w:val="true"/>
          <w:lang w:bidi="ar-SA"/>
        </w:rPr>
        <w:t>قبول التزويج، فلا يعقل الحكم بصحّته؛ إذ لم يسبق تزويج من المرأة حتى يقبله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صرّحوا بأنّ النزاع فيما إذا لم يكن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ريب في أنّه إذا قصد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التزويج، فكأنّه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قبلت </w:t>
      </w:r>
      <w:r>
        <w:rPr>
          <w:rStyle w:val="FootnoteAnchor"/>
          <w:rtl w:val="true"/>
        </w:rPr>
        <w:footnoteReference w:id="326"/>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فتعبيرهم عن المسألة بجواز تقديم القبول على الإيجاب مسامحة، أو اصطلاح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اصطلحوا على تسمية إنشاء الرجل قبولا من جهة أنّ المرأة تسلّط الرجل على بضعها، و يكون الصداق كالعوض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فالقبول</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من حيث هو قبول الإيجاب لا يعقل تقدّمه عليه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اشترط أيضا عدم الفصل بين الإيجاب و القبول، فضلا عن اعتبار بقاء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شرحه </w:t>
      </w:r>
      <w:r>
        <w:rPr>
          <w:rStyle w:val="FootnoteAnchor"/>
          <w:rtl w:val="true"/>
        </w:rPr>
        <w:footnoteReference w:id="328"/>
      </w:r>
      <w:r>
        <w:rPr>
          <w:rFonts w:ascii="Amiri" w:hAnsi="Amiri" w:eastAsia="Amiri" w:cs="Amiri"/>
          <w:color w:val="111111"/>
          <w:sz w:val="28"/>
          <w:sz w:val="28"/>
          <w:szCs w:val="28"/>
          <w:rtl w:val="true"/>
          <w:lang w:bidi="ar-SA"/>
        </w:rPr>
        <w:t>للفاضل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لعلّ السرّ فيه أنّه لا بدّ من بقاء المتعاقدين على الرضى، و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الإعراض</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عن إنشائه إلى</w:t>
      </w:r>
    </w:p>
    <w:p>
      <w:pPr>
        <w:pStyle w:val="BookText"/>
        <w:rPr/>
      </w:pPr>
      <w:r>
        <w:rPr>
          <w:rFonts w:ascii="IRNazanin" w:hAnsi="IRNazanin" w:eastAsia="IRNazanin"/>
          <w:color w:val="111111"/>
          <w:sz w:val="28"/>
          <w:sz w:val="28"/>
          <w:szCs w:val="28"/>
          <w:rtl w:val="true"/>
          <w:lang w:bidi="fa-IR"/>
        </w:rPr>
        <w:t xml:space="preserve">تمام العقد، و مع </w:t>
      </w:r>
      <w:r>
        <w:rPr>
          <w:rStyle w:val="FootnoteAnchor"/>
          <w:rtl w:val="true"/>
        </w:rPr>
        <w:footnoteReference w:id="330"/>
      </w:r>
      <w:r>
        <w:rPr>
          <w:rFonts w:ascii="Amiri" w:hAnsi="Amiri" w:eastAsia="Amiri" w:cs="Amiri"/>
          <w:color w:val="111111"/>
          <w:sz w:val="28"/>
          <w:sz w:val="28"/>
          <w:szCs w:val="28"/>
          <w:rtl w:val="true"/>
          <w:lang w:bidi="ar-SA"/>
        </w:rPr>
        <w:t xml:space="preserve">انقضاء المجلس لا يعلم ذلك و إن ظنّ، فيصير من قبيل الكناية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ما فيه من النظر، نعم لو وقع التراخي بحيث يبطل التخاطب العقدي أشكل الصحّة مع احتمالها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اشترط أيضا في العقد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و عدم التعليق بالشرط و الصفة، و قد يمنع من التعليق الصوري، و لكن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الترجمة بغير العربيّة مع العجز عنها و عن تعلّمها؛ بناء على اشتراطها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التوكيل و إن قدر عليه، و ادّعى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الاتّفاق على ذلك </w:t>
      </w:r>
      <w:r>
        <w:rPr>
          <w:rStyle w:val="FootnoteAnchor"/>
          <w:rtl w:val="true"/>
        </w:rPr>
        <w:footnoteReference w:id="333"/>
      </w:r>
      <w:r>
        <w:rPr>
          <w:rFonts w:ascii="Amiri" w:hAnsi="Amiri" w:eastAsia="Amiri" w:cs="Amiri"/>
          <w:color w:val="111111"/>
          <w:sz w:val="28"/>
          <w:sz w:val="28"/>
          <w:szCs w:val="28"/>
          <w:rtl w:val="true"/>
          <w:lang w:bidi="ar-SA"/>
        </w:rPr>
        <w:t xml:space="preserve">، و نقل في الكفاية دعوى ظهور الاتّفاق عن بعض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التوكيل مع القدرة أحوط، كما أنّ الأحوط مراعاة الإعراب و عدم اللحن بحسب القواعد العربيّة، و لذا تداول تكرار الصيغة بأنحاء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عجز عن النطق أصلا كفت الإشارة معه أي مع العجز، و كأنّه مما لا خلاف فيه مع تعذّر التوكيل، و أمّا </w:t>
      </w:r>
      <w:r>
        <w:rPr>
          <w:rStyle w:val="FootnoteAnchor"/>
          <w:rtl w:val="true"/>
        </w:rPr>
        <w:footnoteReference w:id="335"/>
      </w:r>
      <w:r>
        <w:rPr>
          <w:rFonts w:ascii="Amiri" w:hAnsi="Amiri" w:eastAsia="Amiri" w:cs="Amiri"/>
          <w:color w:val="111111"/>
          <w:sz w:val="28"/>
          <w:sz w:val="28"/>
          <w:szCs w:val="28"/>
          <w:rtl w:val="true"/>
          <w:lang w:bidi="ar-SA"/>
        </w:rPr>
        <w:t>مع إمكانه فالظاهر أنّه كذلك أيضا؛ و لعلّه لما استفيد من تتبع أحكام الشارع من قيام الإشارة مقام اللفظ في العبادات و المعاملات، و فحوى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طلاق الأخرس الإشارة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ينعقد الإيجاب في النكاح بلفظ الهبة، و التمليك، و الإباحة اتفاقا منّا، خلافا لبعض العامّة فجوّزوا ذلك مطلقا </w:t>
      </w:r>
      <w:r>
        <w:rPr>
          <w:rStyle w:val="FootnoteAnchor"/>
          <w:rtl w:val="true"/>
        </w:rPr>
        <w:footnoteReference w:id="337"/>
      </w:r>
      <w:r>
        <w:rPr>
          <w:rFonts w:ascii="IRNazanin" w:hAnsi="IRNazanin" w:eastAsia="IRNazanin"/>
          <w:color w:val="111111"/>
          <w:sz w:val="28"/>
          <w:sz w:val="28"/>
          <w:szCs w:val="28"/>
          <w:rtl w:val="true"/>
          <w:lang w:bidi="fa-IR"/>
        </w:rPr>
        <w:t xml:space="preserve">، و لآخر منهم فجوّزوه </w:t>
      </w:r>
      <w:r>
        <w:rPr>
          <w:rStyle w:val="FootnoteAnchor"/>
          <w:rtl w:val="true"/>
        </w:rPr>
        <w:footnoteReference w:id="338"/>
      </w:r>
      <w:r>
        <w:rPr>
          <w:rFonts w:ascii="Amiri" w:hAnsi="Amiri" w:eastAsia="Amiri" w:cs="Amiri"/>
          <w:color w:val="111111"/>
          <w:sz w:val="28"/>
          <w:sz w:val="28"/>
          <w:szCs w:val="28"/>
          <w:rtl w:val="true"/>
          <w:lang w:bidi="ar-SA"/>
        </w:rPr>
        <w:t xml:space="preserve">مع ذكر المهر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bookmarkStart w:id="50" w:name="pg19718_238978"/>
    </w:p>
    <w:p>
      <w:pPr>
        <w:pStyle w:val="Heading6"/>
        <w:numPr>
          <w:ilvl w:val="5"/>
          <w:numId w:val="1"/>
        </w:numPr>
        <w:rPr/>
      </w:pPr>
      <w:bookmarkStart w:id="51" w:name="__RefHeading___Toc1985748_2314609296"/>
      <w:bookmarkStart w:id="52" w:name="_Toc20"/>
      <w:bookmarkEnd w:id="50"/>
      <w:bookmarkEnd w:id="51"/>
      <w:r>
        <w:rPr>
          <w:rtl w:val="true"/>
        </w:rPr>
        <w:t>الثاني</w:t>
      </w:r>
      <w:r>
        <w:rPr>
          <w:rtl w:val="true"/>
        </w:rPr>
        <w:t xml:space="preserve">: </w:t>
      </w:r>
      <w:r>
        <w:rPr>
          <w:rtl w:val="true"/>
        </w:rPr>
        <w:t>في المتعاقدين</w:t>
      </w:r>
      <w:bookmarkEnd w:id="52"/>
    </w:p>
    <w:p>
      <w:pPr>
        <w:pStyle w:val="BookText"/>
        <w:rPr/>
      </w:pPr>
      <w:r>
        <w:rPr>
          <w:rFonts w:ascii="Amiri" w:hAnsi="Amiri" w:eastAsia="Amiri" w:cs="Amiri"/>
          <w:color w:val="111111"/>
          <w:sz w:val="28"/>
          <w:sz w:val="28"/>
          <w:szCs w:val="28"/>
          <w:rtl w:val="true"/>
          <w:lang w:bidi="ar-SA"/>
        </w:rPr>
        <w:t xml:space="preserve">الثاني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المتعاقدين</w:t>
      </w:r>
    </w:p>
    <w:p>
      <w:pPr>
        <w:pStyle w:val="BookText"/>
        <w:rPr/>
      </w:pPr>
      <w:r>
        <w:rPr>
          <w:rFonts w:ascii="Amiri" w:hAnsi="Amiri" w:eastAsia="Amiri" w:cs="Amiri"/>
          <w:color w:val="111111"/>
          <w:sz w:val="28"/>
          <w:sz w:val="28"/>
          <w:szCs w:val="28"/>
          <w:rtl w:val="true"/>
          <w:lang w:bidi="ar-SA"/>
        </w:rPr>
        <w:t>و يشترط فيهما سواء كانا زوجين أو وليين أو وكيلين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بالبلوغ و العقل و الاختيار و الحرّيّة أو إذن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اعتبار بعقد الصبي و المجنون و إن أجازا بعد البلوغ و العقل و لا بعقد السكران و إن أفاق من سكره و أجاز لعدم قصده إلى مدلول العقد حين تلفّظه به، فلا ينفعه الإجازة بعد الإفاقة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وردت رواية مصحّحة بجواز تزويج السكرى نفسها إذا رضيت بعد الإفاقة و أقامت مع زوجها </w:t>
      </w:r>
      <w:r>
        <w:rPr>
          <w:rStyle w:val="FootnoteAnchor"/>
          <w:rtl w:val="true"/>
        </w:rPr>
        <w:footnoteReference w:id="341"/>
      </w:r>
      <w:r>
        <w:rPr>
          <w:rFonts w:ascii="Amiri" w:hAnsi="Amiri" w:eastAsia="Amiri" w:cs="Amiri"/>
          <w:color w:val="111111"/>
          <w:sz w:val="28"/>
          <w:sz w:val="28"/>
          <w:szCs w:val="28"/>
          <w:rtl w:val="true"/>
          <w:lang w:bidi="ar-SA"/>
        </w:rPr>
        <w:t xml:space="preserve">، و عمل بها الشيخ </w:t>
      </w:r>
      <w:r>
        <w:rPr>
          <w:rStyle w:val="FootnoteAnchor"/>
          <w:rtl w:val="true"/>
        </w:rPr>
        <w:footnoteReference w:id="342"/>
      </w:r>
      <w:r>
        <w:rPr>
          <w:rFonts w:ascii="Amiri" w:hAnsi="Amiri" w:eastAsia="Amiri" w:cs="Amiri"/>
          <w:color w:val="111111"/>
          <w:sz w:val="28"/>
          <w:sz w:val="28"/>
          <w:szCs w:val="28"/>
          <w:rtl w:val="true"/>
          <w:lang w:bidi="ar-SA"/>
        </w:rPr>
        <w:t xml:space="preserve">و القاضي </w:t>
      </w:r>
      <w:r>
        <w:rPr>
          <w:rStyle w:val="FootnoteAnchor"/>
          <w:rtl w:val="true"/>
        </w:rPr>
        <w:footnoteReference w:id="343"/>
      </w:r>
      <w:r>
        <w:rPr>
          <w:rFonts w:ascii="Amiri" w:hAnsi="Amiri" w:eastAsia="Amiri" w:cs="Amiri"/>
          <w:color w:val="111111"/>
          <w:sz w:val="28"/>
          <w:sz w:val="28"/>
          <w:szCs w:val="28"/>
          <w:rtl w:val="true"/>
          <w:lang w:bidi="ar-SA"/>
        </w:rPr>
        <w:t xml:space="preserve">و بعض متأخّري المتأخرين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المختلف حملها على سكر يتحقّق معه القصد و إن لم يعرف فيه المصلحة و المفسدة فيما يفعله و لذلك وقف </w:t>
      </w:r>
      <w:r>
        <w:rPr>
          <w:rStyle w:val="FootnoteAnchor"/>
          <w:rtl w:val="true"/>
        </w:rPr>
        <w:footnoteReference w:id="345"/>
      </w:r>
      <w:r>
        <w:rPr>
          <w:rFonts w:ascii="Amiri" w:hAnsi="Amiri" w:eastAsia="Amiri" w:cs="Amiri"/>
          <w:color w:val="111111"/>
          <w:sz w:val="28"/>
          <w:sz w:val="28"/>
          <w:szCs w:val="28"/>
          <w:rtl w:val="true"/>
          <w:lang w:bidi="ar-SA"/>
        </w:rPr>
        <w:t xml:space="preserve">على الرضى بعد الإفاقة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بأنّه إن تحقّق القصد لم يحتج إلى الرضى المتأخّر؛ لأنّ المفروض</w:t>
      </w:r>
    </w:p>
    <w:p>
      <w:pPr>
        <w:pStyle w:val="BookText"/>
        <w:rPr/>
      </w:pPr>
      <w:r>
        <w:rPr>
          <w:rFonts w:ascii="IRNazanin" w:hAnsi="IRNazanin" w:eastAsia="IRNazanin"/>
          <w:color w:val="111111"/>
          <w:sz w:val="28"/>
          <w:sz w:val="28"/>
          <w:szCs w:val="28"/>
          <w:rtl w:val="true"/>
          <w:lang w:bidi="fa-IR"/>
        </w:rPr>
        <w:t>أنّه بالغ عاقل 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كونها في </w:t>
      </w:r>
      <w:r>
        <w:rPr>
          <w:rStyle w:val="FootnoteAnchor"/>
          <w:rtl w:val="true"/>
        </w:rPr>
        <w:footnoteReference w:id="347"/>
      </w:r>
      <w:r>
        <w:rPr>
          <w:rFonts w:ascii="Amiri" w:hAnsi="Amiri" w:eastAsia="Amiri" w:cs="Amiri"/>
          <w:color w:val="111111"/>
          <w:sz w:val="28"/>
          <w:sz w:val="28"/>
          <w:szCs w:val="28"/>
          <w:rtl w:val="true"/>
          <w:lang w:bidi="ar-SA"/>
        </w:rPr>
        <w:t>حال السكر كالسفيهة في كونها غير نافذة العقد؛ لعدم معرفتها حينئذ بما يصلحها و يفسدها، إلّا أنّها غير مولّى عليها حينئذ بالإجماع؛ لأنّها حالة اتّفاقية دون السفاهة التي تبقى طويلا، و يحتاج لذلك إلى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يبعد العمل بالرواية مع صحّتها فيما إذا تحقّق القصد من السكران، بل هو أولى من المكره الذي حكموا بصحّة بيعه إذا رضي بعد زوال الإكراه، لكن المسألة مشكلة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اشتراط الحرّية أو إذن المولى، فهو في العاقد إذا كان زوجا أو زوجة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الوكيل، فهو محل نظر؛ لأنّ تصرّف العبد في نفسه بمقدار التلفّظ بالصيغة ليس مما دلّ </w:t>
      </w:r>
      <w:r>
        <w:rPr>
          <w:rStyle w:val="FootnoteAnchor"/>
          <w:rtl w:val="true"/>
        </w:rPr>
        <w:footnoteReference w:id="348"/>
      </w:r>
      <w:r>
        <w:rPr>
          <w:rFonts w:ascii="Amiri" w:hAnsi="Amiri" w:eastAsia="Amiri" w:cs="Amiri"/>
          <w:color w:val="111111"/>
          <w:sz w:val="28"/>
          <w:sz w:val="28"/>
          <w:szCs w:val="28"/>
          <w:rtl w:val="true"/>
          <w:lang w:bidi="ar-SA"/>
        </w:rPr>
        <w:t xml:space="preserve">الدليل على كونه ممنوعا عنه </w:t>
      </w:r>
      <w:r>
        <w:rPr>
          <w:rStyle w:val="FootnoteAnchor"/>
          <w:rtl w:val="true"/>
        </w:rPr>
        <w:footnoteReference w:id="349"/>
      </w:r>
      <w:r>
        <w:rPr>
          <w:rFonts w:ascii="Amiri" w:hAnsi="Amiri" w:eastAsia="Amiri" w:cs="Amiri"/>
          <w:color w:val="111111"/>
          <w:sz w:val="28"/>
          <w:sz w:val="28"/>
          <w:szCs w:val="28"/>
          <w:rtl w:val="true"/>
          <w:lang w:bidi="ar-SA"/>
        </w:rPr>
        <w:t>، و على فرض المنع فالنهي لا يقتضي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يحتمل تعلّق اجرة المثل عن هذا الكلام </w:t>
      </w:r>
      <w:r>
        <w:rPr>
          <w:rStyle w:val="FootnoteAnchor"/>
          <w:rtl w:val="true"/>
        </w:rPr>
        <w:footnoteReference w:id="350"/>
      </w:r>
      <w:r>
        <w:rPr>
          <w:rFonts w:ascii="Amiri" w:hAnsi="Amiri" w:eastAsia="Amiri" w:cs="Amiri"/>
          <w:color w:val="111111"/>
          <w:sz w:val="28"/>
          <w:sz w:val="28"/>
          <w:szCs w:val="28"/>
          <w:rtl w:val="true"/>
          <w:lang w:bidi="ar-SA"/>
        </w:rPr>
        <w:t xml:space="preserve">في ذمّة الموكّل لو كان لهذا المقدار من المنفعة عوض في العرف و العادة، فتدبّر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عبارة المرأة الرشيدة في الإيجاب لنفسها أو غيرها، و كذا</w:t>
      </w:r>
    </w:p>
    <w:p>
      <w:pPr>
        <w:pStyle w:val="BookText"/>
        <w:rPr/>
      </w:pPr>
      <w:r>
        <w:rPr>
          <w:rFonts w:ascii="Amiri" w:hAnsi="Amiri" w:eastAsia="Amiri" w:cs="Amiri"/>
          <w:color w:val="111111"/>
          <w:sz w:val="28"/>
          <w:sz w:val="28"/>
          <w:szCs w:val="28"/>
          <w:rtl w:val="true"/>
          <w:lang w:bidi="ar-SA"/>
        </w:rPr>
        <w:t xml:space="preserve">في القبول </w:t>
      </w:r>
      <w:r>
        <w:rPr>
          <w:rStyle w:val="FootnoteAnchor"/>
          <w:rtl w:val="true"/>
        </w:rPr>
        <w:footnoteReference w:id="352"/>
      </w:r>
      <w:r>
        <w:rPr>
          <w:rFonts w:ascii="Amiri" w:hAnsi="Amiri" w:eastAsia="Amiri" w:cs="Amiri"/>
          <w:color w:val="111111"/>
          <w:sz w:val="28"/>
          <w:sz w:val="28"/>
          <w:szCs w:val="28"/>
          <w:rtl w:val="true"/>
          <w:lang w:bidi="ar-SA"/>
        </w:rPr>
        <w:t>وكالة عمّن يريد تزويجها و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 المرأة بالرشيدة إنّما هو في الإيجاب لنفسها من دون إذن الوليّ، إلّا أن يراد بالرشد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 العقل و الحرّية، لا مقابل </w:t>
      </w:r>
      <w:r>
        <w:rPr>
          <w:rStyle w:val="FootnoteAnchor"/>
          <w:rtl w:val="true"/>
        </w:rPr>
        <w:footnoteReference w:id="353"/>
      </w:r>
      <w:r>
        <w:rPr>
          <w:rFonts w:ascii="Amiri" w:hAnsi="Amiri" w:eastAsia="Amiri" w:cs="Amiri"/>
          <w:color w:val="111111"/>
          <w:sz w:val="28"/>
          <w:sz w:val="28"/>
          <w:szCs w:val="28"/>
          <w:rtl w:val="true"/>
          <w:lang w:bidi="ar-SA"/>
        </w:rPr>
        <w:t xml:space="preserve">السفه، و حينئذ </w:t>
      </w:r>
      <w:r>
        <w:rPr>
          <w:rStyle w:val="FootnoteAnchor"/>
          <w:rtl w:val="true"/>
        </w:rPr>
        <w:footnoteReference w:id="354"/>
      </w:r>
      <w:r>
        <w:rPr>
          <w:rFonts w:ascii="Amiri" w:hAnsi="Amiri" w:eastAsia="Amiri" w:cs="Amiri"/>
          <w:color w:val="111111"/>
          <w:sz w:val="28"/>
          <w:sz w:val="28"/>
          <w:szCs w:val="28"/>
          <w:rtl w:val="true"/>
          <w:lang w:bidi="ar-SA"/>
        </w:rPr>
        <w:t>فيشترط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الموجب على أهليّة الإيجاب إلى تمام القبول من القابل، فعلى هذا لو أوجب ثمّ جنّ أو أغمي عليه قبل القبول، بطل الإيجاب على المعروف بينهم ظاهرا، و حكى في الحدائق عن بعضهم دعوى الإجماع عليه </w:t>
      </w:r>
      <w:r>
        <w:rPr>
          <w:rStyle w:val="FootnoteAnchor"/>
          <w:rtl w:val="true"/>
        </w:rPr>
        <w:footnoteReference w:id="355"/>
      </w:r>
      <w:r>
        <w:rPr>
          <w:rFonts w:ascii="Amiri" w:hAnsi="Amiri" w:eastAsia="Amiri" w:cs="Amiri"/>
          <w:color w:val="111111"/>
          <w:sz w:val="28"/>
          <w:sz w:val="28"/>
          <w:szCs w:val="28"/>
          <w:rtl w:val="true"/>
          <w:lang w:bidi="ar-SA"/>
        </w:rPr>
        <w:t xml:space="preserve">نظرا إلى أنّ الإيجاب قبل القبول بمنزلة العقد الجائز في جواز نقضه و في </w:t>
      </w:r>
      <w:r>
        <w:rPr>
          <w:rStyle w:val="FootnoteAnchor"/>
          <w:rtl w:val="true"/>
        </w:rPr>
        <w:footnoteReference w:id="356"/>
      </w:r>
      <w:r>
        <w:rPr>
          <w:rFonts w:ascii="Amiri" w:hAnsi="Amiri" w:eastAsia="Amiri" w:cs="Amiri"/>
          <w:color w:val="111111"/>
          <w:sz w:val="28"/>
          <w:sz w:val="28"/>
          <w:szCs w:val="28"/>
          <w:rtl w:val="true"/>
          <w:lang w:bidi="ar-SA"/>
        </w:rPr>
        <w:t>انتقاضة بالجنون و 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عدم انتقاضة بنوم الموجب، كما هو شأن العقود الجائزة حيث لا تبطل بالنوم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عليه بعض المعاصرين </w:t>
      </w:r>
      <w:r>
        <w:rPr>
          <w:rStyle w:val="FootnoteAnchor"/>
          <w:rtl w:val="true"/>
        </w:rPr>
        <w:footnoteReference w:id="357"/>
      </w:r>
      <w:r>
        <w:rPr>
          <w:rFonts w:ascii="Amiri" w:hAnsi="Amiri" w:eastAsia="Amiri" w:cs="Amiri"/>
          <w:color w:val="111111"/>
          <w:sz w:val="28"/>
          <w:sz w:val="28"/>
          <w:szCs w:val="28"/>
          <w:rtl w:val="true"/>
          <w:lang w:bidi="ar-SA"/>
        </w:rPr>
        <w:t>بأنّ معنى اشتراط العقد ببلوغ المتعاقدين و عقلهما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هذه الصفة فيهما في </w:t>
      </w:r>
      <w:r>
        <w:rPr>
          <w:rStyle w:val="FootnoteAnchor"/>
          <w:rtl w:val="true"/>
        </w:rPr>
        <w:footnoteReference w:id="358"/>
      </w:r>
      <w:r>
        <w:rPr>
          <w:rFonts w:ascii="Amiri" w:hAnsi="Amiri" w:eastAsia="Amiri" w:cs="Amiri"/>
          <w:color w:val="111111"/>
          <w:sz w:val="28"/>
          <w:sz w:val="28"/>
          <w:szCs w:val="28"/>
          <w:rtl w:val="true"/>
          <w:lang w:bidi="ar-SA"/>
        </w:rPr>
        <w:t xml:space="preserve">حال العقد، الذي هو المركب من </w:t>
      </w:r>
      <w:r>
        <w:rPr>
          <w:rStyle w:val="FootnoteAnchor"/>
          <w:rtl w:val="true"/>
        </w:rPr>
        <w:footnoteReference w:id="359"/>
      </w:r>
      <w:r>
        <w:rPr>
          <w:rFonts w:ascii="Amiri" w:hAnsi="Amiri" w:eastAsia="Amiri" w:cs="Amiri"/>
          <w:color w:val="111111"/>
          <w:sz w:val="28"/>
          <w:sz w:val="28"/>
          <w:szCs w:val="28"/>
          <w:rtl w:val="true"/>
          <w:lang w:bidi="ar-SA"/>
        </w:rPr>
        <w:t>الإيجاب و القبول، لا في حال الإيجاب فقط أو القبول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هذا وجه الاستشكال فيما ذكره في المسالك من عدم بطلان الإيجاب بتخلل نوم الموجب بينه و بين القبول </w:t>
      </w:r>
      <w:r>
        <w:rPr>
          <w:rStyle w:val="FootnoteAnchor"/>
          <w:rtl w:val="true"/>
        </w:rPr>
        <w:footnoteReference w:id="360"/>
      </w:r>
      <w:r>
        <w:rPr>
          <w:rFonts w:ascii="Amiri" w:hAnsi="Amiri" w:eastAsia="Amiri" w:cs="Amiri"/>
          <w:color w:val="111111"/>
          <w:sz w:val="28"/>
          <w:sz w:val="28"/>
          <w:szCs w:val="28"/>
          <w:rtl w:val="true"/>
          <w:lang w:bidi="ar-SA"/>
        </w:rPr>
        <w:t xml:space="preserve">، و نقل عن التذكرة </w:t>
      </w:r>
      <w:r>
        <w:rPr>
          <w:rStyle w:val="FootnoteAnchor"/>
          <w:rtl w:val="true"/>
        </w:rPr>
        <w:footnoteReference w:id="361"/>
      </w:r>
      <w:r>
        <w:rPr>
          <w:rFonts w:ascii="Amiri" w:hAnsi="Amiri" w:eastAsia="Amiri" w:cs="Amiri"/>
          <w:color w:val="111111"/>
          <w:sz w:val="28"/>
          <w:sz w:val="28"/>
          <w:szCs w:val="28"/>
          <w:rtl w:val="true"/>
          <w:lang w:bidi="ar-SA"/>
        </w:rPr>
        <w:t xml:space="preserve">أنّ الإشكال في هذه المسألة من حيث جواز إنشاء القبول في حال نوم الموجب، أو يعتبر تيقظه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ما دلّ على اعتبار بلوغ المتعاقدين و عقلهما لا يدلّ على أزيد من اعتبارهما في إيجابهما، و لذا يرتّبون عليه أنّ عبارة الصبيّ و المجنون مسلوبة، و أنّه لا عبرة بعقدهما، فإنّ معناه أنّهما لا يصلحان لأن يكونا 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الاستدامة الحكمية إلى تمام القبول، بمعنى أن لا يظهر ما ينافيها من الرجوع عن الجزم الذي دلّ عليه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الحكم في القبول لو تقدّم على الإيجاب، فجنّ القابل </w:t>
      </w:r>
      <w:r>
        <w:rPr>
          <w:rStyle w:val="FootnoteAnchor"/>
          <w:rtl w:val="true"/>
        </w:rPr>
        <w:footnoteReference w:id="363"/>
      </w:r>
      <w:r>
        <w:rPr>
          <w:rFonts w:ascii="Amiri" w:hAnsi="Amiri" w:eastAsia="Amiri" w:cs="Amiri"/>
          <w:color w:val="111111"/>
          <w:sz w:val="28"/>
          <w:sz w:val="28"/>
          <w:szCs w:val="28"/>
          <w:rtl w:val="true"/>
          <w:lang w:bidi="ar-SA"/>
        </w:rPr>
        <w:t>قبل تمام الإيجاب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أنّه و إن روي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نكاح إلّا بوليّ و شاهدين </w:t>
      </w:r>
      <w:r>
        <w:rPr>
          <w:rStyle w:val="FootnoteAnchor"/>
          <w:rtl w:val="true"/>
        </w:rPr>
        <w:footnoteReference w:id="3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أنّه قد أجمع علماؤنا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لا يشترط الولي في عقد الرشيدة على الإطلاق و إن اختلف في اعتباره في بعض أفرادها كما سيجي‌ء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المشهور أنّه لا يشترط الشاهدان، خلافا للمحكي عن العماني </w:t>
      </w:r>
      <w:r>
        <w:rPr>
          <w:rStyle w:val="FootnoteAnchor"/>
          <w:rtl w:val="true"/>
        </w:rPr>
        <w:footnoteReference w:id="368"/>
      </w:r>
      <w:r>
        <w:rPr>
          <w:rFonts w:ascii="Amiri" w:hAnsi="Amiri" w:eastAsia="Amiri" w:cs="Amiri"/>
          <w:color w:val="111111"/>
          <w:sz w:val="28"/>
          <w:sz w:val="28"/>
          <w:szCs w:val="28"/>
          <w:rtl w:val="true"/>
          <w:lang w:bidi="ar-SA"/>
        </w:rPr>
        <w:t xml:space="preserve">، و قد مرّ ذلك في الآداب </w:t>
      </w:r>
      <w:r>
        <w:rPr>
          <w:rStyle w:val="FootnoteAnchor"/>
          <w:rtl w:val="true"/>
        </w:rPr>
        <w:footnoteReference w:id="369"/>
      </w:r>
      <w:r>
        <w:rPr>
          <w:rFonts w:ascii="Amiri" w:hAnsi="Amiri" w:eastAsia="Amiri" w:cs="Amiri"/>
          <w:color w:val="111111"/>
          <w:sz w:val="28"/>
          <w:sz w:val="28"/>
          <w:szCs w:val="28"/>
          <w:rtl w:val="true"/>
          <w:lang w:bidi="ar-SA"/>
        </w:rPr>
        <w:t xml:space="preserve">و سيأتي تفصيل القول في الوليّ إن شاء اللّٰه </w:t>
      </w:r>
      <w:r>
        <w:rPr>
          <w:rStyle w:val="FootnoteAnchor"/>
          <w:rtl w:val="true"/>
        </w:rPr>
        <w:footnoteReference w:id="370"/>
      </w:r>
      <w:r>
        <w:rPr>
          <w:rFonts w:ascii="Amiri" w:hAnsi="Amiri" w:eastAsia="Amiri" w:cs="Amiri"/>
          <w:color w:val="111111"/>
          <w:sz w:val="28"/>
          <w:sz w:val="28"/>
          <w:szCs w:val="28"/>
          <w:rtl w:val="true"/>
          <w:lang w:bidi="ar-SA"/>
        </w:rPr>
        <w:t>، فالرواية محمولة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أوقعاه سرّا و تكاتماه صحّ لوجود المقتضي، و عدم ما يصلح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تعيين الزوجة، فلو زوّجه إحدى بنتيه لم يصحّ بلا خلاف ظاهرا، و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فيه خلافا </w:t>
      </w:r>
      <w:r>
        <w:rPr>
          <w:rStyle w:val="FootnoteAnchor"/>
          <w:rtl w:val="true"/>
        </w:rPr>
        <w:footnoteReference w:id="371"/>
      </w:r>
      <w:r>
        <w:rPr>
          <w:rFonts w:ascii="Amiri" w:hAnsi="Amiri" w:eastAsia="Amiri" w:cs="Amiri"/>
          <w:color w:val="111111"/>
          <w:sz w:val="28"/>
          <w:sz w:val="28"/>
          <w:szCs w:val="28"/>
          <w:rtl w:val="true"/>
          <w:lang w:bidi="ar-SA"/>
        </w:rPr>
        <w:t>، و عن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اتّفاقي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زوّجه الأب أبو البنات بإحداهنّ، و لم يسمّها في العقد، بل قصد معيّنة ثم تنازع هو و الزوج و اختلفا في المعقود عليها بعد اتّفاقهما على صحّة العقد المستلزمة لورود الإيجاب و القبول على واحدة معيّنة</w:t>
      </w:r>
    </w:p>
    <w:p>
      <w:pPr>
        <w:pStyle w:val="BookText"/>
        <w:rPr/>
      </w:pPr>
      <w:r>
        <w:rPr>
          <w:rFonts w:ascii="Amiri" w:hAnsi="Amiri" w:eastAsia="Amiri" w:cs="Amiri"/>
          <w:color w:val="111111"/>
          <w:sz w:val="28"/>
          <w:sz w:val="28"/>
          <w:szCs w:val="28"/>
          <w:rtl w:val="true"/>
          <w:lang w:bidi="ar-SA"/>
        </w:rPr>
        <w:t xml:space="preserve">بالنيّة المتفقة بينهما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حصل الاختلاف بعد اتفاقهما في النيّة، لا أن يقصد كلّ منهما بإنشائه غير ما قصده الآخر، فإنّ هذا باطل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قول الأب إن كان الزوج رآهنّ و رضي بكلّ واحدة منهنّ، و فوّض تعيينها إلى الأب، و إلّا يكن </w:t>
      </w:r>
      <w:r>
        <w:rPr>
          <w:rStyle w:val="FootnoteAnchor"/>
          <w:rtl w:val="true"/>
        </w:rPr>
        <w:footnoteReference w:id="374"/>
      </w:r>
      <w:r>
        <w:rPr>
          <w:rFonts w:ascii="Amiri" w:hAnsi="Amiri" w:eastAsia="Amiri" w:cs="Amiri"/>
          <w:color w:val="111111"/>
          <w:sz w:val="28"/>
          <w:sz w:val="28"/>
          <w:szCs w:val="28"/>
          <w:rtl w:val="true"/>
          <w:lang w:bidi="ar-SA"/>
        </w:rPr>
        <w:t>الزوج رآهن بطل العقد؛ و لعلّه حينئذ لعدم صحّة التفويض حينئذ؛ بناء على ثبوت الغرر العظيم بهذا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أنّ هذا مشكل، و إن وجدته بعد ما تفطّنت له محكيا عن كشف اللثام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النصّ بهذا التفصيل في رواية أبي عبيدة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المصنّف في المختلف إنّ البطلان مع عدم الرؤية لعدم الرضى بما يسمّيه الأب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 هذا أنّ في صورة الرؤية لما ثبت التفويض إلى الأب صحّ، و في صورة </w:t>
      </w:r>
      <w:r>
        <w:rPr>
          <w:rStyle w:val="FootnoteAnchor"/>
          <w:rtl w:val="true"/>
        </w:rPr>
        <w:footnoteReference w:id="378"/>
      </w:r>
      <w:r>
        <w:rPr>
          <w:rFonts w:ascii="Amiri" w:hAnsi="Amiri" w:eastAsia="Amiri" w:cs="Amiri"/>
          <w:color w:val="111111"/>
          <w:sz w:val="28"/>
          <w:sz w:val="28"/>
          <w:szCs w:val="28"/>
          <w:rtl w:val="true"/>
          <w:lang w:bidi="ar-SA"/>
        </w:rPr>
        <w:t>عدمها لما لم يثبت لم يصحّ، فالرؤية دليل التفويض، و عدمها دليل عدمه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فظاهر النصّ لا ينطبق على القواعد، و الذي تقتضيه هو أنّ العاقد إما أن يكون هو الأب وحده، بأن يكون متولّيا للإيجاب و القبول، أو يكون هو الأب مع وكيل الزوج، أو مع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فالقول قول الأب إن كان وكّله الزوج في تزويج إحداهنّ من غير تعيينه لها </w:t>
      </w:r>
      <w:r>
        <w:rPr>
          <w:rStyle w:val="FootnoteAnchor"/>
          <w:rtl w:val="true"/>
        </w:rPr>
        <w:footnoteReference w:id="379"/>
      </w:r>
      <w:r>
        <w:rPr>
          <w:rFonts w:ascii="Amiri" w:hAnsi="Amiri" w:eastAsia="Amiri" w:cs="Amiri"/>
          <w:color w:val="111111"/>
          <w:sz w:val="28"/>
          <w:sz w:val="28"/>
          <w:szCs w:val="28"/>
          <w:rtl w:val="true"/>
          <w:lang w:bidi="ar-SA"/>
        </w:rPr>
        <w:t>، و إن عيّن و اختلف في المعيّنة، فالقول قول الزوج؛ لأصالة عدم توكيله فيما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فقول الوكيل حجّة على الزوج دون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الثالث، فإن اختلف في المسمّى </w:t>
      </w:r>
      <w:r>
        <w:rPr>
          <w:rStyle w:val="FootnoteAnchor"/>
          <w:rtl w:val="true"/>
        </w:rPr>
        <w:footnoteReference w:id="380"/>
      </w:r>
      <w:r>
        <w:rPr>
          <w:rFonts w:ascii="Amiri" w:hAnsi="Amiri" w:eastAsia="Amiri" w:cs="Amiri"/>
          <w:color w:val="111111"/>
          <w:sz w:val="28"/>
          <w:sz w:val="28"/>
          <w:szCs w:val="28"/>
          <w:rtl w:val="true"/>
          <w:lang w:bidi="ar-SA"/>
        </w:rPr>
        <w:t>في العقد من البنات رجع إلى التحالف؛ لأنّ كلا منهما مدّع و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اتّفقا على عدم التسمية، و وقع القبول من الزوج على ما قصده الأب، فوقع الاختلاف في قصده، فالقول قوله؛ لأنّه أعرف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اختلفا في قصدهما حين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يئن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زوّجه الأب واحدة قصدها بضميره، فقبل الزوج ما قصده الأب بضميره، و قلنا بصحّة هذا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ادّعى الأب أنّه قصد الكبرى، و ادّعى الزوج أنّك قصدت الصغرى، فالقول قول الأب؛ لأنّه يخبر عن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قصدت الصغرى، فالظاهر بطلان العقد، و الفروع هنا كثيرة جدّا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ادّعى أحد الزوجين الزوجيّة، و صدّقه الآخر نفذ دعوى الأوّل</w:t>
      </w:r>
    </w:p>
    <w:p>
      <w:pPr>
        <w:pStyle w:val="BookText"/>
        <w:rPr/>
      </w:pPr>
      <w:r>
        <w:rPr>
          <w:rFonts w:ascii="Amiri" w:hAnsi="Amiri" w:eastAsia="Amiri" w:cs="Amiri"/>
          <w:color w:val="111111"/>
          <w:sz w:val="28"/>
          <w:sz w:val="28"/>
          <w:szCs w:val="28"/>
          <w:rtl w:val="true"/>
          <w:lang w:bidi="ar-SA"/>
        </w:rPr>
        <w:t>و تصديق الثاني و حكم به أي بما ادّعى و أقرّ به و توارثا لعموم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إلّا يكن الآخر مصدّقا له افتقر المدّعي إلى البيّنة فإن أقامها عند الحاكم أو حلف اليمين المردودة بعد امتناع المنكر و نكوله، فعلى الحاكم أن يحكم عليه بتوابع الزوجيّة كلّا، و إن حلف المنكر فلا سبيل للمدّعي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جميع التقادير يجب على كلّ منهما فيما بينه و بين اللّٰه العمل بما يعتقده باطنا و إن كان مخالفا لما حكم به الحاكم </w:t>
      </w:r>
      <w:r>
        <w:rPr>
          <w:rStyle w:val="FootnoteAnchor"/>
          <w:rtl w:val="true"/>
        </w:rPr>
        <w:footnoteReference w:id="384"/>
      </w:r>
      <w:r>
        <w:rPr>
          <w:rFonts w:ascii="Amiri" w:hAnsi="Amiri" w:eastAsia="Amiri" w:cs="Amiri"/>
          <w:color w:val="111111"/>
          <w:sz w:val="28"/>
          <w:sz w:val="28"/>
          <w:szCs w:val="28"/>
          <w:rtl w:val="true"/>
          <w:lang w:bidi="ar-SA"/>
        </w:rPr>
        <w:t xml:space="preserve">ظاهرا؛ لأنّ حكم الحاكم لا يغيّر الشي‌ء عمّا هو عليه في نفس الأمر، خلافا لأبي حنيفة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عقد رجل على امرأة خالية عن زوج، ثمّ ادّعى رجل آخر زوجيّة المرأة المعقود عليها، لم يلتفت إلى دعواه إلّا بالبيّنة، فإن أقام البيّنة حكم له بمقتضاها، و إن لم يقمها فلا يمين له على المرأة؛ لأنّ اليمين إنّما يتوجّه فيما </w:t>
      </w:r>
      <w:r>
        <w:rPr>
          <w:rStyle w:val="FootnoteAnchor"/>
          <w:rtl w:val="true"/>
        </w:rPr>
        <w:footnoteReference w:id="386"/>
      </w:r>
      <w:r>
        <w:rPr>
          <w:rFonts w:ascii="Amiri" w:hAnsi="Amiri" w:eastAsia="Amiri" w:cs="Amiri"/>
          <w:color w:val="111111"/>
          <w:sz w:val="28"/>
          <w:sz w:val="28"/>
          <w:szCs w:val="28"/>
          <w:rtl w:val="true"/>
          <w:lang w:bidi="ar-SA"/>
        </w:rPr>
        <w:t>يسمع منه إقرار المنكر، و هنا لا يسمع إقرار المرأة؛ لأنّه إقرار في حقّ الغير، و هو الرجل العاقد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يمنع من كونه إقرارا في حقّ الغير؛ إذ ثمرة الإقرار لا تنحصر في أخذ المقرّة من العاقد و دفعها إلى الأجنبي،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إقرارها إقرار</w:t>
      </w:r>
    </w:p>
    <w:p>
      <w:pPr>
        <w:pStyle w:val="BookText"/>
        <w:rPr/>
      </w:pPr>
      <w:r>
        <w:rPr>
          <w:rFonts w:ascii="Amiri" w:hAnsi="Amiri" w:eastAsia="Amiri" w:cs="Amiri"/>
          <w:color w:val="111111"/>
          <w:sz w:val="28"/>
          <w:sz w:val="28"/>
          <w:szCs w:val="28"/>
          <w:rtl w:val="true"/>
          <w:lang w:bidi="ar-SA"/>
        </w:rPr>
        <w:t xml:space="preserve">في حقّ الغير، بل فائدة إقرارها تغريمها مهر المثل للمدّعي </w:t>
      </w:r>
      <w:r>
        <w:rPr>
          <w:rStyle w:val="FootnoteAnchor"/>
          <w:rtl w:val="true"/>
        </w:rPr>
        <w:footnoteReference w:id="387"/>
      </w:r>
      <w:r>
        <w:rPr>
          <w:rFonts w:ascii="Amiri" w:hAnsi="Amiri" w:eastAsia="Amiri" w:cs="Amiri"/>
          <w:color w:val="111111"/>
          <w:sz w:val="28"/>
          <w:sz w:val="28"/>
          <w:szCs w:val="28"/>
          <w:rtl w:val="true"/>
          <w:lang w:bidi="ar-SA"/>
        </w:rPr>
        <w:t>، حيث إنّها فوّتت بضعها على المدّعي، كما إذا باع دارا من عمرو ثمّ أقرّ بأنّها كانت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مبنى المسألة على أنّ البضع هل يضمن بالتفويت أم لا </w:t>
      </w:r>
      <w:r>
        <w:rPr>
          <w:rStyle w:val="FootnoteAnchor"/>
          <w:rtl w:val="true"/>
        </w:rPr>
        <w:footnoteReference w:id="38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فلا إشكال أنّه إذا أقرّت بزوجيّة المدّعي، ثم مات العاقد أو طلّقها، حكم بها للمدّعي؛ لأنّه تحقّق حينئذ دعوى الزوجيّة من الرجل و تصديقه من المرأة، و انحصار الحقّ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 المسألة الاولى أنّه يحكم حينئذ بالزوجيّة، و أنّه لو صدّق العاقد المدّعي دفعت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ثبوت مثل هذه الفائدة عند الإقرار كافيا في توجّه اليمين عليها عند الإنكار، مضافا إلى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اشتراط أن يكون المنكر بحيث إذا أقرّ ترتّب على إقراره ثمرة فعلية للمدّعي، يدفعه الإطلاق، لكن الظاهر أنّ مجرّد ترتّب الثمرة على إقرار الشخص في زمان من الأزمان </w:t>
      </w:r>
      <w:r>
        <w:rPr>
          <w:rStyle w:val="FootnoteAnchor"/>
          <w:rtl w:val="true"/>
        </w:rPr>
        <w:footnoteReference w:id="390"/>
      </w:r>
      <w:r>
        <w:rPr>
          <w:rFonts w:ascii="Amiri" w:hAnsi="Amiri" w:eastAsia="Amiri" w:cs="Amiri"/>
          <w:color w:val="111111"/>
          <w:sz w:val="28"/>
          <w:sz w:val="28"/>
          <w:szCs w:val="28"/>
          <w:rtl w:val="true"/>
          <w:lang w:bidi="ar-SA"/>
        </w:rPr>
        <w:t>بفرض من الفروض، لا يوجب توجّه اليمين عليه مع الإنكار، بل لعلّ هذا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على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يمكن الاستدلال به بعد القول بضمان البضع بالتفويت، و إلّا فلا يترتّب على نكول المنكر عن اليمين فائدة، و لا فرق حينئذ بين إقراره و إنكاره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وظيفته اليمين فيلزم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قد يستدلّ للقول بعدم توجّه اليمين على المرأة بما رواه الشيخ في التهذيب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تزوّج امرأة في بلد من البلدان، فسألها أ لك زوج؟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فتزوّجها، ثمّ إنّ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امرأتي، فأنكرت المرأة ذلك، ما يلزم الزوج؟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امرأته إلّا أن يقيم البيّنة</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رواية أخرى، اعترف المستدل بأنّها دون المذكورة في الظهور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سنده و إضماره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 على المطلوب؛ لأنّ السؤال فيه عن تكليف الزوج، و أنّه ما يلزمه، كما هو صريح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يلزم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الجواب حينئذ هو أنّ المرأة زوجته إلّا أن يقيم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السؤال تعرّض لذكر ما يلزم على الزوجة، أو لاستفسار كيفيّة قطع النزاع بينهما،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عدم حكمه بلزوم اليمين على الزوجة دليل على عدم وجوبها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الزوجة المنكرة الخالية عن </w:t>
      </w:r>
      <w:r>
        <w:rPr>
          <w:rStyle w:val="FootnoteAnchor"/>
          <w:rtl w:val="true"/>
        </w:rPr>
        <w:footnoteReference w:id="394"/>
      </w:r>
      <w:r>
        <w:rPr>
          <w:rFonts w:ascii="Amiri" w:hAnsi="Amiri" w:eastAsia="Amiri" w:cs="Amiri"/>
          <w:color w:val="111111"/>
          <w:sz w:val="28"/>
          <w:sz w:val="28"/>
          <w:szCs w:val="28"/>
          <w:rtl w:val="true"/>
          <w:lang w:bidi="ar-SA"/>
        </w:rPr>
        <w:t>الزوج تلزم باليمين؛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لها التزويج قبل انتهاء الدعوى بيمينها أو بردّها على الرجل، أو ليس لها التزويج؟ وجهان،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مبنيان على المسألة الثالثة </w:t>
      </w:r>
      <w:r>
        <w:rPr>
          <w:rStyle w:val="FootnoteAnchor"/>
          <w:rtl w:val="true"/>
        </w:rPr>
        <w:footnoteReference w:id="395"/>
      </w:r>
      <w:r>
        <w:rPr>
          <w:rFonts w:ascii="Amiri" w:hAnsi="Amiri" w:eastAsia="Amiri" w:cs="Amiri"/>
          <w:color w:val="111111"/>
          <w:sz w:val="28"/>
          <w:sz w:val="28"/>
          <w:szCs w:val="28"/>
          <w:rtl w:val="true"/>
          <w:lang w:bidi="ar-SA"/>
        </w:rPr>
        <w:t xml:space="preserve">، و أنّه هل يلزم المنكرة </w:t>
      </w:r>
      <w:r>
        <w:rPr>
          <w:rStyle w:val="FootnoteAnchor"/>
          <w:rtl w:val="true"/>
        </w:rPr>
        <w:footnoteReference w:id="396"/>
      </w:r>
      <w:r>
        <w:rPr>
          <w:rFonts w:ascii="Amiri" w:hAnsi="Amiri" w:eastAsia="Amiri" w:cs="Amiri"/>
          <w:color w:val="111111"/>
          <w:sz w:val="28"/>
          <w:sz w:val="28"/>
          <w:szCs w:val="28"/>
          <w:rtl w:val="true"/>
          <w:lang w:bidi="ar-SA"/>
        </w:rPr>
        <w:t>باليمين مع الإنكار، أو يسقط دعوى المدّعي بمجرّد العجز عن البيّنة؟</w:t>
      </w:r>
    </w:p>
    <w:p>
      <w:pPr>
        <w:pStyle w:val="BookText"/>
        <w:rPr/>
      </w:pPr>
      <w:r>
        <w:rPr>
          <w:rFonts w:ascii="Amiri" w:hAnsi="Amiri" w:eastAsia="Amiri" w:cs="Amiri"/>
          <w:color w:val="111111"/>
          <w:sz w:val="28"/>
          <w:sz w:val="28"/>
          <w:szCs w:val="28"/>
          <w:rtl w:val="true"/>
          <w:lang w:bidi="ar-SA"/>
        </w:rPr>
        <w:t>فإن قلنا بالأوّل، فيجوز تزويجها؛ لأنّ وظيفتها لا تتفاوت بالتزويج، و دعوى الرجل أيضا لا يسقط بعد 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بالثاني، فلا يجوز تزوّجها؛ لأنّ تزوّجها حينئذ مسقط لدعوى المدّعي باختيار منها، فلا يجوز؛ لأنّ الدعوى المتوجّهة لا ترتفع إلّا بإسقاط المدّعي، أو قيام الحجّة عليه بيمين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النظر في هذا الابتناء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جواز التزويج بناء على الأوّل، فلأنّ دعوى المدّعي متعلّقة ببضع المرأة، و لا ريب في حرمانه عنه بعد العقد، إذ غاية ما يحصل من نكول المرأة و حلفه اليمين المردودة هو وصول مهر المثل إليه، لا نفس البضع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عدم جوازه على الثاني، فلأنّ دعوى المدّعي الغير الثابتة لا يمنع من تصرّف المدّعى عليه فيما يملكها بمقتضى الأصل 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صحة الابتناء المذكور؛ لأنّه إذا قلنا بسماع دعوى الرجل بعد العقد، فلا مانع لها من التزويج إلّا تفويت المدّعى على المدّعي على فرض ثبوت دعواه، و لا مانع منه إذا لم يثبت بعد استحقاقه له </w:t>
      </w:r>
      <w:r>
        <w:rPr>
          <w:rStyle w:val="FootnoteAnchor"/>
          <w:rtl w:val="true"/>
        </w:rPr>
        <w:footnoteReference w:id="397"/>
      </w:r>
      <w:r>
        <w:rPr>
          <w:rFonts w:ascii="Amiri" w:hAnsi="Amiri" w:eastAsia="Amiri" w:cs="Amiri"/>
          <w:color w:val="111111"/>
          <w:sz w:val="28"/>
          <w:sz w:val="28"/>
          <w:szCs w:val="28"/>
          <w:rtl w:val="true"/>
          <w:lang w:bidi="ar-SA"/>
        </w:rPr>
        <w:t xml:space="preserve">حتّى يمنع من تفويته عليه، و مجرّد احتمال ثبوت استحقاقه لا يوجب منع المالك عن التصرّف فيما يملكه؛ و لهذا </w:t>
      </w:r>
      <w:r>
        <w:rPr>
          <w:rStyle w:val="FootnoteAnchor"/>
          <w:rtl w:val="true"/>
        </w:rPr>
        <w:footnoteReference w:id="398"/>
      </w:r>
      <w:r>
        <w:rPr>
          <w:rFonts w:ascii="Amiri" w:hAnsi="Amiri" w:eastAsia="Amiri" w:cs="Amiri"/>
          <w:color w:val="111111"/>
          <w:sz w:val="28"/>
          <w:sz w:val="28"/>
          <w:szCs w:val="28"/>
          <w:rtl w:val="true"/>
          <w:lang w:bidi="ar-SA"/>
        </w:rPr>
        <w:t>يجوز بيع الدار المتنازع فيها قبل انتهاء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الممنوع منه تفويت أصل الدعوى على المدّعي؛ لما استفيد من الأدلّة الشرعيّة أنّ الدعاوي إنّما تنقطع ببيّنة عادلة أو يمين قاطعة </w:t>
      </w:r>
      <w:r>
        <w:rPr>
          <w:rStyle w:val="FootnoteAnchor"/>
          <w:rtl w:val="true"/>
        </w:rPr>
        <w:footnoteReference w:id="399"/>
      </w:r>
      <w:r>
        <w:rPr>
          <w:rFonts w:ascii="Amiri" w:hAnsi="Amiri" w:eastAsia="Amiri" w:cs="Amiri"/>
          <w:color w:val="111111"/>
          <w:sz w:val="28"/>
          <w:sz w:val="28"/>
          <w:szCs w:val="28"/>
          <w:rtl w:val="true"/>
          <w:lang w:bidi="ar-SA"/>
        </w:rPr>
        <w:t>، و لهذا إذا قلنا بعدم سماع الدعوى بعد العقد لا يجوز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حيث جاز للمدّعى عليه تفويت المدّعى على المدّعي و لم يجز له تفويت أصل الدعوى عليه، توجّه الحكم بجواز التزويج مع سماع الدعوى بعده، و الحكم بعدمه مع عدمه، فتدبّر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أقام رجل بيّنة بزوجيّة امرأة منكرة لها و أقامت أختها المدّعية على الرجل بأنّها زوجته بيّنة بأنّها الزوجة، قدّمت بيّنة الزوج ما لم يدخل بالأخرى المدّعية أو يتقدّم تأريخ عقدها بشهادة البيّنة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بعضهم نقل الإجماع عليه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المشهور، بل لا يظهر فيه خلاف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مستنده رواية </w:t>
      </w:r>
      <w:r>
        <w:rPr>
          <w:rStyle w:val="FootnoteAnchor"/>
          <w:rtl w:val="true"/>
        </w:rPr>
        <w:footnoteReference w:id="402"/>
      </w:r>
      <w:r>
        <w:rPr>
          <w:rFonts w:ascii="IRNazanin" w:hAnsi="IRNazanin" w:eastAsia="IRNazanin"/>
          <w:color w:val="111111"/>
          <w:sz w:val="28"/>
          <w:sz w:val="28"/>
          <w:szCs w:val="28"/>
          <w:rtl w:val="true"/>
          <w:lang w:bidi="fa-IR"/>
        </w:rPr>
        <w:t xml:space="preserve">رموها بالضعف و تلقّوها بالقبول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مخالفة للقواعد، من حيث ترجيح بيّنة الرجل على بيّنة الأخت مع إطلاق البيّنتين أو تساوي تأريخهما؛ لأنّه منكر، و يقدّم قوله مع عدم البيّنة، و من كان القول قوله فالبيّنة بيّنة صاحبه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تقديم بيّنة الرجل ليس في مقام إنكاره لدعوى الأخت، بل في مقام ادّعائه لزوجيّة المرأة المنكرة، فليس هنا دعوى واحدة تعارض فيها بيّنتا المنكر و المدّعي، و حكم الشارع فيها بتقديم بيّنة المنكر، بل هنا دعويان متنافيان، و مدّعيان و منكران، و الشارع إنّما حكم بسماع دعوى الرجل دون دعوى الأخت، فمن أجل ذلك لا يسمع بيّنتها و لا يتوجّه لها يمين على الرجل، كما يظهر من الرواية، حيث حكم فيها بعدم تصديق الأخت، و عدم سماع بيّنتها من غير تعرّض لثبوت اليمين لها، بل ظاهر عدم التصديق عدم التفات إلى دعواها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فالترجيح بين الدعويين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بين البينتين في دعوى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دعوى الأخت على الرجل و إنكار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سماع بيّنة المنكر و تقديمها على بيّنة المدّعي خلاف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تطبيقه عليها بما قيل في وجه ترجيح بيّنته على بيّنتها من أنّها تنكر ما هو فعله الذي هو أعلم به من غيره؛ إذ لعلّه عقد على المرأة قبل العقد على الأخت و هي لا تعلم </w:t>
      </w:r>
      <w:r>
        <w:rPr>
          <w:rStyle w:val="FootnoteAnchor"/>
          <w:rtl w:val="true"/>
        </w:rPr>
        <w:footnoteReference w:id="405"/>
      </w:r>
      <w:r>
        <w:rPr>
          <w:rFonts w:ascii="Amiri" w:hAnsi="Amiri" w:eastAsia="Amiri" w:cs="Amiri"/>
          <w:color w:val="111111"/>
          <w:sz w:val="28"/>
          <w:sz w:val="28"/>
          <w:szCs w:val="28"/>
          <w:rtl w:val="true"/>
          <w:lang w:bidi="ar-SA"/>
        </w:rPr>
        <w:t xml:space="preserve">، و كان مرجع ذلك إلى أنّ اعتماد كلّ من البيّنتين فيما تشهدان به إنّما هو على ظاهر العقد، حيث لم يعلموا بفسادها من جهة سبق العقد على الأخرى </w:t>
      </w:r>
      <w:r>
        <w:rPr>
          <w:rStyle w:val="FootnoteAnchor"/>
          <w:rtl w:val="true"/>
        </w:rPr>
        <w:footnoteReference w:id="406"/>
      </w:r>
      <w:r>
        <w:rPr>
          <w:rFonts w:ascii="Amiri" w:hAnsi="Amiri" w:eastAsia="Amiri" w:cs="Amiri"/>
          <w:color w:val="111111"/>
          <w:sz w:val="28"/>
          <w:sz w:val="28"/>
          <w:szCs w:val="28"/>
          <w:rtl w:val="true"/>
          <w:lang w:bidi="ar-SA"/>
        </w:rPr>
        <w:t>، فالبيّنتان من هذه الجهة متساويتان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اعتماد غير الرجل و الأخت، فيتفاوتان في أنّ اعتماد الأخت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كاعتماد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 العقد مع عدم العلم بالفساد؛ لاحتمال سبق العقد على أختها، و اعتماد الرجل في دعواه على العلم بصحة ما يدّعيه في الواقع و فساد ما تدّعيه الأخت؛ لأنّ مناط صحّة ما تدّعيه الأخت من زوجيّة نفسها، و تنكره من زوجيّة أختها، إنّما يعرف من قبل الرجل، فهو أعرف به، و لهذا يمكن الجمع بين ما يدّعيه الرجل و بيّنته، و بين ما تدّعيه الأخت و بيّنتها؛ حيث إنّ المفروض أنّ مستند الأخت و بيّنتها هو وقوع العقد بأن يكون الرجل قد عقد على الاولى قبل العقد على الأخت، لكن لمّا رأت الأخت و بيّنتها العقد حكموا بالزوجيّة؛ لعدم العلم بالفساد، و كذا بيّنة الرجل، و لمّا علم الرجل بفساد عقد الأخت أنكر زوجيّتها و ادّعى زوجيّة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وجه ما ورد من تعليل عدم قبول بيّنة الأخت بأنّها تريد 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أختها </w:t>
      </w:r>
      <w:r>
        <w:rPr>
          <w:rStyle w:val="FootnoteAnchor"/>
          <w:rtl w:val="true"/>
        </w:rPr>
        <w:footnoteReference w:id="408"/>
      </w:r>
      <w:r>
        <w:rPr>
          <w:rFonts w:ascii="Amiri" w:hAnsi="Amiri" w:eastAsia="Amiri" w:cs="Amiri"/>
          <w:color w:val="111111"/>
          <w:sz w:val="28"/>
          <w:sz w:val="28"/>
          <w:szCs w:val="28"/>
          <w:rtl w:val="true"/>
          <w:lang w:bidi="ar-SA"/>
        </w:rPr>
        <w:t>، حيث إنّه لا وجه لدعوى الأخت زوجيّة الرجل المدّعي لزوجيّة أختها إلّا العناد و إرادة الفساد؛ لأنّها إمّا أن تعتقد في نفسها أنّ الرجل عقد عليها أو لا تعتقد، سواء اعتقدت العدم أو ترددت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و الثالث، فالدعوى كاذبة كاشفة عن العناد، و على الأوّل فهي لا تعلم صحّة العقد الواقع عليها إلّا بمجرّد عدم الاطّلاع على فساده، و مع إنكار الرجل لزوجيّتها يمكنها الجمع بين معتقدها و بين إنكار الرجل بالحمل على سبق نكاح أختها، فلا وجه غالبا لتكذيب الرجل مع عدم علمها بكذبه </w:t>
      </w:r>
      <w:r>
        <w:rPr>
          <w:rStyle w:val="FootnoteAnchor"/>
          <w:rtl w:val="true"/>
        </w:rPr>
        <w:footnoteReference w:id="409"/>
      </w:r>
      <w:r>
        <w:rPr>
          <w:rFonts w:ascii="Amiri" w:hAnsi="Amiri" w:eastAsia="Amiri" w:cs="Amiri"/>
          <w:color w:val="111111"/>
          <w:sz w:val="28"/>
          <w:sz w:val="28"/>
          <w:szCs w:val="28"/>
          <w:rtl w:val="true"/>
          <w:lang w:bidi="ar-SA"/>
        </w:rPr>
        <w:t>إلّا إرادة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بيّنة الأخت مؤرّخة لعقدها بزمان أسبق من زمان العقد على أختها، توجّه الحكم بتقديم بيّنتها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ثبت دخول الرجل؛ فإنّ الدخول قرينة ظاهرة على كذب الرجل مكذّبة لبيّنته، كذا قيل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لأنّ الدخول أعمّ من الزوجيّة و لو حملناه على الصحيح، إلّا أنّه لا مانع من جعله مرجّحا لبيّنة الأخت بحكم الخبر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الخبر عدم توجّه الحلف لها على الرجل، و لعلّه لكفاية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المسموعة المثبتة لملزوم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كما أنّه إذا سمع بينة المنكر</w:t>
      </w:r>
    </w:p>
    <w:p>
      <w:pPr>
        <w:pStyle w:val="BookText"/>
        <w:rPr/>
      </w:pPr>
      <w:r>
        <w:rPr>
          <w:rFonts w:ascii="Amiri" w:hAnsi="Amiri" w:eastAsia="Amiri" w:cs="Amiri"/>
          <w:color w:val="111111"/>
          <w:sz w:val="28"/>
          <w:sz w:val="28"/>
          <w:szCs w:val="28"/>
          <w:rtl w:val="true"/>
          <w:lang w:bidi="ar-SA"/>
        </w:rPr>
        <w:t>في موضع يكتفى به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أذن المولى لعبده في ابتياع زوجته للمولى، فالعقد باق؛ لأنّ زوجة العبد إنّما انتقلت من البائع إلى المولى و لم تدخل في ملك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أذن له في ابتياعه لنفسه </w:t>
      </w:r>
      <w:r>
        <w:rPr>
          <w:rStyle w:val="FootnoteAnchor"/>
          <w:rtl w:val="true"/>
        </w:rPr>
        <w:footnoteReference w:id="411"/>
      </w:r>
      <w:r>
        <w:rPr>
          <w:rFonts w:ascii="Amiri" w:hAnsi="Amiri" w:eastAsia="Amiri" w:cs="Amiri"/>
          <w:color w:val="111111"/>
          <w:sz w:val="28"/>
          <w:sz w:val="28"/>
          <w:szCs w:val="28"/>
          <w:rtl w:val="true"/>
          <w:lang w:bidi="ar-SA"/>
        </w:rPr>
        <w:t xml:space="preserve">فالعقد باق أيضا إن قلنا بأنّ العبد لا يصلح لأن يملك شيئا و لو بالتمليك؛ لأنّ إذن المولى له في ابتياعه لنفسه </w:t>
      </w:r>
      <w:r>
        <w:rPr>
          <w:rStyle w:val="FootnoteAnchor"/>
          <w:rtl w:val="true"/>
        </w:rPr>
        <w:footnoteReference w:id="412"/>
      </w:r>
      <w:r>
        <w:rPr>
          <w:rFonts w:ascii="Amiri" w:hAnsi="Amiri" w:eastAsia="Amiri" w:cs="Amiri"/>
          <w:color w:val="111111"/>
          <w:sz w:val="28"/>
          <w:sz w:val="28"/>
          <w:szCs w:val="28"/>
          <w:rtl w:val="true"/>
          <w:lang w:bidi="ar-SA"/>
        </w:rPr>
        <w:t xml:space="preserve">يصير لغوا، بل الشراء حينئذ باطل، على ما قوّاه في المسالك </w:t>
      </w:r>
      <w:r>
        <w:rPr>
          <w:rStyle w:val="FootnoteAnchor"/>
          <w:rtl w:val="true"/>
        </w:rPr>
        <w:footnoteReference w:id="413"/>
      </w:r>
      <w:r>
        <w:rPr>
          <w:rFonts w:ascii="Amiri" w:hAnsi="Amiri" w:eastAsia="Amiri" w:cs="Amiri"/>
          <w:color w:val="111111"/>
          <w:sz w:val="28"/>
          <w:sz w:val="28"/>
          <w:szCs w:val="28"/>
          <w:rtl w:val="true"/>
          <w:lang w:bidi="ar-SA"/>
        </w:rPr>
        <w:t>، و حكى فيه عن النكت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الشراء للمولى؛ لأنّ الإذن في الشراء للعبد يتضمّن أمرين مطلق الشراء و كونه للعبد، فإذا لغا الإذن بالنسبة إلى القيد بقي بالنسبة إلى المطلق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الإذن تعلّق </w:t>
      </w:r>
      <w:r>
        <w:rPr>
          <w:rStyle w:val="FootnoteAnchor"/>
          <w:rtl w:val="true"/>
        </w:rPr>
        <w:footnoteReference w:id="415"/>
      </w:r>
      <w:r>
        <w:rPr>
          <w:rFonts w:ascii="Amiri" w:hAnsi="Amiri" w:eastAsia="Amiri" w:cs="Amiri"/>
          <w:color w:val="111111"/>
          <w:sz w:val="28"/>
          <w:sz w:val="28"/>
          <w:szCs w:val="28"/>
          <w:rtl w:val="true"/>
          <w:lang w:bidi="ar-SA"/>
        </w:rPr>
        <w:t>بأمر واحد، و هو المقيّد، و قد ارتفع، و لا يبقى المطلق بعد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صحّة العقد أصلا قوي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عليه بعض من تأخّر عنه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معاصرينا بالفرق بين ما لو أذن له أن يشتريها لنفسه على جهة الملكية، و بين ما لو أذن له أن يشتريها لنفسه، بمعنى أن يختص بها</w:t>
      </w:r>
    </w:p>
    <w:p>
      <w:pPr>
        <w:pStyle w:val="BookText"/>
        <w:rPr/>
      </w:pPr>
      <w:r>
        <w:rPr>
          <w:rFonts w:ascii="Amiri" w:hAnsi="Amiri" w:eastAsia="Amiri" w:cs="Amiri"/>
          <w:color w:val="111111"/>
          <w:sz w:val="28"/>
          <w:sz w:val="28"/>
          <w:szCs w:val="28"/>
          <w:rtl w:val="true"/>
          <w:lang w:bidi="ar-SA"/>
        </w:rPr>
        <w:t xml:space="preserve">و ينتفع، بأن يرجع ذلك إلى شرائها للمولى لكن ينتفع العبد، و بين ما لو أذن له أن يشتريها و ينتفع بها من غير أن يلاحظ المولى إيقاع الإذن على شرائها لنفسه على جهة الملك للمولى، و قوّى في الأخير الصحّة، و نفى الإشكال عن صحّة الثاني و فساد الأوّل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وجّه الصحّة في الأخير بأنّ الإذن في الشراء ينصرف إلى ما هو الصحيح من غير حاجة إلى قصده، لكن هذا كلّه مع شراء العبد لها كذلك، أي من غير ملاحظة كونها له أو للمولى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إلّا نمنع من ملكية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العبد زوجته و بطل النكاح بينهما، كما يبطل نكاح الحرّ للأمة إذا اشتراها الزوج؛ لأنّ الزوجيّة لا تجتمع مع الملك؛ للتفصيل بينهما في الآية إِلّٰا عَلىٰ أَزْوٰاجِهِمْ أَوْ مٰا مَلَكَتْ أَيْمٰانُهُمْ</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 و في الأخبار الدالّة على أنّ النكاح على </w:t>
      </w:r>
      <w:r>
        <w:rPr>
          <w:rStyle w:val="FootnoteAnchor"/>
          <w:rtl w:val="true"/>
        </w:rPr>
        <w:footnoteReference w:id="421"/>
      </w:r>
      <w:r>
        <w:rPr>
          <w:rFonts w:ascii="Amiri" w:hAnsi="Amiri" w:eastAsia="Amiri" w:cs="Amiri"/>
          <w:color w:val="111111"/>
          <w:sz w:val="28"/>
          <w:sz w:val="28"/>
          <w:szCs w:val="28"/>
          <w:rtl w:val="true"/>
          <w:lang w:bidi="ar-SA"/>
        </w:rPr>
        <w:t>ثلاثة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نكاح بميراث، و نكاح بلا ميراث، و نكاح بملك يمين</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و التفصيل قاطع للشركة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هل يستبيحها العبد المالك لها، إما لأجل الملك أو لأجل رضى المولى</w:t>
      </w:r>
    </w:p>
    <w:p>
      <w:pPr>
        <w:pStyle w:val="BookText"/>
        <w:rPr/>
      </w:pPr>
      <w:r>
        <w:rPr>
          <w:rFonts w:ascii="Amiri" w:hAnsi="Amiri" w:eastAsia="Amiri" w:cs="Amiri"/>
          <w:color w:val="111111"/>
          <w:sz w:val="28"/>
          <w:sz w:val="28"/>
          <w:szCs w:val="28"/>
          <w:rtl w:val="true"/>
          <w:lang w:bidi="ar-SA"/>
        </w:rPr>
        <w:t>بوطئها المستفاد من إذنه له في شرائها لنفسه، أو لا؟ وجوه، يضعّف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العبد و إن ملك الجارية لكنه محجور عن التصرّف فيما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في الشراء لنفسه لا يدلّ على الإذن في الوطء أصلا، مع أنّ إذنه في التصرّف قبل الشراء لا يثمر؛ لأنّه إذن في التصرّف فيما لا يملك الآذن التصرّف فيه، فهو في معنى التوكيل فيما لا يملكه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بأنّه يسوغ الإذن فيما لا يملكه الآذن، إذا أذن أولا فيما يستتبعه، كما يجوز هذا في الوكيل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جارية ثمّ أعتقها عنّي، فكذا فيما نحن فيه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الجارية و أنت في حلّ من وطئها، و هو حسن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الذي ذكر من التفصيل إنّما هو فيما لو كان العبد المأذون لم يتحرّر منه شي‌ء و أمّا </w:t>
      </w:r>
      <w:r>
        <w:rPr>
          <w:rStyle w:val="FootnoteAnchor"/>
          <w:rtl w:val="true"/>
        </w:rPr>
        <w:footnoteReference w:id="423"/>
      </w:r>
      <w:r>
        <w:rPr>
          <w:rFonts w:ascii="Amiri" w:hAnsi="Amiri" w:eastAsia="Amiri" w:cs="Amiri"/>
          <w:color w:val="111111"/>
          <w:sz w:val="28"/>
          <w:sz w:val="28"/>
          <w:szCs w:val="28"/>
          <w:rtl w:val="true"/>
          <w:lang w:bidi="ar-SA"/>
        </w:rPr>
        <w:t>لو تحرّر بعضه فاشتراها بطل العقد لأنّ الشراء إن كان بمال ينفرد به العبد، فقد ملكها، و إن كان بمال مشترك بينه و بين السيّد، فقد ملك بعضها، و على التقديرين يبطل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وطؤها بالملك على التقدير الأوّل، و لا يجوز على الثاني</w:t>
      </w:r>
      <w:r>
        <w:rPr>
          <w:rFonts w:eastAsia="Amiri" w:cs="Amiri" w:ascii="Amiri" w:hAnsi="Amiri"/>
          <w:color w:val="111111"/>
          <w:sz w:val="28"/>
          <w:szCs w:val="28"/>
          <w:rtl w:val="true"/>
          <w:lang w:bidi="ar-SA"/>
        </w:rPr>
        <w:t>.</w:t>
      </w:r>
      <w:bookmarkStart w:id="53" w:name="pg19718_238997"/>
    </w:p>
    <w:p>
      <w:pPr>
        <w:pStyle w:val="Heading5"/>
        <w:numPr>
          <w:ilvl w:val="4"/>
          <w:numId w:val="1"/>
        </w:numPr>
        <w:rPr/>
      </w:pPr>
      <w:bookmarkStart w:id="54" w:name="__RefHeading___Toc1985750_2314609296"/>
      <w:bookmarkStart w:id="55" w:name="_Toc21"/>
      <w:bookmarkEnd w:id="53"/>
      <w:bookmarkEnd w:id="54"/>
      <w:r>
        <w:rPr>
          <w:rtl w:val="true"/>
        </w:rPr>
        <w:t>المطلب الثالث في الأولياء</w:t>
      </w:r>
      <w:bookmarkEnd w:id="55"/>
    </w:p>
    <w:p>
      <w:pPr>
        <w:pStyle w:val="Heading6"/>
        <w:numPr>
          <w:ilvl w:val="5"/>
          <w:numId w:val="1"/>
        </w:numPr>
        <w:rPr/>
      </w:pPr>
      <w:bookmarkStart w:id="56" w:name="__RefHeading___Toc1985752_2314609296"/>
      <w:bookmarkStart w:id="57" w:name="_Toc22"/>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و فيه فصلان</w:t>
      </w:r>
      <w:r>
        <w:rPr>
          <w:rFonts w:eastAsia="Amiri" w:cs="Amiri" w:ascii="Amiri" w:hAnsi="Amiri"/>
          <w:color w:val="111111"/>
          <w:sz w:val="28"/>
          <w:szCs w:val="28"/>
          <w:rtl w:val="true"/>
          <w:lang w:bidi="ar-SA"/>
        </w:rPr>
        <w:t>:</w:t>
      </w:r>
    </w:p>
    <w:p>
      <w:pPr>
        <w:pStyle w:val="Heading6"/>
        <w:numPr>
          <w:ilvl w:val="5"/>
          <w:numId w:val="1"/>
        </w:numPr>
        <w:rPr/>
      </w:pPr>
      <w:bookmarkStart w:id="58" w:name="__RefHeading___Toc1985754_2314609296"/>
      <w:bookmarkStart w:id="59" w:name="_Toc23"/>
      <w:bookmarkEnd w:id="58"/>
      <w:r>
        <w:rPr>
          <w:rtl w:val="true"/>
        </w:rPr>
        <w:t>الأوّل</w:t>
      </w:r>
      <w:r>
        <w:rPr>
          <w:rtl w:val="true"/>
        </w:rPr>
        <w:t xml:space="preserve">: </w:t>
      </w:r>
      <w:r>
        <w:rPr>
          <w:rtl w:val="true"/>
        </w:rPr>
        <w:t>في أسباب الولاية</w:t>
      </w:r>
      <w:bookmarkEnd w:id="59"/>
    </w:p>
    <w:p>
      <w:pPr>
        <w:pStyle w:val="Heading6"/>
        <w:numPr>
          <w:ilvl w:val="5"/>
          <w:numId w:val="1"/>
        </w:numPr>
        <w:rPr/>
      </w:pPr>
      <w:bookmarkStart w:id="60" w:name="__RefHeading___Toc1985756_2314609296"/>
      <w:bookmarkStart w:id="61" w:name="_Toc24"/>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و هي أربعة</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1985758_2314609296"/>
      <w:bookmarkStart w:id="63" w:name="_Toc25"/>
      <w:bookmarkEnd w:id="62"/>
      <w:r>
        <w:rPr>
          <w:rtl w:val="true"/>
        </w:rPr>
        <w:t>الأوّل</w:t>
      </w:r>
      <w:r>
        <w:rPr>
          <w:rtl w:val="true"/>
        </w:rPr>
        <w:t xml:space="preserve">: </w:t>
      </w:r>
      <w:r>
        <w:rPr>
          <w:rtl w:val="true"/>
        </w:rPr>
        <w:t>الأبوّة</w:t>
      </w:r>
      <w:bookmarkEnd w:id="63"/>
    </w:p>
    <w:p>
      <w:pPr>
        <w:pStyle w:val="BookText"/>
        <w:rPr/>
      </w:pPr>
      <w:r>
        <w:rPr>
          <w:rFonts w:ascii="Amiri" w:hAnsi="Amiri" w:eastAsia="Amiri" w:cs="Amiri"/>
          <w:color w:val="111111"/>
          <w:sz w:val="28"/>
          <w:sz w:val="28"/>
          <w:szCs w:val="28"/>
          <w:rtl w:val="true"/>
          <w:lang w:bidi="ar-SA"/>
        </w:rPr>
        <w:t xml:space="preserve">و في معناها الجدودة على المشهور المعروف عمّن عدا العماني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تفيد ولاية الإجبار على الولدين و هما الذكر و الأنثى الصغيرين أو المجنونين، سواء في الأنثى البكر و الثيّب بوطء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المجنونين يشمل ما إذا كان جنونهما متّصلا بالصغر، أو طارئا بعد البلوغ عاقلا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إشكال في الأوّل، و حكي عدم الخلاف فيه </w:t>
      </w:r>
      <w:r>
        <w:rPr>
          <w:rStyle w:val="FootnoteAnchor"/>
          <w:rtl w:val="true"/>
        </w:rPr>
        <w:footnoteReference w:id="425"/>
      </w:r>
      <w:r>
        <w:rPr>
          <w:rFonts w:ascii="Amiri" w:hAnsi="Amiri" w:eastAsia="Amiri" w:cs="Amiri"/>
          <w:color w:val="111111"/>
          <w:sz w:val="28"/>
          <w:sz w:val="28"/>
          <w:szCs w:val="28"/>
          <w:rtl w:val="true"/>
          <w:lang w:bidi="ar-SA"/>
        </w:rPr>
        <w:t>للاستصحاب و عموم 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مالكة لأمرها، تبيع و تشتري</w:t>
      </w:r>
    </w:p>
    <w:p>
      <w:pPr>
        <w:pStyle w:val="BookText"/>
        <w:rPr/>
      </w:pPr>
      <w:r>
        <w:rPr>
          <w:rFonts w:ascii="IRNazanin" w:hAnsi="IRNazanin" w:eastAsia="IRNazanin"/>
          <w:color w:val="111111"/>
          <w:sz w:val="28"/>
          <w:sz w:val="28"/>
          <w:szCs w:val="28"/>
          <w:rtl w:val="true"/>
          <w:lang w:bidi="fa-IR"/>
        </w:rPr>
        <w:t xml:space="preserve">و تعتق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تشهد</w:t>
      </w:r>
      <w:r>
        <w:rPr>
          <w:rFonts w:eastAsia="IRNazanin" w:cs="IRNazanin"/>
          <w:color w:val="111111"/>
          <w:sz w:val="28"/>
          <w:szCs w:val="28"/>
          <w:rtl w:val="true"/>
          <w:lang w:bidi="fa-IR"/>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و تعطي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ما لها من شاءت، فإنّ أمرها جائز، تزوّجت متى شاءت بغير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تكن كذلك، لم يجز تزويجها إلّا بأمر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ريب أنّ المتبادر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أبوها أو جدّها؛ إذ لا ولاية للغير عليها </w:t>
      </w:r>
      <w:r>
        <w:rPr>
          <w:rStyle w:val="FootnoteAnchor"/>
          <w:rtl w:val="true"/>
        </w:rPr>
        <w:footnoteReference w:id="429"/>
      </w:r>
      <w:r>
        <w:rPr>
          <w:rFonts w:ascii="Amiri" w:hAnsi="Amiri" w:eastAsia="Amiri" w:cs="Amiri"/>
          <w:color w:val="111111"/>
          <w:sz w:val="28"/>
          <w:sz w:val="28"/>
          <w:szCs w:val="28"/>
          <w:rtl w:val="true"/>
          <w:lang w:bidi="ar-SA"/>
        </w:rPr>
        <w:t>مع وجودهما اتّفاقا،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الحاكم هو الوليّ في المجنون المتوحّد </w:t>
      </w:r>
      <w:r>
        <w:rPr>
          <w:rStyle w:val="FootnoteAnchor"/>
          <w:rtl w:val="true"/>
        </w:rPr>
        <w:footnoteReference w:id="430"/>
      </w:r>
      <w:r>
        <w:rPr>
          <w:rFonts w:ascii="Amiri" w:hAnsi="Amiri" w:eastAsia="Amiri" w:cs="Amiri"/>
          <w:color w:val="111111"/>
          <w:sz w:val="28"/>
          <w:sz w:val="28"/>
          <w:szCs w:val="28"/>
          <w:rtl w:val="true"/>
          <w:lang w:bidi="ar-SA"/>
        </w:rPr>
        <w:t>عن الصغر، و لا ريب أنّ إرادته من الرواية في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يصحّ الاستدلال بالرواية على ولاية الأب و الجدّ على المجنونين و إن لم يتّصل جنونهما بصغرهما؛ إذ لا دليل على ولاية الحاكم عموما و لا خصوصا بحيث تطمئنّ منه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خيار لهما بعد بلوغهما و رشدهما، أمّا عدم الخيار للصغيرة فالظاهر أنّه موضع وفاق كما في الحدائق </w:t>
      </w:r>
      <w:r>
        <w:rPr>
          <w:rStyle w:val="FootnoteAnchor"/>
          <w:rtl w:val="true"/>
        </w:rPr>
        <w:footnoteReference w:id="431"/>
      </w:r>
      <w:r>
        <w:rPr>
          <w:rFonts w:ascii="Amiri" w:hAnsi="Amiri" w:eastAsia="Amiri" w:cs="Amiri"/>
          <w:color w:val="111111"/>
          <w:sz w:val="28"/>
          <w:sz w:val="28"/>
          <w:szCs w:val="28"/>
          <w:rtl w:val="true"/>
          <w:lang w:bidi="ar-SA"/>
        </w:rPr>
        <w:t>، و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يظهر فيه مخالف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الأخبار الكثيرة كصحيحة الحذّاء عن أبي جعفر عليه السلام،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 هو الذي زوّجها قبل أن تدرك؟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p>
    <w:p>
      <w:pPr>
        <w:pStyle w:val="BookText"/>
        <w:rPr/>
      </w:pPr>
      <w:r>
        <w:rPr>
          <w:rFonts w:ascii="Amiri" w:hAnsi="Amiri" w:eastAsia="Amiri" w:cs="Amiri"/>
          <w:color w:val="111111"/>
          <w:sz w:val="28"/>
          <w:sz w:val="28"/>
          <w:szCs w:val="28"/>
          <w:rtl w:val="true"/>
          <w:lang w:bidi="ar-SA"/>
        </w:rPr>
        <w:t>عليها تزويج الأب، و يجوز على الغلام، و المهر على الأب للجارية</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صحيحة ابن بزيع عن أبي الحسن عليه السلام </w:t>
      </w:r>
      <w:r>
        <w:rPr>
          <w:rStyle w:val="FootnoteAnchor"/>
          <w:rtl w:val="true"/>
        </w:rPr>
        <w:footnoteReference w:id="434"/>
      </w:r>
      <w:r>
        <w:rPr>
          <w:rFonts w:ascii="Amiri" w:hAnsi="Amiri" w:eastAsia="Amiri" w:cs="Amiri"/>
          <w:color w:val="111111"/>
          <w:sz w:val="28"/>
          <w:sz w:val="28"/>
          <w:szCs w:val="28"/>
          <w:rtl w:val="true"/>
          <w:lang w:bidi="ar-SA"/>
        </w:rPr>
        <w:t xml:space="preserve">، و صحيحة عبد اللّٰه بن الصلت عن أبي الحسن عليه السلام </w:t>
      </w:r>
      <w:r>
        <w:rPr>
          <w:rStyle w:val="FootnoteAnchor"/>
          <w:rtl w:val="true"/>
        </w:rPr>
        <w:footnoteReference w:id="435"/>
      </w:r>
      <w:r>
        <w:rPr>
          <w:rFonts w:ascii="Amiri" w:hAnsi="Amiri" w:eastAsia="Amiri" w:cs="Amiri"/>
          <w:color w:val="111111"/>
          <w:sz w:val="28"/>
          <w:sz w:val="28"/>
          <w:szCs w:val="28"/>
          <w:rtl w:val="true"/>
          <w:lang w:bidi="ar-SA"/>
        </w:rPr>
        <w:t xml:space="preserve">، و صحيحة عليّ بن يقطين عنه عليه السلام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الصبي يزوّج الصبية،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أبواهما اللذان زوّجاهما فنعم جائز، و لكن لهما الخيار إذا أدركا، فإن رضيا بعد ذلك فإنّ المهر على الأب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الرواية و إن صحّت، لكنّها لعدم ظهور القائل بها و معارضتها بأكثر منها، لا بدّ من إطراحها </w:t>
      </w:r>
      <w:r>
        <w:rPr>
          <w:rStyle w:val="FootnoteAnchor"/>
          <w:rtl w:val="true"/>
        </w:rPr>
        <w:footnoteReference w:id="438"/>
      </w:r>
      <w:r>
        <w:rPr>
          <w:rFonts w:ascii="Amiri" w:hAnsi="Amiri" w:eastAsia="Amiri" w:cs="Amiri"/>
          <w:color w:val="111111"/>
          <w:sz w:val="28"/>
          <w:sz w:val="28"/>
          <w:szCs w:val="28"/>
          <w:rtl w:val="true"/>
          <w:lang w:bidi="ar-SA"/>
        </w:rPr>
        <w:t xml:space="preserve">أو حملها على ما ذكره الشيخ من أنّ الصبي مختار في الطلاق أو الفسخ بأسباب </w:t>
      </w:r>
      <w:r>
        <w:rPr>
          <w:rStyle w:val="FootnoteAnchor"/>
          <w:rtl w:val="true"/>
        </w:rPr>
        <w:footnoteReference w:id="439"/>
      </w:r>
      <w:r>
        <w:rPr>
          <w:rFonts w:ascii="Amiri" w:hAnsi="Amiri" w:eastAsia="Amiri" w:cs="Amiri"/>
          <w:color w:val="111111"/>
          <w:sz w:val="28"/>
          <w:sz w:val="28"/>
          <w:szCs w:val="28"/>
          <w:rtl w:val="true"/>
          <w:lang w:bidi="ar-SA"/>
        </w:rPr>
        <w:t>، و الصبيّة مخيّرة في مطالبة الطلاق</w:t>
      </w:r>
    </w:p>
    <w:p>
      <w:pPr>
        <w:pStyle w:val="BookText"/>
        <w:rPr/>
      </w:pPr>
      <w:r>
        <w:rPr>
          <w:rFonts w:ascii="IRNazanin" w:hAnsi="IRNazanin" w:eastAsia="IRNazanin"/>
          <w:color w:val="111111"/>
          <w:sz w:val="28"/>
          <w:sz w:val="28"/>
          <w:szCs w:val="28"/>
          <w:rtl w:val="true"/>
          <w:lang w:bidi="fa-IR"/>
        </w:rPr>
        <w:t xml:space="preserve">أو الفسخ مع وجود أسبابه </w:t>
      </w:r>
      <w:r>
        <w:rPr>
          <w:rStyle w:val="FootnoteAnchor"/>
          <w:rtl w:val="true"/>
        </w:rPr>
        <w:footnoteReference w:id="440"/>
      </w:r>
      <w:r>
        <w:rPr>
          <w:rFonts w:ascii="Amiri" w:hAnsi="Amiri" w:eastAsia="Amiri" w:cs="Amiri"/>
          <w:color w:val="111111"/>
          <w:sz w:val="28"/>
          <w:sz w:val="28"/>
          <w:szCs w:val="28"/>
          <w:rtl w:val="true"/>
          <w:lang w:bidi="ar-SA"/>
        </w:rPr>
        <w:t xml:space="preserve">، و لا يخفى بعده، لكن </w:t>
      </w:r>
      <w:r>
        <w:rPr>
          <w:rStyle w:val="FootnoteAnchor"/>
          <w:rtl w:val="true"/>
        </w:rPr>
        <w:footnoteReference w:id="441"/>
      </w:r>
      <w:r>
        <w:rPr>
          <w:rFonts w:ascii="IRNazanin" w:hAnsi="IRNazanin" w:eastAsia="IRNazanin"/>
          <w:color w:val="111111"/>
          <w:sz w:val="28"/>
          <w:sz w:val="28"/>
          <w:szCs w:val="28"/>
          <w:rtl w:val="true"/>
          <w:lang w:bidi="fa-IR"/>
        </w:rPr>
        <w:t xml:space="preserve">أولى من الاطراح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عدم الخيار للصغير إذا أدرك، فقد نسب إلى المشهور، و يدلّ عليه صحيحة الحذّاء المتقدّمة </w:t>
      </w:r>
      <w:r>
        <w:rPr>
          <w:rStyle w:val="FootnoteAnchor"/>
          <w:rtl w:val="true"/>
        </w:rPr>
        <w:footnoteReference w:id="443"/>
      </w:r>
      <w:r>
        <w:rPr>
          <w:rFonts w:ascii="Amiri" w:hAnsi="Amiri" w:eastAsia="Amiri" w:cs="Amiri"/>
          <w:color w:val="111111"/>
          <w:sz w:val="28"/>
          <w:sz w:val="28"/>
          <w:szCs w:val="28"/>
          <w:rtl w:val="true"/>
          <w:lang w:bidi="ar-SA"/>
        </w:rPr>
        <w:t xml:space="preserve">و ما دلّ من الأخبار على أنّهما إذا زوّجهما الأبوان و ماتا يتوارثان كصحيحة محمد بن مسلم </w:t>
      </w:r>
      <w:r>
        <w:rPr>
          <w:rStyle w:val="FootnoteAnchor"/>
          <w:rtl w:val="true"/>
        </w:rPr>
        <w:footnoteReference w:id="444"/>
      </w:r>
      <w:r>
        <w:rPr>
          <w:rFonts w:ascii="IRNazanin" w:hAnsi="IRNazanin" w:eastAsia="IRNazanin"/>
          <w:color w:val="111111"/>
          <w:sz w:val="28"/>
          <w:sz w:val="28"/>
          <w:szCs w:val="28"/>
          <w:rtl w:val="true"/>
          <w:lang w:bidi="fa-IR"/>
        </w:rPr>
        <w:t xml:space="preserve">و نحوها </w:t>
      </w:r>
      <w:r>
        <w:rPr>
          <w:rStyle w:val="FootnoteAnchor"/>
          <w:rtl w:val="true"/>
        </w:rPr>
        <w:footnoteReference w:id="445"/>
      </w:r>
      <w:r>
        <w:rPr>
          <w:rFonts w:ascii="Amiri" w:hAnsi="Amiri" w:eastAsia="Amiri" w:cs="Amiri"/>
          <w:color w:val="111111"/>
          <w:sz w:val="28"/>
          <w:sz w:val="28"/>
          <w:szCs w:val="28"/>
          <w:rtl w:val="true"/>
          <w:lang w:bidi="ar-SA"/>
        </w:rPr>
        <w:t>فإنّ وقوف العقد على الإجازة بعد البلوغ ينافي التوارث إذا ماتا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الواقع ليس موقوفا كالفضولي الصادر عن غير الأب، بل العقد صحيح منجّزا، و إنّما يتخيّر الصبي بعد الإدراك بين فسخه و إبقائه، فلا ينافي ذلك للتوارث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بأنّ ذلك مخالف لما يظهر من الأخبار </w:t>
      </w:r>
      <w:r>
        <w:rPr>
          <w:rStyle w:val="FootnoteAnchor"/>
          <w:rtl w:val="true"/>
        </w:rPr>
        <w:footnoteReference w:id="446"/>
      </w:r>
      <w:r>
        <w:rPr>
          <w:rFonts w:ascii="Amiri" w:hAnsi="Amiri" w:eastAsia="Amiri" w:cs="Amiri"/>
          <w:color w:val="111111"/>
          <w:sz w:val="28"/>
          <w:sz w:val="28"/>
          <w:szCs w:val="28"/>
          <w:rtl w:val="true"/>
          <w:lang w:bidi="ar-SA"/>
        </w:rPr>
        <w:t xml:space="preserve">من أنّ معنى الخيار بعد الإدراك هو أنّه </w:t>
      </w:r>
      <w:r>
        <w:rPr>
          <w:rStyle w:val="FootnoteAnchor"/>
          <w:rtl w:val="true"/>
        </w:rPr>
        <w:footnoteReference w:id="447"/>
      </w:r>
      <w:r>
        <w:rPr>
          <w:rFonts w:ascii="Amiri" w:hAnsi="Amiri" w:eastAsia="Amiri" w:cs="Amiri"/>
          <w:color w:val="111111"/>
          <w:sz w:val="28"/>
          <w:sz w:val="28"/>
          <w:szCs w:val="28"/>
          <w:rtl w:val="true"/>
          <w:lang w:bidi="ar-SA"/>
        </w:rPr>
        <w:t>لا يترتّب على العقد أثر قبل الإدراك، كما يستفاد من صحيحة الحذّاء التي نقلنا عجزها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خلاف المشهور ما رواه في التهذيب عن يزيد الكناسي عن أبي جعفر عليه السلام،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الغلام إذا زوّجه أبوه و لم يدرك كان له</w:t>
      </w:r>
    </w:p>
    <w:p>
      <w:pPr>
        <w:pStyle w:val="BookText"/>
        <w:rPr/>
      </w:pPr>
      <w:r>
        <w:rPr>
          <w:rFonts w:ascii="Amiri" w:hAnsi="Amiri" w:eastAsia="Amiri" w:cs="Amiri"/>
          <w:color w:val="111111"/>
          <w:sz w:val="28"/>
          <w:sz w:val="28"/>
          <w:szCs w:val="28"/>
          <w:rtl w:val="true"/>
          <w:lang w:bidi="ar-SA"/>
        </w:rPr>
        <w:t>الخيار إذا أدرك و بلغ خمس عشرة سنة، أو يشعر في وجهه، أو ينبت في عانته قبل ذلك</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أبان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موثقة الفضل بن عبد 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الرجل ابنه فذاك إلى ابنه، و إذا زوّج الابنة جاز</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الأقوى ما عليه المشهور؛ لأنّ المراد بثبوت الخيار للصبيّ بعد الإدراك إن كان هو الخيار في إجازة العقد و ردّه بحيث يكون العقد قبلها فضوليا موقوفا،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صحيحة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التوارث </w:t>
      </w:r>
      <w:r>
        <w:rPr>
          <w:rStyle w:val="FootnoteAnchor"/>
          <w:rtl w:val="true"/>
        </w:rPr>
        <w:footnoteReference w:id="452"/>
      </w:r>
      <w:r>
        <w:rPr>
          <w:rFonts w:ascii="Amiri" w:hAnsi="Amiri" w:eastAsia="Amiri" w:cs="Amiri"/>
          <w:color w:val="111111"/>
          <w:sz w:val="28"/>
          <w:sz w:val="28"/>
          <w:szCs w:val="28"/>
          <w:rtl w:val="true"/>
          <w:lang w:bidi="ar-SA"/>
        </w:rPr>
        <w:t>، و لا يعارضها الخبران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الخيار بين فسخ العقد و إبقائه، كالخيار في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في الرياض من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القول بثبوت التوارث لا ينافي الخيار </w:t>
      </w:r>
      <w:r>
        <w:rPr>
          <w:rStyle w:val="FootnoteAnchor"/>
          <w:rtl w:val="true"/>
        </w:rPr>
        <w:footnoteReference w:id="453"/>
      </w:r>
      <w:r>
        <w:rPr>
          <w:rFonts w:ascii="Amiri" w:hAnsi="Amiri" w:eastAsia="Amiri" w:cs="Amiri"/>
          <w:color w:val="111111"/>
          <w:sz w:val="28"/>
          <w:sz w:val="28"/>
          <w:szCs w:val="28"/>
          <w:rtl w:val="true"/>
          <w:lang w:bidi="ar-SA"/>
        </w:rPr>
        <w:t>، و أنّه قال بالتوارث كلّ من قال بالخيار للصبيّ، حيث إنّ ظاهر ذلك أنّه يراد بالخيار خيار الفسخ لا خيار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كالعقد الجائز لا الفضولي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لو سلّم عدم مخالفته لما يظهر من الأخبار، من أنّ المراد</w:t>
      </w:r>
    </w:p>
    <w:p>
      <w:pPr>
        <w:pStyle w:val="BookText"/>
        <w:rPr/>
      </w:pPr>
      <w:r>
        <w:rPr>
          <w:rFonts w:ascii="Amiri" w:hAnsi="Amiri" w:eastAsia="Amiri" w:cs="Amiri"/>
          <w:color w:val="111111"/>
          <w:sz w:val="28"/>
          <w:sz w:val="28"/>
          <w:szCs w:val="28"/>
          <w:rtl w:val="true"/>
          <w:lang w:bidi="ar-SA"/>
        </w:rPr>
        <w:t>بالخيار بعد الإدراك هو أنّ قبله لا يترتّب على العقد أثر، رجع الأمر إلى معارضة صحيحة الحذّاء مع الخبرين، فيرجع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الترجيح بالشهرة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أصالة اللزوم، و عدم ثبوت الخيار، و عدم انفساخ العقد بفسخه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تنزّلنا و رفعنا اليد عن أخبار التوارث،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يزيد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مشتملة على ما ربما </w:t>
      </w:r>
      <w:r>
        <w:rPr>
          <w:rStyle w:val="FootnoteAnchor"/>
          <w:rtl w:val="true"/>
        </w:rPr>
        <w:footnoteReference w:id="455"/>
      </w:r>
      <w:r>
        <w:rPr>
          <w:rFonts w:ascii="Amiri" w:hAnsi="Amiri" w:eastAsia="Amiri" w:cs="Amiri"/>
          <w:color w:val="111111"/>
          <w:sz w:val="28"/>
          <w:sz w:val="28"/>
          <w:szCs w:val="28"/>
          <w:rtl w:val="true"/>
          <w:lang w:bidi="ar-SA"/>
        </w:rPr>
        <w:t xml:space="preserve">خالف الإجماع، فكيف تقوى على معارضة صحيحة الحذّاء </w:t>
      </w:r>
      <w:r>
        <w:rPr>
          <w:rStyle w:val="FootnoteAnchor"/>
          <w:rtl w:val="true"/>
        </w:rPr>
        <w:footnoteReference w:id="45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الروايتان </w:t>
      </w:r>
      <w:r>
        <w:rPr>
          <w:rStyle w:val="FootnoteAnchor"/>
          <w:rtl w:val="true"/>
        </w:rPr>
        <w:footnoteReference w:id="457"/>
      </w:r>
      <w:r>
        <w:rPr>
          <w:rFonts w:ascii="Amiri" w:hAnsi="Amiri" w:eastAsia="Amiri" w:cs="Amiri"/>
          <w:color w:val="111111"/>
          <w:sz w:val="28"/>
          <w:sz w:val="28"/>
          <w:szCs w:val="28"/>
          <w:rtl w:val="true"/>
          <w:lang w:bidi="ar-SA"/>
        </w:rPr>
        <w:t>فهما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المقاومة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يشملان البالغ و غير البالغ </w:t>
      </w:r>
      <w:r>
        <w:rPr>
          <w:rStyle w:val="FootnoteAnchor"/>
          <w:rtl w:val="true"/>
        </w:rPr>
        <w:footnoteReference w:id="458"/>
      </w:r>
      <w:r>
        <w:rPr>
          <w:rFonts w:ascii="Amiri" w:hAnsi="Amiri" w:eastAsia="Amiri" w:cs="Amiri"/>
          <w:color w:val="111111"/>
          <w:sz w:val="28"/>
          <w:sz w:val="28"/>
          <w:szCs w:val="28"/>
          <w:rtl w:val="true"/>
          <w:lang w:bidi="ar-SA"/>
        </w:rPr>
        <w:t>، فلا بدّ من تخصيصهما بالبالغ بحكم الصحيحة التي هي أخصّ منهما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تثبت ولايتهما على البالغة الرشيدة إن كانت ثيّبا اتّفاقا فتوى و نصّا و كذا إن كانت بكرا و إن زوّجت و وطئت دبرا، أو ذهبت بكارتها بغير الجماع على رأي مشهور، بل في النكت عن السيّد دعوى الإجماع </w:t>
      </w:r>
      <w:r>
        <w:rPr>
          <w:rStyle w:val="FootnoteAnchor"/>
          <w:rtl w:val="true"/>
        </w:rPr>
        <w:footnoteReference w:id="459"/>
      </w:r>
      <w:r>
        <w:rPr>
          <w:rFonts w:ascii="Amiri" w:hAnsi="Amiri" w:eastAsia="Amiri" w:cs="Amiri"/>
          <w:color w:val="111111"/>
          <w:sz w:val="28"/>
          <w:sz w:val="28"/>
          <w:szCs w:val="28"/>
          <w:rtl w:val="true"/>
          <w:lang w:bidi="ar-SA"/>
        </w:rPr>
        <w:t>لأصالة صحّة العقد الواقع بينهما على نفسها، و لعموم ما دلّ على</w:t>
      </w:r>
    </w:p>
    <w:p>
      <w:pPr>
        <w:pStyle w:val="BookText"/>
        <w:rPr/>
      </w:pPr>
      <w:r>
        <w:rPr>
          <w:rFonts w:ascii="IRNazanin" w:hAnsi="IRNazanin" w:eastAsia="IRNazanin"/>
          <w:color w:val="111111"/>
          <w:sz w:val="28"/>
          <w:sz w:val="28"/>
          <w:szCs w:val="28"/>
          <w:rtl w:val="true"/>
          <w:lang w:bidi="fa-IR"/>
        </w:rPr>
        <w:t xml:space="preserve">وجوب الوفاء بالعقود </w:t>
      </w:r>
      <w:r>
        <w:rPr>
          <w:rStyle w:val="FootnoteAnchor"/>
          <w:rtl w:val="true"/>
        </w:rPr>
        <w:footnoteReference w:id="460"/>
      </w:r>
      <w:r>
        <w:rPr>
          <w:rFonts w:ascii="Amiri" w:hAnsi="Amiri" w:eastAsia="Amiri" w:cs="Amiri"/>
          <w:color w:val="111111"/>
          <w:sz w:val="28"/>
          <w:sz w:val="28"/>
          <w:szCs w:val="28"/>
          <w:rtl w:val="true"/>
          <w:lang w:bidi="ar-SA"/>
        </w:rPr>
        <w:t xml:space="preserve">، و إطلاق قوله تعالى وَ أُحِلَّ لَكُمْ مٰا وَرٰاءَ ذٰلِكُمْ </w:t>
      </w:r>
      <w:r>
        <w:rPr>
          <w:rStyle w:val="FootnoteAnchor"/>
          <w:rtl w:val="true"/>
        </w:rPr>
        <w:footnoteReference w:id="461"/>
      </w:r>
      <w:r>
        <w:rPr>
          <w:rFonts w:ascii="Amiri" w:hAnsi="Amiri" w:eastAsia="Amiri" w:cs="Amiri"/>
          <w:color w:val="111111"/>
          <w:sz w:val="28"/>
          <w:sz w:val="28"/>
          <w:szCs w:val="28"/>
          <w:rtl w:val="true"/>
          <w:lang w:bidi="ar-SA"/>
        </w:rPr>
        <w:t>بالنسبة إلى صورتي إذن الوليّ و عدمه،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المعتدات بالوفاة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فَلٰا جُنٰاحَ عَلَيْكُمْ فِيمٰا فَعَلْنَ فِي أَنْفُسِهِنَّ بِالْمَعْرُوفِ </w:t>
      </w:r>
      <w:r>
        <w:rPr>
          <w:rStyle w:val="FootnoteAnchor"/>
          <w:rtl w:val="true"/>
        </w:rPr>
        <w:footnoteReference w:id="462"/>
      </w:r>
      <w:r>
        <w:rPr>
          <w:rFonts w:ascii="Amiri" w:hAnsi="Amiri" w:eastAsia="Amiri" w:cs="Amiri"/>
          <w:color w:val="111111"/>
          <w:sz w:val="28"/>
          <w:sz w:val="28"/>
          <w:szCs w:val="28"/>
          <w:rtl w:val="true"/>
          <w:lang w:bidi="ar-SA"/>
        </w:rPr>
        <w:t xml:space="preserve">و يشمل بعمومه لغير المدخولة و الموطوءة دبرا، و قوله تعالى فَلٰا جُنٰاحَ عَلَيْهِمٰا أَنْ يَتَرٰاجَعٰا </w:t>
      </w:r>
      <w:r>
        <w:rPr>
          <w:rStyle w:val="FootnoteAnchor"/>
          <w:rtl w:val="true"/>
        </w:rPr>
        <w:footnoteReference w:id="463"/>
      </w:r>
      <w:r>
        <w:rPr>
          <w:rFonts w:ascii="Amiri" w:hAnsi="Amiri" w:eastAsia="Amiri" w:cs="Amiri"/>
          <w:color w:val="111111"/>
          <w:sz w:val="28"/>
          <w:sz w:val="28"/>
          <w:szCs w:val="28"/>
          <w:rtl w:val="true"/>
          <w:lang w:bidi="ar-SA"/>
        </w:rPr>
        <w:t>و المراد بالتراجع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المراجعة بالعقد و يشمل أيضا الباكرة الموطوءة دبرا، و يتمّ المطلوب في غيرها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أنّ التمسّك لعدم الجواز هنا بأصالة بقاء الولاية للولي و فساد العقد مع عدم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لثبوتهما قبل بلوغ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موقعه، لا لتغيّر الموضوع و هو الصغر كما قيل </w:t>
      </w:r>
      <w:r>
        <w:rPr>
          <w:rStyle w:val="FootnoteAnchor"/>
          <w:rtl w:val="true"/>
        </w:rPr>
        <w:footnoteReference w:id="4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لأنّ الأصل لا يعارض العموم و الإطلاق المذكورين، السليمين ممّا يصلح للتخصيص و التقييد، عدا ما يتراءى من الأخبار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تتزوّج ذوات الآباء من الأبكار إلّا بإذن آبائهنّ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الصحيح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أنّ الجارية ليس لها مع أبيها أمر، كما في صحيحة عبد اللّٰه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الصلت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الجارية </w:t>
      </w:r>
      <w:r>
        <w:rPr>
          <w:rStyle w:val="FootnoteAnchor"/>
          <w:rtl w:val="true"/>
        </w:rPr>
        <w:footnoteReference w:id="467"/>
      </w:r>
      <w:r>
        <w:rPr>
          <w:rFonts w:ascii="Amiri" w:hAnsi="Amiri" w:eastAsia="Amiri" w:cs="Amiri"/>
          <w:color w:val="111111"/>
          <w:sz w:val="28"/>
          <w:sz w:val="28"/>
          <w:szCs w:val="28"/>
          <w:rtl w:val="true"/>
          <w:lang w:bidi="ar-SA"/>
        </w:rPr>
        <w:t>إذا بلغت مبلغ النساء، أ لها مع أبيها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 و نحوها حسنة الحلبي بابن هاشم </w:t>
      </w:r>
      <w:r>
        <w:rPr>
          <w:rStyle w:val="FootnoteAnchor"/>
          <w:rtl w:val="true"/>
        </w:rPr>
        <w:footnoteReference w:id="469"/>
      </w:r>
      <w:r>
        <w:rPr>
          <w:rFonts w:ascii="Amiri" w:hAnsi="Amiri" w:eastAsia="Amiri" w:cs="Amiri"/>
          <w:color w:val="111111"/>
          <w:sz w:val="28"/>
          <w:sz w:val="28"/>
          <w:szCs w:val="28"/>
          <w:rtl w:val="true"/>
          <w:lang w:bidi="ar-SA"/>
        </w:rPr>
        <w:t xml:space="preserve">، و موثقة إبراهيم بن ميمون بابن فضال </w:t>
      </w:r>
      <w:r>
        <w:rPr>
          <w:rStyle w:val="FootnoteAnchor"/>
          <w:rtl w:val="true"/>
        </w:rPr>
        <w:footnoteReference w:id="470"/>
      </w:r>
      <w:r>
        <w:rPr>
          <w:rFonts w:ascii="Amiri" w:hAnsi="Amiri" w:eastAsia="Amiri" w:cs="Amiri"/>
          <w:color w:val="111111"/>
          <w:sz w:val="28"/>
          <w:sz w:val="28"/>
          <w:szCs w:val="28"/>
          <w:rtl w:val="true"/>
          <w:lang w:bidi="ar-SA"/>
        </w:rPr>
        <w:t xml:space="preserve">، و صحيحة محمد ابن مسلم، و زاد فيها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يستأمرها كلّ أحد ما عدا الأب</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 و نحوها موثقة الفضل بن عبد الملك </w:t>
      </w:r>
      <w:r>
        <w:rPr>
          <w:rStyle w:val="FootnoteAnchor"/>
          <w:rtl w:val="true"/>
        </w:rPr>
        <w:footnoteReference w:id="472"/>
      </w:r>
      <w:r>
        <w:rPr>
          <w:rFonts w:ascii="Amiri" w:hAnsi="Amiri" w:eastAsia="Amiri" w:cs="Amiri"/>
          <w:color w:val="111111"/>
          <w:sz w:val="28"/>
          <w:sz w:val="28"/>
          <w:szCs w:val="28"/>
          <w:rtl w:val="true"/>
          <w:lang w:bidi="ar-SA"/>
        </w:rPr>
        <w:t xml:space="preserve">و المروي عن البحار عن كتاب الحسين ابن سعيد عن ابن أبي يعفور عن الصادق عليه السلام </w:t>
      </w:r>
      <w:r>
        <w:rPr>
          <w:rStyle w:val="FootnoteAnchor"/>
          <w:rtl w:val="true"/>
        </w:rPr>
        <w:footnoteReference w:id="473"/>
      </w:r>
      <w:r>
        <w:rPr>
          <w:rFonts w:ascii="Amiri" w:hAnsi="Amiri" w:eastAsia="Amiri" w:cs="Amiri"/>
          <w:color w:val="111111"/>
          <w:sz w:val="28"/>
          <w:sz w:val="28"/>
          <w:szCs w:val="28"/>
          <w:rtl w:val="true"/>
          <w:lang w:bidi="ar-SA"/>
        </w:rPr>
        <w:t xml:space="preserve">، و رواية عبيد ابن زرارة </w:t>
      </w:r>
      <w:r>
        <w:rPr>
          <w:rStyle w:val="FootnoteAnchor"/>
          <w:rtl w:val="true"/>
        </w:rPr>
        <w:footnoteReference w:id="474"/>
      </w:r>
      <w:r>
        <w:rPr>
          <w:rFonts w:ascii="Amiri" w:hAnsi="Amiri" w:eastAsia="Amiri" w:cs="Amiri"/>
          <w:color w:val="111111"/>
          <w:sz w:val="28"/>
          <w:sz w:val="28"/>
          <w:szCs w:val="28"/>
          <w:rtl w:val="true"/>
          <w:lang w:bidi="ar-SA"/>
        </w:rPr>
        <w:t xml:space="preserve">، و المروي في الحدائق عن كتاب علي بن جعفر عن أخيه </w:t>
      </w:r>
      <w:r>
        <w:rPr>
          <w:rStyle w:val="FootnoteAnchor"/>
          <w:rtl w:val="true"/>
        </w:rPr>
        <w:footnoteReference w:id="475"/>
      </w:r>
      <w:r>
        <w:rPr>
          <w:rFonts w:ascii="Amiri" w:hAnsi="Amiri" w:eastAsia="Amiri" w:cs="Amiri"/>
          <w:color w:val="111111"/>
          <w:sz w:val="28"/>
          <w:sz w:val="28"/>
          <w:szCs w:val="28"/>
          <w:rtl w:val="true"/>
          <w:lang w:bidi="ar-SA"/>
        </w:rPr>
        <w:t xml:space="preserve">و على أنه لا ينقض النكاح إلّا الأب، كما في صحيحة زرارة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و رواية محمد بن مسلم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أنّ الباكرة لا تملك أمرها في النكاح، كمفهوم صحيحة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أملك بنفسها، تولّي أمرها من شاءت إذا كان كفوا بعد أن تكون قد نكحت رجلا قبله</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و نحوه مفهوم صحيحة عبد اللّٰه ابن سنان </w:t>
      </w:r>
      <w:r>
        <w:rPr>
          <w:rStyle w:val="FootnoteAnchor"/>
          <w:rtl w:val="true"/>
        </w:rPr>
        <w:footnoteReference w:id="479"/>
      </w:r>
      <w:r>
        <w:rPr>
          <w:rFonts w:ascii="Amiri" w:hAnsi="Amiri" w:eastAsia="Amiri" w:cs="Amiri"/>
          <w:color w:val="111111"/>
          <w:sz w:val="28"/>
          <w:sz w:val="28"/>
          <w:szCs w:val="28"/>
          <w:rtl w:val="true"/>
          <w:lang w:bidi="ar-SA"/>
        </w:rPr>
        <w:t xml:space="preserve">، و رواية ابن مسكان عن الحسن بن زياد </w:t>
      </w:r>
      <w:r>
        <w:rPr>
          <w:rStyle w:val="FootnoteAnchor"/>
          <w:rtl w:val="true"/>
        </w:rPr>
        <w:footnoteReference w:id="480"/>
      </w:r>
      <w:r>
        <w:rPr>
          <w:rFonts w:ascii="Amiri" w:hAnsi="Amiri" w:eastAsia="Amiri" w:cs="Amiri"/>
          <w:color w:val="111111"/>
          <w:sz w:val="28"/>
          <w:sz w:val="28"/>
          <w:szCs w:val="28"/>
          <w:rtl w:val="true"/>
          <w:lang w:bidi="ar-SA"/>
        </w:rPr>
        <w:t xml:space="preserve">، و موثقة عبد الرحمن </w:t>
      </w:r>
      <w:r>
        <w:rPr>
          <w:rStyle w:val="FootnoteAnchor"/>
          <w:rtl w:val="true"/>
        </w:rPr>
        <w:footnoteReference w:id="481"/>
      </w:r>
      <w:r>
        <w:rPr>
          <w:rFonts w:ascii="Amiri" w:hAnsi="Amiri" w:eastAsia="Amiri" w:cs="Amiri"/>
          <w:color w:val="111111"/>
          <w:sz w:val="28"/>
          <w:sz w:val="28"/>
          <w:szCs w:val="28"/>
          <w:rtl w:val="true"/>
          <w:lang w:bidi="ar-SA"/>
        </w:rPr>
        <w:t xml:space="preserve">لو لا القاسم بن عروة، و مرسلة ابن بكير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أنّ تزويج الأب على ابنته </w:t>
      </w:r>
      <w:r>
        <w:rPr>
          <w:rStyle w:val="FootnoteAnchor"/>
          <w:rtl w:val="true"/>
        </w:rPr>
        <w:footnoteReference w:id="483"/>
      </w:r>
      <w:r>
        <w:rPr>
          <w:rFonts w:ascii="Amiri" w:hAnsi="Amiri" w:eastAsia="Amiri" w:cs="Amiri"/>
          <w:color w:val="111111"/>
          <w:sz w:val="28"/>
          <w:sz w:val="28"/>
          <w:szCs w:val="28"/>
          <w:rtl w:val="true"/>
          <w:lang w:bidi="ar-SA"/>
        </w:rPr>
        <w:t xml:space="preserve">جائز كما في موثقة عبيد بن زرارة </w:t>
      </w:r>
      <w:r>
        <w:rPr>
          <w:rStyle w:val="FootnoteAnchor"/>
          <w:rtl w:val="true"/>
        </w:rPr>
        <w:footnoteReference w:id="484"/>
      </w:r>
      <w:r>
        <w:rPr>
          <w:rFonts w:ascii="Amiri" w:hAnsi="Amiri" w:eastAsia="Amiri" w:cs="Amiri"/>
          <w:color w:val="111111"/>
          <w:sz w:val="28"/>
          <w:sz w:val="28"/>
          <w:szCs w:val="28"/>
          <w:rtl w:val="true"/>
          <w:lang w:bidi="ar-SA"/>
        </w:rPr>
        <w:t xml:space="preserve">، و هي عامّة للبالغة و الصغيرة و نحوها، بل أظهر منها في البالغة 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الرجل ابنه فذاك إلى ابنه، و إذا زوّج ابنته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أبان </w:t>
      </w:r>
      <w:r>
        <w:rPr>
          <w:rStyle w:val="FootnoteAnchor"/>
          <w:rtl w:val="true"/>
        </w:rPr>
        <w:footnoteReference w:id="485"/>
      </w:r>
      <w:r>
        <w:rPr>
          <w:rFonts w:ascii="Amiri" w:hAnsi="Amiri" w:eastAsia="Amiri" w:cs="Amiri"/>
          <w:color w:val="111111"/>
          <w:sz w:val="28"/>
          <w:sz w:val="28"/>
          <w:szCs w:val="28"/>
          <w:rtl w:val="true"/>
          <w:lang w:bidi="ar-SA"/>
        </w:rPr>
        <w:t xml:space="preserve">و موثقة الفضل بن عبد الملك بأبان </w:t>
      </w:r>
      <w:r>
        <w:rPr>
          <w:rStyle w:val="FootnoteAnchor"/>
          <w:rtl w:val="true"/>
        </w:rPr>
        <w:footnoteReference w:id="486"/>
      </w:r>
      <w:r>
        <w:rPr>
          <w:rFonts w:ascii="Amiri" w:hAnsi="Amiri" w:eastAsia="Amiri" w:cs="Amiri"/>
          <w:color w:val="111111"/>
          <w:sz w:val="28"/>
          <w:sz w:val="28"/>
          <w:szCs w:val="28"/>
          <w:rtl w:val="true"/>
          <w:lang w:bidi="ar-SA"/>
        </w:rPr>
        <w:t>فإنّ حمل الابن على البالغ بقرينة ما مرّ سابقا من أنّه لا خيار للابن الصغير بعد البلوغ إذا زوّجه أبوه في صغره، قرينة على أنّ المراد بالابنة البالغة أيضا، لئلّا يلزم</w:t>
      </w:r>
    </w:p>
    <w:p>
      <w:pPr>
        <w:pStyle w:val="BookText"/>
        <w:rPr/>
      </w:pPr>
      <w:r>
        <w:rPr>
          <w:rFonts w:ascii="Amiri" w:hAnsi="Amiri" w:eastAsia="Amiri" w:cs="Amiri"/>
          <w:color w:val="111111"/>
          <w:sz w:val="28"/>
          <w:sz w:val="28"/>
          <w:szCs w:val="28"/>
          <w:rtl w:val="true"/>
          <w:lang w:bidi="ar-SA"/>
        </w:rPr>
        <w:t>التفكيك، و حيث ثبت استقلال الثيبة في أمرها تعيّن إرادة الباكرة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أنّه لا يجوز تزويج الباكرة بغير علم أبيها، كما في رواية سعد بن إسماعيل عن أبيه عن الرضا عليه السلام، المرويّة في التهذيب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أنّ الجارية البكر </w:t>
      </w:r>
      <w:r>
        <w:rPr>
          <w:rStyle w:val="FootnoteAnchor"/>
          <w:rtl w:val="true"/>
        </w:rPr>
        <w:footnoteReference w:id="488"/>
      </w:r>
      <w:r>
        <w:rPr>
          <w:rFonts w:ascii="Amiri" w:hAnsi="Amiri" w:eastAsia="Amiri" w:cs="Amiri"/>
          <w:color w:val="111111"/>
          <w:sz w:val="28"/>
          <w:sz w:val="28"/>
          <w:szCs w:val="28"/>
          <w:rtl w:val="true"/>
          <w:lang w:bidi="ar-SA"/>
        </w:rPr>
        <w:t>التي لها أب لا تتزوّج إلّا بإذن أبيها، كما في رواية أبي مريم المرويّة في الكافي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البكر التي لها أب لا تتزوّج إلّا بإذن أبيها،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مالكة لأمرها تزوّجت متى شاءت</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امرأة نكحت بغير إذن وليّها </w:t>
      </w:r>
      <w:r>
        <w:rPr>
          <w:rStyle w:val="FootnoteAnchor"/>
          <w:rtl w:val="true"/>
        </w:rPr>
        <w:footnoteReference w:id="490"/>
      </w:r>
      <w:r>
        <w:rPr>
          <w:rFonts w:ascii="Amiri" w:hAnsi="Amiri" w:eastAsia="Amiri" w:cs="Amiri"/>
          <w:color w:val="111111"/>
          <w:sz w:val="28"/>
          <w:sz w:val="28"/>
          <w:szCs w:val="28"/>
          <w:rtl w:val="true"/>
          <w:lang w:bidi="ar-SA"/>
        </w:rPr>
        <w:t>فنكاحها 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النبوي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أنّ التمتّع بالبكر لا يجوز بدون إذن الأب </w:t>
      </w:r>
      <w:r>
        <w:rPr>
          <w:rStyle w:val="FootnoteAnchor"/>
          <w:rtl w:val="true"/>
        </w:rPr>
        <w:footnoteReference w:id="492"/>
      </w:r>
      <w:r>
        <w:rPr>
          <w:rFonts w:ascii="Amiri" w:hAnsi="Amiri" w:eastAsia="Amiri" w:cs="Amiri"/>
          <w:color w:val="111111"/>
          <w:sz w:val="28"/>
          <w:sz w:val="28"/>
          <w:szCs w:val="28"/>
          <w:rtl w:val="true"/>
          <w:lang w:bidi="ar-SA"/>
        </w:rPr>
        <w:t>، و بضميمة عدم معروفيّة القائل بالمنع في المتعة و الجواز في الدوام يثبت المطلوب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ثلاث و عشرون رواية تدلّ على استمرار ولاية الأب على البالغة الباكرة، 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صحّة سند كثير منها كوضوح دلالة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معارضة بأخبار كثيرة دالّة على استقلال الباكرة، معتضدة أو منجبرة بفتوى الأكثر و 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منصور بن حازم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تستأمر البكر و غيرها و لا تنكح إلّا بأمرها</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المروي في الكافي عن الفضيل بن يسار و محمد بن مسلم و زرارة و بريد بن معاوية،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التي ملكت نفسها غير السفيهة و لا المولّى عليها إنّ تزويجها بغير وليّ جائز</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أنّ المراد بكونها مالكة لنفسها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مالكة لأمورها </w:t>
      </w:r>
      <w:r>
        <w:rPr>
          <w:rStyle w:val="FootnoteAnchor"/>
          <w:rtl w:val="true"/>
        </w:rPr>
        <w:footnoteReference w:id="496"/>
      </w:r>
      <w:r>
        <w:rPr>
          <w:rFonts w:ascii="IRNazanin" w:hAnsi="IRNazanin" w:eastAsia="IRNazanin"/>
          <w:color w:val="111111"/>
          <w:sz w:val="28"/>
          <w:sz w:val="28"/>
          <w:szCs w:val="28"/>
          <w:rtl w:val="true"/>
          <w:lang w:bidi="fa-IR"/>
        </w:rPr>
        <w:t xml:space="preserve">و ما به نظام </w:t>
      </w:r>
      <w:r>
        <w:rPr>
          <w:rStyle w:val="FootnoteAnchor"/>
          <w:rtl w:val="true"/>
        </w:rPr>
        <w:footnoteReference w:id="497"/>
      </w:r>
      <w:r>
        <w:rPr>
          <w:rFonts w:ascii="Amiri" w:hAnsi="Amiri" w:eastAsia="Amiri" w:cs="Amiri"/>
          <w:color w:val="111111"/>
          <w:sz w:val="28"/>
          <w:sz w:val="28"/>
          <w:szCs w:val="28"/>
          <w:rtl w:val="true"/>
          <w:lang w:bidi="ar-SA"/>
        </w:rPr>
        <w:t xml:space="preserve">معاشها من المعاوضات و العطيّات و غيرها، كما يدلّ على ذلك تفسير مالكيّة أمرها في رواية زرارة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 و تشتري و تعتق</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فيرجع حاصل ذلك إلى كونها بالغة رشيدة،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السفيهة و لا المولّى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الصغر، تفسيرا لمالكيّة نفسها، فملاك أمرها تارة فسّر في الأخبار بصحّة عقودها و إيقاعاتها، و اخرى باتّصافها بما هو مناط صحّة تلك الأمور، و هي عدم السفاهة و الصغر المعبّر عنهما بالبلوغ و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كونها مالكة لأمرها </w:t>
      </w:r>
      <w:r>
        <w:rPr>
          <w:rStyle w:val="FootnoteAnchor"/>
          <w:rtl w:val="true"/>
        </w:rPr>
        <w:footnoteReference w:id="499"/>
      </w:r>
      <w:r>
        <w:rPr>
          <w:rFonts w:ascii="Amiri" w:hAnsi="Amiri" w:eastAsia="Amiri" w:cs="Amiri"/>
          <w:color w:val="111111"/>
          <w:sz w:val="28"/>
          <w:sz w:val="28"/>
          <w:szCs w:val="28"/>
          <w:rtl w:val="true"/>
          <w:lang w:bidi="ar-SA"/>
        </w:rPr>
        <w:t>حتّى في النكاح فرع عدم كونها مولّى عليها فيه، و لم يثبت ذلك، بل هو عين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ملاك أمرها في النكاح، أو كونها غير مولّى عليها في النكاح، و إلّا لكان المعنى أنّ المرأة المالكة لأمرها حتّى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غير السفيهة و المولّى عليها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نكاحها بغير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لغو صرف؛ ضرورة أنّ أخذ الحكم في الموضوع ممّا يوجب لغوية الحمل، فإنّ الموضوع إذا كانت هي المرأة التي لا يولّى عليها في النكاح و تملك أمرها فيه، فمعنى كونها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تزويجها بغير وليّ، فالحكم عليه بجواز التزويج بغير وليّ لغو صرف، فالمراد ملاك أمرها و عدم كونها مولّى عليها في سائر العقود و الإيقاعات، فدلّت على أنّه إذا زالت الولاية عليها في سائر العقود و الإيقاعات زالت عنها في النكاح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لما ذكرنا من المراد بالصحيحة </w:t>
      </w:r>
      <w:r>
        <w:rPr>
          <w:rStyle w:val="FootnoteAnchor"/>
          <w:rtl w:val="true"/>
        </w:rPr>
        <w:footnoteReference w:id="500"/>
      </w:r>
      <w:r>
        <w:rPr>
          <w:rFonts w:ascii="Amiri" w:hAnsi="Amiri" w:eastAsia="Amiri" w:cs="Amiri"/>
          <w:color w:val="111111"/>
          <w:sz w:val="28"/>
          <w:sz w:val="28"/>
          <w:szCs w:val="28"/>
          <w:rtl w:val="true"/>
          <w:lang w:bidi="ar-SA"/>
        </w:rPr>
        <w:t>رواية زرارة، و فيها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مالكة أمرها تبيع و تشتري، و تعتق، و تعطي مالها من شاءت، فإنّ أمرها جائز، فتزوّج إن شاءت بغير وليّ، و إن لم تكن كذلك فلا يجوز تزويجها إلّا بأمر وليّها</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ما عن شرح النافع لصاحب المدارك، أنّ</w:t>
      </w:r>
    </w:p>
    <w:p>
      <w:pPr>
        <w:pStyle w:val="BookText"/>
        <w:rPr/>
      </w:pP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لها أب، أو كانت 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مالكية الأمر في رواية أبي مريم التي ذكرناها في آخر أخبار ولاية الأب مقابلة للجارية التي لها أب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حسنة الحلبي المتقدّمة </w:t>
      </w:r>
      <w:r>
        <w:rPr>
          <w:rStyle w:val="FootnoteAnchor"/>
          <w:rtl w:val="true"/>
        </w:rPr>
        <w:footnoteReference w:id="504"/>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الثيّب أملك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إرادة خصوص الصغيرة من الجارية التي لها الأب، فيكون المراد بمالكية الأمر المقابلة لها هي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الثيّب أملك بنفسها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به</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هذا المعنى لا يصلح أن يراد هنا؛ إذ يصير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التي ملكت نفسها في النكاح نكاحها بغير وليّ جائز، و قد مرّ أنّه لغو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ريب في أنّ المتبادر في العرف من ملاك النفس ملاك أمورها المتعلقة بنظام المعاش و المعاد حتّى أمر النكاح، لكنّ المقام لا يصلح لأن يراد من مالكية الأمر و النفس ملاكها حتّى في النكاح؛ لما عرفت من لزوم لغوية الحمل، فتعيّن إرادة ملاك سائر الأمور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فحاصل معنى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ملك سائر أموره يجوز أن يتزوّج بغير وليّ، و ملك أمر النكاح أيضا، و أنّه إذا بلغت البنت و رشدت زالت عنها الولاية في جميع أمورها، فظهر أن ليس المراد بملاك نفسها كونها غير</w:t>
      </w:r>
    </w:p>
    <w:p>
      <w:pPr>
        <w:pStyle w:val="BookText"/>
        <w:rPr/>
      </w:pPr>
      <w:r>
        <w:rPr>
          <w:rFonts w:ascii="Amiri" w:hAnsi="Amiri" w:eastAsia="Amiri" w:cs="Amiri"/>
          <w:color w:val="111111"/>
          <w:sz w:val="28"/>
          <w:sz w:val="28"/>
          <w:szCs w:val="28"/>
          <w:rtl w:val="true"/>
          <w:lang w:bidi="ar-SA"/>
        </w:rPr>
        <w:t>ذات الأب، أو كونها ثيّبة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في المسالك أنّ كون </w:t>
      </w:r>
      <w:r>
        <w:rPr>
          <w:rStyle w:val="FootnoteAnchor"/>
          <w:rtl w:val="true"/>
        </w:rPr>
        <w:footnoteReference w:id="506"/>
      </w:r>
      <w:r>
        <w:rPr>
          <w:rFonts w:ascii="Amiri" w:hAnsi="Amiri" w:eastAsia="Amiri" w:cs="Amiri"/>
          <w:color w:val="111111"/>
          <w:sz w:val="28"/>
          <w:sz w:val="28"/>
          <w:szCs w:val="28"/>
          <w:rtl w:val="true"/>
          <w:lang w:bidi="ar-SA"/>
        </w:rPr>
        <w:t xml:space="preserve">المراد بملاك النفس الحرّية </w:t>
      </w:r>
      <w:r>
        <w:rPr>
          <w:rStyle w:val="FootnoteAnchor"/>
          <w:rtl w:val="true"/>
        </w:rPr>
        <w:footnoteReference w:id="507"/>
      </w:r>
      <w:r>
        <w:rPr>
          <w:rFonts w:ascii="Amiri" w:hAnsi="Amiri" w:eastAsia="Amiri" w:cs="Amiri"/>
          <w:color w:val="111111"/>
          <w:sz w:val="28"/>
          <w:sz w:val="28"/>
          <w:szCs w:val="28"/>
          <w:rtl w:val="true"/>
          <w:lang w:bidi="ar-SA"/>
        </w:rPr>
        <w:t>، و عليه فيكون القيدان بعده احترازيّين، و استدلالنا معه أيضا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w:t>
      </w:r>
      <w:r>
        <w:rPr>
          <w:rStyle w:val="FootnoteAnchor"/>
          <w:rtl w:val="true"/>
        </w:rPr>
        <w:footnoteReference w:id="508"/>
      </w:r>
      <w:r>
        <w:rPr>
          <w:rFonts w:ascii="Amiri" w:hAnsi="Amiri" w:eastAsia="Amiri" w:cs="Amiri"/>
          <w:color w:val="111111"/>
          <w:sz w:val="28"/>
          <w:sz w:val="28"/>
          <w:szCs w:val="28"/>
          <w:rtl w:val="true"/>
          <w:lang w:bidi="ar-SA"/>
        </w:rPr>
        <w:t xml:space="preserve">دعوى تقييد إطلاق الصحيحة بإحداهما؛ للأخبار المتقدّمة الدالّة على أنّ الباكرة ذات الأب لا تستقل، كما يمكن دعوى ذلك في كثير من مطلقات أدلّة المشهور، مثل رواية زرارة المتقدّمة </w:t>
      </w:r>
      <w:r>
        <w:rPr>
          <w:rStyle w:val="FootnoteAnchor"/>
          <w:rtl w:val="true"/>
        </w:rPr>
        <w:footnoteReference w:id="509"/>
      </w:r>
      <w:r>
        <w:rPr>
          <w:rFonts w:ascii="Amiri" w:hAnsi="Amiri" w:eastAsia="Amiri" w:cs="Amiri"/>
          <w:color w:val="111111"/>
          <w:sz w:val="28"/>
          <w:sz w:val="28"/>
          <w:szCs w:val="28"/>
          <w:rtl w:val="true"/>
          <w:lang w:bidi="ar-SA"/>
        </w:rPr>
        <w:t xml:space="preserve">في تأييد معنى الصحيحة و غيرها، لكن الأمر يدور بين تقييد الصحيحة و غيرها من أدلّة المشهور بتلك الأخبار، أو حمل ما لا يقبل الحمل على الصغيرة منها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صحيحة ابن الصلت المتقدّمة </w:t>
      </w:r>
      <w:r>
        <w:rPr>
          <w:rStyle w:val="FootnoteAnchor"/>
          <w:rtl w:val="true"/>
        </w:rPr>
        <w:footnoteReference w:id="511"/>
      </w:r>
      <w:r>
        <w:rPr>
          <w:rFonts w:ascii="Amiri" w:hAnsi="Amiri" w:eastAsia="Amiri" w:cs="Amiri"/>
          <w:color w:val="111111"/>
          <w:sz w:val="28"/>
          <w:sz w:val="28"/>
          <w:szCs w:val="28"/>
          <w:rtl w:val="true"/>
          <w:lang w:bidi="ar-SA"/>
        </w:rPr>
        <w:t>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تأكد استحباب وكول الأمر إلى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أنّه ليس لها أمر مع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ينبغي أن تجعل لنفسها أمرا مع الأب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تقييد المطلق و إن سلم كونه أرجح من حمل المقيّد على الاستحباب، إلّا أنّ التقييد هنا مستلزم لطرح أخبار كثيرة، حيث إنّها لا تقبل التقييد بما ذكر و لا بغيره، مثل مرسلة سعدان بن مسلم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بتزويج البكر إذا رضيت من غير إذن أبيها</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روي من أنّ جارية بكرا أتت إلى النبيّ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زوّجني من ابن أخ له ليرفع خسيسته و أنا له كارهة، فقال صلّى اللّٰه عليه و آله و سلّم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أجيزي ما صنع أبوك،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رغبة لي فيما صنع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 فانكحي من شئت،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رغبة لي عمّا صنع أبي و لكنّي أردت أن اعلم الناس أن ليس للآباء في أمور بناتهم شي‌ء</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الأخبار الواردة في جواز تزويج البكر متعة بلا إذن أبويها كمرسلة أبي سعيد </w:t>
      </w:r>
      <w:r>
        <w:rPr>
          <w:rStyle w:val="FootnoteAnchor"/>
          <w:rtl w:val="true"/>
        </w:rPr>
        <w:footnoteReference w:id="514"/>
      </w:r>
      <w:r>
        <w:rPr>
          <w:rFonts w:ascii="Amiri" w:hAnsi="Amiri" w:eastAsia="Amiri" w:cs="Amiri"/>
          <w:color w:val="111111"/>
          <w:sz w:val="28"/>
          <w:sz w:val="28"/>
          <w:szCs w:val="28"/>
          <w:rtl w:val="true"/>
          <w:lang w:bidi="ar-SA"/>
        </w:rPr>
        <w:t xml:space="preserve">، و رواية أخرى </w:t>
      </w:r>
      <w:r>
        <w:rPr>
          <w:rStyle w:val="FootnoteAnchor"/>
          <w:rtl w:val="true"/>
        </w:rPr>
        <w:footnoteReference w:id="515"/>
      </w:r>
      <w:r>
        <w:rPr>
          <w:rFonts w:ascii="Amiri" w:hAnsi="Amiri" w:eastAsia="Amiri" w:cs="Amiri"/>
          <w:color w:val="111111"/>
          <w:sz w:val="28"/>
          <w:sz w:val="28"/>
          <w:szCs w:val="28"/>
          <w:rtl w:val="true"/>
          <w:lang w:bidi="ar-SA"/>
        </w:rPr>
        <w:t xml:space="preserve">، و رواية الحلبي عنه </w:t>
      </w:r>
      <w:r>
        <w:rPr>
          <w:rStyle w:val="FootnoteAnchor"/>
          <w:rtl w:val="true"/>
        </w:rPr>
        <w:footnoteReference w:id="516"/>
      </w:r>
      <w:r>
        <w:rPr>
          <w:rFonts w:ascii="Amiri" w:hAnsi="Amiri" w:eastAsia="Amiri" w:cs="Amiri"/>
          <w:color w:val="111111"/>
          <w:sz w:val="28"/>
          <w:sz w:val="28"/>
          <w:szCs w:val="28"/>
          <w:rtl w:val="true"/>
          <w:lang w:bidi="ar-SA"/>
        </w:rPr>
        <w:t xml:space="preserve">الدالّة على ذلك، المثبتة لجواز التزويج الدائم بعدم القائل بالفصل بينهما، إلّا ما ربما يظهر من الشيخ في التهذيب </w:t>
      </w:r>
      <w:r>
        <w:rPr>
          <w:rStyle w:val="FootnoteAnchor"/>
          <w:rtl w:val="true"/>
        </w:rPr>
        <w:footnoteReference w:id="517"/>
      </w:r>
      <w:r>
        <w:rPr>
          <w:rFonts w:ascii="IRNazanin" w:hAnsi="IRNazanin" w:eastAsia="IRNazanin"/>
          <w:color w:val="111111"/>
          <w:sz w:val="28"/>
          <w:sz w:val="28"/>
          <w:szCs w:val="28"/>
          <w:rtl w:val="true"/>
          <w:lang w:bidi="fa-IR"/>
        </w:rPr>
        <w:t xml:space="preserve">و الاستبصار </w:t>
      </w:r>
      <w:r>
        <w:rPr>
          <w:rStyle w:val="FootnoteAnchor"/>
          <w:rtl w:val="true"/>
        </w:rPr>
        <w:footnoteReference w:id="518"/>
      </w:r>
      <w:r>
        <w:rPr>
          <w:rFonts w:ascii="Amiri" w:hAnsi="Amiri" w:eastAsia="Amiri" w:cs="Amiri"/>
          <w:color w:val="111111"/>
          <w:sz w:val="28"/>
          <w:sz w:val="28"/>
          <w:szCs w:val="28"/>
          <w:rtl w:val="true"/>
          <w:lang w:bidi="ar-SA"/>
        </w:rPr>
        <w:t xml:space="preserve">على ما حكي </w:t>
      </w:r>
      <w:r>
        <w:rPr>
          <w:rStyle w:val="FootnoteAnchor"/>
          <w:rtl w:val="true"/>
        </w:rPr>
        <w:footnoteReference w:id="519"/>
      </w:r>
      <w:r>
        <w:rPr>
          <w:rFonts w:ascii="Amiri" w:hAnsi="Amiri" w:eastAsia="Amiri" w:cs="Amiri"/>
          <w:color w:val="111111"/>
          <w:sz w:val="28"/>
          <w:sz w:val="28"/>
          <w:szCs w:val="28"/>
          <w:rtl w:val="true"/>
          <w:lang w:bidi="ar-SA"/>
        </w:rPr>
        <w:t>عنه من الفرق بينهما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يخفى أنّ ما ذكره </w:t>
      </w:r>
      <w:r>
        <w:rPr>
          <w:rStyle w:val="FootnoteAnchor"/>
          <w:rtl w:val="true"/>
        </w:rPr>
        <w:footnoteReference w:id="520"/>
      </w:r>
      <w:r>
        <w:rPr>
          <w:rFonts w:ascii="Amiri" w:hAnsi="Amiri" w:eastAsia="Amiri" w:cs="Amiri"/>
          <w:color w:val="111111"/>
          <w:sz w:val="28"/>
          <w:sz w:val="28"/>
          <w:szCs w:val="28"/>
          <w:rtl w:val="true"/>
          <w:lang w:bidi="ar-SA"/>
        </w:rPr>
        <w:t>الشيخ في الكتابين لا يعدّ فتوى له، بل هو محض الجمع بين الأخبار المتخالفة، مضافا إلى أنّ الشيخ ذهب في باقي كتبه</w:t>
      </w:r>
    </w:p>
    <w:p>
      <w:pPr>
        <w:pStyle w:val="BookText"/>
        <w:rPr/>
      </w:pPr>
      <w:r>
        <w:rPr>
          <w:rFonts w:ascii="IRNazanin" w:hAnsi="IRNazanin" w:eastAsia="IRNazanin"/>
          <w:color w:val="111111"/>
          <w:sz w:val="28"/>
          <w:sz w:val="28"/>
          <w:szCs w:val="28"/>
          <w:rtl w:val="true"/>
          <w:lang w:bidi="fa-IR"/>
        </w:rPr>
        <w:t xml:space="preserve">إلى عدم الفصل </w:t>
      </w:r>
      <w:r>
        <w:rPr>
          <w:rStyle w:val="FootnoteAnchor"/>
          <w:rtl w:val="true"/>
        </w:rPr>
        <w:footnoteReference w:id="521"/>
      </w:r>
      <w:r>
        <w:rPr>
          <w:rFonts w:ascii="Amiri" w:hAnsi="Amiri" w:eastAsia="Amiri" w:cs="Amiri"/>
          <w:color w:val="111111"/>
          <w:sz w:val="28"/>
          <w:sz w:val="28"/>
          <w:szCs w:val="28"/>
          <w:rtl w:val="true"/>
          <w:lang w:bidi="ar-SA"/>
        </w:rPr>
        <w:t xml:space="preserve">، و لا شكّ أنّ بعضها متأخرة </w:t>
      </w:r>
      <w:r>
        <w:rPr>
          <w:rStyle w:val="FootnoteAnchor"/>
          <w:rtl w:val="true"/>
        </w:rPr>
        <w:footnoteReference w:id="522"/>
      </w:r>
      <w:r>
        <w:rPr>
          <w:rFonts w:ascii="Amiri" w:hAnsi="Amiri" w:eastAsia="Amiri" w:cs="Amiri"/>
          <w:color w:val="111111"/>
          <w:sz w:val="28"/>
          <w:sz w:val="28"/>
          <w:szCs w:val="28"/>
          <w:rtl w:val="true"/>
          <w:lang w:bidi="ar-SA"/>
        </w:rPr>
        <w:t>عن التهذيبين، فقد رجع عن الفصل جزما، فيصحّ دعوى استقرار مذهب الأصحاب على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الشيخ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متأخّر عن جميع كتبه، كما حكي عمّن حكاه عن </w:t>
      </w:r>
      <w:r>
        <w:rPr>
          <w:rStyle w:val="FootnoteAnchor"/>
          <w:rtl w:val="true"/>
        </w:rPr>
        <w:footnoteReference w:id="523"/>
      </w:r>
      <w:r>
        <w:rPr>
          <w:rFonts w:ascii="IRNazanin" w:hAnsi="IRNazanin" w:eastAsia="IRNazanin"/>
          <w:color w:val="111111"/>
          <w:sz w:val="28"/>
          <w:sz w:val="28"/>
          <w:szCs w:val="28"/>
          <w:rtl w:val="true"/>
          <w:lang w:bidi="fa-IR"/>
        </w:rPr>
        <w:t xml:space="preserve">السرائر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وافق المشهور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 أنّ المتّبع هو قول العلماء بعدم الفصل لا عدم قولهم بالفصل، ضعيفة؛ نظرا إلى أنّ الظاهر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اطلعوا على هذه الأخبار المجوّزة في خصوص المتعة و لم يقولوا باختصاص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الإعراض عن الاختصاص و الفصل بين الدائم و المنقطع، مع أنّ المتعة قد تئول إلى 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أهمل ذكر الأجل</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مضافا إلى أنّ التجويز في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فيها من العار على أهل الجارية سيّما أبويها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للتجويز في الدائم بطريق أولى، حيث إنّ العار فيه أهون؛ لأنّ نفس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تمتيع الجارية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غضاضة على بعض أهل المروّة، كما يستفاد من قصّة مؤمن الطاق مع أبي حنيفة </w:t>
      </w:r>
      <w:r>
        <w:rPr>
          <w:rStyle w:val="FootnoteAnchor"/>
          <w:rtl w:val="true"/>
        </w:rPr>
        <w:footnoteReference w:id="527"/>
      </w:r>
      <w:r>
        <w:rPr>
          <w:rFonts w:ascii="Amiri" w:hAnsi="Amiri" w:eastAsia="Amiri" w:cs="Amiri"/>
          <w:color w:val="111111"/>
          <w:sz w:val="28"/>
          <w:sz w:val="28"/>
          <w:szCs w:val="28"/>
          <w:rtl w:val="true"/>
          <w:lang w:bidi="ar-SA"/>
        </w:rPr>
        <w:t xml:space="preserve">، و قصّة أحد الصادقين عليهما السلام مع بعض أهل العامّة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أخبار الجواز في المتعة دالة على الجواز في الدائم</w:t>
      </w:r>
    </w:p>
    <w:p>
      <w:pPr>
        <w:pStyle w:val="BookText"/>
        <w:rPr/>
      </w:pPr>
      <w:r>
        <w:rPr>
          <w:rFonts w:ascii="Amiri" w:hAnsi="Amiri" w:eastAsia="Amiri" w:cs="Amiri"/>
          <w:color w:val="111111"/>
          <w:sz w:val="28"/>
          <w:sz w:val="28"/>
          <w:szCs w:val="28"/>
          <w:rtl w:val="true"/>
          <w:lang w:bidi="ar-SA"/>
        </w:rPr>
        <w:t>بالأولويّة و بعدم القول بالفصل، كما استقرّ عليه مذهب الأصحاب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 هذه الأخبار كالسابقين عليها منجبر بذهاب الأكثر، و عمل مانعي العمل بالآحاد بها كالسيّد و ابن إدريس </w:t>
      </w:r>
      <w:r>
        <w:rPr>
          <w:rStyle w:val="FootnoteAnchor"/>
          <w:rtl w:val="true"/>
        </w:rPr>
        <w:footnoteReference w:id="529"/>
      </w:r>
      <w:r>
        <w:rPr>
          <w:rFonts w:ascii="Amiri" w:hAnsi="Amiri" w:eastAsia="Amiri" w:cs="Amiri"/>
          <w:color w:val="111111"/>
          <w:sz w:val="28"/>
          <w:sz w:val="28"/>
          <w:szCs w:val="28"/>
          <w:rtl w:val="true"/>
          <w:lang w:bidi="ar-SA"/>
        </w:rPr>
        <w:t xml:space="preserve">، و حكاية الإجماع عن السيّد في الانتصار </w:t>
      </w:r>
      <w:r>
        <w:rPr>
          <w:rStyle w:val="FootnoteAnchor"/>
          <w:rtl w:val="true"/>
        </w:rPr>
        <w:footnoteReference w:id="530"/>
      </w:r>
      <w:r>
        <w:rPr>
          <w:rFonts w:ascii="Amiri" w:hAnsi="Amiri" w:eastAsia="Amiri" w:cs="Amiri"/>
          <w:color w:val="111111"/>
          <w:sz w:val="28"/>
          <w:sz w:val="28"/>
          <w:szCs w:val="28"/>
          <w:rtl w:val="true"/>
          <w:lang w:bidi="ar-SA"/>
        </w:rPr>
        <w:t xml:space="preserve">و الناصريات </w:t>
      </w:r>
      <w:r>
        <w:rPr>
          <w:rStyle w:val="FootnoteAnchor"/>
          <w:rtl w:val="true"/>
        </w:rPr>
        <w:footnoteReference w:id="531"/>
      </w:r>
      <w:r>
        <w:rPr>
          <w:rFonts w:ascii="IRNazanin" w:hAnsi="IRNazanin" w:eastAsia="IRNazanin"/>
          <w:color w:val="111111"/>
          <w:sz w:val="28"/>
          <w:sz w:val="28"/>
          <w:szCs w:val="28"/>
          <w:rtl w:val="true"/>
          <w:lang w:bidi="fa-IR"/>
        </w:rPr>
        <w:t xml:space="preserve">على طبقها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الكلام دوران الأمر بين إبقاء إطلاق أخبار استقلال البكر على حالها و حمل أخبار ولاية الأب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فنكون قد عملنا بإطلاقات المعتبرة، و بالصراح المنجبرة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إبقاء أدلّة ولاية الأب على ظاهرها من عدم الاستحباب، مع تقييد إطلاقات المعتبرة من أدلّة استقلال البكر، و طرح الصراح المنجبرة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أنّه لو لم يصح كون الصراح المنجبرة مرجّحا لارتكاب الاستحباب على التقييد، فلا أقلّ من كونه موجبا للتسوية بينهما، فيجب الرجوع إلى قاعدة الصحّة المستفادة من العمومات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ذكرنا ضعف القول باستقلال الأب مطلقا، كما هو محكي عن الشيخ في أكثر كتبه </w:t>
      </w:r>
      <w:r>
        <w:rPr>
          <w:rStyle w:val="FootnoteAnchor"/>
          <w:rtl w:val="true"/>
        </w:rPr>
        <w:footnoteReference w:id="533"/>
      </w:r>
      <w:r>
        <w:rPr>
          <w:rFonts w:ascii="IRNazanin" w:hAnsi="IRNazanin" w:eastAsia="IRNazanin"/>
          <w:color w:val="111111"/>
          <w:sz w:val="28"/>
          <w:sz w:val="28"/>
          <w:szCs w:val="28"/>
          <w:rtl w:val="true"/>
          <w:lang w:bidi="fa-IR"/>
        </w:rPr>
        <w:t xml:space="preserve">و عن الصدوق </w:t>
      </w:r>
      <w:r>
        <w:rPr>
          <w:rStyle w:val="FootnoteAnchor"/>
          <w:rtl w:val="true"/>
        </w:rPr>
        <w:footnoteReference w:id="534"/>
      </w:r>
      <w:r>
        <w:rPr>
          <w:rFonts w:ascii="Amiri" w:hAnsi="Amiri" w:eastAsia="Amiri" w:cs="Amiri"/>
          <w:color w:val="111111"/>
          <w:sz w:val="28"/>
          <w:sz w:val="28"/>
          <w:szCs w:val="28"/>
          <w:rtl w:val="true"/>
          <w:lang w:bidi="ar-SA"/>
        </w:rPr>
        <w:t xml:space="preserve">و العماني </w:t>
      </w:r>
      <w:r>
        <w:rPr>
          <w:rStyle w:val="FootnoteAnchor"/>
          <w:rtl w:val="true"/>
        </w:rPr>
        <w:footnoteReference w:id="535"/>
      </w:r>
      <w:r>
        <w:rPr>
          <w:rFonts w:ascii="IRNazanin" w:hAnsi="IRNazanin" w:eastAsia="IRNazanin"/>
          <w:color w:val="111111"/>
          <w:sz w:val="28"/>
          <w:sz w:val="28"/>
          <w:szCs w:val="28"/>
          <w:rtl w:val="true"/>
          <w:lang w:bidi="fa-IR"/>
        </w:rPr>
        <w:t xml:space="preserve">و ظاهر الفاضل </w:t>
      </w:r>
      <w:r>
        <w:rPr>
          <w:rStyle w:val="FootnoteAnchor"/>
          <w:rtl w:val="true"/>
        </w:rPr>
        <w:footnoteReference w:id="53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جنح إليه كثير من متأخري المتأخّرين كصاحبي المدارك </w:t>
      </w:r>
      <w:r>
        <w:rPr>
          <w:rStyle w:val="FootnoteAnchor"/>
          <w:rtl w:val="true"/>
        </w:rPr>
        <w:footnoteReference w:id="537"/>
      </w:r>
      <w:r>
        <w:rPr>
          <w:rFonts w:ascii="IRNazanin" w:hAnsi="IRNazanin" w:eastAsia="IRNazanin"/>
          <w:color w:val="111111"/>
          <w:sz w:val="28"/>
          <w:sz w:val="28"/>
          <w:szCs w:val="28"/>
          <w:rtl w:val="true"/>
          <w:lang w:bidi="fa-IR"/>
        </w:rPr>
        <w:t xml:space="preserve">و الحدائق </w:t>
      </w:r>
      <w:r>
        <w:rPr>
          <w:rStyle w:val="FootnoteAnchor"/>
          <w:rtl w:val="true"/>
        </w:rPr>
        <w:footnoteReference w:id="538"/>
      </w:r>
      <w:r>
        <w:rPr>
          <w:rFonts w:ascii="Amiri" w:hAnsi="Amiri" w:eastAsia="Amiri" w:cs="Amiri"/>
          <w:color w:val="111111"/>
          <w:sz w:val="28"/>
          <w:sz w:val="28"/>
          <w:szCs w:val="28"/>
          <w:rtl w:val="true"/>
          <w:lang w:bidi="ar-SA"/>
        </w:rPr>
        <w:t xml:space="preserve">و صاحبي الكفاية </w:t>
      </w:r>
      <w:r>
        <w:rPr>
          <w:rStyle w:val="FootnoteAnchor"/>
          <w:rtl w:val="true"/>
        </w:rPr>
        <w:footnoteReference w:id="539"/>
      </w:r>
      <w:r>
        <w:rPr>
          <w:rFonts w:ascii="Amiri" w:hAnsi="Amiri" w:eastAsia="Amiri" w:cs="Amiri"/>
          <w:color w:val="111111"/>
          <w:sz w:val="28"/>
          <w:sz w:val="28"/>
          <w:szCs w:val="28"/>
          <w:rtl w:val="true"/>
          <w:lang w:bidi="ar-SA"/>
        </w:rPr>
        <w:t xml:space="preserve">و الوافي </w:t>
      </w:r>
      <w:r>
        <w:rPr>
          <w:rStyle w:val="FootnoteAnchor"/>
          <w:rtl w:val="true"/>
        </w:rPr>
        <w:footnoteReference w:id="540"/>
      </w:r>
      <w:r>
        <w:rPr>
          <w:rFonts w:ascii="Amiri" w:hAnsi="Amiri" w:eastAsia="Amiri" w:cs="Amiri"/>
          <w:color w:val="111111"/>
          <w:sz w:val="28"/>
          <w:sz w:val="28"/>
          <w:szCs w:val="28"/>
          <w:rtl w:val="true"/>
          <w:lang w:bidi="ar-SA"/>
        </w:rPr>
        <w:t>و إن كثرت أدلّتهم و ظهرت دلالتها إنصافا، إلّا أنّ التتبّع في القرائن الخارجيّة لأدلّة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المعتبر منها غير آب عن التقييد، و الآبي عنه منها غير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يوهن التمسّك بها على كثرتها و ظهور دلالتها، و لذا أعرض عن القول بها أكثر المتقدّمين كابن الجنيد </w:t>
      </w:r>
      <w:r>
        <w:rPr>
          <w:rStyle w:val="FootnoteAnchor"/>
          <w:rtl w:val="true"/>
        </w:rPr>
        <w:footnoteReference w:id="541"/>
      </w:r>
      <w:r>
        <w:rPr>
          <w:rFonts w:ascii="Amiri" w:hAnsi="Amiri" w:eastAsia="Amiri" w:cs="Amiri"/>
          <w:color w:val="111111"/>
          <w:sz w:val="28"/>
          <w:sz w:val="28"/>
          <w:szCs w:val="28"/>
          <w:rtl w:val="true"/>
          <w:lang w:bidi="ar-SA"/>
        </w:rPr>
        <w:t xml:space="preserve">و السيّد </w:t>
      </w:r>
      <w:r>
        <w:rPr>
          <w:rStyle w:val="FootnoteAnchor"/>
          <w:rtl w:val="true"/>
        </w:rPr>
        <w:footnoteReference w:id="542"/>
      </w:r>
      <w:r>
        <w:rPr>
          <w:rFonts w:ascii="Amiri" w:hAnsi="Amiri" w:eastAsia="Amiri" w:cs="Amiri"/>
          <w:color w:val="111111"/>
          <w:sz w:val="28"/>
          <w:sz w:val="28"/>
          <w:szCs w:val="28"/>
          <w:rtl w:val="true"/>
          <w:lang w:bidi="ar-SA"/>
        </w:rPr>
        <w:t xml:space="preserve">و المفيد </w:t>
      </w:r>
      <w:r>
        <w:rPr>
          <w:rStyle w:val="FootnoteAnchor"/>
          <w:rtl w:val="true"/>
        </w:rPr>
        <w:footnoteReference w:id="543"/>
      </w:r>
      <w:r>
        <w:rPr>
          <w:rFonts w:ascii="Amiri" w:hAnsi="Amiri" w:eastAsia="Amiri" w:cs="Amiri"/>
          <w:color w:val="111111"/>
          <w:sz w:val="28"/>
          <w:sz w:val="28"/>
          <w:szCs w:val="28"/>
          <w:rtl w:val="true"/>
          <w:lang w:bidi="ar-SA"/>
        </w:rPr>
        <w:t xml:space="preserve">و الشيخ في التبيان </w:t>
      </w:r>
      <w:r>
        <w:rPr>
          <w:rStyle w:val="FootnoteAnchor"/>
          <w:rtl w:val="true"/>
        </w:rPr>
        <w:footnoteReference w:id="544"/>
      </w:r>
      <w:r>
        <w:rPr>
          <w:rFonts w:ascii="Amiri" w:hAnsi="Amiri" w:eastAsia="Amiri" w:cs="Amiri"/>
          <w:color w:val="111111"/>
          <w:sz w:val="28"/>
          <w:sz w:val="28"/>
          <w:szCs w:val="28"/>
          <w:rtl w:val="true"/>
          <w:lang w:bidi="ar-SA"/>
        </w:rPr>
        <w:t>الذي هو آخر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545"/>
      </w:r>
      <w:r>
        <w:rPr>
          <w:rFonts w:ascii="Amiri" w:hAnsi="Amiri" w:eastAsia="Amiri" w:cs="Amiri"/>
          <w:color w:val="111111"/>
          <w:sz w:val="28"/>
          <w:sz w:val="28"/>
          <w:szCs w:val="28"/>
          <w:rtl w:val="true"/>
          <w:lang w:bidi="ar-SA"/>
        </w:rPr>
        <w:t xml:space="preserve">، و ابن إدريس </w:t>
      </w:r>
      <w:r>
        <w:rPr>
          <w:rStyle w:val="FootnoteAnchor"/>
          <w:rtl w:val="true"/>
        </w:rPr>
        <w:footnoteReference w:id="546"/>
      </w:r>
      <w:r>
        <w:rPr>
          <w:rFonts w:ascii="Amiri" w:hAnsi="Amiri" w:eastAsia="Amiri" w:cs="Amiri"/>
          <w:color w:val="111111"/>
          <w:sz w:val="28"/>
          <w:sz w:val="28"/>
          <w:szCs w:val="28"/>
          <w:rtl w:val="true"/>
          <w:lang w:bidi="ar-SA"/>
        </w:rPr>
        <w:t xml:space="preserve">و معظم المتأخرين كالفاضلين </w:t>
      </w:r>
      <w:r>
        <w:rPr>
          <w:rStyle w:val="FootnoteAnchor"/>
          <w:rtl w:val="true"/>
        </w:rPr>
        <w:footnoteReference w:id="547"/>
      </w:r>
      <w:r>
        <w:rPr>
          <w:rFonts w:ascii="Amiri" w:hAnsi="Amiri" w:eastAsia="Amiri" w:cs="Amiri"/>
          <w:color w:val="111111"/>
          <w:sz w:val="28"/>
          <w:sz w:val="28"/>
          <w:szCs w:val="28"/>
          <w:rtl w:val="true"/>
          <w:lang w:bidi="ar-SA"/>
        </w:rPr>
        <w:t xml:space="preserve">و المحقّق الثاني </w:t>
      </w:r>
      <w:r>
        <w:rPr>
          <w:rStyle w:val="FootnoteAnchor"/>
          <w:rtl w:val="true"/>
        </w:rPr>
        <w:footnoteReference w:id="548"/>
      </w:r>
      <w:r>
        <w:rPr>
          <w:rFonts w:ascii="Amiri" w:hAnsi="Amiri" w:eastAsia="Amiri" w:cs="Amiri"/>
          <w:color w:val="111111"/>
          <w:sz w:val="28"/>
          <w:sz w:val="28"/>
          <w:szCs w:val="28"/>
          <w:rtl w:val="true"/>
          <w:lang w:bidi="ar-SA"/>
        </w:rPr>
        <w:t xml:space="preserve">و الشهيدين </w:t>
      </w:r>
      <w:r>
        <w:rPr>
          <w:rStyle w:val="FootnoteAnchor"/>
          <w:rtl w:val="true"/>
        </w:rPr>
        <w:footnoteReference w:id="549"/>
      </w:r>
      <w:r>
        <w:rPr>
          <w:rFonts w:ascii="Amiri" w:hAnsi="Amiri" w:eastAsia="Amiri" w:cs="Amiri"/>
          <w:color w:val="111111"/>
          <w:sz w:val="28"/>
          <w:sz w:val="28"/>
          <w:szCs w:val="28"/>
          <w:rtl w:val="true"/>
          <w:lang w:bidi="ar-SA"/>
        </w:rPr>
        <w:t>، بل الظاهر هجر القول الأوّل من زمان رجوع الشيخ عنه في التبيان إلى زمان 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أيضا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استقرار مذهب الفقهاء الإماميّة على عدم القول بالفصل بين المتعة و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ما ذكره الشيخ في التهذيبين </w:t>
      </w:r>
      <w:r>
        <w:rPr>
          <w:rStyle w:val="FootnoteAnchor"/>
          <w:rtl w:val="true"/>
        </w:rPr>
        <w:footnoteReference w:id="550"/>
      </w:r>
      <w:r>
        <w:rPr>
          <w:rFonts w:ascii="Amiri" w:hAnsi="Amiri" w:eastAsia="Amiri" w:cs="Amiri"/>
          <w:color w:val="111111"/>
          <w:sz w:val="28"/>
          <w:sz w:val="28"/>
          <w:szCs w:val="28"/>
          <w:rtl w:val="true"/>
          <w:lang w:bidi="ar-SA"/>
        </w:rPr>
        <w:t>من استقلال البكر في المتعة، و ثبوت الولاية لأبيها في الدوام؛ بناء على كون ذلك فتوى له، لا محض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ظهر أيضا ضعف عكس هذا القول المحكي في الشرائع </w:t>
      </w:r>
      <w:r>
        <w:rPr>
          <w:rStyle w:val="FootnoteAnchor"/>
          <w:rtl w:val="true"/>
        </w:rPr>
        <w:footnoteReference w:id="551"/>
      </w:r>
      <w:r>
        <w:rPr>
          <w:rFonts w:ascii="Amiri" w:hAnsi="Amiri" w:eastAsia="Amiri" w:cs="Amiri"/>
          <w:color w:val="111111"/>
          <w:sz w:val="28"/>
          <w:sz w:val="28"/>
          <w:szCs w:val="28"/>
          <w:rtl w:val="true"/>
          <w:lang w:bidi="ar-SA"/>
        </w:rPr>
        <w:t>و عن الشهيد في النكت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سئل عن قائله فلم يجب </w:t>
      </w:r>
      <w:r>
        <w:rPr>
          <w:rStyle w:val="FootnoteAnchor"/>
          <w:rtl w:val="true"/>
        </w:rPr>
        <w:footnoteReference w:id="552"/>
      </w:r>
      <w:r>
        <w:rPr>
          <w:rFonts w:ascii="Amiri" w:hAnsi="Amiri" w:eastAsia="Amiri" w:cs="Amiri"/>
          <w:color w:val="111111"/>
          <w:sz w:val="28"/>
          <w:sz w:val="28"/>
          <w:szCs w:val="28"/>
          <w:rtl w:val="true"/>
          <w:lang w:bidi="ar-SA"/>
        </w:rPr>
        <w:t xml:space="preserve">، و لا مستند له عدا الجمع بين الأخبار المختلفة المتقدّمة </w:t>
      </w:r>
      <w:r>
        <w:rPr>
          <w:rStyle w:val="FootnoteAnchor"/>
          <w:rtl w:val="true"/>
        </w:rPr>
        <w:footnoteReference w:id="553"/>
      </w:r>
      <w:r>
        <w:rPr>
          <w:rFonts w:ascii="Amiri" w:hAnsi="Amiri" w:eastAsia="Amiri" w:cs="Amiri"/>
          <w:color w:val="111111"/>
          <w:sz w:val="28"/>
          <w:sz w:val="28"/>
          <w:szCs w:val="28"/>
          <w:rtl w:val="true"/>
          <w:lang w:bidi="ar-SA"/>
        </w:rPr>
        <w:t xml:space="preserve">لشهادة </w:t>
      </w:r>
      <w:r>
        <w:rPr>
          <w:rStyle w:val="FootnoteAnchor"/>
          <w:rtl w:val="true"/>
        </w:rPr>
        <w:footnoteReference w:id="554"/>
      </w:r>
      <w:r>
        <w:rPr>
          <w:rFonts w:ascii="Amiri" w:hAnsi="Amiri" w:eastAsia="Amiri" w:cs="Amiri"/>
          <w:color w:val="111111"/>
          <w:sz w:val="28"/>
          <w:sz w:val="28"/>
          <w:szCs w:val="28"/>
          <w:rtl w:val="true"/>
          <w:lang w:bidi="ar-SA"/>
        </w:rPr>
        <w:t>الاعتبار، و رواية أبي مريم عن مولانا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العذراء التي لها أب لا تتزوّج </w:t>
      </w:r>
      <w:r>
        <w:rPr>
          <w:rStyle w:val="FootnoteAnchor"/>
          <w:rtl w:val="true"/>
        </w:rPr>
        <w:footnoteReference w:id="555"/>
      </w:r>
      <w:r>
        <w:rPr>
          <w:rFonts w:ascii="Amiri" w:hAnsi="Amiri" w:eastAsia="Amiri" w:cs="Amiri"/>
          <w:color w:val="111111"/>
          <w:sz w:val="28"/>
          <w:sz w:val="28"/>
          <w:szCs w:val="28"/>
          <w:rtl w:val="true"/>
          <w:lang w:bidi="ar-SA"/>
        </w:rPr>
        <w:t>متعة إلّا بإذن أبيها</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بجعلها مخصّصة لما دلّ على استقلال الباكرة، و قد عرفت ما هو الأظهر في علاج اختلاف تلك الأخبار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القول بالتشريك بين الجارية و أبيها في الإذن، بمعنى عدم جواز عقد أحدهما إلّا مع إذن الآخر، كما هو المحكي </w:t>
      </w:r>
      <w:r>
        <w:rPr>
          <w:rStyle w:val="FootnoteAnchor"/>
          <w:rtl w:val="true"/>
        </w:rPr>
        <w:footnoteReference w:id="557"/>
      </w:r>
      <w:r>
        <w:rPr>
          <w:rFonts w:ascii="Amiri" w:hAnsi="Amiri" w:eastAsia="Amiri" w:cs="Amiri"/>
          <w:color w:val="111111"/>
          <w:sz w:val="28"/>
          <w:sz w:val="28"/>
          <w:szCs w:val="28"/>
          <w:rtl w:val="true"/>
          <w:lang w:bidi="ar-SA"/>
        </w:rPr>
        <w:t xml:space="preserve">عن المفيد </w:t>
      </w:r>
      <w:r>
        <w:rPr>
          <w:rStyle w:val="FootnoteAnchor"/>
          <w:rtl w:val="true"/>
        </w:rPr>
        <w:footnoteReference w:id="558"/>
      </w:r>
      <w:r>
        <w:rPr>
          <w:rFonts w:ascii="Amiri" w:hAnsi="Amiri" w:eastAsia="Amiri" w:cs="Amiri"/>
          <w:color w:val="111111"/>
          <w:sz w:val="28"/>
          <w:sz w:val="28"/>
          <w:szCs w:val="28"/>
          <w:rtl w:val="true"/>
          <w:lang w:bidi="ar-SA"/>
        </w:rPr>
        <w:t xml:space="preserve">و الحلبي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 الحرّ العاملي </w:t>
      </w:r>
      <w:r>
        <w:rPr>
          <w:rStyle w:val="FootnoteAnchor"/>
          <w:rtl w:val="true"/>
        </w:rPr>
        <w:footnoteReference w:id="560"/>
      </w:r>
      <w:r>
        <w:rPr>
          <w:rFonts w:ascii="Amiri" w:hAnsi="Amiri" w:eastAsia="Amiri" w:cs="Amiri"/>
          <w:color w:val="111111"/>
          <w:sz w:val="28"/>
          <w:sz w:val="28"/>
          <w:szCs w:val="28"/>
          <w:rtl w:val="true"/>
          <w:lang w:bidi="ar-SA"/>
        </w:rPr>
        <w:t xml:space="preserve">، فلعلّه للجمع بين ما دلّ على وجوب استئمار الأبكار </w:t>
      </w:r>
      <w:r>
        <w:rPr>
          <w:rStyle w:val="FootnoteAnchor"/>
          <w:rtl w:val="true"/>
        </w:rPr>
        <w:footnoteReference w:id="561"/>
      </w:r>
      <w:r>
        <w:rPr>
          <w:rFonts w:ascii="Amiri" w:hAnsi="Amiri" w:eastAsia="Amiri" w:cs="Amiri"/>
          <w:color w:val="111111"/>
          <w:sz w:val="28"/>
          <w:sz w:val="28"/>
          <w:szCs w:val="28"/>
          <w:rtl w:val="true"/>
          <w:lang w:bidi="ar-SA"/>
        </w:rPr>
        <w:t xml:space="preserve">، و ما دلّ على أنّ ذوات الآباء منهنّ لا تتزوّج إلّا بإذن الآباء </w:t>
      </w:r>
      <w:r>
        <w:rPr>
          <w:rStyle w:val="FootnoteAnchor"/>
          <w:rtl w:val="true"/>
        </w:rPr>
        <w:footnoteReference w:id="562"/>
      </w:r>
      <w:r>
        <w:rPr>
          <w:rFonts w:ascii="Amiri" w:hAnsi="Amiri" w:eastAsia="Amiri" w:cs="Amiri"/>
          <w:color w:val="111111"/>
          <w:sz w:val="28"/>
          <w:sz w:val="28"/>
          <w:szCs w:val="28"/>
          <w:rtl w:val="true"/>
          <w:lang w:bidi="ar-SA"/>
        </w:rPr>
        <w:t xml:space="preserve">، و أنّه لا ينقض النكاح إلّا الأب </w:t>
      </w:r>
      <w:r>
        <w:rPr>
          <w:rStyle w:val="FootnoteAnchor"/>
          <w:rtl w:val="true"/>
        </w:rPr>
        <w:footnoteReference w:id="563"/>
      </w:r>
      <w:r>
        <w:rPr>
          <w:rFonts w:ascii="Amiri" w:hAnsi="Amiri" w:eastAsia="Amiri" w:cs="Amiri"/>
          <w:color w:val="111111"/>
          <w:sz w:val="28"/>
          <w:sz w:val="28"/>
          <w:szCs w:val="28"/>
          <w:rtl w:val="true"/>
          <w:lang w:bidi="ar-SA"/>
        </w:rPr>
        <w:t>، مضافا إلى موثقة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استشار عبد الرحمن موسى بن جعفر عليهما السلام في تزويج ابنته لابن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 يكون ذلك برضاها؛ فإنّ لها في نفسها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استشار خالد بن داود موسى بن جعفر عليهما السلام في تزويج ابنته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 يكون ذلك برضاها، فإنّ لها في نفسها حظا</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حيث عالجنا الأخبار المختلفة بحمل استئذان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565"/>
      </w:r>
      <w:r>
        <w:rPr>
          <w:rFonts w:ascii="Amiri" w:hAnsi="Amiri" w:eastAsia="Amiri" w:cs="Amiri"/>
          <w:color w:val="111111"/>
          <w:sz w:val="28"/>
          <w:sz w:val="28"/>
          <w:szCs w:val="28"/>
          <w:rtl w:val="true"/>
          <w:lang w:bidi="ar-SA"/>
        </w:rPr>
        <w:t>ينبغي لها أن لا تجعل لنفسها أمرا، فلا بدّ من حمل الحظّ و النصيب في هذه الموثقة على ما 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القائلين بالتشريك عدم الفرق بين الأب و الجدّ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يحكى </w:t>
      </w:r>
      <w:r>
        <w:rPr>
          <w:rStyle w:val="FootnoteAnchor"/>
          <w:rtl w:val="true"/>
        </w:rPr>
        <w:footnoteReference w:id="566"/>
      </w:r>
      <w:r>
        <w:rPr>
          <w:rFonts w:ascii="Amiri" w:hAnsi="Amiri" w:eastAsia="Amiri" w:cs="Amiri"/>
          <w:color w:val="111111"/>
          <w:sz w:val="28"/>
          <w:sz w:val="28"/>
          <w:szCs w:val="28"/>
          <w:rtl w:val="true"/>
          <w:lang w:bidi="ar-SA"/>
        </w:rPr>
        <w:t>هنا قول سادس بعدم مدخليّة الجدّ، و التشريك بين الجارية و الأب،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أمتن دليلا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أنّ المستفاد من الأخبار</w:t>
      </w:r>
    </w:p>
    <w:p>
      <w:pPr>
        <w:pStyle w:val="BookText"/>
        <w:rPr/>
      </w:pPr>
      <w:r>
        <w:rPr>
          <w:rFonts w:ascii="Amiri" w:hAnsi="Amiri" w:eastAsia="Amiri" w:cs="Amiri"/>
          <w:color w:val="111111"/>
          <w:sz w:val="28"/>
          <w:sz w:val="28"/>
          <w:szCs w:val="28"/>
          <w:rtl w:val="true"/>
          <w:lang w:bidi="ar-SA"/>
        </w:rPr>
        <w:t xml:space="preserve">أولوية الجدّ على الأب </w:t>
      </w:r>
      <w:r>
        <w:rPr>
          <w:rStyle w:val="FootnoteAnchor"/>
          <w:rtl w:val="true"/>
        </w:rPr>
        <w:footnoteReference w:id="568"/>
      </w:r>
      <w:r>
        <w:rPr>
          <w:rFonts w:ascii="Amiri" w:hAnsi="Amiri" w:eastAsia="Amiri" w:cs="Amiri"/>
          <w:color w:val="111111"/>
          <w:sz w:val="28"/>
          <w:sz w:val="28"/>
          <w:szCs w:val="28"/>
          <w:rtl w:val="true"/>
          <w:lang w:bidi="ar-SA"/>
        </w:rPr>
        <w:t>، فاعتبار إذنه مستلزم لاعتبار إذنه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أحوط الأقوال هو القول الخامس، فلا ينبغي ترك أذن الجارية و وليها خروجا عن مخالفة الأخبار و فتاوى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خلاف ظاهرا في أنّه إذا عضلها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منعها عن التزوّج بالكف‌ء مع طلبها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 إذنه، كما لا يعتبر إذا تعذّر استئذانه أو تعسّر لغيبة منقطعة، و يؤيّد عدم الخلاف فيه عمومات نفي الحرج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أنّه لا تسقط ولاية الجدّ حيث تثبت بموت الأب على رأي نسب إلى المشهور </w:t>
      </w:r>
      <w:r>
        <w:rPr>
          <w:rStyle w:val="FootnoteAnchor"/>
          <w:rtl w:val="true"/>
        </w:rPr>
        <w:footnoteReference w:id="570"/>
      </w:r>
      <w:r>
        <w:rPr>
          <w:rFonts w:ascii="Amiri" w:hAnsi="Amiri" w:eastAsia="Amiri" w:cs="Amiri"/>
          <w:color w:val="111111"/>
          <w:sz w:val="28"/>
          <w:sz w:val="28"/>
          <w:szCs w:val="28"/>
          <w:rtl w:val="true"/>
          <w:lang w:bidi="ar-SA"/>
        </w:rPr>
        <w:t xml:space="preserve">للأصل، و عدم ما يصلح للخروج عنه، عدا رواية </w:t>
      </w:r>
      <w:r>
        <w:rPr>
          <w:rStyle w:val="FootnoteAnchor"/>
          <w:rtl w:val="true"/>
        </w:rPr>
        <w:footnoteReference w:id="571"/>
      </w:r>
      <w:r>
        <w:rPr>
          <w:rFonts w:ascii="Amiri" w:hAnsi="Amiri" w:eastAsia="Amiri" w:cs="Amiri"/>
          <w:color w:val="111111"/>
          <w:sz w:val="28"/>
          <w:sz w:val="28"/>
          <w:szCs w:val="28"/>
          <w:rtl w:val="true"/>
          <w:lang w:bidi="ar-SA"/>
        </w:rPr>
        <w:t xml:space="preserve">مرميّة بالضعف </w:t>
      </w:r>
      <w:r>
        <w:rPr>
          <w:rStyle w:val="FootnoteAnchor"/>
          <w:rtl w:val="true"/>
        </w:rPr>
        <w:footnoteReference w:id="572"/>
      </w:r>
      <w:r>
        <w:rPr>
          <w:rFonts w:ascii="Amiri" w:hAnsi="Amiri" w:eastAsia="Amiri" w:cs="Amiri"/>
          <w:color w:val="111111"/>
          <w:sz w:val="28"/>
          <w:sz w:val="28"/>
          <w:szCs w:val="28"/>
          <w:rtl w:val="true"/>
          <w:lang w:bidi="ar-SA"/>
        </w:rPr>
        <w:t xml:space="preserve">و إن عمل بها جماعة </w:t>
      </w:r>
      <w:r>
        <w:rPr>
          <w:rStyle w:val="FootnoteAnchor"/>
          <w:rtl w:val="true"/>
        </w:rPr>
        <w:footnoteReference w:id="573"/>
      </w:r>
      <w:r>
        <w:rPr>
          <w:rFonts w:ascii="Amiri" w:hAnsi="Amiri" w:eastAsia="Amiri" w:cs="Amiri"/>
          <w:color w:val="111111"/>
          <w:sz w:val="28"/>
          <w:sz w:val="28"/>
          <w:szCs w:val="28"/>
          <w:rtl w:val="true"/>
          <w:lang w:bidi="ar-SA"/>
        </w:rPr>
        <w:t xml:space="preserve">مخالفة للاعتبار، و لما يستفاد من الأخبار من أولوية الجدّ من الأب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تزول ولاية الأبوّة على الجارية المسلمة، و في معناها الجدودة بالارتداد لقوله تعالى</w:t>
      </w:r>
      <w:bookmarkStart w:id="64" w:name="pg19718_239018"/>
    </w:p>
    <w:p>
      <w:pPr>
        <w:pStyle w:val="BookText"/>
        <w:rPr/>
      </w:pPr>
      <w:bookmarkEnd w:id="64"/>
      <w:r>
        <w:rPr>
          <w:rFonts w:ascii="Amiri" w:hAnsi="Amiri" w:eastAsia="Amiri" w:cs="Amiri"/>
          <w:color w:val="111111"/>
          <w:sz w:val="28"/>
          <w:sz w:val="28"/>
          <w:szCs w:val="28"/>
          <w:rtl w:val="true"/>
          <w:lang w:bidi="ar-SA"/>
        </w:rPr>
        <w:t xml:space="preserve">وَ لَنْ يَجْعَلَ اللّٰهُ لِلْكٰافِرِينَ عَلَى الْمُؤْمِنِينَ سَبِيلًا </w:t>
      </w:r>
      <w:r>
        <w:rPr>
          <w:rStyle w:val="FootnoteAnchor"/>
          <w:rtl w:val="true"/>
        </w:rPr>
        <w:footnoteReference w:id="575"/>
      </w:r>
      <w:r>
        <w:rPr>
          <w:rFonts w:ascii="Amiri" w:hAnsi="Amiri" w:eastAsia="Amiri" w:cs="Amiri"/>
          <w:color w:val="111111"/>
          <w:sz w:val="28"/>
          <w:sz w:val="28"/>
          <w:szCs w:val="28"/>
          <w:rtl w:val="true"/>
          <w:lang w:bidi="ar-SA"/>
        </w:rPr>
        <w:t>، و الولاية سبيل،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إذا كان المولّى عليه مسلما، و أمّا لو </w:t>
      </w:r>
      <w:r>
        <w:rPr>
          <w:rStyle w:val="FootnoteAnchor"/>
          <w:rtl w:val="true"/>
        </w:rPr>
        <w:footnoteReference w:id="578"/>
      </w:r>
      <w:r>
        <w:rPr>
          <w:rFonts w:ascii="Amiri" w:hAnsi="Amiri" w:eastAsia="Amiri" w:cs="Amiri"/>
          <w:color w:val="111111"/>
          <w:sz w:val="28"/>
          <w:sz w:val="28"/>
          <w:szCs w:val="28"/>
          <w:rtl w:val="true"/>
          <w:lang w:bidi="ar-SA"/>
        </w:rPr>
        <w:t xml:space="preserve">كان كافرا فمقتضى عموم أدلّة ولاية الأبوين </w:t>
      </w:r>
      <w:r>
        <w:rPr>
          <w:rStyle w:val="FootnoteAnchor"/>
          <w:rtl w:val="true"/>
        </w:rPr>
        <w:footnoteReference w:id="579"/>
      </w:r>
      <w:r>
        <w:rPr>
          <w:rFonts w:ascii="Amiri" w:hAnsi="Amiri" w:eastAsia="Amiri" w:cs="Amiri"/>
          <w:color w:val="111111"/>
          <w:sz w:val="28"/>
          <w:sz w:val="28"/>
          <w:szCs w:val="28"/>
          <w:rtl w:val="true"/>
          <w:lang w:bidi="ar-SA"/>
        </w:rPr>
        <w:t xml:space="preserve">ولايته </w:t>
      </w:r>
      <w:r>
        <w:rPr>
          <w:rStyle w:val="FootnoteAnchor"/>
          <w:rtl w:val="true"/>
        </w:rPr>
        <w:footnoteReference w:id="580"/>
      </w:r>
      <w:r>
        <w:rPr>
          <w:rFonts w:ascii="Amiri" w:hAnsi="Amiri" w:eastAsia="Amiri" w:cs="Amiri"/>
          <w:color w:val="111111"/>
          <w:sz w:val="28"/>
          <w:sz w:val="28"/>
          <w:szCs w:val="28"/>
          <w:rtl w:val="true"/>
          <w:lang w:bidi="ar-SA"/>
        </w:rPr>
        <w:t xml:space="preserve">، إلّا أنّه حكي </w:t>
      </w:r>
      <w:r>
        <w:rPr>
          <w:rStyle w:val="FootnoteAnchor"/>
          <w:rtl w:val="true"/>
        </w:rPr>
        <w:footnoteReference w:id="581"/>
      </w:r>
      <w:r>
        <w:rPr>
          <w:rFonts w:ascii="Amiri" w:hAnsi="Amiri" w:eastAsia="Amiri" w:cs="Amiri"/>
          <w:color w:val="111111"/>
          <w:sz w:val="28"/>
          <w:sz w:val="28"/>
          <w:szCs w:val="28"/>
          <w:rtl w:val="true"/>
          <w:lang w:bidi="ar-SA"/>
        </w:rPr>
        <w:t>هنا أيضا القول باشتراط الإسلام، و لم يظهر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أبعد ما بين هذا القول و المحكي عن المبسوط من أنّ ولي الكافر لا يكون إلّا كافرا، حتّى أنّه لو كان له وليّان أحدهما مسلم فالولاية للآخر؛ تمسّكا بقوله تعالى وَ الَّذِينَ كَفَرُوا بَعْضُهُمْ أَوْلِيٰاءُ بَعْضٍ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غريب، و الاستدلال عجيب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 w:name="__RefHeading___Toc1985760_2314609296"/>
      <w:bookmarkStart w:id="66" w:name="_Toc26"/>
      <w:bookmarkEnd w:id="65"/>
      <w:r>
        <w:rPr>
          <w:rtl w:val="true"/>
        </w:rPr>
        <w:t>[</w:t>
      </w:r>
      <w:r>
        <w:rPr>
          <w:rtl w:val="true"/>
        </w:rPr>
        <w:t>الثاني من أسباب الولاية الإجبارية</w:t>
      </w:r>
      <w:r>
        <w:rPr>
          <w:rtl w:val="true"/>
        </w:rPr>
        <w:t xml:space="preserve">: </w:t>
      </w:r>
      <w:r>
        <w:rPr>
          <w:rtl w:val="true"/>
        </w:rPr>
        <w:t>الملك</w:t>
      </w:r>
      <w:r>
        <w:rPr>
          <w:rtl w:val="true"/>
        </w:rPr>
        <w:t>]</w:t>
      </w:r>
      <w:bookmarkEnd w:id="66"/>
    </w:p>
    <w:p>
      <w:pPr>
        <w:pStyle w:val="BookText"/>
        <w:rPr/>
      </w:pPr>
      <w:r>
        <w:rPr>
          <w:rFonts w:ascii="Amiri" w:hAnsi="Amiri" w:eastAsia="Amiri" w:cs="Amiri"/>
          <w:color w:val="111111"/>
          <w:sz w:val="28"/>
          <w:sz w:val="28"/>
          <w:szCs w:val="28"/>
          <w:rtl w:val="true"/>
          <w:lang w:bidi="ar-SA"/>
        </w:rPr>
        <w:t>الثاني من أسباب الولاية الإجبارية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انّ للمالك إجبار العبد و الأمة المملوكين له على</w:t>
      </w:r>
    </w:p>
    <w:p>
      <w:pPr>
        <w:pStyle w:val="BookText"/>
        <w:rPr/>
      </w:pPr>
      <w:r>
        <w:rPr>
          <w:rFonts w:ascii="Amiri" w:hAnsi="Amiri" w:eastAsia="Amiri" w:cs="Amiri"/>
          <w:color w:val="111111"/>
          <w:sz w:val="28"/>
          <w:sz w:val="28"/>
          <w:szCs w:val="28"/>
          <w:rtl w:val="true"/>
          <w:lang w:bidi="ar-SA"/>
        </w:rPr>
        <w:t xml:space="preserve">النكاح مطلقا و إن كانا كبيرين رشيدين؛ لأنّ الرقيّة سبب مستقل لسلب الاختيار؛ لتسلّط الناس على أموالهم </w:t>
      </w:r>
      <w:r>
        <w:rPr>
          <w:rStyle w:val="FootnoteAnchor"/>
          <w:rtl w:val="true"/>
        </w:rPr>
        <w:footnoteReference w:id="585"/>
      </w:r>
      <w:r>
        <w:rPr>
          <w:rFonts w:ascii="Amiri" w:hAnsi="Amiri" w:eastAsia="Amiri" w:cs="Amiri"/>
          <w:color w:val="111111"/>
          <w:sz w:val="28"/>
          <w:sz w:val="28"/>
          <w:szCs w:val="28"/>
          <w:rtl w:val="true"/>
          <w:lang w:bidi="ar-SA"/>
        </w:rPr>
        <w:t xml:space="preserve">، و لقوله تعالى عَبْداً مَمْلُوكاً لٰا يَقْدِرُ عَلىٰ شَيْ‌ءٍ </w:t>
      </w:r>
      <w:r>
        <w:rPr>
          <w:rStyle w:val="FootnoteAnchor"/>
          <w:rtl w:val="true"/>
        </w:rPr>
        <w:footnoteReference w:id="586"/>
      </w:r>
      <w:r>
        <w:rPr>
          <w:rFonts w:ascii="Amiri" w:hAnsi="Amiri" w:eastAsia="Amiri" w:cs="Amiri"/>
          <w:color w:val="111111"/>
          <w:sz w:val="28"/>
          <w:sz w:val="28"/>
          <w:szCs w:val="28"/>
          <w:rtl w:val="true"/>
          <w:lang w:bidi="ar-SA"/>
        </w:rPr>
        <w:t>، و الامتناع من النكاح و الإنكاح شي‌ء فلا يقدر عليه المملوك، و الظاهر عدم الخلاف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ظهر أنّه لا خيار لهما معه، و أنّه ليس لأحدهما العقد لنفسه أو على نفسه إلّا بإذن المولى إجماعا على الظاهر؛ للأخبار الكثيرة </w:t>
      </w:r>
      <w:r>
        <w:rPr>
          <w:rStyle w:val="FootnoteAnchor"/>
          <w:rtl w:val="true"/>
        </w:rPr>
        <w:footnoteReference w:id="587"/>
      </w:r>
      <w:r>
        <w:rPr>
          <w:rFonts w:ascii="IRNazanin" w:hAnsi="IRNazanin" w:eastAsia="IRNazanin"/>
          <w:color w:val="111111"/>
          <w:sz w:val="28"/>
          <w:sz w:val="28"/>
          <w:szCs w:val="28"/>
          <w:rtl w:val="true"/>
          <w:lang w:bidi="fa-IR"/>
        </w:rPr>
        <w:t xml:space="preserve">فلو </w:t>
      </w:r>
      <w:r>
        <w:rPr>
          <w:rStyle w:val="FootnoteAnchor"/>
          <w:rtl w:val="true"/>
        </w:rPr>
        <w:footnoteReference w:id="588"/>
      </w:r>
      <w:r>
        <w:rPr>
          <w:rFonts w:ascii="Amiri" w:hAnsi="Amiri" w:eastAsia="Amiri" w:cs="Amiri"/>
          <w:color w:val="111111"/>
          <w:sz w:val="28"/>
          <w:sz w:val="28"/>
          <w:szCs w:val="28"/>
          <w:rtl w:val="true"/>
          <w:lang w:bidi="ar-SA"/>
        </w:rPr>
        <w:t>بادر أحدهما إلى العقد بدونه أي بدون الإذن وقف على الإجازة من السيّد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w:t>
      </w:r>
      <w:r>
        <w:rPr>
          <w:rStyle w:val="FootnoteAnchor"/>
          <w:rtl w:val="true"/>
        </w:rPr>
        <w:footnoteReference w:id="589"/>
      </w:r>
      <w:r>
        <w:rPr>
          <w:rFonts w:ascii="Amiri" w:hAnsi="Amiri" w:eastAsia="Amiri" w:cs="Amiri"/>
          <w:color w:val="111111"/>
          <w:sz w:val="28"/>
          <w:sz w:val="28"/>
          <w:szCs w:val="28"/>
          <w:rtl w:val="true"/>
          <w:lang w:bidi="ar-SA"/>
        </w:rPr>
        <w:t>، إمّا مطلقا و لو مع تعقّب الإجازة، أو مع كون الإجازة كالعقد المستأنف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نكاح العبد و يبطل نكاح الأمة </w:t>
      </w:r>
      <w:r>
        <w:rPr>
          <w:rStyle w:val="FootnoteAnchor"/>
          <w:rtl w:val="true"/>
        </w:rPr>
        <w:footnoteReference w:id="590"/>
      </w:r>
      <w:r>
        <w:rPr>
          <w:rFonts w:ascii="IRNazanin" w:hAnsi="IRNazanin" w:eastAsia="IRNazanin"/>
          <w:color w:val="111111"/>
          <w:sz w:val="28"/>
          <w:sz w:val="28"/>
          <w:szCs w:val="28"/>
          <w:rtl w:val="true"/>
          <w:lang w:bidi="fa-IR"/>
        </w:rPr>
        <w:t xml:space="preserve">، و الأقوى </w:t>
      </w:r>
      <w:r>
        <w:rPr>
          <w:rStyle w:val="FootnoteAnchor"/>
          <w:rtl w:val="true"/>
        </w:rPr>
        <w:footnoteReference w:id="591"/>
      </w:r>
      <w:r>
        <w:rPr>
          <w:rFonts w:ascii="Amiri" w:hAnsi="Amiri" w:eastAsia="Amiri" w:cs="Amiri"/>
          <w:color w:val="111111"/>
          <w:sz w:val="28"/>
          <w:sz w:val="28"/>
          <w:szCs w:val="28"/>
          <w:rtl w:val="true"/>
          <w:lang w:bidi="ar-SA"/>
        </w:rPr>
        <w:t xml:space="preserve">الوقوف مطلقا؛ للروايات المستفيضة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لو أذن المولى صحّ العقد و عليه مهر عبده و نفقة</w:t>
      </w:r>
    </w:p>
    <w:p>
      <w:pPr>
        <w:pStyle w:val="BookText"/>
        <w:rPr/>
      </w:pPr>
      <w:r>
        <w:rPr>
          <w:rFonts w:ascii="Amiri" w:hAnsi="Amiri" w:eastAsia="Amiri" w:cs="Amiri"/>
          <w:color w:val="111111"/>
          <w:sz w:val="28"/>
          <w:sz w:val="28"/>
          <w:szCs w:val="28"/>
          <w:rtl w:val="true"/>
          <w:lang w:bidi="ar-SA"/>
        </w:rPr>
        <w:t xml:space="preserve">زوجته على المشهور كما في المسالك، مستدلا عليه بأنّ الإذن في الشي‌ء إذن في لوازمه و توابعه، كما لو أذن له بالإحرام في الحجّ فإنّه إذن في سائر ما يترتّب عليه من الأفعال، و لما كان المهر و النفقة لازمين للنكاح و العبد لا يملك شيئا و كسبه من جملة أموال المولى، كان الإذن فيه موجبا لالتزام ذلك، من غير أن يتقيّد بنوع خاصّ من ماله كباقي ديونه، فيتخيّر بين بذله من ماله و من كسب العبد إن و في به، و إلّا وجب عليه الإكمال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لرواية الحسن بن محبوب عن عليّ بن أبي حمزة عن أبي الحسن عليه السلام، في رجل زوّج مملوكا له من امرأة حرّة على مائة درهم، ثمّ إنّه باعه قبل أن يدخل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يعطيها سيّده من ثمنه نصف ما فرض لها، إنّما هو بمنزلة لو كان استدانه بإذن سيّده</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دلّت على وجوب إعطاء المهر من مال المولى، فيثبت عليه نفقة الزوجة؛ لظهور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رواية الساباطي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أذن لعبده في تزويج امرأة فتزوّجها، ثمّ إنّ العبد أبق، فجاءت امرأة العبد تطلب نفقتها من مولاه،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على مولاه نفقة فقد بانت عصمتها منه، فإنّ إباق العبد بمنزلة طلاق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حيث دلّت على تعليل عدم نفقتها على المولى ببينونة عصمتها،</w:t>
      </w:r>
    </w:p>
    <w:p>
      <w:pPr>
        <w:pStyle w:val="BookText"/>
        <w:rPr/>
      </w:pPr>
      <w:r>
        <w:rPr>
          <w:rFonts w:ascii="Amiri" w:hAnsi="Amiri" w:eastAsia="Amiri" w:cs="Amiri"/>
          <w:color w:val="111111"/>
          <w:sz w:val="28"/>
          <w:sz w:val="28"/>
          <w:szCs w:val="28"/>
          <w:rtl w:val="true"/>
          <w:lang w:bidi="ar-SA"/>
        </w:rPr>
        <w:t xml:space="preserve">و إنّها في حكم المطلّقة، علم من ذلك أنّ مع عدم الإذن </w:t>
      </w:r>
      <w:r>
        <w:rPr>
          <w:rStyle w:val="FootnoteAnchor"/>
          <w:rtl w:val="true"/>
        </w:rPr>
        <w:footnoteReference w:id="596"/>
      </w:r>
      <w:r>
        <w:rPr>
          <w:rFonts w:ascii="Amiri" w:hAnsi="Amiri" w:eastAsia="Amiri" w:cs="Amiri"/>
          <w:color w:val="111111"/>
          <w:sz w:val="28"/>
          <w:sz w:val="28"/>
          <w:szCs w:val="28"/>
          <w:rtl w:val="true"/>
          <w:lang w:bidi="ar-SA"/>
        </w:rPr>
        <w:t xml:space="preserve">و عدم البينونة نفقتها على المولى، خلافا للمحكي </w:t>
      </w:r>
      <w:r>
        <w:rPr>
          <w:rStyle w:val="FootnoteAnchor"/>
          <w:rtl w:val="true"/>
        </w:rPr>
        <w:footnoteReference w:id="597"/>
      </w:r>
      <w:r>
        <w:rPr>
          <w:rFonts w:ascii="Amiri" w:hAnsi="Amiri" w:eastAsia="Amiri" w:cs="Amiri"/>
          <w:color w:val="111111"/>
          <w:sz w:val="28"/>
          <w:sz w:val="28"/>
          <w:szCs w:val="28"/>
          <w:rtl w:val="true"/>
          <w:lang w:bidi="ar-SA"/>
        </w:rPr>
        <w:t xml:space="preserve">عن الشيخ في المبسوط </w:t>
      </w:r>
      <w:r>
        <w:rPr>
          <w:rStyle w:val="FootnoteAnchor"/>
          <w:rtl w:val="true"/>
        </w:rPr>
        <w:footnoteReference w:id="598"/>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599"/>
      </w:r>
      <w:r>
        <w:rPr>
          <w:rFonts w:ascii="Amiri" w:hAnsi="Amiri" w:eastAsia="Amiri" w:cs="Amiri"/>
          <w:color w:val="111111"/>
          <w:sz w:val="28"/>
          <w:sz w:val="28"/>
          <w:szCs w:val="28"/>
          <w:rtl w:val="true"/>
          <w:lang w:bidi="ar-SA"/>
        </w:rPr>
        <w:t xml:space="preserve">و ابن سعيد </w:t>
      </w:r>
      <w:r>
        <w:rPr>
          <w:rStyle w:val="FootnoteAnchor"/>
          <w:rtl w:val="true"/>
        </w:rPr>
        <w:footnoteReference w:id="600"/>
      </w:r>
      <w:r>
        <w:rPr>
          <w:rFonts w:ascii="Amiri" w:hAnsi="Amiri" w:eastAsia="Amiri" w:cs="Amiri"/>
          <w:color w:val="111111"/>
          <w:sz w:val="28"/>
          <w:sz w:val="28"/>
          <w:szCs w:val="28"/>
          <w:rtl w:val="true"/>
          <w:lang w:bidi="ar-SA"/>
        </w:rPr>
        <w:t xml:space="preserve">و كشف اللثام </w:t>
      </w:r>
      <w:r>
        <w:rPr>
          <w:rStyle w:val="FootnoteAnchor"/>
          <w:rtl w:val="true"/>
        </w:rPr>
        <w:footnoteReference w:id="601"/>
      </w:r>
      <w:r>
        <w:rPr>
          <w:rFonts w:ascii="Amiri" w:hAnsi="Amiri" w:eastAsia="Amiri" w:cs="Amiri"/>
          <w:color w:val="111111"/>
          <w:sz w:val="28"/>
          <w:sz w:val="28"/>
          <w:szCs w:val="28"/>
          <w:rtl w:val="true"/>
          <w:lang w:bidi="ar-SA"/>
        </w:rPr>
        <w:t>، فجعلوهما متعلّقين بكسب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w:t>
      </w:r>
      <w:r>
        <w:rPr>
          <w:rStyle w:val="FootnoteAnchor"/>
          <w:rtl w:val="true"/>
        </w:rPr>
        <w:footnoteReference w:id="602"/>
      </w:r>
      <w:r>
        <w:rPr>
          <w:rFonts w:ascii="Amiri" w:hAnsi="Amiri" w:eastAsia="Amiri" w:cs="Amiri"/>
          <w:color w:val="111111"/>
          <w:sz w:val="28"/>
          <w:sz w:val="28"/>
          <w:szCs w:val="28"/>
          <w:rtl w:val="true"/>
          <w:lang w:bidi="ar-SA"/>
        </w:rPr>
        <w:t>الاستدلال عليه عن الكشف بأصالة براءة ذمّة المولى، و الإذن في النكاح لا يستلزم تعلّق لازمة في الذمّة، و إنّما يستلزم الإذن في لازمة، و هو الكسب للمهر و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بعض معاصرينا </w:t>
      </w:r>
      <w:r>
        <w:rPr>
          <w:rStyle w:val="FootnoteAnchor"/>
          <w:rtl w:val="true"/>
        </w:rPr>
        <w:footnoteReference w:id="603"/>
      </w:r>
      <w:r>
        <w:rPr>
          <w:rFonts w:ascii="Amiri" w:hAnsi="Amiri" w:eastAsia="Amiri" w:cs="Amiri"/>
          <w:color w:val="111111"/>
          <w:sz w:val="28"/>
          <w:sz w:val="28"/>
          <w:szCs w:val="28"/>
          <w:rtl w:val="true"/>
          <w:lang w:bidi="ar-SA"/>
        </w:rPr>
        <w:t>بأنّه لا ذمّة للعبد صالحة للاشتغال، و إلّا لكان المهر جميعه فيها، و لم يقل به أحد، كما أنّه ليس في الإذن ما يقتضي اختصاص ذلك بخصوص الكسب من أموال السيّد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المستدلّ لم يقل بتعلّقه بذمّة العبد بحيث يتبع به </w:t>
      </w:r>
      <w:r>
        <w:rPr>
          <w:rStyle w:val="FootnoteAnchor"/>
          <w:rtl w:val="true"/>
        </w:rPr>
        <w:footnoteReference w:id="604"/>
      </w:r>
      <w:r>
        <w:rPr>
          <w:rFonts w:ascii="Amiri" w:hAnsi="Amiri" w:eastAsia="Amiri" w:cs="Amiri"/>
          <w:color w:val="111111"/>
          <w:sz w:val="28"/>
          <w:sz w:val="28"/>
          <w:szCs w:val="28"/>
          <w:rtl w:val="true"/>
          <w:lang w:bidi="ar-SA"/>
        </w:rPr>
        <w:t xml:space="preserve">بعد العتق، بل هو متعلّق به، بمعنى أنّه يجب عليه الكسب </w:t>
      </w:r>
      <w:r>
        <w:rPr>
          <w:rStyle w:val="FootnoteAnchor"/>
          <w:rtl w:val="true"/>
        </w:rPr>
        <w:footnoteReference w:id="605"/>
      </w:r>
      <w:r>
        <w:rPr>
          <w:rFonts w:ascii="Amiri" w:hAnsi="Amiri" w:eastAsia="Amiri" w:cs="Amiri"/>
          <w:color w:val="111111"/>
          <w:sz w:val="28"/>
          <w:sz w:val="28"/>
          <w:szCs w:val="28"/>
          <w:rtl w:val="true"/>
          <w:lang w:bidi="ar-SA"/>
        </w:rPr>
        <w:t>، و على مولاه الإذن فيه حتى يوفي الصداق و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يحتاج الحق المالي إلى أزيد من ذلك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إمّا أن يكون في ذمّة العبد أو في ذمّة المولى، و الأوّل باطل، فتعيّن الثاني، مع أنّ لنا أن نسلّم تعلّقه بذمّة المولى لكن في مال خاصّ من أمواله، و هو كسب العبد، بمعنى أنّه يتعلّق به، و لا سبيل إلى مطالبة أدائه من المولى من مال آخر و إن كان له أداؤه من مال آخر و أخذ كسب العبد لو 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يرد ما ذكره </w:t>
      </w:r>
      <w:r>
        <w:rPr>
          <w:rStyle w:val="FootnoteAnchor"/>
          <w:rtl w:val="true"/>
        </w:rPr>
        <w:footnoteReference w:id="606"/>
      </w:r>
      <w:r>
        <w:rPr>
          <w:rFonts w:ascii="Amiri" w:hAnsi="Amiri" w:eastAsia="Amiri" w:cs="Amiri"/>
          <w:color w:val="111111"/>
          <w:sz w:val="28"/>
          <w:sz w:val="28"/>
          <w:szCs w:val="28"/>
          <w:rtl w:val="true"/>
          <w:lang w:bidi="ar-SA"/>
        </w:rPr>
        <w:t xml:space="preserve">أخيرا من أنّه ليس في الإذن ما يقتضي اختصاص ذلك بخصوص الكسب؛ إذ لا يجبر السيّد على إلزام العبد بالكسب أو على دفع المكسوب، بل المراد أنّه لا تسلّط عليه في إلزامه بالدفع من غير الكسب، فحينئذ صحّ للمستدل أن ليس في الإذن ما يدلّ على التزام المولى لهما </w:t>
      </w:r>
      <w:r>
        <w:rPr>
          <w:rStyle w:val="FootnoteAnchor"/>
          <w:rtl w:val="true"/>
        </w:rPr>
        <w:footnoteReference w:id="607"/>
      </w:r>
      <w:r>
        <w:rPr>
          <w:rFonts w:ascii="Amiri" w:hAnsi="Amiri" w:eastAsia="Amiri" w:cs="Amiri"/>
          <w:color w:val="111111"/>
          <w:sz w:val="28"/>
          <w:sz w:val="28"/>
          <w:szCs w:val="28"/>
          <w:rtl w:val="true"/>
          <w:lang w:bidi="ar-SA"/>
        </w:rPr>
        <w:t>بذمّته، بحيث يكون للمرأة مطالبته بهما من غير الكسب، و لهذا تمسّك بأصل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حكى </w:t>
      </w:r>
      <w:r>
        <w:rPr>
          <w:rStyle w:val="FootnoteAnchor"/>
          <w:rtl w:val="true"/>
        </w:rPr>
        <w:footnoteReference w:id="608"/>
      </w:r>
      <w:r>
        <w:rPr>
          <w:rFonts w:ascii="Amiri" w:hAnsi="Amiri" w:eastAsia="Amiri" w:cs="Amiri"/>
          <w:color w:val="111111"/>
          <w:sz w:val="28"/>
          <w:sz w:val="28"/>
          <w:szCs w:val="28"/>
          <w:rtl w:val="true"/>
          <w:lang w:bidi="ar-SA"/>
        </w:rPr>
        <w:t xml:space="preserve">عن ابن حمزة قول ثالث بالتفصيل بين ما لو كان العبد مكتسبا ففي كسبه، أو غير مكتسب ففي ذمة المولى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إن أراد بغير المكتسب من لا يقدر على الكسب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مهر زوجة العبد، و أمّا الأمة المزوّجة بإذن مولاها </w:t>
      </w:r>
      <w:r>
        <w:rPr>
          <w:rStyle w:val="FootnoteAnchor"/>
          <w:rtl w:val="true"/>
        </w:rPr>
        <w:footnoteReference w:id="610"/>
      </w:r>
      <w:r>
        <w:rPr>
          <w:rFonts w:ascii="Amiri" w:hAnsi="Amiri" w:eastAsia="Amiri" w:cs="Amiri"/>
          <w:color w:val="111111"/>
          <w:sz w:val="28"/>
          <w:sz w:val="28"/>
          <w:szCs w:val="28"/>
          <w:rtl w:val="true"/>
          <w:lang w:bidi="ar-SA"/>
        </w:rPr>
        <w:t>فاتفقوا على أنّ له مهر أمته؛ لأنّه عوض منافعها المستوفاة منها،</w:t>
      </w:r>
    </w:p>
    <w:p>
      <w:pPr>
        <w:pStyle w:val="BookText"/>
        <w:rPr/>
      </w:pPr>
      <w:r>
        <w:rPr>
          <w:rFonts w:ascii="Amiri" w:hAnsi="Amiri" w:eastAsia="Amiri" w:cs="Amiri"/>
          <w:color w:val="111111"/>
          <w:sz w:val="28"/>
          <w:sz w:val="28"/>
          <w:szCs w:val="28"/>
          <w:rtl w:val="true"/>
          <w:lang w:bidi="ar-SA"/>
        </w:rPr>
        <w:t>فهو كاجرة الأمة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كانا أي العبد و الأمة المتناكحان لمالكين، افتقر لزوم العقد أو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إذنهما قبل العقد أو إجازتهما بعده على 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أذن لعبده، فإمّا أن يعيّن الزوجة و المهر كليهما أو يعيّن الزوجة دون المهر، أو يعكس، أو يطلقها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عيّنهما، فمع عدم التخطّي لا إشكال، و مع التخطّي عن المهر يثبت الزائد في ذمّة العبد، يتبعه </w:t>
      </w:r>
      <w:r>
        <w:rPr>
          <w:rStyle w:val="FootnoteAnchor"/>
          <w:rtl w:val="true"/>
        </w:rPr>
        <w:footnoteReference w:id="612"/>
      </w:r>
      <w:r>
        <w:rPr>
          <w:rFonts w:ascii="Amiri" w:hAnsi="Amiri" w:eastAsia="Amiri" w:cs="Amiri"/>
          <w:color w:val="111111"/>
          <w:sz w:val="28"/>
          <w:sz w:val="28"/>
          <w:szCs w:val="28"/>
          <w:rtl w:val="true"/>
          <w:lang w:bidi="ar-SA"/>
        </w:rPr>
        <w:t xml:space="preserve">به بعد العتق، إذ لو لا ذلك لوجب الحكم إمّا بعدم استحقاق </w:t>
      </w:r>
      <w:r>
        <w:rPr>
          <w:rStyle w:val="FootnoteAnchor"/>
          <w:rtl w:val="true"/>
        </w:rPr>
        <w:footnoteReference w:id="613"/>
      </w:r>
      <w:r>
        <w:rPr>
          <w:rFonts w:ascii="Amiri" w:hAnsi="Amiri" w:eastAsia="Amiri" w:cs="Amiri"/>
          <w:color w:val="111111"/>
          <w:sz w:val="28"/>
          <w:sz w:val="28"/>
          <w:szCs w:val="28"/>
          <w:rtl w:val="true"/>
          <w:lang w:bidi="ar-SA"/>
        </w:rPr>
        <w:t>الزوجة للزائد، و إمّا بتعلّقه في ذمّة المولى، و 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 الاستحقاق ثبت بالعقد، و العبد قابل لأن يتعلّق الزائد بذمّته على الوجه المذكور، فلا معنى للحكم </w:t>
      </w:r>
      <w:r>
        <w:rPr>
          <w:rStyle w:val="FootnoteAnchor"/>
          <w:rtl w:val="true"/>
        </w:rPr>
        <w:footnoteReference w:id="614"/>
      </w:r>
      <w:r>
        <w:rPr>
          <w:rFonts w:ascii="Amiri" w:hAnsi="Amiri" w:eastAsia="Amiri" w:cs="Amiri"/>
          <w:color w:val="111111"/>
          <w:sz w:val="28"/>
          <w:sz w:val="28"/>
          <w:szCs w:val="28"/>
          <w:rtl w:val="true"/>
          <w:lang w:bidi="ar-SA"/>
        </w:rPr>
        <w:t>بعدم استحقاق المرأة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العبد لا ذمّة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 المنفي ذلك، منعناه، لم لا يجوز ثبوت مثل هذه الذمّة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من المنفي ذلك، منعناه، لم لا يجوز ثبوت مثل هذه المذمّة له، بمعنى أن يجب عليه حالا أن يؤدّي ذلك إذا عتق، لا </w:t>
      </w:r>
      <w:r>
        <w:rPr>
          <w:rStyle w:val="FootnoteAnchor"/>
          <w:rtl w:val="true"/>
        </w:rPr>
        <w:footnoteReference w:id="615"/>
      </w:r>
      <w:r>
        <w:rPr>
          <w:rFonts w:ascii="Amiri" w:hAnsi="Amiri" w:eastAsia="Amiri" w:cs="Amiri"/>
          <w:color w:val="111111"/>
          <w:sz w:val="28"/>
          <w:sz w:val="28"/>
          <w:szCs w:val="28"/>
          <w:rtl w:val="true"/>
          <w:lang w:bidi="ar-SA"/>
        </w:rPr>
        <w:t>على وجه الوجوب المشروط،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ينافي الاستحقاق المنجّز الذي يقتضيه العقد، و لا بمعنى وجوب أن يؤدي حالا حتّى ينافي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يشكل ذلك بأنّ جعل المهر زائدا على مهر المثل المستلزم لإثبات شي‌ء على نفسه ينافي قوله لٰا يَقْدِرُ عَلىٰ شَيْ‌ءٍ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لذا استشكل في الحكم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ذمّة العبد إن كان قابلا لتعلّق بعض المهر بها لم لا يحكم بتعلّق جميعه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فكيف يتعلّق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هنا إشكالا آخر، و هو أنّ الزوجة إنّما رضيت بمهر مستحقّ يمكن مطالبته، فكيف </w:t>
      </w:r>
      <w:r>
        <w:rPr>
          <w:rStyle w:val="FootnoteAnchor"/>
          <w:rtl w:val="true"/>
        </w:rPr>
        <w:footnoteReference w:id="618"/>
      </w:r>
      <w:r>
        <w:rPr>
          <w:rFonts w:ascii="Amiri" w:hAnsi="Amiri" w:eastAsia="Amiri" w:cs="Amiri"/>
          <w:color w:val="111111"/>
          <w:sz w:val="28"/>
          <w:sz w:val="28"/>
          <w:szCs w:val="28"/>
          <w:rtl w:val="true"/>
          <w:lang w:bidi="ar-SA"/>
        </w:rPr>
        <w:t>يلزمها النكاح و بعض المهر إنّما تستحقّه إذا عتق العبد؟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المناسب للقواعد القول بوقوف النكاح أو الصداق على إجازة المولى، فإن فسخ الصداق </w:t>
      </w:r>
      <w:r>
        <w:rPr>
          <w:rStyle w:val="FootnoteAnchor"/>
          <w:rtl w:val="true"/>
        </w:rPr>
        <w:footnoteReference w:id="619"/>
      </w:r>
      <w:r>
        <w:rPr>
          <w:rFonts w:ascii="Amiri" w:hAnsi="Amiri" w:eastAsia="Amiri" w:cs="Amiri"/>
          <w:color w:val="111111"/>
          <w:sz w:val="28"/>
          <w:sz w:val="28"/>
          <w:szCs w:val="28"/>
          <w:rtl w:val="true"/>
          <w:lang w:bidi="ar-SA"/>
        </w:rPr>
        <w:t xml:space="preserve">رجع إلى مهر المثل، و تتخيّر المرأة </w:t>
      </w:r>
      <w:r>
        <w:rPr>
          <w:rStyle w:val="FootnoteAnchor"/>
          <w:rtl w:val="true"/>
        </w:rPr>
        <w:footnoteReference w:id="62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إشكاله الأوّل فحسن لو لا رواية ابن أبي حمزة المتقدّمة </w:t>
      </w:r>
      <w:r>
        <w:rPr>
          <w:rStyle w:val="FootnoteAnchor"/>
          <w:rtl w:val="true"/>
        </w:rPr>
        <w:footnoteReference w:id="621"/>
      </w:r>
      <w:r>
        <w:rPr>
          <w:rFonts w:ascii="Amiri" w:hAnsi="Amiri" w:eastAsia="Amiri" w:cs="Amiri"/>
          <w:color w:val="111111"/>
          <w:sz w:val="28"/>
          <w:sz w:val="28"/>
          <w:szCs w:val="28"/>
          <w:rtl w:val="true"/>
          <w:lang w:bidi="ar-SA"/>
        </w:rPr>
        <w:t>، نعم، انتفاء الذمّة للعبد موافق للآية الشريفة، و ما ذكره من أنّ القاعدة وقوف النكاح أو الصداق على الإجازة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من تخيير المرأة فهو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ذلك مستند إلى تقصيرها في جهلها بالحكم، كما ذكره في المسالك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إقدامها على النكاح على وجه يستحقّ مطالبة المهر و أنّه لم يسلم له ذلك، لا يوجب التخيير في النكاح؛ فإنّ اختلال خصوصيّة المهر، بل فساده، بل انتفاءه لا يوجب التزلزل في أصل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تعلّقه في ذمّة المولى فلا معنى له بعد قصر الإذن على ما عيّنه، و ليس النكاح بأزيد من المعيّن مهرا كالشراء بأزيد من المعيّن ثمنا حيث إنّه لو تعدّاه يصير موقوفا على إجازة المولى، فإن أجاز صحّ في جميع الثمن بذمّة المولى، و إن ردّ بطل الشراء؛ لتوقّف صحة البيع و الشراء على الثمن، بخلاف النكاح فإنّه لا يتوقف على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التخطّي فيقف العقد </w:t>
      </w:r>
      <w:r>
        <w:rPr>
          <w:rStyle w:val="FootnoteAnchor"/>
          <w:rtl w:val="true"/>
        </w:rPr>
        <w:footnoteReference w:id="623"/>
      </w:r>
      <w:r>
        <w:rPr>
          <w:rFonts w:ascii="Amiri" w:hAnsi="Amiri" w:eastAsia="Amiri" w:cs="Amiri"/>
          <w:color w:val="111111"/>
          <w:sz w:val="28"/>
          <w:sz w:val="28"/>
          <w:szCs w:val="28"/>
          <w:rtl w:val="true"/>
          <w:lang w:bidi="ar-SA"/>
        </w:rPr>
        <w:t>على إجازة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عيّن الزوجة و أطلق المهر كان حكم التخطّي عن الزوجة ما مرّ من الوقوف، و حكم إطلاق المهر انصرافه إلى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بأنّ إطلاق المهر في النكاح كإطلاق الثمن في الشراء في انصراف كلّ منهما إلى عوض المثل و إن كان بينهما فرق من حيث إنّ مع التخطّي في الأوّل يتبع بالزائد بعد العتق، و في الثاني يقف على الإجازة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 بأنّه قياس لا نقول به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مرجعه إلى دعوى </w:t>
      </w:r>
      <w:r>
        <w:rPr>
          <w:rStyle w:val="FootnoteAnchor"/>
          <w:rtl w:val="true"/>
        </w:rPr>
        <w:footnoteReference w:id="625"/>
      </w:r>
      <w:r>
        <w:rPr>
          <w:rFonts w:ascii="Amiri" w:hAnsi="Amiri" w:eastAsia="Amiri" w:cs="Amiri"/>
          <w:color w:val="111111"/>
          <w:sz w:val="28"/>
          <w:sz w:val="28"/>
          <w:szCs w:val="28"/>
          <w:rtl w:val="true"/>
          <w:lang w:bidi="ar-SA"/>
        </w:rPr>
        <w:t>انصراف الإطلاق إلى ذلك، و أين هذا من القياس، بل الحكم متفق في الشراء من هذه الجهة أيضا، إذ لم يرد بانصراف إطلاق الإذن في الشراء إلى الشراء بثمن المثل نصّ، بل هو أيضا لانصراف إطلاق الإذن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عيّن المهر و أطلق الزوجة، كان له العقد بأيّة امرأة كانت حرّة أو أمة، و ضيعة أو شريفة، لكن بذلك المهر المعيّن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ليس له التعدّي و إن كان مهرا لمثل من تزوّجها، فلو تعدّى تعلّق بذمّته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المعيّن مهرا زائدا على مهر مثل التي تزوّجها، فهل يتعلّق الزائد بذمّته؟ أو يثبت جميع المسمّى في ذمّة المولى؟ وجهان، حكى في المسالك </w:t>
      </w:r>
      <w:r>
        <w:rPr>
          <w:rStyle w:val="FootnoteAnchor"/>
          <w:rtl w:val="true"/>
        </w:rPr>
        <w:footnoteReference w:id="626"/>
      </w:r>
      <w:r>
        <w:rPr>
          <w:rFonts w:ascii="Amiri" w:hAnsi="Amiri" w:eastAsia="Amiri" w:cs="Amiri"/>
          <w:color w:val="111111"/>
          <w:sz w:val="28"/>
          <w:sz w:val="28"/>
          <w:szCs w:val="28"/>
          <w:rtl w:val="true"/>
          <w:lang w:bidi="ar-SA"/>
        </w:rPr>
        <w:t xml:space="preserve">الثاني عن التذكرة </w:t>
      </w:r>
      <w:r>
        <w:rPr>
          <w:rStyle w:val="FootnoteAnchor"/>
          <w:rtl w:val="true"/>
        </w:rPr>
        <w:footnoteReference w:id="627"/>
      </w:r>
      <w:r>
        <w:rPr>
          <w:rFonts w:ascii="Amiri" w:hAnsi="Amiri" w:eastAsia="Amiri" w:cs="Amiri"/>
          <w:color w:val="111111"/>
          <w:sz w:val="28"/>
          <w:sz w:val="28"/>
          <w:szCs w:val="28"/>
          <w:rtl w:val="true"/>
          <w:lang w:bidi="ar-SA"/>
        </w:rPr>
        <w:t>، و استشكل فيه، نظرا إلى أنّ التجاوز عن مهر المثل حكمه ثبوته في ذمّة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ذلك ميله إلى الأوّل، و جزم به بعض معاصرينا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إشكال؛ لأنّ ثبوت إلزامه في ذمّة العبد إنّما هو إذا لم يلتزمه الزوج في ضمن إذنه في النكاح، و لا ريب أنّ إذنه لعبده في تزويج من شاء بعشرين دينارا، التزام للعشرين في ذمّته مهرا لأيّة امرأة زوّجها العبد، و بعد ذلك فكيف يثبت في ذمّة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من أنّ إثبات الذمّة</w:t>
      </w:r>
    </w:p>
    <w:p>
      <w:pPr>
        <w:pStyle w:val="BookText"/>
        <w:rPr/>
      </w:pPr>
      <w:r>
        <w:rPr>
          <w:rFonts w:ascii="Amiri" w:hAnsi="Amiri" w:eastAsia="Amiri" w:cs="Amiri"/>
          <w:color w:val="111111"/>
          <w:sz w:val="28"/>
          <w:sz w:val="28"/>
          <w:szCs w:val="28"/>
          <w:rtl w:val="true"/>
          <w:lang w:bidi="ar-SA"/>
        </w:rPr>
        <w:t xml:space="preserve">للعبد و قدرته على اشتغالها بشي‌ء ينافي آية الحجر </w:t>
      </w:r>
      <w:r>
        <w:rPr>
          <w:rStyle w:val="FootnoteAnchor"/>
          <w:rtl w:val="true"/>
        </w:rPr>
        <w:footnoteReference w:id="629"/>
      </w:r>
      <w:r>
        <w:rPr>
          <w:rFonts w:ascii="Amiri" w:hAnsi="Amiri" w:eastAsia="Amiri" w:cs="Amiri"/>
          <w:color w:val="111111"/>
          <w:sz w:val="28"/>
          <w:sz w:val="28"/>
          <w:szCs w:val="28"/>
          <w:rtl w:val="true"/>
          <w:lang w:bidi="ar-SA"/>
        </w:rPr>
        <w:t>، فلا بدّ من الاقتصار في ذلك على الموارد المتّفق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مقدار المهر قرينة على انصراف إذنه في التزويج إلى تزويج امرأة يكون هذا المقدار مهرا لمثلها، ناسب ذلك القول بوقوف النكاح المذكور في المسألة على إجازة المولى؛ لأنّه تعدّى عمّا انصرف إليه إطلاق الإذن بقرينة تعيين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فمحكي التذكرة </w:t>
      </w:r>
      <w:r>
        <w:rPr>
          <w:rStyle w:val="FootnoteAnchor"/>
          <w:rtl w:val="true"/>
        </w:rPr>
        <w:footnoteReference w:id="630"/>
      </w:r>
      <w:r>
        <w:rPr>
          <w:rFonts w:ascii="IRNazanin" w:hAnsi="IRNazanin" w:eastAsia="IRNazanin"/>
          <w:color w:val="111111"/>
          <w:sz w:val="28"/>
          <w:sz w:val="28"/>
          <w:szCs w:val="28"/>
          <w:rtl w:val="true"/>
          <w:lang w:bidi="fa-IR"/>
        </w:rPr>
        <w:t>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أطلقهما، أي الزوجة و المهر، كان له التزويج بمن أراد من النساء؛ عملا بالإطلاق بالنسبة إلى الزوجة إن لم يكن له منصرف و لو بقرينة المقام، و إلّا انصرف إليه كما ينصرف إطلاق المهر إلى مهر المثل فإن اتبع مقتضى الانصراف فهو و إن زاد تبع بالزائد بعد العتق كما مرّ، و إن تعدى عن مقتضى انصراف إطلاق الزوجيّة وقف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لا إشكال ظاهرا في عدم بقاء ولاية المولى المرتدّ عن فطرة على مملوكه؛ لعدم قبول توبته، و وجوب قسمة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مماليكه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يرثه، و أمّا زوال ولاية المولى المرتدّ عن غير فطرة على مملوكه، ففيه إشكال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أعتق العبد المزوّج من حرّة أو أمة و لو كارها لم يكن له الفسخ لأصالة بقاء النكاح، و عدم الدليل على الخيار، خلافا للمحكي عن</w:t>
      </w:r>
    </w:p>
    <w:p>
      <w:pPr>
        <w:pStyle w:val="BookText"/>
        <w:rPr/>
      </w:pPr>
      <w:r>
        <w:rPr>
          <w:rFonts w:ascii="Amiri" w:hAnsi="Amiri" w:eastAsia="Amiri" w:cs="Amiri"/>
          <w:color w:val="111111"/>
          <w:sz w:val="28"/>
          <w:sz w:val="28"/>
          <w:szCs w:val="28"/>
          <w:rtl w:val="true"/>
          <w:lang w:bidi="ar-SA"/>
        </w:rPr>
        <w:t xml:space="preserve">ابن حمزة حيث أثبت له الخيار في صورة ما لو زوّج كرها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يخلو عن قوّة بشرط استمرار الكراهة إلى العتق </w:t>
      </w:r>
      <w:r>
        <w:rPr>
          <w:rStyle w:val="FootnoteAnchor"/>
          <w:rtl w:val="true"/>
        </w:rPr>
        <w:footnoteReference w:id="632"/>
      </w:r>
      <w:r>
        <w:rPr>
          <w:rFonts w:ascii="Amiri" w:hAnsi="Amiri" w:eastAsia="Amiri" w:cs="Amiri"/>
          <w:color w:val="111111"/>
          <w:sz w:val="28"/>
          <w:sz w:val="28"/>
          <w:szCs w:val="28"/>
          <w:rtl w:val="true"/>
          <w:lang w:bidi="ar-SA"/>
        </w:rPr>
        <w:t>، و فيه نظر، نعم يجوز له الطلاق بشرائطه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لا خيار له، فكذا لا خيار لزوجته؛ لما ذكر من عدم الدليل، مضافا إلى روايتي أبي بصير و عليّ بن حنظلة </w:t>
      </w:r>
      <w:r>
        <w:rPr>
          <w:rStyle w:val="FootnoteAnchor"/>
          <w:rtl w:val="true"/>
        </w:rPr>
        <w:footnoteReference w:id="633"/>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رضيت به و هو مملوك فهو أحقّ بأن ترضى به مع الحرّيّة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لو اعتقت الأمة كان لها الفسخ على الفور إن كانت تحت عبد، إجماعا من المسلمين كما في المسالك </w:t>
      </w:r>
      <w:r>
        <w:rPr>
          <w:rStyle w:val="FootnoteAnchor"/>
          <w:rtl w:val="true"/>
        </w:rPr>
        <w:footnoteReference w:id="635"/>
      </w:r>
      <w:r>
        <w:rPr>
          <w:rFonts w:ascii="Amiri" w:hAnsi="Amiri" w:eastAsia="Amiri" w:cs="Amiri"/>
          <w:color w:val="111111"/>
          <w:sz w:val="28"/>
          <w:sz w:val="28"/>
          <w:szCs w:val="28"/>
          <w:rtl w:val="true"/>
          <w:lang w:bidi="ar-SA"/>
        </w:rPr>
        <w:t>، 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حكاه جماعة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إن كانت تحت حرّ على رأي نسبه في المسالك إلى الأكثر </w:t>
      </w:r>
      <w:r>
        <w:rPr>
          <w:rStyle w:val="FootnoteAnchor"/>
          <w:rtl w:val="true"/>
        </w:rPr>
        <w:footnoteReference w:id="637"/>
      </w:r>
      <w:r>
        <w:rPr>
          <w:rFonts w:ascii="Amiri" w:hAnsi="Amiri" w:eastAsia="Amiri" w:cs="Amiri"/>
          <w:color w:val="111111"/>
          <w:sz w:val="28"/>
          <w:sz w:val="28"/>
          <w:szCs w:val="28"/>
          <w:rtl w:val="true"/>
          <w:lang w:bidi="ar-SA"/>
        </w:rPr>
        <w:t>لرواية أبي الصباح عن أبي عبد الهّٰل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أعتقت فأمرها بيدها، فإن شاءت أقامت معه، و إن شاءت فارقته</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أبو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أعتقت الأمة و لها زوج خيّرت إن كانت تحت عبد أو حرّ</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مثلها رواية محمد بن آدم </w:t>
      </w:r>
      <w:r>
        <w:rPr>
          <w:rStyle w:val="FootnoteAnchor"/>
          <w:rtl w:val="true"/>
        </w:rPr>
        <w:footnoteReference w:id="640"/>
      </w:r>
      <w:r>
        <w:rPr>
          <w:rFonts w:ascii="Amiri" w:hAnsi="Amiri" w:eastAsia="Amiri" w:cs="Amiri"/>
          <w:color w:val="111111"/>
          <w:sz w:val="28"/>
          <w:sz w:val="28"/>
          <w:szCs w:val="28"/>
          <w:rtl w:val="true"/>
          <w:lang w:bidi="ar-SA"/>
        </w:rPr>
        <w:t>، و يؤيّدها ما روي من أنّ النبيّ صلّى اللّٰه عليه و آله و سلّم قال لبريرة حين اعتقت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 بضعك فاختاري</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 فرّع الاختيار على ملك البضع، فيستفاد منه التعليل، فيتعدّى منه إلى غير مورده، خلافا لظاهر المحقّق في الشرائع </w:t>
      </w:r>
      <w:r>
        <w:rPr>
          <w:rStyle w:val="FootnoteAnchor"/>
          <w:rtl w:val="true"/>
        </w:rPr>
        <w:footnoteReference w:id="642"/>
      </w:r>
      <w:r>
        <w:rPr>
          <w:rFonts w:ascii="Amiri" w:hAnsi="Amiri" w:eastAsia="Amiri" w:cs="Amiri"/>
          <w:color w:val="111111"/>
          <w:sz w:val="28"/>
          <w:sz w:val="28"/>
          <w:szCs w:val="28"/>
          <w:rtl w:val="true"/>
          <w:lang w:bidi="ar-SA"/>
        </w:rPr>
        <w:t xml:space="preserve">و المحكي عن بعض </w:t>
      </w:r>
      <w:r>
        <w:rPr>
          <w:rStyle w:val="FootnoteAnchor"/>
          <w:rtl w:val="true"/>
        </w:rPr>
        <w:footnoteReference w:id="643"/>
      </w:r>
      <w:r>
        <w:rPr>
          <w:rFonts w:ascii="Amiri" w:hAnsi="Amiri" w:eastAsia="Amiri" w:cs="Amiri"/>
          <w:color w:val="111111"/>
          <w:sz w:val="28"/>
          <w:sz w:val="28"/>
          <w:szCs w:val="28"/>
          <w:rtl w:val="true"/>
          <w:lang w:bidi="ar-SA"/>
        </w:rPr>
        <w:t>، فخصّ الخيار بزوجة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الحكم بالخيار مختصّ بعتق جميع الأمة لا بعضها؛ لأنّه مورد الدليل فيقتصر عليه، و إطلاق الدليل يشمل ما لو وقع العتق قبل الدخول أو بعده، فإن وقع قبله فقبل الفسخ له الدخول، فإن فسخت قبل الدخول سقط المهر؛ لأنّ الفسخ جاء من قبلها، و إن فسخت بعده ثبت المهر، لكنّه للسيّد؛ لأنّ المهر إنّما يستحقّ بالعقد، و هي عند العقد كانت ملكا للمولى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يستثنى من جواز فسخها قبل الدخول صورة واحدة، و هي ما إذا كانت قيمة الجارية ثلث مال المولى، و يملك ثلثا آخر، و زوّج الجارية بثلث</w:t>
      </w:r>
    </w:p>
    <w:p>
      <w:pPr>
        <w:pStyle w:val="BookText"/>
        <w:rPr/>
      </w:pPr>
      <w:r>
        <w:rPr>
          <w:rFonts w:ascii="Amiri" w:hAnsi="Amiri" w:eastAsia="Amiri" w:cs="Amiri"/>
          <w:color w:val="111111"/>
          <w:sz w:val="28"/>
          <w:sz w:val="28"/>
          <w:szCs w:val="28"/>
          <w:rtl w:val="true"/>
          <w:lang w:bidi="ar-SA"/>
        </w:rPr>
        <w:t>آخر، بأن يفرض أنّ جميع ماله ثلاثون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مزوّجة قيمتها عشرة، و مهرها في ذمّة زوجها عشرة، و للمولى أيضا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 </w:t>
      </w:r>
      <w:r>
        <w:rPr>
          <w:rStyle w:val="FootnoteAnchor"/>
          <w:rtl w:val="true"/>
        </w:rPr>
        <w:footnoteReference w:id="644"/>
      </w:r>
      <w:r>
        <w:rPr>
          <w:rFonts w:ascii="Amiri" w:hAnsi="Amiri" w:eastAsia="Amiri" w:cs="Amiri"/>
          <w:color w:val="111111"/>
          <w:sz w:val="28"/>
          <w:sz w:val="28"/>
          <w:szCs w:val="28"/>
          <w:rtl w:val="true"/>
          <w:lang w:bidi="ar-SA"/>
        </w:rPr>
        <w:t>المولى جاريته المذكورة في مرض موته، و قلنا بأنّ العتق من الثلث، فحينئذ لا يجوز للجارية الفسخ قبل دخول الزوج بها؛ لأنّ فسخها قبل الدخول مسقط للمهر، و سقوط المهر موجب لزيادة الجارية المعتقة عن الثلث، و هي موجبة لبطلان عتقها في جزء منها يساوي الزائد على الثلث، و تبعّض عتقها موجب لعدم ثبوت الخيار لها؛ لما عرفت من أنّه موقوف على عتق الجميع، فيلزم من تخيّرها عدم تخيّرها، فليس لها الخيار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المعتقة لو كانت صغيرة أو مجنونة فليس لوليّها خيار الفسخ، بل هو منوط بشهوتها النفسيّة و ميلها القلبي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يظهر من المسالك ظهور الاتّفاق على أنّ هذا الخيار على الفور،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للاقتصار في مخالفة الأصل على المتيقّن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 </w:t>
      </w:r>
      <w:r>
        <w:rPr>
          <w:rStyle w:val="FootnoteAnchor"/>
          <w:rtl w:val="true"/>
        </w:rPr>
        <w:footnoteReference w:id="646"/>
      </w:r>
      <w:r>
        <w:rPr>
          <w:rFonts w:ascii="Amiri" w:hAnsi="Amiri" w:eastAsia="Amiri" w:cs="Amiri"/>
          <w:color w:val="111111"/>
          <w:sz w:val="28"/>
          <w:sz w:val="28"/>
          <w:szCs w:val="28"/>
          <w:rtl w:val="true"/>
          <w:lang w:bidi="ar-SA"/>
        </w:rPr>
        <w:t xml:space="preserve">في الرياض بأنّه بعد ما ثبت الخيار فالأصل بقاؤه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الردّ غير صحيح؛ لأنّه إذا كان مقتضى عموم وجوب الوفاء بالعقود شاملا لجميع الأفراد في جميع الأزمان، و المفروض أنّه لم يخرج بالإجماع إلّا فرد واحد في بعض الأزمنة و هو أوّل أزمنة عتق الأمة و ما في حكمه، بقي الباقي تحت العموم، فلا وجه للاستصحاب،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عموم أدلّة الوفاء ليس فيها دلالة أصلية على عموم الأزمان، حتى يكون أفرادها كلّ فرد في كلّ زمان </w:t>
      </w:r>
      <w:r>
        <w:rPr>
          <w:rStyle w:val="FootnoteAnchor"/>
          <w:rtl w:val="true"/>
        </w:rPr>
        <w:footnoteReference w:id="648"/>
      </w:r>
      <w:r>
        <w:rPr>
          <w:rFonts w:ascii="Amiri" w:hAnsi="Amiri" w:eastAsia="Amiri" w:cs="Amiri"/>
          <w:color w:val="111111"/>
          <w:sz w:val="28"/>
          <w:sz w:val="28"/>
          <w:szCs w:val="28"/>
          <w:rtl w:val="true"/>
          <w:lang w:bidi="ar-SA"/>
        </w:rPr>
        <w:t xml:space="preserve">، بل مدلولها هي الأفراد، و إنّما يجي‌ء عموم الأزمان تبعا، فإذا خرج فرد واحد فلم يلزم في العموم إلّا تخصيص واحد، سواء كان حكم الفرد </w:t>
      </w:r>
      <w:r>
        <w:rPr>
          <w:rStyle w:val="FootnoteAnchor"/>
          <w:rtl w:val="true"/>
        </w:rPr>
        <w:footnoteReference w:id="649"/>
      </w:r>
      <w:r>
        <w:rPr>
          <w:rFonts w:ascii="Amiri" w:hAnsi="Amiri" w:eastAsia="Amiri" w:cs="Amiri"/>
          <w:color w:val="111111"/>
          <w:sz w:val="28"/>
          <w:sz w:val="28"/>
          <w:szCs w:val="28"/>
          <w:rtl w:val="true"/>
          <w:lang w:bidi="ar-SA"/>
        </w:rPr>
        <w:t>ثابتا له في كل الأزمان أم في زمان واحد، و ليس الفرد الخارج في الزمان الثاني فردا آخر حتّى يلزم من خروجه زيادة التخصيص، و حينئذ فإذا شكّ في استمرار حكم الفرد الخارج و ارتفاعه في الزمان الثاني جاز إثباته بحكم الاستصحاب، فافهم و 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فالظاهر أنّه لا خلاف في أنّ مبدأ الخيار من زمان العلم بالعتق، فالجاهلة بعتقها لا يسقط خيارها، و أمّا الجاهلة بالحكم فالظاهر أنّه كذلك، و أنّه لا دخل لتقصيرها في معرفة الحكم في ذلك، بل هذه أحكام لا يعدّ الجهل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من النسوان، سيّما من إمائهنّ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عتقا أي الزوجان معا، تخيّرت الأمة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تقدّم عتق الأمة؛ فللإجماع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تقدّم عتق العبد أو اقترن العتقان بأن يقول مولاهما أو وكيلهما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أعتقتكما، فلما مرّ </w:t>
      </w:r>
      <w:r>
        <w:rPr>
          <w:rStyle w:val="FootnoteAnchor"/>
          <w:rtl w:val="true"/>
        </w:rPr>
        <w:footnoteReference w:id="650"/>
      </w:r>
      <w:r>
        <w:rPr>
          <w:rFonts w:ascii="Amiri" w:hAnsi="Amiri" w:eastAsia="Amiri" w:cs="Amiri"/>
          <w:color w:val="111111"/>
          <w:sz w:val="28"/>
          <w:sz w:val="28"/>
          <w:szCs w:val="28"/>
          <w:rtl w:val="true"/>
          <w:lang w:bidi="ar-SA"/>
        </w:rPr>
        <w:t xml:space="preserve">من عدم الفرق بين كون المعتقة تحت عبد أو حرّ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bookmarkStart w:id="67" w:name="pg19718_239032"/>
    </w:p>
    <w:p>
      <w:pPr>
        <w:pStyle w:val="BookText"/>
        <w:rPr/>
      </w:pPr>
      <w:bookmarkEnd w:id="67"/>
      <w:r>
        <w:rPr>
          <w:rFonts w:ascii="Amiri" w:hAnsi="Amiri" w:eastAsia="Amiri" w:cs="Amiri"/>
          <w:color w:val="111111"/>
          <w:sz w:val="28"/>
          <w:sz w:val="28"/>
          <w:szCs w:val="28"/>
          <w:rtl w:val="true"/>
          <w:lang w:bidi="ar-SA"/>
        </w:rPr>
        <w:t xml:space="preserve">نعم، من فرّق بينهما فلا ينبغي أن يقول بالخيار في غير صورة تقدّم عتق الأمة، فما في الشرائع </w:t>
      </w:r>
      <w:r>
        <w:rPr>
          <w:rStyle w:val="FootnoteAnchor"/>
          <w:rtl w:val="true"/>
        </w:rPr>
        <w:footnoteReference w:id="652"/>
      </w:r>
      <w:r>
        <w:rPr>
          <w:rFonts w:ascii="Amiri" w:hAnsi="Amiri" w:eastAsia="Amiri" w:cs="Amiri"/>
          <w:color w:val="111111"/>
          <w:sz w:val="28"/>
          <w:sz w:val="28"/>
          <w:szCs w:val="28"/>
          <w:rtl w:val="true"/>
          <w:lang w:bidi="ar-SA"/>
        </w:rPr>
        <w:t xml:space="preserve">و عن التحرير </w:t>
      </w:r>
      <w:r>
        <w:rPr>
          <w:rStyle w:val="FootnoteAnchor"/>
          <w:rtl w:val="true"/>
        </w:rPr>
        <w:footnoteReference w:id="653"/>
      </w:r>
      <w:r>
        <w:rPr>
          <w:rFonts w:ascii="Amiri" w:hAnsi="Amiri" w:eastAsia="Amiri" w:cs="Amiri"/>
          <w:color w:val="111111"/>
          <w:sz w:val="28"/>
          <w:sz w:val="28"/>
          <w:szCs w:val="28"/>
          <w:rtl w:val="true"/>
          <w:lang w:bidi="ar-SA"/>
        </w:rPr>
        <w:t xml:space="preserve">من تعميم هذا الحكم لصورتي تقديم عتق الزوج، و اقترانهما مع تخصيص الخيار بما إذا كانت المعتقة تحت عبد، ممّا لا يجتمعان، كما أشار إليه غير واحد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 w:name="__RefHeading___Toc1985762_2314609296"/>
      <w:bookmarkStart w:id="69" w:name="_Toc27"/>
      <w:bookmarkEnd w:id="68"/>
      <w:r>
        <w:rPr>
          <w:rtl w:val="true"/>
        </w:rPr>
        <w:t>[</w:t>
      </w:r>
      <w:r>
        <w:rPr>
          <w:rtl w:val="true"/>
        </w:rPr>
        <w:t>الثالث من أسباب الولاية عند بعض</w:t>
      </w:r>
      <w:r>
        <w:rPr>
          <w:rtl w:val="true"/>
        </w:rPr>
        <w:t xml:space="preserve">: </w:t>
      </w:r>
      <w:r>
        <w:rPr>
          <w:rtl w:val="true"/>
        </w:rPr>
        <w:t>الوصاية</w:t>
      </w:r>
      <w:r>
        <w:rPr>
          <w:rtl w:val="true"/>
        </w:rPr>
        <w:t>]</w:t>
      </w:r>
      <w:bookmarkEnd w:id="69"/>
    </w:p>
    <w:p>
      <w:pPr>
        <w:pStyle w:val="BookText"/>
        <w:rPr/>
      </w:pPr>
      <w:r>
        <w:rPr>
          <w:rFonts w:ascii="Amiri" w:hAnsi="Amiri" w:eastAsia="Amiri" w:cs="Amiri"/>
          <w:color w:val="111111"/>
          <w:sz w:val="28"/>
          <w:sz w:val="28"/>
          <w:szCs w:val="28"/>
          <w:rtl w:val="true"/>
          <w:lang w:bidi="ar-SA"/>
        </w:rPr>
        <w:t>الثالث من أسباب الولاية عند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اختلف الأصحاب في ولاية الوصي من الأب و الجدّ على تزويج الصغير، فالمشهور بين المتأخّرين كما قيل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تثبت ولاية الوصيّ على الصغيرين و إن نصّ الموصي على الإنكاح لأصالتي عدم انتقال الولاية إليه في النكاح، و عدم صحّة العقد مع ردّ الصغير بعد البلوغ، و لا يجدي عموم أَوْفُوا بِالْعُقُودِ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لعموم صحيحة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الصبيّ يزوّج الصبيّة، يتوارثان؟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دلالة الصحيحة ليست بمجرّد مفهوم الشرط حتّى يتأمل فيه، مع أنّ التأمّل ليس في محلّه، بل لأجل استفصال المعصوم عليه السلام لإطلاق كلام</w:t>
      </w:r>
    </w:p>
    <w:p>
      <w:pPr>
        <w:pStyle w:val="BookText"/>
        <w:rPr/>
      </w:pPr>
      <w:r>
        <w:rPr>
          <w:rFonts w:ascii="Amiri" w:hAnsi="Amiri" w:eastAsia="Amiri" w:cs="Amiri"/>
          <w:color w:val="111111"/>
          <w:sz w:val="28"/>
          <w:sz w:val="28"/>
          <w:szCs w:val="28"/>
          <w:rtl w:val="true"/>
          <w:lang w:bidi="ar-SA"/>
        </w:rPr>
        <w:t>السائل، و التفصيل قاطع للشركة، ففي الحقيقة دلالتها بحسب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مثلها صحيحة أبي عبيدة الحذّاء الدالّة على أنّه إذا زوّج الصغير غير الأب وقف التوارث بعد موت أحدهما على بلوغ الباقي و إجازته للنكاح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يؤيّدهما الصحيحة المروية في الكافي عن محمد بن إسماعيل بن بزيع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عن رجل مات و ترك أخوين و بنتا، و البنت صغيرة، فعمد أحد الأخوين الوصيّ فزوّج الابنة من ابنه، ثم مات أبو الابن المزوّج، فلمّا أن مات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لم يزوّج ابنه، فزوّج الجارية من ابنه، فقيل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الزوجين أحبّ إليك، الأوّل أو الآخر؟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ثمّ إنّ الأخ الثاني مات، و للأخ الأوّل ابن أكبر من الابن المزوّج، فقال للجارية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اختاري أيّهما أحبّ إليك، الزوج الأوّل أو الزوج الأخير؟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للزوج الأخير، و ذلك أنّها قد كانت أدركت حين زوّجها، و ليس لها أن تنقض ما عقدته بعد إدراكها</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لجماعة </w:t>
      </w:r>
      <w:r>
        <w:rPr>
          <w:rStyle w:val="FootnoteAnchor"/>
          <w:rtl w:val="true"/>
        </w:rPr>
        <w:footnoteReference w:id="660"/>
      </w:r>
      <w:r>
        <w:rPr>
          <w:rFonts w:ascii="Amiri" w:hAnsi="Amiri" w:eastAsia="Amiri" w:cs="Amiri"/>
          <w:color w:val="111111"/>
          <w:sz w:val="28"/>
          <w:sz w:val="28"/>
          <w:szCs w:val="28"/>
          <w:rtl w:val="true"/>
          <w:lang w:bidi="ar-SA"/>
        </w:rPr>
        <w:t xml:space="preserve">فأثبتوا له الولاية، سواء نصّ الموصي على ولايته في النكاح، أو أطلقها بحيث يشمله؛ تمسّكا بعموم حرمة تبديل الوصيّة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المستلزمة لتحقّق الولاية بتولية الموصي، فإنّ </w:t>
      </w:r>
      <w:r>
        <w:rPr>
          <w:rStyle w:val="FootnoteAnchor"/>
          <w:rtl w:val="true"/>
        </w:rPr>
        <w:footnoteReference w:id="662"/>
      </w:r>
      <w:r>
        <w:rPr>
          <w:rFonts w:ascii="Amiri" w:hAnsi="Amiri" w:eastAsia="Amiri" w:cs="Amiri"/>
          <w:color w:val="111111"/>
          <w:sz w:val="28"/>
          <w:sz w:val="28"/>
          <w:szCs w:val="28"/>
          <w:rtl w:val="true"/>
          <w:lang w:bidi="ar-SA"/>
        </w:rPr>
        <w:t xml:space="preserve">عزل الوصي عن ذلك مع تولية الموصي تبديل لوصيته، و بما ورد مستفيضا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فسّر بالأب، و الأخ، و الرجل يوصى إليه، و الذي يجوز أمره في مال المرأة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 في الرياض عموم آية التبديل بأنّ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الإيصاء للوالدين و الأقربين، المتقدّم ذكرهم في آية الوصيّة، فلا يعم مطلق التبديل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ضعيف؛ للأخبار المستفيضة </w:t>
      </w:r>
      <w:r>
        <w:rPr>
          <w:rStyle w:val="FootnoteAnchor"/>
          <w:rtl w:val="true"/>
        </w:rPr>
        <w:footnoteReference w:id="665"/>
      </w:r>
      <w:r>
        <w:rPr>
          <w:rFonts w:ascii="Amiri" w:hAnsi="Amiri" w:eastAsia="Amiri" w:cs="Amiri"/>
          <w:color w:val="111111"/>
          <w:sz w:val="28"/>
          <w:sz w:val="28"/>
          <w:szCs w:val="28"/>
          <w:rtl w:val="true"/>
          <w:lang w:bidi="ar-SA"/>
        </w:rPr>
        <w:t xml:space="preserve">المشتملة على استدلال المعصوم في أحكام كثيرة من الوصايا بعموم الآية، فلا بدّ من إرجاع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مطلق الإيصاء، و إما إلى خصوص الإيصاء للوالدين و الأقربين، لكن مع إناطة حكم الإثم بأصل تبديل الإيصاء لا خصوص هذا الإيصاء، بأن يجعل المورد خاصّا و المناط عاما، فالإنصاف أنّ الآية ظاهرة في المدّعى و لو بمعونة الأخبار المشتملة على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المفسّرة لمن بيده عقدة النكاح، فلا يخفى ضعف دلالتها؛ لأنّ المراد بمن في يده عقدة النكاح</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يكون هو المستقل في عقدة النكاح، بحيث لا يكون لغيره فيها مدخل، فيختص حينئذ بمن ثبت له بأصل الشرع الولاية القهريّة</w:t>
      </w:r>
    </w:p>
    <w:p>
      <w:pPr>
        <w:pStyle w:val="BookText"/>
        <w:rPr/>
      </w:pPr>
      <w:r>
        <w:rPr>
          <w:rFonts w:ascii="Amiri" w:hAnsi="Amiri" w:eastAsia="Amiri" w:cs="Amiri"/>
          <w:color w:val="111111"/>
          <w:sz w:val="28"/>
          <w:sz w:val="28"/>
          <w:szCs w:val="28"/>
          <w:rtl w:val="true"/>
          <w:lang w:bidi="ar-SA"/>
        </w:rPr>
        <w:t>على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المراد به المستقل فيها و المتولّي عليها، سواء كانت الولاية بأصل الشرع أو بجعل نفس المرأة كالوكيل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الصلة على هذين المعنيين يراد بها مجرد الحكم الوضعي، أعني الولاية الخاصة الإجبارية، أو الأعمّ منها و من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المراد من بيده عقدة النكاح على وجه الأولوية و الأحقيّة الشاملة للوجوبيّة كما في الوليّ الإجباري، و الاستحبابيّة كالأخ و وصيّ الأب و من يتولّى سائر أمور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جملة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يراد بها الحكم التكليفي الرجحاني الراجع إلى المرأة، كما حمل على ذلك سابقا ما ورد في الأخبار من أنّه ليس لها مع الأب أمر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أن يكون المراد به مطلق من أوقع عقد النكاح الذي أزيل بالطلاق قبل الدخول، و من كان هذا النكاح الخاص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أريد بها صرف الإخبار عن النكاح الواقع قبل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التقادير الأربعة، إما أن يراد من المعقود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يعفو عنها من بيده عقدة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الصغيرة، أو خصوص الكبيرة، أو الأعم منهما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التقادير، فإمّا أن يراد من ذكر الأربعة المذكورة في الأخبار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هؤلاء، و إمّا أن يكون ذكر هؤلاء لأجل</w:t>
      </w:r>
    </w:p>
    <w:p>
      <w:pPr>
        <w:pStyle w:val="BookText"/>
        <w:rPr/>
      </w:pPr>
      <w:r>
        <w:rPr>
          <w:rFonts w:ascii="Amiri" w:hAnsi="Amiri" w:eastAsia="Amiri" w:cs="Amiri"/>
          <w:color w:val="111111"/>
          <w:sz w:val="28"/>
          <w:sz w:val="28"/>
          <w:szCs w:val="28"/>
          <w:rtl w:val="true"/>
          <w:lang w:bidi="ar-SA"/>
        </w:rPr>
        <w:t>كون عقدة النكاح بيدهم غالبا على بعض الطرق الأربعة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الأظهر من هذه الاحتمالات و أقلّها مخالفة للأصل و الظاهر، هو المعنى الثاني من المعاني الأربعة المذكورة، و إرادة الأعمّ من الكبيرة و الصغيرة، و كون المراد من ذكر الأربعة تحقّق الولاية الإجبارية أو الاختيارية فيهم غالبا،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فلا دلالة في تلك الأخبار على أنّ ولاية الوصي من قبيل ولاية الأب على صغيره </w:t>
      </w:r>
      <w:r>
        <w:rPr>
          <w:rStyle w:val="FootnoteAnchor"/>
          <w:rtl w:val="true"/>
        </w:rPr>
        <w:footnoteReference w:id="667"/>
      </w:r>
      <w:r>
        <w:rPr>
          <w:rFonts w:ascii="Amiri" w:hAnsi="Amiri" w:eastAsia="Amiri" w:cs="Amiri"/>
          <w:color w:val="111111"/>
          <w:sz w:val="28"/>
          <w:sz w:val="28"/>
          <w:szCs w:val="28"/>
          <w:rtl w:val="true"/>
          <w:lang w:bidi="ar-SA"/>
        </w:rPr>
        <w:t xml:space="preserve">، أو من قبيل ولاية الأخ و من بيده مال </w:t>
      </w:r>
      <w:r>
        <w:rPr>
          <w:rStyle w:val="FootnoteAnchor"/>
          <w:rtl w:val="true"/>
        </w:rPr>
        <w:footnoteReference w:id="668"/>
      </w:r>
      <w:r>
        <w:rPr>
          <w:rFonts w:ascii="Amiri" w:hAnsi="Amiri" w:eastAsia="Amiri" w:cs="Amiri"/>
          <w:color w:val="111111"/>
          <w:sz w:val="28"/>
          <w:sz w:val="28"/>
          <w:szCs w:val="28"/>
          <w:rtl w:val="true"/>
          <w:lang w:bidi="ar-SA"/>
        </w:rPr>
        <w:t>المرأة على الكبيرة، و كذا ولاية الأب عليها مطلقا، أو مع كونها ثيّبة على الخلاف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بعد أدنى تأمّل ضعف دلالة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صحيحة عبد اللّٰه بن سنان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أمرها</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و لا يخفى أنّ المراد وليّ أمرها في غير النكاح، و إلّا لزم التفسير بما يساوي المفسّر في الإجمال، و لم يفد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الوصيّ على الصغيرة وليّ أمرها في غير النكاح، فيكون عقدته بيده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الخبر يعارضه مرسلة ابن أبي عمير المروية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باب الوكالات قبل باب القضاء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 و من توكّله المرأة و تولّيه أمرها من أخ أو قرابة</w:t>
      </w:r>
    </w:p>
    <w:p>
      <w:pPr>
        <w:pStyle w:val="BookText"/>
        <w:rPr/>
      </w:pPr>
      <w:r>
        <w:rPr>
          <w:rFonts w:ascii="Amiri" w:hAnsi="Amiri" w:eastAsia="Amiri" w:cs="Amiri"/>
          <w:color w:val="111111"/>
          <w:sz w:val="28"/>
          <w:sz w:val="28"/>
          <w:szCs w:val="28"/>
          <w:rtl w:val="true"/>
          <w:lang w:bidi="ar-SA"/>
        </w:rPr>
        <w:t xml:space="preserve">أو غيرهما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لا بأس بالاستدلال بآية التبديل </w:t>
      </w:r>
      <w:r>
        <w:rPr>
          <w:rStyle w:val="FootnoteAnchor"/>
          <w:rtl w:val="true"/>
        </w:rPr>
        <w:footnoteReference w:id="671"/>
      </w:r>
      <w:r>
        <w:rPr>
          <w:rFonts w:ascii="Amiri" w:hAnsi="Amiri" w:eastAsia="Amiri" w:cs="Amiri"/>
          <w:color w:val="111111"/>
          <w:sz w:val="28"/>
          <w:sz w:val="28"/>
          <w:szCs w:val="28"/>
          <w:rtl w:val="true"/>
          <w:lang w:bidi="ar-SA"/>
        </w:rPr>
        <w:t xml:space="preserve">بمعونة الأخبار </w:t>
      </w:r>
      <w:r>
        <w:rPr>
          <w:rStyle w:val="FootnoteAnchor"/>
          <w:rtl w:val="true"/>
        </w:rPr>
        <w:footnoteReference w:id="672"/>
      </w:r>
      <w:r>
        <w:rPr>
          <w:rFonts w:ascii="Amiri" w:hAnsi="Amiri" w:eastAsia="Amiri" w:cs="Amiri"/>
          <w:color w:val="111111"/>
          <w:sz w:val="28"/>
          <w:sz w:val="28"/>
          <w:szCs w:val="28"/>
          <w:rtl w:val="true"/>
          <w:lang w:bidi="ar-SA"/>
        </w:rPr>
        <w:t>المشتملة على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أيضا على ثبوت الولاية بالوصاية بعموم ما ورد في توقيع الصفّار عن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للميّت ما أوصى على ما أوصى إن شاء اللّٰه</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و عموم الكلام لا يترك لخصوص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في الكافي و التهذيب فيمن أوصى إلى أحد بالمضاربة </w:t>
      </w:r>
      <w:r>
        <w:rPr>
          <w:rStyle w:val="FootnoteAnchor"/>
          <w:rtl w:val="true"/>
        </w:rPr>
        <w:footnoteReference w:id="674"/>
      </w:r>
      <w:r>
        <w:rPr>
          <w:rFonts w:ascii="Amiri" w:hAnsi="Amiri" w:eastAsia="Amiri" w:cs="Amiri"/>
          <w:color w:val="111111"/>
          <w:sz w:val="28"/>
          <w:sz w:val="28"/>
          <w:szCs w:val="28"/>
          <w:rtl w:val="true"/>
          <w:lang w:bidi="ar-SA"/>
        </w:rPr>
        <w:t xml:space="preserve">بأموال صغير له و أخذ نصف الربح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من أجل أنّ أباه قد أذن له في ذلك و هو حيّ</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بمقتضى عموم العلّة و إلغاء الخصوصيّة المتراءاة من اختصاص اسم الإشارة المأتي به لمحض ربط العلّة بالمعلول بالولاية المالية، على أنّ كل ما أذن فيه أبو الصغير في حال حياته فهو نافذ ماض بعد مماته، و منه إذنه للوصيّ في تزويج صغيره و توليته له فيه</w:t>
      </w:r>
      <w:r>
        <w:rPr>
          <w:rFonts w:eastAsia="Amiri" w:cs="Amiri" w:ascii="Amiri" w:hAnsi="Amiri"/>
          <w:color w:val="111111"/>
          <w:sz w:val="28"/>
          <w:szCs w:val="28"/>
          <w:rtl w:val="true"/>
          <w:lang w:bidi="ar-SA"/>
        </w:rPr>
        <w:t>.</w:t>
      </w:r>
      <w:bookmarkStart w:id="70" w:name="pg19718_239038"/>
    </w:p>
    <w:p>
      <w:pPr>
        <w:pStyle w:val="BookText"/>
        <w:rPr/>
      </w:pPr>
      <w:bookmarkEnd w:id="70"/>
      <w:r>
        <w:rPr>
          <w:rFonts w:ascii="Amiri" w:hAnsi="Amiri" w:eastAsia="Amiri" w:cs="Amiri"/>
          <w:color w:val="111111"/>
          <w:sz w:val="28"/>
          <w:sz w:val="28"/>
          <w:szCs w:val="28"/>
          <w:rtl w:val="true"/>
          <w:lang w:bidi="ar-SA"/>
        </w:rPr>
        <w:t>لكن يبقى الكلام في أنّ النسبة بين الآية المعتضدة بهاتين الروايتين و بين عموم الأخبار النافية لولاية ما عدا الأب و الجدّ عموم من وجه، و يشكل الترجيح فيرجع إلى أصالة عدم ثبوت الولاية، و عدم صحّة النكاح من غير إجازة من المزوّج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معظم من أنكر ولاية الوصي مطلقا، ذهب إلى أنّه يثبت ولايته على من بلغ فاسد العقل مع الحاجة، للضرورة، و عدم زوال العذر، و خوف المرض، أو الوقوع في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حينئذ أيضا على ثبوت ولاية الوصي، و هذه الوجوه لا يثبت انتقال الولاية إلى الوصيّ بإيصاء الأب و الجدّ، إذ لو ثبتت </w:t>
      </w:r>
      <w:r>
        <w:rPr>
          <w:rStyle w:val="FootnoteAnchor"/>
          <w:rtl w:val="true"/>
        </w:rPr>
        <w:footnoteReference w:id="676"/>
      </w:r>
      <w:r>
        <w:rPr>
          <w:rFonts w:ascii="Amiri" w:hAnsi="Amiri" w:eastAsia="Amiri" w:cs="Amiri"/>
          <w:color w:val="111111"/>
          <w:sz w:val="28"/>
          <w:sz w:val="28"/>
          <w:szCs w:val="28"/>
          <w:rtl w:val="true"/>
          <w:lang w:bidi="ar-SA"/>
        </w:rPr>
        <w:t>لم يفرّق فيها بين الموارد، و إنّما تثبت ولاية الحسبة، و لا شكّ أنّها من مناصب الحاكم، فيزوّجه الحاكم بالولاية العامة كما يزوّج غيره ممن سيجي‌ء، و كما يزوّج المفروض مع عدم الوصي كما سيجي‌ء؛ لأنّ الضرورة تندفع بتصدّي الحاكم له كما يتصدّى غيره</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1985764_2314609296"/>
      <w:bookmarkStart w:id="72" w:name="_Toc28"/>
      <w:bookmarkEnd w:id="71"/>
      <w:r>
        <w:rPr>
          <w:rtl w:val="true"/>
        </w:rPr>
        <w:t>[</w:t>
      </w:r>
      <w:r>
        <w:rPr>
          <w:rtl w:val="true"/>
        </w:rPr>
        <w:t>الرابع من أسباب الولاية</w:t>
      </w:r>
      <w:r>
        <w:rPr>
          <w:rtl w:val="true"/>
        </w:rPr>
        <w:t xml:space="preserve">: </w:t>
      </w:r>
      <w:r>
        <w:rPr>
          <w:rtl w:val="true"/>
        </w:rPr>
        <w:t>ولاية الحكم</w:t>
      </w:r>
      <w:r>
        <w:rPr>
          <w:rtl w:val="true"/>
        </w:rPr>
        <w:t>]</w:t>
      </w:r>
      <w:bookmarkEnd w:id="7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من أسباب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الحكم </w:t>
      </w:r>
      <w:r>
        <w:rPr>
          <w:rStyle w:val="FootnoteAnchor"/>
          <w:rtl w:val="true"/>
        </w:rPr>
        <w:footnoteReference w:id="677"/>
      </w:r>
      <w:r>
        <w:rPr>
          <w:rFonts w:ascii="Amiri" w:hAnsi="Amiri" w:eastAsia="Amiri" w:cs="Amiri"/>
          <w:color w:val="111111"/>
          <w:sz w:val="28"/>
          <w:sz w:val="28"/>
          <w:szCs w:val="28"/>
          <w:rtl w:val="true"/>
          <w:lang w:bidi="ar-SA"/>
        </w:rPr>
        <w:t>الذي هو أوّلا و بالأصالة منصب الإمامة، و ثانيا و بالنيابة منصب نائبه الخاص أو العام، و هو الفقيه الجامع للشرائط، الذي حكمه حكم الوصيّ في انتفاء ولايته عن الصغيرين الذكر و الأنثى الفاقدين للأب و الجدّ؛ لما مرّ من العمومات</w:t>
      </w:r>
    </w:p>
    <w:p>
      <w:pPr>
        <w:pStyle w:val="BookText"/>
        <w:rPr/>
      </w:pPr>
      <w:r>
        <w:rPr>
          <w:rFonts w:ascii="Amiri" w:hAnsi="Amiri" w:eastAsia="Amiri" w:cs="Amiri"/>
          <w:color w:val="111111"/>
          <w:sz w:val="28"/>
          <w:sz w:val="28"/>
          <w:szCs w:val="28"/>
          <w:rtl w:val="true"/>
          <w:lang w:bidi="ar-SA"/>
        </w:rPr>
        <w:t xml:space="preserve">النافية لولاية غيرهما </w:t>
      </w:r>
      <w:r>
        <w:rPr>
          <w:rStyle w:val="FootnoteAnchor"/>
          <w:rtl w:val="true"/>
        </w:rPr>
        <w:footnoteReference w:id="678"/>
      </w:r>
      <w:r>
        <w:rPr>
          <w:rFonts w:ascii="Amiri" w:hAnsi="Amiri" w:eastAsia="Amiri" w:cs="Amiri"/>
          <w:color w:val="111111"/>
          <w:sz w:val="28"/>
          <w:sz w:val="28"/>
          <w:szCs w:val="28"/>
          <w:rtl w:val="true"/>
          <w:lang w:bidi="ar-SA"/>
        </w:rPr>
        <w:t>و خرج عنها ثبوتها للحاكم على المجنونين الفاقدين للأب و الجدّ مع الحاجة إلى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و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ما دلّ على وجوب الرجوع إليه في الحوادث الواقعة </w:t>
      </w:r>
      <w:r>
        <w:rPr>
          <w:rStyle w:val="FootnoteAnchor"/>
          <w:rtl w:val="true"/>
        </w:rPr>
        <w:footnoteReference w:id="680"/>
      </w:r>
      <w:r>
        <w:rPr>
          <w:rFonts w:ascii="Amiri" w:hAnsi="Amiri" w:eastAsia="Amiri" w:cs="Amiri"/>
          <w:color w:val="111111"/>
          <w:sz w:val="28"/>
          <w:sz w:val="28"/>
          <w:szCs w:val="28"/>
          <w:rtl w:val="true"/>
          <w:lang w:bidi="ar-SA"/>
        </w:rPr>
        <w:t xml:space="preserve">التي منها طروء الحاجة للمجنون و المجنونة إلى النكاح، و على أنّ الراد عليه كالراد على اللّٰه </w:t>
      </w:r>
      <w:r>
        <w:rPr>
          <w:rStyle w:val="FootnoteAnchor"/>
          <w:rtl w:val="true"/>
        </w:rPr>
        <w:footnoteReference w:id="681"/>
      </w:r>
      <w:r>
        <w:rPr>
          <w:rFonts w:ascii="Amiri" w:hAnsi="Amiri" w:eastAsia="Amiri" w:cs="Amiri"/>
          <w:color w:val="111111"/>
          <w:sz w:val="28"/>
          <w:sz w:val="28"/>
          <w:szCs w:val="28"/>
          <w:rtl w:val="true"/>
          <w:lang w:bidi="ar-SA"/>
        </w:rPr>
        <w:t xml:space="preserve">فلا يجوز للمجنون بعد الإفاقة و لا لغيره قبلها ردّ تزويجه و فسخه، بل لا بدّ من ترتيب الآثار عليه، و على أنّ العلماء أمناء الرسل </w:t>
      </w:r>
      <w:r>
        <w:rPr>
          <w:rStyle w:val="FootnoteAnchor"/>
          <w:rtl w:val="true"/>
        </w:rPr>
        <w:footnoteReference w:id="682"/>
      </w:r>
      <w:r>
        <w:rPr>
          <w:rFonts w:ascii="IRNazanin" w:hAnsi="IRNazanin" w:eastAsia="IRNazanin"/>
          <w:color w:val="111111"/>
          <w:sz w:val="28"/>
          <w:sz w:val="28"/>
          <w:szCs w:val="28"/>
          <w:rtl w:val="true"/>
          <w:lang w:bidi="fa-IR"/>
        </w:rPr>
        <w:t xml:space="preserve">و خلفاؤهم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ينبغي بمقتضى ما ذكر ثبوت ولايته للصغيرين إذا دعت مصلحتهما إلى النكاح سيّما الصغيرة، و لا يبعد إن لم يكن </w:t>
      </w:r>
      <w:r>
        <w:rPr>
          <w:rStyle w:val="FootnoteAnchor"/>
          <w:rtl w:val="true"/>
        </w:rPr>
        <w:footnoteReference w:id="684"/>
      </w:r>
      <w:r>
        <w:rPr>
          <w:rFonts w:ascii="Amiri" w:hAnsi="Amiri" w:eastAsia="Amiri" w:cs="Amiri"/>
          <w:color w:val="111111"/>
          <w:sz w:val="28"/>
          <w:sz w:val="28"/>
          <w:szCs w:val="28"/>
          <w:rtl w:val="true"/>
          <w:lang w:bidi="ar-SA"/>
        </w:rPr>
        <w:t>خلافه إجماعيّا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ولاية لغير هؤلاء الأربعة،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الجدّ، و الوصيّ، و الحاكم، كالأمّ، و العصبات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المتقرّبون بالأب، فليس لهم ولاية على</w:t>
      </w:r>
    </w:p>
    <w:p>
      <w:pPr>
        <w:pStyle w:val="BookText"/>
        <w:rPr/>
      </w:pPr>
      <w:r>
        <w:rPr>
          <w:rFonts w:ascii="Amiri" w:hAnsi="Amiri" w:eastAsia="Amiri" w:cs="Amiri"/>
          <w:color w:val="111111"/>
          <w:sz w:val="28"/>
          <w:sz w:val="28"/>
          <w:szCs w:val="28"/>
          <w:rtl w:val="true"/>
          <w:lang w:bidi="ar-SA"/>
        </w:rPr>
        <w:t xml:space="preserve">صغير و لا على مجنون و لا غيرهما، خلافا للمحكي عن ابن الجنيد في الأمّ </w:t>
      </w:r>
      <w:r>
        <w:rPr>
          <w:rStyle w:val="FootnoteAnchor"/>
          <w:rtl w:val="true"/>
        </w:rPr>
        <w:footnoteReference w:id="685"/>
      </w:r>
      <w:r>
        <w:rPr>
          <w:rFonts w:ascii="Amiri" w:hAnsi="Amiri" w:eastAsia="Amiri" w:cs="Amiri"/>
          <w:color w:val="111111"/>
          <w:sz w:val="28"/>
          <w:sz w:val="28"/>
          <w:szCs w:val="28"/>
          <w:rtl w:val="true"/>
          <w:lang w:bidi="ar-SA"/>
        </w:rPr>
        <w:t xml:space="preserve">، و عن بعض العامّة </w:t>
      </w:r>
      <w:r>
        <w:rPr>
          <w:rStyle w:val="FootnoteAnchor"/>
          <w:rtl w:val="true"/>
        </w:rPr>
        <w:footnoteReference w:id="686"/>
      </w:r>
      <w:r>
        <w:rPr>
          <w:rFonts w:ascii="Amiri" w:hAnsi="Amiri" w:eastAsia="Amiri" w:cs="Amiri"/>
          <w:color w:val="111111"/>
          <w:sz w:val="28"/>
          <w:sz w:val="28"/>
          <w:szCs w:val="28"/>
          <w:rtl w:val="true"/>
          <w:lang w:bidi="ar-SA"/>
        </w:rPr>
        <w:t xml:space="preserve">في الأخ و العم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للمحجور عليه عن التصرّفات المالية للتبذير، التزويج لأنّه مستلزم للتصرّف في المال من حيث الالتزام بالمهر و النفقة، إلّا مع الضرورة إليه فيستأذن الحاكم لأنّه وليّه، مع عدم وليّ آخر، فإن عقد مع التمكن من إذن الحاكم و بدونه أثم؛ لأنّه منهي عن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يفسد العقد أيضا؟ وجهان، بل قولان؛ من أنّه محجور عليه إلّا بإذن الولي فلا ينفذ له تصرّف، و من أنّه مع الضرورة قد سوّغ له التزوّج </w:t>
      </w:r>
      <w:r>
        <w:rPr>
          <w:rStyle w:val="FootnoteAnchor"/>
          <w:rtl w:val="true"/>
        </w:rPr>
        <w:footnoteReference w:id="688"/>
      </w:r>
      <w:r>
        <w:rPr>
          <w:rFonts w:ascii="Amiri" w:hAnsi="Amiri" w:eastAsia="Amiri" w:cs="Amiri"/>
          <w:color w:val="111111"/>
          <w:sz w:val="28"/>
          <w:sz w:val="28"/>
          <w:szCs w:val="28"/>
          <w:rtl w:val="true"/>
          <w:lang w:bidi="ar-SA"/>
        </w:rPr>
        <w:t>، فلذا يجب على الوليّ تزويجه أو إذنه، غاية الأمر أنّه منهي عن الاستقلال، و هو أمر خارج عن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القولين لا إشكال في الصحّة مع تعذر استئذان الحاكم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حكم بالصحّة، فإن كان النكاح بمهر المثل صحّ لوجود الضرورة المصحّحة للتزويج، و عدم اقتضاء النهي عن الاستقلال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يقتصر </w:t>
      </w:r>
      <w:r>
        <w:rPr>
          <w:rStyle w:val="FootnoteAnchor"/>
          <w:rtl w:val="true"/>
        </w:rPr>
        <w:footnoteReference w:id="689"/>
      </w:r>
      <w:r>
        <w:rPr>
          <w:rFonts w:ascii="Amiri" w:hAnsi="Amiri" w:eastAsia="Amiri" w:cs="Amiri"/>
          <w:color w:val="111111"/>
          <w:sz w:val="28"/>
          <w:sz w:val="28"/>
          <w:szCs w:val="28"/>
          <w:rtl w:val="true"/>
          <w:lang w:bidi="ar-SA"/>
        </w:rPr>
        <w:t>في الصداق المسمّى على مهر المثل بطل الزائد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موضع حكم فيه بالفساد مع علم المرأة به لا شي‌ء لها، و مع جهلها 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المثل بالوطء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السفيه البالغ، و أمّا السفيهة البالغة، فليس لها التزويج من غير إذن وليّها؛ لصحيحة الفضلاء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التي ملكت نفسها غير السفيهة و لا المولّى عليها فإنّ تزويجها بغير وليّ جائز</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يؤيّدها ما تقدّم من رواية زرارة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إذا كانت مالكة لأمرها، تبيع و تشتري و تعتق و تعطي مالها من شاءت، جاز لها التزويج متى شاءت بغير إذن وليها، و إن لم تكن كذلك لم يجز تزويجها إلّا بأمر وليّها</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فإنّ دلالته على المطلوب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بل يدلّ عليه أيضا مصححة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المحكية في المسالك </w:t>
      </w:r>
      <w:r>
        <w:rPr>
          <w:rStyle w:val="FootnoteAnchor"/>
          <w:rtl w:val="true"/>
        </w:rPr>
        <w:footnoteReference w:id="692"/>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وليّ أمرها</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يؤيّدها </w:t>
      </w:r>
      <w:r>
        <w:rPr>
          <w:rStyle w:val="FootnoteAnchor"/>
          <w:rtl w:val="true"/>
        </w:rPr>
        <w:footnoteReference w:id="694"/>
      </w:r>
      <w:r>
        <w:rPr>
          <w:rFonts w:ascii="Amiri" w:hAnsi="Amiri" w:eastAsia="Amiri" w:cs="Amiri"/>
          <w:color w:val="111111"/>
          <w:sz w:val="28"/>
          <w:sz w:val="28"/>
          <w:szCs w:val="28"/>
          <w:rtl w:val="true"/>
          <w:lang w:bidi="ar-SA"/>
        </w:rPr>
        <w:t>رواية عبد الرحمن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المرأة تتزوّج بغير وليّ إذا كانت مالكة لأمرها</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شكّ أنّ السفيهة غير مالكة لأمرها عرفا؛ 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النكاح من أموره، و إن عمّ </w:t>
      </w:r>
      <w:r>
        <w:rPr>
          <w:rStyle w:val="FootnoteAnchor"/>
          <w:rtl w:val="true"/>
        </w:rPr>
        <w:footnoteReference w:id="696"/>
      </w:r>
      <w:r>
        <w:rPr>
          <w:rFonts w:ascii="Amiri" w:hAnsi="Amiri" w:eastAsia="Amiri" w:cs="Amiri"/>
          <w:color w:val="111111"/>
          <w:sz w:val="28"/>
          <w:sz w:val="28"/>
          <w:szCs w:val="28"/>
          <w:rtl w:val="true"/>
          <w:lang w:bidi="ar-SA"/>
        </w:rPr>
        <w:t>النكاح لزم لغوية الحمل، كما تقدّم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التي قد ملكت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هذه الأخبار تفصيل بين ما إذا بلغ سفيها أو تجدّدت سفاهته بعد البلوغ و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هو الأب و الجدّ؛ لصدق الوليّ عليهما عرفا، و صدقه على غيرهما من الأقارب مع عدمهما لا يضرّ بعد قيام الدليل على عدم ولاية من عداهما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تجدّد سفهه فالولاية عليه للحاكم؛ لانقطاع ولاية الأب بالبلوغ و الرشد، فعودها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الولاية أيضا يحتاج </w:t>
      </w:r>
      <w:r>
        <w:rPr>
          <w:rStyle w:val="FootnoteAnchor"/>
          <w:rtl w:val="true"/>
        </w:rPr>
        <w:footnoteReference w:id="697"/>
      </w:r>
      <w:r>
        <w:rPr>
          <w:rFonts w:ascii="Amiri" w:hAnsi="Amiri" w:eastAsia="Amiri" w:cs="Amiri"/>
          <w:color w:val="111111"/>
          <w:sz w:val="28"/>
          <w:sz w:val="28"/>
          <w:szCs w:val="28"/>
          <w:rtl w:val="true"/>
          <w:lang w:bidi="ar-SA"/>
        </w:rPr>
        <w:t>إلى دليل، و عموم النبويّ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على فرض ثبوته مختصّ بالإمام عليه السلام، و كون الفقيه في زمانه نائبا عنه حتّى في هذه الولاية لم يثبت بدليل تطمئنّ به النفس، مع أنّه لو ثبت فغايته إثبات ولايته على من لا ولي له، و قد عرفت</w:t>
      </w:r>
    </w:p>
    <w:p>
      <w:pPr>
        <w:pStyle w:val="BookText"/>
        <w:rPr/>
      </w:pPr>
      <w:r>
        <w:rPr>
          <w:rFonts w:ascii="Amiri" w:hAnsi="Amiri" w:eastAsia="Amiri" w:cs="Amiri"/>
          <w:color w:val="111111"/>
          <w:sz w:val="28"/>
          <w:sz w:val="28"/>
          <w:szCs w:val="28"/>
          <w:rtl w:val="true"/>
          <w:lang w:bidi="ar-SA"/>
        </w:rPr>
        <w:t xml:space="preserve">صدق الوليّ عرفا على الأب و الجدّ، و أنّ الأخبار دلّت على توقّف نكاح هذا الشخص على الولي العرفي المنحصر عرفا </w:t>
      </w:r>
      <w:r>
        <w:rPr>
          <w:rStyle w:val="FootnoteAnchor"/>
          <w:rtl w:val="true"/>
        </w:rPr>
        <w:footnoteReference w:id="699"/>
      </w:r>
      <w:r>
        <w:rPr>
          <w:rFonts w:ascii="Amiri" w:hAnsi="Amiri" w:eastAsia="Amiri" w:cs="Amiri"/>
          <w:color w:val="111111"/>
          <w:sz w:val="28"/>
          <w:sz w:val="28"/>
          <w:szCs w:val="28"/>
          <w:rtl w:val="true"/>
          <w:lang w:bidi="ar-SA"/>
        </w:rPr>
        <w:t>في الأب و الجدّ مع وجودهما، نعم مع عدمهما يتعيّن الحاكم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بثبوت الولاية للحاكم على من بلغ سفيها مع وجود الأب و الجدّ، فهو ضعيف جدا؛ لعدم الدليل عليه، إلّا أن يثبت للحاكم عموم الولاية بدليل عام خرج عنه ما خرج، و هو الصغير الذي أجمع على أنّ الحاكم لا ولاية له عليه مع الأب و الجدّ و بقي الباقي، و إثبات ذلك دونه خرط القتاد، مع أنّه على فرض الثبوت معارض بعموم الأخبار المتقدّمة الدالّة على توقّف التزويج على إذن الولي العرفي بعد أن خرج منها غير الأب و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الكلام، أنّ المستفاد من تتبّع موارد استعمالات الولي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الولي العرفي، و لا ريب أنّ الأب و الجدّ مع وجودهما أولى الناس عرفا بالشخص، فكلّ ما دلّ على أنّ المرأة الغير المالكة لأمرها يتوقّف تزويجها على إذن الولي يشمل اعتبار إذنهما في النكاح، و هو معنى ولايتهما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غيرهما، فهو و إن صدق عليه الولي عرفا مع فقدهما، لكنّه خارج بالإجماع، فتأمّل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صريحا على أنّ المراد هو الولي العرفي قوله عليه السلام في رواية زرارة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كانت مالكة لأمرها تبيع و تشتري جاز تزويجها مع ما شاءت بغير أمر وليها، و إن لم يكن كذلك لم يجز تزويجها إلّا بأمر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وليّها</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هو الولي العرفي، فهو 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bookmarkStart w:id="73" w:name="pg19718_239045"/>
    </w:p>
    <w:p>
      <w:pPr>
        <w:pStyle w:val="Heading6"/>
        <w:numPr>
          <w:ilvl w:val="5"/>
          <w:numId w:val="1"/>
        </w:numPr>
        <w:rPr/>
      </w:pPr>
      <w:bookmarkStart w:id="74" w:name="__RefHeading___Toc1985766_2314609296"/>
      <w:bookmarkStart w:id="75" w:name="_Toc29"/>
      <w:bookmarkEnd w:id="73"/>
      <w:bookmarkEnd w:id="74"/>
      <w:r>
        <w:rPr>
          <w:rtl w:val="true"/>
        </w:rPr>
        <w:t>الفصل الثاني</w:t>
      </w:r>
      <w:r>
        <w:rPr>
          <w:rtl w:val="true"/>
        </w:rPr>
        <w:t xml:space="preserve">: </w:t>
      </w:r>
      <w:r>
        <w:rPr>
          <w:rtl w:val="true"/>
        </w:rPr>
        <w:t>في الأحكام</w:t>
      </w:r>
      <w:bookmarkEnd w:id="75"/>
    </w:p>
    <w:p>
      <w:pPr>
        <w:pStyle w:val="BookText"/>
        <w:rPr/>
      </w:pPr>
      <w:r>
        <w:rPr>
          <w:rFonts w:ascii="Amiri" w:hAnsi="Amiri" w:eastAsia="Amiri" w:cs="Amiri"/>
          <w:color w:val="111111"/>
          <w:sz w:val="28"/>
          <w:sz w:val="28"/>
          <w:szCs w:val="28"/>
          <w:rtl w:val="true"/>
          <w:lang w:bidi="ar-SA"/>
        </w:rPr>
        <w:t>لو زوّج الصغيرين الحرّين غير الأب و الجدّ فإن قلنا ببطلان النكاح الفضولي كان لغوا، و إن قلنا بصحته وقع موقوفا على إجازتهما له فإن أجازاه بعد البلوغ و الرشد، أو أجازه الأب و الجدّ قبلهما أو قبل الرشد؛ بناء على ولايتهما على البالغ غير رشيد صحّ العقد، و إلّا يجزه الزوجان بعد الكمال، و لا وليّاهما قبله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أجاز أحدهما بعد الكمال، أو وليّه قبله و مات الآخر قبل البلوغ و الرشد و قبل إجازة الوليّ بطل النكاح بينهما؛ لعدم تحقّق الإجازة المصححة للعقد من حينه أو من حينها </w:t>
      </w:r>
      <w:r>
        <w:rPr>
          <w:rStyle w:val="FootnoteAnchor"/>
          <w:rtl w:val="true"/>
        </w:rPr>
        <w:footnoteReference w:id="701"/>
      </w:r>
      <w:r>
        <w:rPr>
          <w:rFonts w:ascii="Amiri" w:hAnsi="Amiri" w:eastAsia="Amiri" w:cs="Amiri"/>
          <w:color w:val="111111"/>
          <w:sz w:val="28"/>
          <w:sz w:val="28"/>
          <w:szCs w:val="28"/>
          <w:rtl w:val="true"/>
          <w:lang w:bidi="ar-SA"/>
        </w:rPr>
        <w:t>و يترتّب على البطلان أنّه لا مهر و لا إرث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مات أحدهما بعد البلوغ و الإجازة و بلغ الآخر الباقي احلف مع الإجازة على عدم كون الداعي على الإجازة هو الطمع في الإرث، و إذا حلف تثبت أحكام الزوجيّة بينه و بين الميّت و أقاربه، و ورث نصيبه المفروض من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 صحيحة أبي عبيدة الحذّاء المرويّة في الكافي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غلام و جارية زوّجهما وليّان لهما و هما غير مدركين،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و أيّهما أدرك كان له الخيار، و إن ماتا قبل أن يدركا فلا ميراث بينهما و لا مهر إلّا أن يكونا قد أدركا و رضيا،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 أحدهما قبل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عليه</w:t>
      </w:r>
    </w:p>
    <w:p>
      <w:pPr>
        <w:pStyle w:val="BookText"/>
        <w:rPr/>
      </w:pPr>
      <w:r>
        <w:rPr>
          <w:rFonts w:ascii="Amiri" w:hAnsi="Amiri" w:eastAsia="Amiri" w:cs="Amiri"/>
          <w:color w:val="111111"/>
          <w:sz w:val="28"/>
          <w:sz w:val="28"/>
          <w:szCs w:val="28"/>
          <w:rtl w:val="true"/>
          <w:lang w:bidi="ar-SA"/>
        </w:rPr>
        <w:t>إن هو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 الذي أدرك قبل الجارية و رضي بالنكاح ثمّ مات قبل أن تدرك الجارية أ ترثه؟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يعزل ميراثها منه حتّى تدرك، فتحلف باللّه ما دعاها إلى أخذ الميراث إلّا رضاها بالتزويج، ثمّ يدفع إليها الميراث و نصف المهر،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الجارية و لم تكن أدركت أ يرثها الزوج المدرك؟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لها الخيار إذا أدركت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أبوها هو الذي زوّجها قبل أن تدرك؟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عليها تزويج الأب، و يجوز على الغلام، و المهر على الأب للجارية</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بالوليّين في صدر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المقابلة للأب في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العرفي كالأخ و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اشتمال الرواية على تنصيف المهر لو قلنا بتمام المهر مع الفرقة بالموت لا يضرّ؛ لاحتمال تقديم نصفه الآخر قبل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الصحيحة أنّه لو بلغ أحدهما و أجاز لزم العقد من جهته، فيترتّب في حقّه إن كان زوجا آثار زوجيّة المعقود عليها من تحريم أختها و أمّها و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أدركت الزوجة و ردّت العقد انفسخ من حينه، لا من حين الردّ قبالا للإجازة على أحد الوجهين، و يترتّب عليها </w:t>
      </w:r>
      <w:r>
        <w:rPr>
          <w:rStyle w:val="FootnoteAnchor"/>
          <w:rtl w:val="true"/>
        </w:rPr>
        <w:footnoteReference w:id="703"/>
      </w:r>
      <w:r>
        <w:rPr>
          <w:rFonts w:ascii="Amiri" w:hAnsi="Amiri" w:eastAsia="Amiri" w:cs="Amiri"/>
          <w:color w:val="111111"/>
          <w:sz w:val="28"/>
          <w:sz w:val="28"/>
          <w:szCs w:val="28"/>
          <w:rtl w:val="true"/>
          <w:lang w:bidi="ar-SA"/>
        </w:rPr>
        <w:t>أنّه هل يجوز نكاح أمّها أم لا؟ وجهان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النكاح في حقّ الزوج كان ثابتا، فارتفع بفسخ الزوجة، فتحرم</w:t>
      </w:r>
    </w:p>
    <w:p>
      <w:pPr>
        <w:pStyle w:val="BookText"/>
        <w:rPr/>
      </w:pPr>
      <w:r>
        <w:rPr>
          <w:rFonts w:ascii="IRNazanin" w:hAnsi="IRNazanin" w:eastAsia="IRNazanin"/>
          <w:color w:val="111111"/>
          <w:sz w:val="28"/>
          <w:sz w:val="28"/>
          <w:szCs w:val="28"/>
          <w:rtl w:val="true"/>
          <w:lang w:bidi="fa-IR"/>
        </w:rPr>
        <w:t xml:space="preserve">الأم </w:t>
      </w:r>
      <w:r>
        <w:rPr>
          <w:rStyle w:val="FootnoteAnchor"/>
          <w:rtl w:val="true"/>
        </w:rPr>
        <w:footnoteReference w:id="704"/>
      </w:r>
      <w:r>
        <w:rPr>
          <w:rFonts w:ascii="Amiri" w:hAnsi="Amiri" w:eastAsia="Amiri" w:cs="Amiri"/>
          <w:color w:val="111111"/>
          <w:sz w:val="28"/>
          <w:sz w:val="28"/>
          <w:szCs w:val="28"/>
          <w:rtl w:val="true"/>
          <w:lang w:bidi="ar-SA"/>
        </w:rPr>
        <w:t>لأنّها أم المعقودة بالعقد الصحيح اللازم من طرف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العقد إنّما يتمّ بالطرفين، فإذا لم تجز المرأة العقد فكأنّه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أقوى؛ لأنّ ما دلّ على تحريم أمّ المعقودة منصرف إلى عقد ثبت صحّته بينهما في آن ما، فيحمل قوله عليه السلام 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عليه إن هو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يصير صحيحا لازما من طرفه و لا يجوز له فسخه، لا أنّه يترتّب عليه الأحكام المترتّبة على تحقّق عقد صحيح بينهما، التي من جملتها تحريم أم المعقودة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الصحيحة على لزوم العقد من طرفه، لا ثبوت الزوجيّة و هي العلاقة المتحقّقة بين الزوجين في حقّه و جريان أحكام المصاهرة في حقّه قبل فسخها من حيث إنّه حينئذ مخاطب بوجوب الوفاء بالعقد، كما يدلّ عليه قوله 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عليه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آثار هذا العقد التي يجب ترتيبها، هو عدم التزويج بأختها و أمّها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جريان أحكام المصاهرة من جهة دخول المعقود عليها في أفراد الزوجة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منصرفة إلى غيرها، بل من جهة حكم أَوْفُوا بِالْعُقُودِ </w:t>
      </w:r>
      <w:r>
        <w:rPr>
          <w:rStyle w:val="FootnoteAnchor"/>
          <w:rtl w:val="true"/>
        </w:rPr>
        <w:footnoteReference w:id="705"/>
      </w:r>
      <w:r>
        <w:rPr>
          <w:rFonts w:ascii="Amiri" w:hAnsi="Amiri" w:eastAsia="Amiri" w:cs="Amiri"/>
          <w:color w:val="111111"/>
          <w:sz w:val="28"/>
          <w:sz w:val="28"/>
          <w:szCs w:val="28"/>
          <w:rtl w:val="true"/>
          <w:lang w:bidi="ar-SA"/>
        </w:rPr>
        <w:t xml:space="preserve">، و خصوص الفقرة المذكورة في الصحيحة بوجوب ترتيب آثار الزوجيّة المتحقّقة المنجزة على هذه المعقود عليها و إن لم تكن زوجيّتها متحقّقة منجّزة، و مثل هذا ليس موجودا بعد فسخ المرأة لارتفاع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اعلم أنّ كون الفسخ رافعا للعقد من حينه، إن أريد به أنّ العقد قبله كان صحيحا من الجانبين، و الفسخ بمنزلة الفسخ في العقود الجائزة أصالة أو لعارض الخيار، فلا يخفى أنّه سخيف، مخالف لما اتفقوا من أنّ الإجازة إمّا كاشفة أو ناقلة، إذ عدمها على التقديرين يستلزم ارتفاع حكم العقد و لغويته من حين العقد، فهذا الاحتمال ممّا لا يصلح أن يذكر، و لا أن يبنى عليه الإشكال في صحة العقد على أم المعقودة بعد فسخها </w:t>
      </w:r>
      <w:r>
        <w:rPr>
          <w:rStyle w:val="FootnoteAnchor"/>
          <w:rtl w:val="true"/>
        </w:rPr>
        <w:footnoteReference w:id="707"/>
      </w:r>
      <w:r>
        <w:rPr>
          <w:rFonts w:ascii="Amiri" w:hAnsi="Amiri" w:eastAsia="Amiri" w:cs="Amiri"/>
          <w:color w:val="111111"/>
          <w:sz w:val="28"/>
          <w:sz w:val="28"/>
          <w:szCs w:val="28"/>
          <w:rtl w:val="true"/>
          <w:lang w:bidi="ar-SA"/>
        </w:rPr>
        <w:t xml:space="preserve">، و قد ذكر الإشكال في القواعد </w:t>
      </w:r>
      <w:r>
        <w:rPr>
          <w:rStyle w:val="FootnoteAnchor"/>
          <w:rtl w:val="true"/>
        </w:rPr>
        <w:footnoteReference w:id="708"/>
      </w:r>
      <w:r>
        <w:rPr>
          <w:rFonts w:ascii="Amiri" w:hAnsi="Amiri" w:eastAsia="Amiri" w:cs="Amiri"/>
          <w:color w:val="111111"/>
          <w:sz w:val="28"/>
          <w:sz w:val="28"/>
          <w:szCs w:val="28"/>
          <w:rtl w:val="true"/>
          <w:lang w:bidi="ar-SA"/>
        </w:rPr>
        <w:t>كما حكي، و ذكر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مبنى الإشكال هو أنّ الفسخ كاشف عن الفساد أو رافع له من حينه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أن يراد أنّ الزوجيّة المتحقّقة بالنسبة إلى الزوج المجيز هل ترتفع بفسخ الزوجة و من حينه؟ أو يكشف فسخها عن عدم ثبوتها من أوّل الأمر؟ بمعنى جعلها كغير الثابت قبالا لما هو أحد الوجهين في معنى كاشفيّة الإجازة، و أنّها تجعل غير الثابت كالثابت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الكلام في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الزوجيّة المفروض تحقّقها بالنسبة إلى الزوج المجيز، إن أريد بها مجرّد آثارها التي حكم على الزوج بترتبها قبل الفسخ، فلا ريب أنّ الفسخ رافع لهذه من حينه، و لا يلزم منه حرمة أمّ المعقودة؛ لأنّ حرمة الأمّ إنّما ثبتت في الزوجة، و لم تحصل زوجيّته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ثبت على الزوج وجوب ترتيب آثارها في زمان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بها تحقّق نفس الزوجيّة بالنسبة إلى الزوج المجيز،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الزوجيّة أمر بسيط قائم بطرفين غير قابل 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يتبعض آثارها، كما لو ادّعى رجل زوجيّة امرأة، فأنكرت و حلفت، فالزوجيّة بهذا المعنى لم تتحقق من أوّل الأمر بمجرد إجازة الزوج و إن تحقّق آثارها من أحكام المصاهرة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جملة آثار الزوجيّة التي يجب ترتيبها بعد الإجازة و قبل الفسخ، هو تحريم الأم مؤبّدا و لو بعد الفسخ، فيجب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دفعه بأنّ الآثار التي يجب ترتبها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ظاهريّة، حيث إنّ موجب اللزوم قد تحقّق من الزوج، و لم يعلم بتعقب الفسخ من الزوجة، فمقتضى امتثال الأمر بالوفاء بالعقود هو ترتيب الآثار في مرحلة الظاهر، و لذا يحكم بأنّ من باع ماله من فضوليّ فلا يجوز له الفسخ، بناء على أنّ الإجازة كاشفة مع جهله بأنّه سيقع الإجازة أم لا، فيكون المراد من رفع الفسخ، رفع هذه الآثار الظاهريّة، و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عدمها واقعا</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صرّح في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تحريم الامّ و الأخت على الزوج المجيز قبل الفسخ، من حيث احتمال كونهما أمّ الزوجة و أختها في الواقع، بأن تجيز الزوجة فتكشف إجازتها عن ذلك، و كذا حرمة تصرّف من باع ماله من فضوليّ فيه؛ لاحتمال كونه مال الغير، فيكون مرددا بين ماله و مال الغير، فيكون التحريم من باب المقدّمة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ضعيف، مخالف لأصالة بقائه على ملكه و عدم الإجازة، و كذا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الفرق بين مقالة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ما قلنا لا يخفى</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 فإنّ ما ذكرناه لا دخل له بحديث المقدّمة و اشتباه الحرام بغيره، بل من جهة أنّ العرف يفهمون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على من تحقّق منه شرائط لزوم العقد بعد تحقّق نفس العقد، نظيره ما إذا نذر أحد مالا لزيد إن حصل له ولد، فقبل حصول الولد قيل بعدم جواز إتلاف المال؛ لاحتمال حصول الولد له فيكون لزيد، و إتلافه مناف لوجوب الوفاء بالنذر،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ما ذكرنا تصريح الصحيحة المذكورة </w:t>
      </w:r>
      <w:r>
        <w:rPr>
          <w:rStyle w:val="FootnoteAnchor"/>
          <w:rtl w:val="true"/>
        </w:rPr>
        <w:footnoteReference w:id="713"/>
      </w:r>
      <w:r>
        <w:rPr>
          <w:rFonts w:ascii="Amiri" w:hAnsi="Amiri" w:eastAsia="Amiri" w:cs="Amiri"/>
          <w:color w:val="111111"/>
          <w:sz w:val="28"/>
          <w:sz w:val="28"/>
          <w:szCs w:val="28"/>
          <w:rtl w:val="true"/>
          <w:lang w:bidi="ar-SA"/>
        </w:rPr>
        <w:t>بوجوب عزل الإرث لهذا المتوقع إجازته، مع الشكّ في أنّه سيجيز و يحلف،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الفقرة المذكورة لا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ترتيب آثار الزوجيّة، بل غاية 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له فسخه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فلنرجع إلى ما كنّا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حلف من بلغ و أجاز بعد موت البالغ المجيز، أخذ الميراث المعزول، و الظاهر أنّه يجري عليه أحكام المصاهرة بالنسبة إلى أب الميّت و ابنه </w:t>
      </w:r>
      <w:r>
        <w:rPr>
          <w:rStyle w:val="FootnoteAnchor"/>
          <w:rtl w:val="true"/>
        </w:rPr>
        <w:footnoteReference w:id="714"/>
      </w:r>
      <w:r>
        <w:rPr>
          <w:rFonts w:ascii="Amiri" w:hAnsi="Amiri" w:eastAsia="Amiri" w:cs="Amiri"/>
          <w:color w:val="111111"/>
          <w:sz w:val="28"/>
          <w:sz w:val="28"/>
          <w:szCs w:val="28"/>
          <w:rtl w:val="true"/>
          <w:lang w:bidi="ar-SA"/>
        </w:rPr>
        <w:t>أو بالنسبة إلى أمّ الميتة، و إن مات قبل الإجازة فلا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مات بعد الإجازة و قبل اليمين، فالأقوى عدم الإرث أيضا؛ لأنّ اليمين من مكمّلات العقد بحكم النصّ و إن كان على خلاف الأصل، بل من مثبتات الإجازة؛ حيث إنّه يحتمل فيها قويّا أن يكون الإجازة لمجرّد أخذ الميراث من غير رضاه واقعا بزوجيّة الميّت لو كان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القواعد الاستشكال في الإرث لو مات قبل الإجازة </w:t>
      </w:r>
      <w:r>
        <w:rPr>
          <w:rStyle w:val="FootnoteAnchor"/>
          <w:rtl w:val="true"/>
        </w:rPr>
        <w:footnoteReference w:id="715"/>
      </w:r>
      <w:r>
        <w:rPr>
          <w:rFonts w:ascii="Amiri" w:hAnsi="Amiri" w:eastAsia="Amiri" w:cs="Amiri"/>
          <w:color w:val="111111"/>
          <w:sz w:val="28"/>
          <w:sz w:val="28"/>
          <w:szCs w:val="28"/>
          <w:rtl w:val="true"/>
          <w:lang w:bidi="ar-SA"/>
        </w:rPr>
        <w:t>، فضلا عمّا لو مات بعدها قبل اليمين، و الأقوى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Style w:val="FootnoteAnchor"/>
          <w:rtl w:val="true"/>
        </w:rPr>
        <w:footnoteReference w:id="716"/>
      </w:r>
      <w:r>
        <w:rPr>
          <w:rFonts w:ascii="Amiri" w:hAnsi="Amiri" w:eastAsia="Amiri" w:cs="Amiri"/>
          <w:color w:val="111111"/>
          <w:sz w:val="28"/>
          <w:sz w:val="28"/>
          <w:szCs w:val="28"/>
          <w:rtl w:val="true"/>
          <w:lang w:bidi="ar-SA"/>
        </w:rPr>
        <w:t>مقتضى الرواية أنّه لو نكلت المرأة الباقية بعد موت الزوج البالغ المجيز عن اليمين لم ترثه، فلا يثبت في تركة الزوج المهر أو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انعكس الأمر، بأن كان الباقي هو الزوج فأجاز و لم يحلف، فالظاهر تعلّق المهر في ذمّته لأجل إقراره في ضمن إجازته، و إنّما يحرم بنكوله عن اليمين عن الإرث لأجل التهمة بالطمع في الإرث، مع أنّ اعتبار اليمين المخالف للأصل ثبت بالنصّ </w:t>
      </w:r>
      <w:r>
        <w:rPr>
          <w:rStyle w:val="FootnoteAnchor"/>
          <w:rtl w:val="true"/>
        </w:rPr>
        <w:footnoteReference w:id="717"/>
      </w:r>
      <w:r>
        <w:rPr>
          <w:rFonts w:ascii="Amiri" w:hAnsi="Amiri" w:eastAsia="Amiri" w:cs="Amiri"/>
          <w:color w:val="111111"/>
          <w:sz w:val="28"/>
          <w:sz w:val="28"/>
          <w:szCs w:val="28"/>
          <w:rtl w:val="true"/>
          <w:lang w:bidi="ar-SA"/>
        </w:rPr>
        <w:t>في طرف الزوجة إذا بقيت بعد الزوج، فتأمّل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ثبوت المهر، فهل يرث الزوج منه؟ الأقوى نعم؛ لاستلزام إجازته استحقاقه مقدار نصيبه من المهر على كلّ تقدير؛ لأنّه إن كان صادقا في إجازته فإرثه من المهر ثابت، و إن كان كاذبا فجميع المهر له، فاستحقاق نصيبه من المهر ثابت على التقديرين، بخلاف غير المهر من تركتها فإنّه لا يستحقّ نصيبه منها على تقدير كذبه في إجازته، فاحتيج إلى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إقراره </w:t>
      </w:r>
      <w:r>
        <w:rPr>
          <w:rStyle w:val="FootnoteAnchor"/>
          <w:rtl w:val="true"/>
        </w:rPr>
        <w:footnoteReference w:id="718"/>
      </w:r>
      <w:r>
        <w:rPr>
          <w:rFonts w:ascii="Amiri" w:hAnsi="Amiri" w:eastAsia="Amiri" w:cs="Amiri"/>
          <w:color w:val="111111"/>
          <w:sz w:val="28"/>
          <w:sz w:val="28"/>
          <w:szCs w:val="28"/>
          <w:rtl w:val="true"/>
          <w:lang w:bidi="ar-SA"/>
        </w:rPr>
        <w:t>بالنكاح في ضمن الإجازة لم يتضمّن الإقرار باشتغال ذمّته بجميع المهر؛ لتنافيهما، لأنّ ثبوت نكاح الميتة يستلزم انتقال بعض مهرها إلى الزوج، بل إنّما تضمّن الإقرار بما عدا نصيبه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انتفت التهمة في المجيز، فهل يسقط يمينه أم لا؟ وجهان، من إطلاق النصّ؛ فإنّ التهمة حكمة غالبية و لا يلزم اطرادها، فربّ حكم 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تعبّدي</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تعدّى عن مورد حكمته، و من انصراف النصّ إلى الغالب من ثبوت التهمة، ففي غيره لا دليل على اليمين المخالفة للأصل، نعم لو وجد الدليل لم يلاحظ وجود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النصّ إنّما ورد في الصغيرين اللذين زوّجهما فضوليان، و أمّا غيرهما كالمجنونين و الكبيرين المزوّج كلاهما أو أحدهما فضولا، و الصغير و الكبير المزوّج كلاهما أو أحدهما فضولا، إذا مات من لزم العقد من طرفه و بقي من يحتاج إلى إجازته، فهل يحكم بثبوت الزوجيّة و الإرث بمجرّد الإجازة و اليمين، أم لا؟ وجهان، بل قولان، منشأهما أنّ ثبوت الحكم في مورد النصّ على طبق الأصل فيتعدى إلى كلّ ما وافقه </w:t>
      </w:r>
      <w:r>
        <w:rPr>
          <w:rStyle w:val="FootnoteAnchor"/>
          <w:rtl w:val="true"/>
        </w:rPr>
        <w:footnoteReference w:id="720"/>
      </w:r>
      <w:r>
        <w:rPr>
          <w:rFonts w:ascii="Amiri" w:hAnsi="Amiri" w:eastAsia="Amiri" w:cs="Amiri"/>
          <w:color w:val="111111"/>
          <w:sz w:val="28"/>
          <w:sz w:val="28"/>
          <w:szCs w:val="28"/>
          <w:rtl w:val="true"/>
          <w:lang w:bidi="ar-SA"/>
        </w:rPr>
        <w:t>، أم مخالف للأصل فيقتصر على محلّ النصّ؟</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المسالك </w:t>
      </w:r>
      <w:r>
        <w:rPr>
          <w:rStyle w:val="FootnoteAnchor"/>
          <w:rtl w:val="true"/>
        </w:rPr>
        <w:footnoteReference w:id="721"/>
      </w:r>
      <w:r>
        <w:rPr>
          <w:rFonts w:ascii="Amiri" w:hAnsi="Amiri" w:eastAsia="Amiri" w:cs="Amiri"/>
          <w:color w:val="111111"/>
          <w:sz w:val="28"/>
          <w:sz w:val="28"/>
          <w:szCs w:val="28"/>
          <w:rtl w:val="true"/>
          <w:lang w:bidi="ar-SA"/>
        </w:rPr>
        <w:t>و المحكي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على</w:t>
      </w:r>
    </w:p>
    <w:p>
      <w:pPr>
        <w:pStyle w:val="BookText"/>
        <w:rPr/>
      </w:pPr>
      <w:r>
        <w:rPr>
          <w:rFonts w:ascii="IRNazanin" w:hAnsi="IRNazanin" w:eastAsia="IRNazanin"/>
          <w:color w:val="111111"/>
          <w:sz w:val="28"/>
          <w:sz w:val="28"/>
          <w:szCs w:val="28"/>
          <w:rtl w:val="true"/>
          <w:lang w:bidi="fa-IR"/>
        </w:rPr>
        <w:t xml:space="preserve">خلاف الأصل </w:t>
      </w:r>
      <w:r>
        <w:rPr>
          <w:rStyle w:val="FootnoteAnchor"/>
          <w:rtl w:val="true"/>
        </w:rPr>
        <w:footnoteReference w:id="722"/>
      </w:r>
      <w:r>
        <w:rPr>
          <w:rFonts w:ascii="Amiri" w:hAnsi="Amiri" w:eastAsia="Amiri" w:cs="Amiri"/>
          <w:color w:val="111111"/>
          <w:sz w:val="28"/>
          <w:sz w:val="28"/>
          <w:szCs w:val="28"/>
          <w:rtl w:val="true"/>
          <w:lang w:bidi="ar-SA"/>
        </w:rPr>
        <w:t>، سواء قلنا بأنّ الإجازة جزء السبب، أو بأنّها كاشفة عن سبق النكاح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فلأنّ موت أحد المتعاقدين قبل تمام العقد مبطل له، كما لو مات الموجب قبل تحقّق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 فلأنّ الإجازة وحدها لا تكفي في ثبوت هذا العقد، بل لا بدّ معها من اليمين، فقد حصل الموت قبل تمام السبب، خرج منه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اليمين لا مدخليّة لها في الثبوت واقعا، و إنّما هي كاشفة عن مناط الإجازة و هو الرضى الباطني بالنكاح، و لو سلّم كونها شيئا مستقلّ الاعتبار لا مدخل لها في الإجازة، فهي كالإجازة كاشفة لا مثبتة للنكاح من حينها؛ لأنّ ثبوت النكاح بعد الموت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كيف يحكم بالإرث الذي لا بدّ من استحقاقه وقت الموت، و المفروض تجدّد ثبوت النكاح بعد اليمين؟</w:t>
      </w:r>
    </w:p>
    <w:p>
      <w:pPr>
        <w:pStyle w:val="BookText"/>
        <w:rPr/>
      </w:pPr>
      <w:r>
        <w:rPr>
          <w:rFonts w:ascii="Amiri" w:hAnsi="Amiri" w:eastAsia="Amiri" w:cs="Amiri"/>
          <w:color w:val="111111"/>
          <w:sz w:val="28"/>
          <w:sz w:val="28"/>
          <w:szCs w:val="28"/>
          <w:rtl w:val="true"/>
          <w:lang w:bidi="ar-SA"/>
        </w:rPr>
        <w:t>نعم، وجوب اليمين بعد الإجازة على خلاف الأصل، فلا بدّ من الاقتصار فيه على مورد النصّ، فينبغي أن يحكم في غيره بكفاية الإجازة، لا أنّ ثبوت الزوجيّة بعد الإجازة و اليمين على خلاف الأصل فيقتصر فيه على مورد النصّ،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اليمين من مثبتات الإجازة الكاشفة عن الرضي الواقعي بأصل التزويج</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يقال باعتبار قابليّة المعقود عليها حين إجازة الآخر </w:t>
      </w:r>
      <w:r>
        <w:rPr>
          <w:rStyle w:val="FootnoteAnchor"/>
          <w:rtl w:val="true"/>
        </w:rPr>
        <w:footnoteReference w:id="72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هي مفقودة في المقام، و لعلّه لاعتبار اجتماع المتعاقدين في الرضى بالعقد في زمان و هو مفقود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محلّ مناقشة؛ لعدم الدليل على اعتبار أزيد من تحقق رضاهما بالعقد، أمّا اجتماعهما في الرضى، أو رضى أحدهما مع بقاء قابليّة الآخر،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من جعل الحكم مخالفا للأصل، تعدّى إلى بعض الموارد من غير المنصوص، إمّا لأجل مساواته له بتنقيح المناط، و إما لأجل أولويته بالحكم من المنصوص، فألحق العقد الفضولي للمجنونين بالصغيرين؛ للمساواة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بعد فرض مخالفة الحكم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العاقد على الصغيرين أحدهما الولي و الآخر فضولي، فمات من عقد له الوليّ قبل بلوغ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بتعدّي الحكم المنصوص إليه بطريق أولى؛ لأنّ العقد في المنصوص جائز من الطرفين، و هنا لازم من أحدهما، و لا يخلو من نظر، كالحكم بالصحّة فيما إذا كان أحدهما كبيرا زوّج نفسه أصالة من صغير فضولا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فإذا فرض مخالفة الحكم للأصل، يشكل التعدّي بمجرّد المساواة المتراءاة أو الأولويّة الاعتبارية الظنيّة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للبالغة الرشيدة أن تستأذن أباها في العقد؛ لما مرّ في الأخبار الدالة بظاهرها على أنّ أمرها بيده </w:t>
      </w:r>
      <w:r>
        <w:rPr>
          <w:rStyle w:val="FootnoteAnchor"/>
          <w:rtl w:val="true"/>
        </w:rPr>
        <w:footnoteReference w:id="724"/>
      </w:r>
      <w:r>
        <w:rPr>
          <w:rFonts w:ascii="Amiri" w:hAnsi="Amiri" w:eastAsia="Amiri" w:cs="Amiri"/>
          <w:color w:val="111111"/>
          <w:sz w:val="28"/>
          <w:sz w:val="28"/>
          <w:szCs w:val="28"/>
          <w:rtl w:val="true"/>
          <w:lang w:bidi="ar-SA"/>
        </w:rPr>
        <w:t>، المحمولة على تأكّد أن تجعل</w:t>
      </w:r>
    </w:p>
    <w:p>
      <w:pPr>
        <w:pStyle w:val="BookText"/>
        <w:rPr/>
      </w:pPr>
      <w:r>
        <w:rPr>
          <w:rFonts w:ascii="Amiri" w:hAnsi="Amiri" w:eastAsia="Amiri" w:cs="Amiri"/>
          <w:color w:val="111111"/>
          <w:sz w:val="28"/>
          <w:sz w:val="28"/>
          <w:szCs w:val="28"/>
          <w:rtl w:val="true"/>
          <w:lang w:bidi="ar-SA"/>
        </w:rPr>
        <w:t xml:space="preserve">أمرها إليه، و في بعضها التعليل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لها</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و من عموم التعليل يعلم أنّ مع عدمه أي عدم الأب توكّل أخاها استحبابا؛ لأنّه أنظر لها من غيره بعد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تعدّدوا وكّلت الأكبر لمرسلة ابن فضال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الأكبر بمنزلة الأب</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بادر أخواها فعقدها </w:t>
      </w:r>
      <w:r>
        <w:rPr>
          <w:rStyle w:val="FootnoteAnchor"/>
          <w:rtl w:val="true"/>
        </w:rPr>
        <w:footnoteReference w:id="727"/>
      </w:r>
      <w:r>
        <w:rPr>
          <w:rFonts w:ascii="Amiri" w:hAnsi="Amiri" w:eastAsia="Amiri" w:cs="Amiri"/>
          <w:color w:val="111111"/>
          <w:sz w:val="28"/>
          <w:sz w:val="28"/>
          <w:szCs w:val="28"/>
          <w:rtl w:val="true"/>
          <w:lang w:bidi="ar-SA"/>
        </w:rPr>
        <w:t>كلّ واحد منهما لشخص، أو تشاحّ الإخوان في تزويجها بشخصين، استحبّ لها اختيار ما يختاره الأكبر للمرسلة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وكّلت أخويها في تزويجها بمن شاءا فإن أوقعا عقدين لشخصين، قدّم الأوّل لوقوعه صحيحا لازما المستلزم لبطلان الثاني فإن دخلت المرأة بالثاني المحكوم ببطلان عقده فرّق بينهما لأنّها زوجة غيره و الزم المتأخر المهر بوطء الشبهة إن كانت المرأة جاهلة و إن أتت بولد منه لحق به الولد لثبوت النسب </w:t>
      </w:r>
      <w:r>
        <w:rPr>
          <w:rStyle w:val="FootnoteAnchor"/>
          <w:rtl w:val="true"/>
        </w:rPr>
        <w:footnoteReference w:id="728"/>
      </w:r>
      <w:r>
        <w:rPr>
          <w:rFonts w:ascii="Amiri" w:hAnsi="Amiri" w:eastAsia="Amiri" w:cs="Amiri"/>
          <w:color w:val="111111"/>
          <w:sz w:val="28"/>
          <w:sz w:val="28"/>
          <w:szCs w:val="28"/>
          <w:rtl w:val="true"/>
          <w:lang w:bidi="ar-SA"/>
        </w:rPr>
        <w:t>بالشبهة كالصحيح و اعتدّت مع الجهل و لو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وطء الشبهة الموجب للعدّة و احترام 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الحمل إن كانت حاملا، و بالأقراء إن كانت حائلا و أعيدت إلى الأوّل هذا مع تقدّم </w:t>
      </w:r>
      <w:r>
        <w:rPr>
          <w:rStyle w:val="FootnoteAnchor"/>
          <w:rtl w:val="true"/>
        </w:rPr>
        <w:footnoteReference w:id="729"/>
      </w:r>
      <w:r>
        <w:rPr>
          <w:rFonts w:ascii="IRNazanin" w:hAnsi="IRNazanin" w:eastAsia="IRNazanin"/>
          <w:color w:val="111111"/>
          <w:sz w:val="28"/>
          <w:sz w:val="28"/>
          <w:szCs w:val="28"/>
          <w:rtl w:val="true"/>
          <w:lang w:bidi="fa-IR"/>
        </w:rPr>
        <w:t>عقد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اقتران العقدين بطلا على المشهور ظاهرا؛ لأنّ الحكم بصحّة أحدهما دون الآخر ترجيح من غير مرجّح، و يترتّب عليه أنّه لو دخلا مع الجهل لزم كلّا منهما مهر المثل، و يجب عليها العدّة من كلّ منهما بالترتيب، و حكم الولد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تحقّق العقد بين رجل أو وكيله و بين شخص آخر عن امرأة ثمّ ادّعى الزوج المنكر لتحقّق الزوجيّة المعترف بالعقد على المرأة عدم إذنها، قدّم قولها من غير يمين إن صححنا الفضولي في النكاح؛ لأنّ دعوى الإذن من الزوجة في قوة الإجازة اللاحقة على فرض عدم تحقّق الإذن السابق؛ لأنّها صريحة في الرضى بالعقد، و مع فرض عدم صراحتها فيه أو عدم دلالتها عليه فلا وجه لليمين أيضا؛ لانقطاع الدعوى بإجازتها مجدّدا فيثبت النكاح، أو ردّها فيبطل العقد، فثبوت العقد و عدمه موقوف على فعل اختياري للزوجة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أبطلنا الفضولي، أو صححناه لكن وقع من الزوجة كراهة للعقد بحيث لا ينفع معها الإجازة اللاحقة، فيحتاج إلى اليمين، و وجه تقديم قولها أنّ الإذن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أعرف، و أنّها تدّعي الصحة، فيقدّم قولها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انعكست الدعوى، بأن ادعى الزوج عليها الإذن و أنكرته، فمع عدم الدخول لا إشكال في أنّ القول قولها مع اليمين؛ لأصالة عدم الإذن، و لا يعارضها أصالة الصحة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القول بصحّة الفضولي فظاهر؛ لأنّ عدم إذنها لا ينافي صحّة</w:t>
      </w:r>
    </w:p>
    <w:p>
      <w:pPr>
        <w:pStyle w:val="BookText"/>
        <w:rPr/>
      </w:pPr>
      <w:r>
        <w:rPr>
          <w:rFonts w:ascii="Amiri" w:hAnsi="Amiri" w:eastAsia="Amiri" w:cs="Amiri"/>
          <w:color w:val="111111"/>
          <w:sz w:val="28"/>
          <w:sz w:val="28"/>
          <w:szCs w:val="28"/>
          <w:rtl w:val="true"/>
          <w:lang w:bidi="ar-SA"/>
        </w:rPr>
        <w:t>العقد الواقع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القول ببطلان الفضولي، فلأنّ صحّة العقد التي يدّعيها الزوج إنّما يسنده إلى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يدعيه</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على المرأة، و هي تنكره، و الأصل عدم وقوع ذلك الفعل و إن ترتّب عليه 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عدم الدخول، و أمّا مع الدخول فقد يقال بتقديم قوله؛ لأنّ الدخول قرينة على إذنها، لأصالة المشروعية فيه و عدم الشبهة،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ليس لوكيل الرشيدة أن يزوّجها من نفسه، إلّا بالإذن الخاصّ، كأن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من نفسك، فيجوز حينئذ </w:t>
      </w:r>
      <w:r>
        <w:rPr>
          <w:rStyle w:val="FootnoteAnchor"/>
          <w:rtl w:val="true"/>
        </w:rPr>
        <w:footnoteReference w:id="732"/>
      </w:r>
      <w:r>
        <w:rPr>
          <w:rFonts w:ascii="Amiri" w:hAnsi="Amiri" w:eastAsia="Amiri" w:cs="Amiri"/>
          <w:color w:val="111111"/>
          <w:sz w:val="28"/>
          <w:sz w:val="28"/>
          <w:szCs w:val="28"/>
          <w:rtl w:val="true"/>
          <w:lang w:bidi="ar-SA"/>
        </w:rPr>
        <w:t xml:space="preserve">التزويج؛ لوجود المقتضي و عدم المانع، عدا ما يتوهّم من رواية عمّار </w:t>
      </w:r>
      <w:r>
        <w:rPr>
          <w:rStyle w:val="FootnoteAnchor"/>
          <w:rtl w:val="true"/>
        </w:rPr>
        <w:footnoteReference w:id="733"/>
      </w:r>
      <w:r>
        <w:rPr>
          <w:rFonts w:ascii="Amiri" w:hAnsi="Amiri" w:eastAsia="Amiri" w:cs="Amiri"/>
          <w:color w:val="111111"/>
          <w:sz w:val="28"/>
          <w:sz w:val="28"/>
          <w:szCs w:val="28"/>
          <w:rtl w:val="true"/>
          <w:lang w:bidi="ar-SA"/>
        </w:rPr>
        <w:t>الضعيفة، و عدم جواز كون الواحد موجبا قابلا، و هو أضعف من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مع عدم الإذن الخاصّ، فإن انتفى الإذن مطلقا، بأن قالت له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زوّجني من غيرك، أو من فلان، فلا إشكال في أنّ تزويجها لنفسه يقع فضوليّا، و كذا مع ثبوت الإذن المطلق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زوّجني، أو زوّجني من رجل، بل في المسالك أنّه لا خلاف في عدم الجواز حينئذ </w:t>
      </w:r>
      <w:r>
        <w:rPr>
          <w:rStyle w:val="FootnoteAnchor"/>
          <w:rtl w:val="true"/>
        </w:rPr>
        <w:footnoteReference w:id="735"/>
      </w:r>
      <w:r>
        <w:rPr>
          <w:rFonts w:ascii="Amiri" w:hAnsi="Amiri" w:eastAsia="Amiri" w:cs="Amiri"/>
          <w:color w:val="111111"/>
          <w:sz w:val="28"/>
          <w:sz w:val="28"/>
          <w:szCs w:val="28"/>
          <w:rtl w:val="true"/>
          <w:lang w:bidi="ar-SA"/>
        </w:rPr>
        <w:t>و لعلّه لانصراف الإطلاق إلى غير الوكيل، فهو بضميمة الانصراف بمنزلة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xml:space="preserve">:] </w:t>
      </w:r>
      <w:r>
        <w:rPr>
          <w:rStyle w:val="FootnoteAnchor"/>
          <w:rtl w:val="true"/>
        </w:rPr>
        <w:footnoteReference w:id="736"/>
      </w:r>
      <w:r>
        <w:rPr>
          <w:rFonts w:ascii="Amiri" w:hAnsi="Amiri" w:eastAsia="Amiri" w:cs="Amiri"/>
          <w:color w:val="111111"/>
          <w:sz w:val="28"/>
          <w:sz w:val="28"/>
          <w:szCs w:val="28"/>
          <w:rtl w:val="true"/>
          <w:lang w:bidi="ar-SA"/>
        </w:rPr>
        <w:t>زوجني من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العموم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ممّن شئت، أو من أي رجل، فقد يستظهر أيضا العدم؛ بناء على عدم ظهور العموم في شموله لنفس الوكيل، فلا اعتبار بأصالة الحقيقة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المتّجه على القواعد الجواز، إلّا أن يفهم من القرائن إرادة غيره فيتّبع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للجد الولي على الجارية أن يزوّجها من ابن ابنه الآخر الصغير ولاية، أو الكبير فضولا؛ لوجود المقتضي و عدم المانع لجواز تولّي طرفي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مقتضى الأصل عدم صحّة التزويج بدون رضى المزوّجة، و عدم ثبوت الولاية الإجبارية لغيرها عليها، فلا بدّ من الاقتصار فيها على المورد الذي دلّ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الأب و الجدّ الصغيرة، فإمّا أن يزوّجاها بكف‌ء بمهر المثل، و إمّا أن يزوّجاها بغيره بمهر المثل، و إما أن يزوجاها به </w:t>
      </w:r>
      <w:r>
        <w:rPr>
          <w:rStyle w:val="FootnoteAnchor"/>
          <w:rtl w:val="true"/>
        </w:rPr>
        <w:footnoteReference w:id="737"/>
      </w:r>
      <w:r>
        <w:rPr>
          <w:rFonts w:ascii="IRNazanin" w:hAnsi="IRNazanin" w:eastAsia="IRNazanin"/>
          <w:color w:val="111111"/>
          <w:sz w:val="28"/>
          <w:sz w:val="28"/>
          <w:szCs w:val="28"/>
          <w:rtl w:val="true"/>
          <w:lang w:bidi="fa-IR"/>
        </w:rPr>
        <w:t>بدون مهر المثل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زوّجاها من الكف‌ء بمهر المثل، فليس لها الاعتراض بعد البلوغ، سواء كان ذلك على وجه المصلحة، أو لم يكن فيه مفسدة و لا مصلحة؛ لإطلاق الأخبار الدالّة على الولاية </w:t>
      </w:r>
      <w:r>
        <w:rPr>
          <w:rStyle w:val="FootnoteAnchor"/>
          <w:rtl w:val="true"/>
        </w:rPr>
        <w:footnoteReference w:id="738"/>
      </w:r>
      <w:r>
        <w:rPr>
          <w:rFonts w:ascii="Amiri" w:hAnsi="Amiri" w:eastAsia="Amiri" w:cs="Amiri"/>
          <w:color w:val="111111"/>
          <w:sz w:val="28"/>
          <w:sz w:val="28"/>
          <w:szCs w:val="28"/>
          <w:rtl w:val="true"/>
          <w:lang w:bidi="ar-SA"/>
        </w:rPr>
        <w:t>الشاملة لما إذا لم يكن مصلحة و لا مفسدة، بل الأخبار الكثيرة وردت في استحباب تزويج كلّ من يخطب</w:t>
      </w:r>
    </w:p>
    <w:p>
      <w:pPr>
        <w:pStyle w:val="BookText"/>
        <w:rPr/>
      </w:pPr>
      <w:r>
        <w:rPr>
          <w:rFonts w:ascii="Amiri" w:hAnsi="Amiri" w:eastAsia="Amiri" w:cs="Amiri"/>
          <w:color w:val="111111"/>
          <w:sz w:val="28"/>
          <w:sz w:val="28"/>
          <w:szCs w:val="28"/>
          <w:rtl w:val="true"/>
          <w:lang w:bidi="ar-SA"/>
        </w:rPr>
        <w:t xml:space="preserve">إذا كان كفأ لمجرد إجابته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زوّجاها من غير الكف‌ء فالظاهر أنّ لها الاعتراض بعد البلوغ في فسخ العقد، سواء كان بمهر المثل أو بدونه، و سواء كانت المصلحة </w:t>
      </w:r>
      <w:r>
        <w:rPr>
          <w:rStyle w:val="FootnoteAnchor"/>
          <w:rtl w:val="true"/>
        </w:rPr>
        <w:footnoteReference w:id="740"/>
      </w:r>
      <w:r>
        <w:rPr>
          <w:rFonts w:ascii="Amiri" w:hAnsi="Amiri" w:eastAsia="Amiri" w:cs="Amiri"/>
          <w:color w:val="111111"/>
          <w:sz w:val="28"/>
          <w:sz w:val="28"/>
          <w:szCs w:val="28"/>
          <w:rtl w:val="true"/>
          <w:lang w:bidi="ar-SA"/>
        </w:rPr>
        <w:t>أم لا؛ بناء على أنّ الكفاءة شرط في لزوم العقد الصادر من الولي؛ للأصل المتقدّم، و انصراف ما دلّ من أخبار الولاية بحكم الغلبة الملحقة للنادر بالمعدوم إلى التزويج بالكف‌ء، و حينئذ فيقع التزويج الصادر فضوليّا، لها ردّه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زوّجاها بالكف‌ء بدون مهر المثل، فإن كان لأجل مصلحتها، فليس لها الاعتراض على الأقوى، لا في العقد و لا في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العقد، فلإطلاق أخبار الولاية الشامل لجميع أفراد التزويج بالكف‌ء، و أنّه يجوز عليها تزويج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اعتراضها في المهر، فلثبوت الولاية له عليها في مالها </w:t>
      </w:r>
      <w:r>
        <w:rPr>
          <w:rStyle w:val="FootnoteAnchor"/>
          <w:rtl w:val="true"/>
        </w:rPr>
        <w:footnoteReference w:id="741"/>
      </w:r>
      <w:r>
        <w:rPr>
          <w:rFonts w:ascii="Amiri" w:hAnsi="Amiri" w:eastAsia="Amiri" w:cs="Amiri"/>
          <w:color w:val="111111"/>
          <w:sz w:val="28"/>
          <w:sz w:val="28"/>
          <w:szCs w:val="28"/>
          <w:rtl w:val="true"/>
          <w:lang w:bidi="ar-SA"/>
        </w:rPr>
        <w:t xml:space="preserve">، و له أن يتصرّف في مالها </w:t>
      </w:r>
      <w:r>
        <w:rPr>
          <w:rStyle w:val="FootnoteAnchor"/>
          <w:rtl w:val="true"/>
        </w:rPr>
        <w:footnoteReference w:id="742"/>
      </w:r>
      <w:r>
        <w:rPr>
          <w:rFonts w:ascii="Amiri" w:hAnsi="Amiri" w:eastAsia="Amiri" w:cs="Amiri"/>
          <w:color w:val="111111"/>
          <w:sz w:val="28"/>
          <w:sz w:val="28"/>
          <w:szCs w:val="28"/>
          <w:rtl w:val="true"/>
          <w:lang w:bidi="ar-SA"/>
        </w:rPr>
        <w:t>كل ما كان لها فيه مصلحة، فإذا جاز إسقاط مالها عن ذمّة الغير لمصلحتها جاز تقليل مهرها بطريق أولى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هذا المطلب جميع ما ورد </w:t>
      </w:r>
      <w:r>
        <w:rPr>
          <w:rStyle w:val="FootnoteAnchor"/>
          <w:rtl w:val="true"/>
        </w:rPr>
        <w:footnoteReference w:id="743"/>
      </w:r>
      <w:r>
        <w:rPr>
          <w:rFonts w:ascii="Amiri" w:hAnsi="Amiri" w:eastAsia="Amiri" w:cs="Amiri"/>
          <w:color w:val="111111"/>
          <w:sz w:val="28"/>
          <w:sz w:val="28"/>
          <w:szCs w:val="28"/>
          <w:rtl w:val="true"/>
          <w:lang w:bidi="ar-SA"/>
        </w:rPr>
        <w:t>في الولاية المالية للأب و الجدّ،</w:t>
      </w:r>
    </w:p>
    <w:p>
      <w:pPr>
        <w:pStyle w:val="BookText"/>
        <w:rPr/>
      </w:pPr>
      <w:r>
        <w:rPr>
          <w:rFonts w:ascii="Amiri" w:hAnsi="Amiri" w:eastAsia="Amiri" w:cs="Amiri"/>
          <w:color w:val="111111"/>
          <w:sz w:val="28"/>
          <w:sz w:val="28"/>
          <w:szCs w:val="28"/>
          <w:rtl w:val="true"/>
          <w:lang w:bidi="ar-SA"/>
        </w:rPr>
        <w:t>فإنّ المتيقن منها جواز كلّ ما اقتضاه المصلحة من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لا لمصلحة، فالظاهر أن لا اعتراض لها في العقد؛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انصرافها بحكم الغلبة إلى التزويج من الكف‌ء بمهر المثل مع عدم اقتضاء المصلحة للنقص عنه، مدفوعة بأنّ الظاهر من أخبار ولاية الأب و الجدّ أنّ ولايتهما على الصغير ليس من باب ولاية الحسبة و الغبطة، بل ولايتهما عليه كولاية المولى على العبد، كما يرشد إليه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xml:space="preserve">، و ألزم عليه السلام بذلك من قدّم عقد الأب على عقد </w:t>
      </w:r>
      <w:r>
        <w:rPr>
          <w:rStyle w:val="FootnoteAnchor"/>
          <w:rtl w:val="true"/>
        </w:rPr>
        <w:footnoteReference w:id="745"/>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 إليه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عليها تزويج الأب و إن كانت كارهة</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 و يؤيده جواز عفوهما عن نصف المهر في الطلاق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النكاح لمّا كان فيه جهة المعاوضة للبضع بالمهر، كان في صبر المزوّجة على أقل من مهر المثل بإزاء بضعها ضرر في كثير من المواضع، كما إذا زوّجها بعشر مهر المثل أو نصف عشرة؛ فإنّ الصبر على ذلك مشقّة عظيمة، سيّما على ما نشاهد من أنّ في تقليل المهر عند النساء غضاضة و عارا لا يتحمّلنه، بل ربّما </w:t>
      </w:r>
      <w:r>
        <w:rPr>
          <w:rStyle w:val="FootnoteAnchor"/>
          <w:rtl w:val="true"/>
        </w:rPr>
        <w:footnoteReference w:id="748"/>
      </w:r>
      <w:r>
        <w:rPr>
          <w:rFonts w:ascii="Amiri" w:hAnsi="Amiri" w:eastAsia="Amiri" w:cs="Amiri"/>
          <w:color w:val="111111"/>
          <w:sz w:val="28"/>
          <w:sz w:val="28"/>
          <w:szCs w:val="28"/>
          <w:rtl w:val="true"/>
          <w:lang w:bidi="ar-SA"/>
        </w:rPr>
        <w:t>تقنع بعضهن بمجرد اشتغال ذمّة الزوج</w:t>
      </w:r>
    </w:p>
    <w:p>
      <w:pPr>
        <w:pStyle w:val="BookText"/>
        <w:rPr/>
      </w:pPr>
      <w:r>
        <w:rPr>
          <w:rFonts w:ascii="Amiri" w:hAnsi="Amiri" w:eastAsia="Amiri" w:cs="Amiri"/>
          <w:color w:val="111111"/>
          <w:sz w:val="28"/>
          <w:sz w:val="28"/>
          <w:szCs w:val="28"/>
          <w:rtl w:val="true"/>
          <w:lang w:bidi="ar-SA"/>
        </w:rPr>
        <w:t>بالصداق الكثير في متن العقد ثمّ تبرئ ذمته منه أو تصالحه على شي‌ء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فصبر النساء على قلّة المهر فيه مشقّة عظيمة و غضاضة عند الأقران، و حيث إنّ الضرر و الحرج منفيان في الشريعة، وجب تداركه بثبوت الاعتراض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الدليل إنّما يثبت الاعتراض في المهر خاصّة، و يبقى أدلّة جواز تزويج الولي عليها و أنّه ليس لها أمر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التزويج الواقع من الوليّ بمهر معيّن شي‌ء واحد، إن جاز لها الاعتراض فيه جاز الاعتراض </w:t>
      </w:r>
      <w:r>
        <w:rPr>
          <w:rStyle w:val="FootnoteAnchor"/>
          <w:rtl w:val="true"/>
        </w:rPr>
        <w:footnoteReference w:id="749"/>
      </w:r>
      <w:r>
        <w:rPr>
          <w:rFonts w:ascii="Amiri" w:hAnsi="Amiri" w:eastAsia="Amiri" w:cs="Amiri"/>
          <w:color w:val="111111"/>
          <w:sz w:val="28"/>
          <w:sz w:val="28"/>
          <w:szCs w:val="28"/>
          <w:rtl w:val="true"/>
          <w:lang w:bidi="ar-SA"/>
        </w:rPr>
        <w:t>في أصل العقد، و إلّا لم يجز مطلقا، و ليس الواقع في الخارج من الولي أمرين، تجيز المزوجة أحدهما و تردّ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الخاصّ الواقع من الولي إن كان لازما فلا اعتراض لها أصلا، و إن كان موقوفا على إجازتها جاز لها ردّ أصل التزويج، بل معنى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الاعتراض في هذا الأمر الواقع، و لذا لا يجوز في التزويج الفضولي إجازة أصل العقد و ردّ المهر إلى مهر آخر مغاير للمسمّى قدرا أو عينا، نعم قد ينفسخ المهر </w:t>
      </w:r>
      <w:r>
        <w:rPr>
          <w:rStyle w:val="FootnoteAnchor"/>
          <w:rtl w:val="true"/>
        </w:rPr>
        <w:footnoteReference w:id="750"/>
      </w:r>
      <w:r>
        <w:rPr>
          <w:rFonts w:ascii="Amiri" w:hAnsi="Amiri" w:eastAsia="Amiri" w:cs="Amiri"/>
          <w:color w:val="111111"/>
          <w:sz w:val="28"/>
          <w:sz w:val="28"/>
          <w:szCs w:val="28"/>
          <w:rtl w:val="true"/>
          <w:lang w:bidi="ar-SA"/>
        </w:rPr>
        <w:t>و يرجع إلى مهر المثل مع بقاء أصل النكاح بحاله فيما إذا كان منشأ بطلان المهر أمرا آخر غير عدم قبول أحد المتعاقدين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كلام ظاهري؛ لأنّ الدليل دلّ على جواز التزويج</w:t>
      </w:r>
    </w:p>
    <w:p>
      <w:pPr>
        <w:pStyle w:val="BookText"/>
        <w:rPr/>
      </w:pPr>
      <w:r>
        <w:rPr>
          <w:rFonts w:ascii="Amiri" w:hAnsi="Amiri" w:eastAsia="Amiri" w:cs="Amiri"/>
          <w:color w:val="111111"/>
          <w:sz w:val="28"/>
          <w:sz w:val="28"/>
          <w:szCs w:val="28"/>
          <w:rtl w:val="true"/>
          <w:lang w:bidi="ar-SA"/>
        </w:rPr>
        <w:t>الواقع من الولي، و قد عرفت منع دعوى انصرافه إلى غير صورة النزاع؛ لما عرفت من أنّ ولاية الأب و الجد ولاية سلطنة و قهر كولاية المولى على العبد، لا ولاية غبطة و حسبة كولاية الحاكم، إلّا أنّ لزوم الضرر في الصبر على دون مهر المثل دلّ على عدم وجوب الصبر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لم يكن النكاح من باب المعاوضة المحضة، بأن يلزم من عدم إمضاء أحد العوضين ردّا لآخر، بل وجدنا موارد تفكيك النكاح عن الصداق المسمّى في العقد، اقتصر في دفع الضرر على الاعتراض في المهر خاصّة، كيف و إن عملنا بمقتضى كون ما وقع في الخارج أمرا واحدا شخصيّا، لزم بحكم العقل استحالة الحكم بثبوت العقد دون المهر، أو ثبوت الخيار في المهر دون العقد، و لم يقبل ذلك التخصيص،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تزويج الولي بمقتضى العمومات، الأصل فيه اللزوم و الجواز على المزوّجة، و قد عرفت منع دعوى الانصراف، إلّا أنّ نفي الضرر و الحرج دلّ على عدم وجوب صبر المزوّجة على الصداق المسمّى، و المفروض أنّه لا يستحيل في الشرع الحكم على العقد باللزوم و على الصداق بعدمه، بل بعدم الصحة، فجمعنا بين مقتضى ما دلّ على لزوم التزويج عليها و ما دلّ على نفي الضرر عليها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حديث عدم جواز التفكيك بين العقد الفضولي و الصداق المسمّى فيه بإجازة الأوّل دون الثاني، فقياس مع الفارق؛ لأنّا نعترف بأنّ التزويج الواقع على صداق مسمّى أمر واحد مشخص </w:t>
      </w:r>
      <w:r>
        <w:rPr>
          <w:rStyle w:val="FootnoteAnchor"/>
          <w:rtl w:val="true"/>
        </w:rPr>
        <w:footnoteReference w:id="751"/>
      </w:r>
      <w:r>
        <w:rPr>
          <w:rFonts w:ascii="Amiri" w:hAnsi="Amiri" w:eastAsia="Amiri" w:cs="Amiri"/>
          <w:color w:val="111111"/>
          <w:sz w:val="28"/>
          <w:sz w:val="28"/>
          <w:szCs w:val="28"/>
          <w:rtl w:val="true"/>
          <w:lang w:bidi="ar-SA"/>
        </w:rPr>
        <w:t>في الخارج، لا يجوز لأحد الزوجين إجازة التزويج دون الصداق؛ إذ ليس إلّا إنشاء واحد إن أجيز</w:t>
      </w:r>
    </w:p>
    <w:p>
      <w:pPr>
        <w:pStyle w:val="BookText"/>
        <w:rPr/>
      </w:pPr>
      <w:r>
        <w:rPr>
          <w:rFonts w:ascii="Amiri" w:hAnsi="Amiri" w:eastAsia="Amiri" w:cs="Amiri"/>
          <w:color w:val="111111"/>
          <w:sz w:val="28"/>
          <w:sz w:val="28"/>
          <w:szCs w:val="28"/>
          <w:rtl w:val="true"/>
          <w:lang w:bidi="ar-SA"/>
        </w:rPr>
        <w:t>جاز و إن ردّ ردّ من أصله، فإنّ إجازة التزويج الواقع بغير ذلك الصداق ليست إجازة للعقد بالبداهة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قد حكم في موارد كثيرة بلزوم التزويج دون الصداق، فأدلّة نفي الضرر في المقام لا يثبت إلّا جواز الاعتراض في الصداق، و لا دليل على جواز الاعتراض في العقد، و فرق بيّن بين تفكيك المعقود له أو عليه بين التزويج و الصداق المسمّى فيه بأن يجيز أحدهما دون الآخر، و بين حكم الشارع بلزوم أحدهما، و يجي‌ء الدليل من الخارج على توقف الآخر على إجازة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قال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بهذا، فقال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نصفه بنصفه، لم يكن القبول مطابقا للإيجاب؛ لأنّ الإيجاب إنشاء واحد لم يحصل قبوله من القابل، و أمّا إذا قبل الكلّ بالكلّ ثمّ ظهر النصف مستحقّا للغير، فإنّه يحكم بلزوم العقد بالنسبة إلى النصف الغير المستحقّ، مع أنّ العقد غير قابل للتبعّض؛ لأنّه إنشاء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حكموا بأنّه </w:t>
      </w:r>
      <w:r>
        <w:rPr>
          <w:rStyle w:val="FootnoteAnchor"/>
          <w:rtl w:val="true"/>
        </w:rPr>
        <w:footnoteReference w:id="752"/>
      </w:r>
      <w:r>
        <w:rPr>
          <w:rFonts w:ascii="Amiri" w:hAnsi="Amiri" w:eastAsia="Amiri" w:cs="Amiri"/>
          <w:color w:val="111111"/>
          <w:sz w:val="28"/>
          <w:sz w:val="28"/>
          <w:szCs w:val="28"/>
          <w:rtl w:val="true"/>
          <w:lang w:bidi="ar-SA"/>
        </w:rPr>
        <w:t>إذا أذن المولى في التزويج بمهر المثل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انصراف الإطلاق إلى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العبد بأزيد منه بصحّة التزويج و تعلّق الزائد عن مهر المثل في ذمّة العبد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المأذون شي‌ء واحد، و هو التزويج بمهر المثل، و لم يقع، و ما وقع لم يأذن </w:t>
      </w:r>
      <w:r>
        <w:rPr>
          <w:rStyle w:val="FootnoteAnchor"/>
          <w:rtl w:val="true"/>
        </w:rPr>
        <w:footnoteReference w:id="753"/>
      </w:r>
      <w:r>
        <w:rPr>
          <w:rFonts w:ascii="Amiri" w:hAnsi="Amiri" w:eastAsia="Amiri" w:cs="Amiri"/>
          <w:color w:val="111111"/>
          <w:sz w:val="28"/>
          <w:sz w:val="28"/>
          <w:szCs w:val="28"/>
          <w:rtl w:val="true"/>
          <w:lang w:bidi="ar-SA"/>
        </w:rPr>
        <w:t>فيه، فكان مقتضى الإيراد توقّف أصل العقد على</w:t>
      </w:r>
    </w:p>
    <w:p>
      <w:pPr>
        <w:pStyle w:val="BookText"/>
        <w:rPr/>
      </w:pPr>
      <w:r>
        <w:rPr>
          <w:rFonts w:ascii="Amiri" w:hAnsi="Amiri" w:eastAsia="Amiri" w:cs="Amiri"/>
          <w:color w:val="111111"/>
          <w:sz w:val="28"/>
          <w:sz w:val="28"/>
          <w:szCs w:val="28"/>
          <w:rtl w:val="true"/>
          <w:lang w:bidi="ar-SA"/>
        </w:rPr>
        <w:t xml:space="preserve">الإجازة، مع أنّهم لم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معلّلين بأنّ التعدّي إنّما كان في مهر المثل، فالتزويج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حكي </w:t>
      </w:r>
      <w:r>
        <w:rPr>
          <w:rStyle w:val="FootnoteAnchor"/>
          <w:rtl w:val="true"/>
        </w:rPr>
        <w:footnoteReference w:id="755"/>
      </w:r>
      <w:r>
        <w:rPr>
          <w:rFonts w:ascii="Amiri" w:hAnsi="Amiri" w:eastAsia="Amiri" w:cs="Amiri"/>
          <w:color w:val="111111"/>
          <w:sz w:val="28"/>
          <w:sz w:val="28"/>
          <w:szCs w:val="28"/>
          <w:rtl w:val="true"/>
          <w:lang w:bidi="ar-SA"/>
        </w:rPr>
        <w:t>عن جامع المقاصد 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الأنسب بالقواعد ثبوت الخيار للمولى في العقد أو الصداق </w:t>
      </w:r>
      <w:r>
        <w:rPr>
          <w:rStyle w:val="FootnoteAnchor"/>
          <w:rtl w:val="true"/>
        </w:rPr>
        <w:footnoteReference w:id="7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أنّه لو قلنا هناك بالخيار في العقد لم يلزم القول به هنا، فتدبّر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 أن تقول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لها الاعتراض في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هو التسلّط على فسخه و الرجوع إلى مهر المثل، 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المزوّجة لها التسلّط على مطالبة الزوج بما يزيد على المسمّى، بحيث يكون المجموع بقدر مهر المثل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تظهر الثمرة بين هذا المعنى و بين ثبوت الخيار لها في فسخ المسمّى و الرجوع إلى مهر المثل، فيما إذا كان الصداق المسمّى عينا، فإنّها بعد الفسخ ترجع إلى مهر المثل في ذمّة الزوج، و أمّا على هذا المعنى فإنّ ملكها باق على العين </w:t>
      </w:r>
      <w:r>
        <w:rPr>
          <w:rStyle w:val="FootnoteAnchor"/>
          <w:rtl w:val="true"/>
        </w:rPr>
        <w:footnoteReference w:id="758"/>
      </w:r>
      <w:r>
        <w:rPr>
          <w:rFonts w:ascii="Amiri" w:hAnsi="Amiri" w:eastAsia="Amiri" w:cs="Amiri"/>
          <w:color w:val="111111"/>
          <w:sz w:val="28"/>
          <w:sz w:val="28"/>
          <w:szCs w:val="28"/>
          <w:rtl w:val="true"/>
          <w:lang w:bidi="ar-SA"/>
        </w:rPr>
        <w:t xml:space="preserve">المسمّى صداقا، و لها مطالبة الزوج بالزائد، و بين الرضى بذلك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العين الذي هو في معنى إسقاط ما يطلبه، كرضى مشتري </w:t>
      </w:r>
      <w:r>
        <w:rPr>
          <w:rStyle w:val="FootnoteAnchor"/>
          <w:rtl w:val="true"/>
        </w:rPr>
        <w:footnoteReference w:id="760"/>
      </w:r>
      <w:r>
        <w:rPr>
          <w:rFonts w:ascii="Amiri" w:hAnsi="Amiri" w:eastAsia="Amiri" w:cs="Amiri"/>
          <w:color w:val="111111"/>
          <w:sz w:val="28"/>
          <w:sz w:val="28"/>
          <w:szCs w:val="28"/>
          <w:rtl w:val="true"/>
          <w:lang w:bidi="ar-SA"/>
        </w:rPr>
        <w:t>المعيب به من غير 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كلّ تقدير، لو أعرضت المزوّجة و ألزم الزوج بمهر المثل، فهل له الفسخ؛ لأنّه إنّما أقدم على تزوّجها </w:t>
      </w:r>
      <w:r>
        <w:rPr>
          <w:rStyle w:val="FootnoteAnchor"/>
          <w:rtl w:val="true"/>
        </w:rPr>
        <w:footnoteReference w:id="761"/>
      </w:r>
      <w:r>
        <w:rPr>
          <w:rFonts w:ascii="Amiri" w:hAnsi="Amiri" w:eastAsia="Amiri" w:cs="Amiri"/>
          <w:color w:val="111111"/>
          <w:sz w:val="28"/>
          <w:sz w:val="28"/>
          <w:szCs w:val="28"/>
          <w:rtl w:val="true"/>
          <w:lang w:bidi="ar-SA"/>
        </w:rPr>
        <w:t>بالمسمّى، أم لا؟ أم فيه تفصيل بين علم الزوج بالحال الموجب لإقدامه على التزويج و إن آل الأمر إلى الاعتراض و الإلزام بمهر المثل، و بين جهله بالحال؟ وجوه، و المسألة مشكلة من أنّ إلزامه بأزيد ممّا أقدم عليه ضرر، و من أصالة اللزوم و عدم الدليل على الخيار؛ و أنّ مهر المثل قيمة المثل للبضع فبذله في مقابله لا يعدّ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زوّجها بدون مهر المثل، أو بغير الكف‌ء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زوّجها بالمجنون الكف‌ء بمهر المثل أو الخصي أو العنين، فالأقوى أنّ لها الاعتراض أيضا؛ لعموم نفي الضرر </w:t>
      </w:r>
      <w:r>
        <w:rPr>
          <w:rStyle w:val="FootnoteAnchor"/>
          <w:rtl w:val="true"/>
        </w:rPr>
        <w:footnoteReference w:id="762"/>
      </w:r>
      <w:r>
        <w:rPr>
          <w:rFonts w:ascii="Amiri" w:hAnsi="Amiri" w:eastAsia="Amiri" w:cs="Amiri"/>
          <w:color w:val="111111"/>
          <w:sz w:val="28"/>
          <w:sz w:val="28"/>
          <w:szCs w:val="28"/>
          <w:rtl w:val="true"/>
          <w:lang w:bidi="ar-SA"/>
        </w:rPr>
        <w:t>، مع انصراف أدلّة الولاية إلى غير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عليه في المسالك بوجود العيب الموجب له لو كان هو المباشر جاهلا، و فعل الولي له حال صغره بمنزلة الجهل </w:t>
      </w:r>
      <w:r>
        <w:rPr>
          <w:rStyle w:val="FootnoteAnchor"/>
          <w:rtl w:val="true"/>
        </w:rPr>
        <w:footnoteReference w:id="763"/>
      </w:r>
      <w:r>
        <w:rPr>
          <w:rFonts w:ascii="Amiri" w:hAnsi="Amiri" w:eastAsia="Amiri" w:cs="Amiri"/>
          <w:color w:val="111111"/>
          <w:sz w:val="28"/>
          <w:sz w:val="28"/>
          <w:szCs w:val="28"/>
          <w:rtl w:val="true"/>
          <w:lang w:bidi="ar-SA"/>
        </w:rPr>
        <w:t xml:space="preserve">، و تبعه في هذا الاستدلال بعض المعاصرين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المنزلة المدّعاة، و اختصاص ما دلّ على الفسخ بأحد</w:t>
      </w:r>
    </w:p>
    <w:p>
      <w:pPr>
        <w:pStyle w:val="BookText"/>
        <w:rPr/>
      </w:pPr>
      <w:r>
        <w:rPr>
          <w:rFonts w:ascii="Amiri" w:hAnsi="Amiri" w:eastAsia="Amiri" w:cs="Amiri"/>
          <w:color w:val="111111"/>
          <w:sz w:val="28"/>
          <w:sz w:val="28"/>
          <w:szCs w:val="28"/>
          <w:rtl w:val="true"/>
          <w:lang w:bidi="ar-SA"/>
        </w:rPr>
        <w:t xml:space="preserve">العيوب </w:t>
      </w:r>
      <w:r>
        <w:rPr>
          <w:rStyle w:val="FootnoteAnchor"/>
          <w:rtl w:val="true"/>
        </w:rPr>
        <w:footnoteReference w:id="765"/>
      </w:r>
      <w:r>
        <w:rPr>
          <w:rFonts w:ascii="Amiri" w:hAnsi="Amiri" w:eastAsia="Amiri" w:cs="Amiri"/>
          <w:color w:val="111111"/>
          <w:sz w:val="28"/>
          <w:sz w:val="28"/>
          <w:szCs w:val="28"/>
          <w:rtl w:val="true"/>
          <w:lang w:bidi="ar-SA"/>
        </w:rPr>
        <w:t>بما إذا جهل الزوج، لا ما إذا عقد الولي مع العلم،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الولي على المولّى عليه قبل الكمال بمنزلة عقد الولي عليه بعده، فكما لا خيار له لو عقد مع العلم، فكذا لو عقد وليّه مع العلم، فالأولى في الاستدلال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يشكل الحكم مع المصلحة، كما إذا كانت المرأة رتقاء </w:t>
      </w:r>
      <w:r>
        <w:rPr>
          <w:rStyle w:val="FootnoteAnchor"/>
          <w:rtl w:val="true"/>
        </w:rPr>
        <w:footnoteReference w:id="766"/>
      </w:r>
      <w:r>
        <w:rPr>
          <w:rFonts w:ascii="IRNazanin" w:hAnsi="IRNazanin" w:eastAsia="IRNazanin"/>
          <w:color w:val="111111"/>
          <w:sz w:val="28"/>
          <w:sz w:val="28"/>
          <w:szCs w:val="28"/>
          <w:rtl w:val="true"/>
          <w:lang w:bidi="fa-IR"/>
        </w:rPr>
        <w:t xml:space="preserve">أو قرناء </w:t>
      </w:r>
      <w:r>
        <w:rPr>
          <w:rStyle w:val="FootnoteAnchor"/>
          <w:rtl w:val="true"/>
        </w:rPr>
        <w:footnoteReference w:id="767"/>
      </w:r>
      <w:r>
        <w:rPr>
          <w:rFonts w:ascii="Amiri" w:hAnsi="Amiri" w:eastAsia="Amiri" w:cs="Amiri"/>
          <w:color w:val="111111"/>
          <w:sz w:val="28"/>
          <w:sz w:val="28"/>
          <w:szCs w:val="28"/>
          <w:rtl w:val="true"/>
          <w:lang w:bidi="ar-SA"/>
        </w:rPr>
        <w:t xml:space="preserve">أو مجنونة بالجنون الأدواري، بحيث لا يحصل لها </w:t>
      </w:r>
      <w:r>
        <w:rPr>
          <w:rStyle w:val="FootnoteAnchor"/>
          <w:rtl w:val="true"/>
        </w:rPr>
        <w:footnoteReference w:id="768"/>
      </w:r>
      <w:r>
        <w:rPr>
          <w:rFonts w:ascii="Amiri" w:hAnsi="Amiri" w:eastAsia="Amiri" w:cs="Amiri"/>
          <w:color w:val="111111"/>
          <w:sz w:val="28"/>
          <w:sz w:val="28"/>
          <w:szCs w:val="28"/>
          <w:rtl w:val="true"/>
          <w:lang w:bidi="ar-SA"/>
        </w:rPr>
        <w:t>كف‌ء غير هؤلاء المعيوبين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لو زوّج الطفل بذات عيب من العيوب الثلاثة، و غيرها من عيوب المرأة المجوّزة للفسخ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زوّجها من مملوك لم يكن لها الفسخ لعدم ضرر عرفا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اعتراض للصبيّ لو زوّجه بمملوكة على رأي خلافا لمن قال بعدم جواز نكاح الأمة بدون خوف العنت المنفي في حقّ الصغير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في إذن البكر حيث يعتبر سكوتها على المشهور،</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فيه مخالفا منّا إلّا ابن إدريس </w:t>
      </w:r>
      <w:r>
        <w:rPr>
          <w:rStyle w:val="FootnoteAnchor"/>
          <w:rtl w:val="true"/>
        </w:rPr>
        <w:footnoteReference w:id="770"/>
      </w:r>
      <w:r>
        <w:rPr>
          <w:rFonts w:ascii="Amiri" w:hAnsi="Amiri" w:eastAsia="Amiri" w:cs="Amiri"/>
          <w:color w:val="111111"/>
          <w:sz w:val="28"/>
          <w:sz w:val="28"/>
          <w:szCs w:val="28"/>
          <w:rtl w:val="true"/>
          <w:lang w:bidi="ar-SA"/>
        </w:rPr>
        <w:t xml:space="preserve">و لعلّه للأصل، و لعدم صدق الإذن عليه، و عدم دلالته على الرضى، و طرح ما دلّ من الأخبار </w:t>
      </w:r>
      <w:r>
        <w:rPr>
          <w:rStyle w:val="FootnoteAnchor"/>
          <w:rtl w:val="true"/>
        </w:rPr>
        <w:footnoteReference w:id="771"/>
      </w:r>
      <w:r>
        <w:rPr>
          <w:rFonts w:ascii="Amiri" w:hAnsi="Amiri" w:eastAsia="Amiri" w:cs="Amiri"/>
          <w:color w:val="111111"/>
          <w:sz w:val="28"/>
          <w:sz w:val="28"/>
          <w:szCs w:val="28"/>
          <w:rtl w:val="true"/>
          <w:lang w:bidi="ar-SA"/>
        </w:rPr>
        <w:t>على ذلك و إن كانت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الضحك بالسكوت </w:t>
      </w:r>
      <w:r>
        <w:rPr>
          <w:rStyle w:val="FootnoteAnchor"/>
          <w:rtl w:val="true"/>
        </w:rPr>
        <w:footnoteReference w:id="772"/>
      </w:r>
      <w:r>
        <w:rPr>
          <w:rFonts w:ascii="Amiri" w:hAnsi="Amiri" w:eastAsia="Amiri" w:cs="Amiri"/>
          <w:color w:val="111111"/>
          <w:sz w:val="28"/>
          <w:sz w:val="28"/>
          <w:szCs w:val="28"/>
          <w:rtl w:val="true"/>
          <w:lang w:bidi="ar-SA"/>
        </w:rPr>
        <w:t>، و 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البكاء به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تكلّف الثيّب النطق للأصل و الأخبار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ذهبت بكارتها بجماع أو غيره، قبالا للبكر، و لكن </w:t>
      </w:r>
      <w:r>
        <w:rPr>
          <w:rStyle w:val="FootnoteAnchor"/>
          <w:rtl w:val="true"/>
        </w:rPr>
        <w:footnoteReference w:id="775"/>
      </w:r>
      <w:r>
        <w:rPr>
          <w:rFonts w:ascii="Amiri" w:hAnsi="Amiri" w:eastAsia="Amiri" w:cs="Amiri"/>
          <w:color w:val="111111"/>
          <w:sz w:val="28"/>
          <w:sz w:val="28"/>
          <w:szCs w:val="28"/>
          <w:rtl w:val="true"/>
          <w:lang w:bidi="ar-SA"/>
        </w:rPr>
        <w:t>إطلاق الثيّب ينصرف إلى من ذهبت بكارتها بالوطء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أن تزوّج البالغة الرشيدة نفسها من غير وليّ سواء قلنا باستقلالها أم لا؛ إذ غاية الأمر على الثاني وقوع العقد الصادر منها فضوليّا موقوفا على إجازة وليّها، و ليست مسلوبة العبارة، خلافا للمحكي عن بعض العامّة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ولاية للكافر و المجنون و المغمى عليه أمّا عدم ولاية الكافر</w:t>
      </w:r>
    </w:p>
    <w:p>
      <w:pPr>
        <w:pStyle w:val="BookText"/>
        <w:rPr/>
      </w:pPr>
      <w:r>
        <w:rPr>
          <w:rFonts w:ascii="Amiri" w:hAnsi="Amiri" w:eastAsia="Amiri" w:cs="Amiri"/>
          <w:color w:val="111111"/>
          <w:sz w:val="28"/>
          <w:sz w:val="28"/>
          <w:szCs w:val="28"/>
          <w:rtl w:val="true"/>
          <w:lang w:bidi="ar-SA"/>
        </w:rPr>
        <w:t xml:space="preserve">على المسلم و المسلمة، فلنفي السبيل له عليهما،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 و قد تقدّم الكلام فيه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عدم ولاية المجنون و المغمى عليه، فلعجزهما عن القيام بوظائف الولاية من اختيار الأزواج، و النظر في أحوالهم، و إدراك التفاوت بينهم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من ذلك عدم صحّة العقد أو الإذن الواقع منهم في هذا الحال، فهو مسلّم، لكنّه لا يوجب ارتفاع الولاية بمعنى عدم انتظار زوال عذرهم مع عدم الحرج و المشقّة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أريد زوال ولايتهم</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 فهو ممنوع، لم لا يجوز أن يكون العذر كالنوم و غيره من أسباب العجز؟ نعم، لو ثبت إجماع على زوال الولاية منهما فهو المتّبع</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زال المانع عادت الولاية مع وجود مناطها، كالأبوّة و الجدودة و الحكومة، قيل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كالوصاية، فإنّ عود الولاية في الوصي بعد زوال المسقط يحتاج إلى دليل،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حسن، إذا قلنا بالولاية بمجرّد الوصاية المطلقة، أمّا إذا خصّصناها بما إذا نصّ الموصي على الولاية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الأقوال في المسألة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بزوال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ولاية للمولى على من تحرّر بعضه و إن لم يجز له التزويج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اختار الأب زوجا لصغيرته و الجد زوجا آخر، قدّم اختيار الجد لصحيحة محمد بن مسلم </w:t>
      </w:r>
      <w:r>
        <w:rPr>
          <w:rStyle w:val="FootnoteAnchor"/>
          <w:rtl w:val="true"/>
        </w:rPr>
        <w:footnoteReference w:id="783"/>
      </w:r>
      <w:r>
        <w:rPr>
          <w:rFonts w:ascii="Amiri" w:hAnsi="Amiri" w:eastAsia="Amiri" w:cs="Amiri"/>
          <w:color w:val="111111"/>
          <w:sz w:val="28"/>
          <w:sz w:val="28"/>
          <w:szCs w:val="28"/>
          <w:rtl w:val="true"/>
          <w:lang w:bidi="ar-SA"/>
        </w:rPr>
        <w:t xml:space="preserve">و موثّقة عبيد بن زرارة بابني فضال و بكير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عقدا قدّم السابق أبا كان أو جدّا فإن اقترنا بالفراغ من قبولهما في زمان واحد قدّم عقد الجدّ؛ لصحيحة هشام بن سالم و محمد ابن حكيم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الأب و الجدّ كان التزويج للأوّل، فإن كانا جميعا في حالة واحدة فالجدّ أولى</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حكم الجدّ أب الجدّ و جدّ الجدّ مع مزاحمة الأب؛ لصدق الجدّ على الكلّ، فيدخل في المنصوص</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الجدّ مع أبيه في حكم ابنه معه، أم لا؟ إشكال، من عدم النص، و ممّا يستنبط من بعض الأخبار من أولوية الأب من </w:t>
      </w:r>
      <w:r>
        <w:rPr>
          <w:rStyle w:val="FootnoteAnchor"/>
          <w:rtl w:val="true"/>
        </w:rPr>
        <w:footnoteReference w:id="786"/>
      </w:r>
      <w:r>
        <w:rPr>
          <w:rFonts w:ascii="Amiri" w:hAnsi="Amiri" w:eastAsia="Amiri" w:cs="Amiri"/>
          <w:color w:val="111111"/>
          <w:sz w:val="28"/>
          <w:sz w:val="28"/>
          <w:szCs w:val="28"/>
          <w:rtl w:val="true"/>
          <w:lang w:bidi="ar-SA"/>
        </w:rPr>
        <w:t>استدلال الإمام عليه السلام على صحّة تزويج الجدّ بدون إذن الأب بما روي عن رسول اللّٰه صلّى اللّٰه عليه و آله و سلّم لمن جاء يستعدي على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 مقتضى الأدلّة الأربعة أنّه لا يجوز نكاح الأمة إلّا بإذن مالكها سواء في ذلك الدائم و المنقطع و إن كان المالك امرأة على رأي </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فيه فجوّز التمتع بها بدون إذن مولاتها</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مستندا إلى بعض الأخبار الصحيحة </w:t>
      </w:r>
      <w:r>
        <w:rPr>
          <w:rStyle w:val="FootnoteAnchor"/>
          <w:rtl w:val="true"/>
        </w:rPr>
        <w:footnoteReference w:id="790"/>
      </w:r>
      <w:r>
        <w:rPr>
          <w:rFonts w:ascii="Amiri" w:hAnsi="Amiri" w:eastAsia="Amiri" w:cs="Amiri"/>
          <w:color w:val="111111"/>
          <w:sz w:val="28"/>
          <w:sz w:val="28"/>
          <w:szCs w:val="28"/>
          <w:rtl w:val="true"/>
          <w:lang w:bidi="ar-SA"/>
        </w:rPr>
        <w:t xml:space="preserve">الغير المقاوم </w:t>
      </w:r>
      <w:r>
        <w:rPr>
          <w:rStyle w:val="FootnoteAnchor"/>
          <w:rtl w:val="true"/>
        </w:rPr>
        <w:footnoteReference w:id="791"/>
      </w:r>
      <w:r>
        <w:rPr>
          <w:rFonts w:ascii="Amiri" w:hAnsi="Amiri" w:eastAsia="Amiri" w:cs="Amiri"/>
          <w:color w:val="111111"/>
          <w:sz w:val="28"/>
          <w:sz w:val="28"/>
          <w:szCs w:val="28"/>
          <w:rtl w:val="true"/>
          <w:lang w:bidi="ar-SA"/>
        </w:rPr>
        <w:t xml:space="preserve">للأدلّة العقلية </w:t>
      </w:r>
      <w:r>
        <w:rPr>
          <w:rStyle w:val="FootnoteAnchor"/>
          <w:rtl w:val="true"/>
        </w:rPr>
        <w:footnoteReference w:id="792"/>
      </w:r>
      <w:r>
        <w:rPr>
          <w:rFonts w:ascii="Amiri" w:hAnsi="Amiri" w:eastAsia="Amiri" w:cs="Amiri"/>
          <w:color w:val="111111"/>
          <w:sz w:val="28"/>
          <w:sz w:val="28"/>
          <w:szCs w:val="28"/>
          <w:rtl w:val="true"/>
          <w:lang w:bidi="ar-SA"/>
        </w:rPr>
        <w:t xml:space="preserve">و النقلية </w:t>
      </w:r>
      <w:r>
        <w:rPr>
          <w:rStyle w:val="FootnoteAnchor"/>
          <w:rtl w:val="true"/>
        </w:rPr>
        <w:footnoteReference w:id="793"/>
      </w:r>
      <w:r>
        <w:rPr>
          <w:rFonts w:ascii="Amiri" w:hAnsi="Amiri" w:eastAsia="Amiri" w:cs="Amiri"/>
          <w:color w:val="111111"/>
          <w:sz w:val="28"/>
          <w:sz w:val="28"/>
          <w:szCs w:val="28"/>
          <w:rtl w:val="true"/>
          <w:lang w:bidi="ar-SA"/>
        </w:rPr>
        <w:t>، و بعض الاعتبارات،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أمة المرأة محرومة عن الوطء، و ربّما لم تأذن لها مولاتها في التزوّج، فجعلها الشارع في هذا الأمر بخصوصه مستقلّة غير محجورة، و لا يلزم من ذلك منافاة للعقل و النقل إلّا بملاحظة أدلّة الحجر على المملوكة، و أنّ نفسها و منافعها و بضعها مال المولى </w:t>
      </w:r>
      <w:r>
        <w:rPr>
          <w:rStyle w:val="FootnoteAnchor"/>
          <w:rtl w:val="true"/>
        </w:rPr>
        <w:footnoteReference w:id="794"/>
      </w:r>
      <w:r>
        <w:rPr>
          <w:rFonts w:ascii="Amiri" w:hAnsi="Amiri" w:eastAsia="Amiri" w:cs="Amiri"/>
          <w:color w:val="111111"/>
          <w:sz w:val="28"/>
          <w:sz w:val="28"/>
          <w:szCs w:val="28"/>
          <w:rtl w:val="true"/>
          <w:lang w:bidi="ar-SA"/>
        </w:rPr>
        <w:t>، و لا يبعد تخصيص تلك الأدلّة بالصحيحة الواردة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ولد الرقيقين رقّ لمولاهما بلا خلاف على الظاهر المصرّح به في المسالك </w:t>
      </w:r>
      <w:r>
        <w:rPr>
          <w:rStyle w:val="FootnoteAnchor"/>
          <w:rtl w:val="true"/>
        </w:rPr>
        <w:footnoteReference w:id="795"/>
      </w:r>
      <w:r>
        <w:rPr>
          <w:rFonts w:ascii="Amiri" w:hAnsi="Amiri" w:eastAsia="Amiri" w:cs="Amiri"/>
          <w:color w:val="111111"/>
          <w:sz w:val="28"/>
          <w:sz w:val="28"/>
          <w:szCs w:val="28"/>
          <w:rtl w:val="true"/>
          <w:lang w:bidi="ar-SA"/>
        </w:rPr>
        <w:t>إذ لا وجه لحريّته مع أنّه نماء الملك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تعدد المالك لهما فالولد بينهما على المشهور؛ لأنّه نماء ملكهما، إذ لا مزيّة لأحدهما على الآخر و النسب لا حق بهما، بخلاف باقي</w:t>
      </w:r>
    </w:p>
    <w:p>
      <w:pPr>
        <w:pStyle w:val="BookText"/>
        <w:rPr/>
      </w:pPr>
      <w:r>
        <w:rPr>
          <w:rFonts w:ascii="Amiri" w:hAnsi="Amiri" w:eastAsia="Amiri" w:cs="Amiri"/>
          <w:color w:val="111111"/>
          <w:sz w:val="28"/>
          <w:sz w:val="28"/>
          <w:szCs w:val="28"/>
          <w:rtl w:val="true"/>
          <w:lang w:bidi="ar-SA"/>
        </w:rPr>
        <w:t>الحيوانات فإنّ النسب غير معتبر، و النموّ و التبعيّة لاحق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فرّق، و فيه خفاء كما صرّح به غير واحد </w:t>
      </w:r>
      <w:r>
        <w:rPr>
          <w:rStyle w:val="FootnoteAnchor"/>
          <w:rtl w:val="true"/>
        </w:rPr>
        <w:footnoteReference w:id="796"/>
      </w:r>
      <w:r>
        <w:rPr>
          <w:rFonts w:ascii="Amiri" w:hAnsi="Amiri" w:eastAsia="Amiri" w:cs="Amiri"/>
          <w:color w:val="111111"/>
          <w:sz w:val="28"/>
          <w:sz w:val="28"/>
          <w:szCs w:val="28"/>
          <w:rtl w:val="true"/>
          <w:lang w:bidi="ar-SA"/>
        </w:rPr>
        <w:t xml:space="preserve">، و لعلّه لذا حكي عن الحلبي إلحاقه بالأمّ كما في سائر الحيوانات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يشترطه أحدهما لنفسه</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و لو شرطه أحدهما ملكه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كان أحد أبويه حرا تبعه الولد إن كان وطأها بالملك إجماعا ظاهرا، و كذا إن وطأها بالتحليل أو التزويج على المشهور؛ للأخبار المستفيضة </w:t>
      </w:r>
      <w:r>
        <w:rPr>
          <w:rStyle w:val="FootnoteAnchor"/>
          <w:rtl w:val="true"/>
        </w:rPr>
        <w:footnoteReference w:id="800"/>
      </w:r>
      <w:r>
        <w:rPr>
          <w:rFonts w:ascii="Amiri" w:hAnsi="Amiri" w:eastAsia="Amiri" w:cs="Amiri"/>
          <w:color w:val="111111"/>
          <w:sz w:val="28"/>
          <w:sz w:val="28"/>
          <w:szCs w:val="28"/>
          <w:rtl w:val="true"/>
          <w:lang w:bidi="ar-SA"/>
        </w:rPr>
        <w:t xml:space="preserve">القريبة المذكورة أكثرها في الكافي </w:t>
      </w:r>
      <w:r>
        <w:rPr>
          <w:rStyle w:val="FootnoteAnchor"/>
          <w:rtl w:val="true"/>
        </w:rPr>
        <w:footnoteReference w:id="801"/>
      </w:r>
      <w:r>
        <w:rPr>
          <w:rFonts w:ascii="Amiri" w:hAnsi="Amiri" w:eastAsia="Amiri" w:cs="Amiri"/>
          <w:color w:val="111111"/>
          <w:sz w:val="28"/>
          <w:sz w:val="28"/>
          <w:szCs w:val="28"/>
          <w:rtl w:val="true"/>
          <w:lang w:bidi="ar-SA"/>
        </w:rPr>
        <w:t xml:space="preserve">، خلافا للمحكي عن الإسكافي </w:t>
      </w:r>
      <w:r>
        <w:rPr>
          <w:rStyle w:val="FootnoteAnchor"/>
          <w:rtl w:val="true"/>
        </w:rPr>
        <w:footnoteReference w:id="802"/>
      </w:r>
      <w:r>
        <w:rPr>
          <w:rFonts w:ascii="Amiri" w:hAnsi="Amiri" w:eastAsia="Amiri" w:cs="Amiri"/>
          <w:color w:val="111111"/>
          <w:sz w:val="28"/>
          <w:sz w:val="28"/>
          <w:szCs w:val="28"/>
          <w:rtl w:val="true"/>
          <w:lang w:bidi="ar-SA"/>
        </w:rPr>
        <w:t xml:space="preserve">، فحكم برقّية الولد مطلقا، أو إذا كان الزوج حرّا على اختلاف الحكايتين، و مستنده فيما إذا كان الزوج حرّا بعض الأخبار </w:t>
      </w:r>
      <w:r>
        <w:rPr>
          <w:rStyle w:val="FootnoteAnchor"/>
          <w:rtl w:val="true"/>
        </w:rPr>
        <w:footnoteReference w:id="803"/>
      </w:r>
      <w:r>
        <w:rPr>
          <w:rFonts w:ascii="Amiri" w:hAnsi="Amiri" w:eastAsia="Amiri" w:cs="Amiri"/>
          <w:color w:val="111111"/>
          <w:sz w:val="28"/>
          <w:sz w:val="28"/>
          <w:szCs w:val="28"/>
          <w:rtl w:val="true"/>
          <w:lang w:bidi="ar-SA"/>
        </w:rPr>
        <w:t>، 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كلّا بما إذا كان الزوج حرّا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ما عليه المشهور؛ لاعتضاد روايته بالكثرة، و موافقة</w:t>
      </w:r>
    </w:p>
    <w:p>
      <w:pPr>
        <w:pStyle w:val="BookText"/>
        <w:rPr/>
      </w:pPr>
      <w:r>
        <w:rPr>
          <w:rFonts w:ascii="Amiri" w:hAnsi="Amiri" w:eastAsia="Amiri" w:cs="Amiri"/>
          <w:color w:val="111111"/>
          <w:sz w:val="28"/>
          <w:sz w:val="28"/>
          <w:szCs w:val="28"/>
          <w:rtl w:val="true"/>
          <w:lang w:bidi="ar-SA"/>
        </w:rPr>
        <w:t xml:space="preserve">المشهور، و مخالفة بعض الجمهور على ما قيل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مصير الإسكافي إليه، و مع ذلك كلّه فلو سلّم التكافؤ وجب الرجوع إلى الأصول، و هي مع الحرية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استثنى من هذا الحكم على المشهور صورة واحدة، أشار إليها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يشترط المولى الرقّية فيسترق حينئذ على قول مشهور، ضعيف المأخذ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الروضة </w:t>
      </w:r>
      <w:r>
        <w:rPr>
          <w:rStyle w:val="FootnoteAnchor"/>
          <w:rtl w:val="true"/>
        </w:rPr>
        <w:footnoteReference w:id="805"/>
      </w:r>
      <w:r>
        <w:rPr>
          <w:rFonts w:ascii="Amiri" w:hAnsi="Amiri" w:eastAsia="Amiri" w:cs="Amiri"/>
          <w:color w:val="111111"/>
          <w:sz w:val="28"/>
          <w:sz w:val="28"/>
          <w:szCs w:val="28"/>
          <w:rtl w:val="true"/>
          <w:lang w:bidi="ar-SA"/>
        </w:rPr>
        <w:t xml:space="preserve">و الرياض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رواية أبي بصير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Style w:val="FootnoteAnchor"/>
          <w:rtl w:val="true"/>
        </w:rPr>
        <w:footnoteReference w:id="807"/>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دبّر جارية ثم زوّجها من رجل فوطأها، كانت جاريته و ولدها منه مدبّرين، كما لو أنّ رجلا أتى قوما فتزوّج إليهم مملوكتهم، كان ما ولد لهم مماليك</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ظاهرها الحكم برقّية الولد، لكنه محمول على ما إذا شرط </w:t>
      </w:r>
      <w:r>
        <w:rPr>
          <w:rStyle w:val="FootnoteAnchor"/>
          <w:rtl w:val="true"/>
        </w:rPr>
        <w:footnoteReference w:id="809"/>
      </w:r>
      <w:r>
        <w:rPr>
          <w:rFonts w:ascii="Amiri" w:hAnsi="Amiri" w:eastAsia="Amiri" w:cs="Amiri"/>
          <w:color w:val="111111"/>
          <w:sz w:val="28"/>
          <w:sz w:val="28"/>
          <w:szCs w:val="28"/>
          <w:rtl w:val="true"/>
          <w:lang w:bidi="ar-SA"/>
        </w:rPr>
        <w:t>على الأب رقية الولد؛ لأنّ الأخبار المستفيضة الدالّة على حرّية الولد بحرّية أحد أبويه ناصّة في الحرّية مع عدم اشتراط الرقّية، لأنّه المتيقن من أفرادها، ظاهرة فيها مع اشتراط الرقّية، و هذه الرواية نصّ في الرقّية في صورة الاشتراط؛ لأنّها المتيقنة من إطلاقها، ظاهرة فيها في صورة عدم الاشتراط،</w:t>
      </w:r>
    </w:p>
    <w:p>
      <w:pPr>
        <w:pStyle w:val="BookText"/>
        <w:rPr/>
      </w:pPr>
      <w:r>
        <w:rPr>
          <w:rFonts w:ascii="Amiri" w:hAnsi="Amiri" w:eastAsia="Amiri" w:cs="Amiri"/>
          <w:color w:val="111111"/>
          <w:sz w:val="28"/>
          <w:sz w:val="28"/>
          <w:szCs w:val="28"/>
          <w:rtl w:val="true"/>
          <w:lang w:bidi="ar-SA"/>
        </w:rPr>
        <w:t xml:space="preserve">فينبغي رفع اليد عن </w:t>
      </w:r>
      <w:r>
        <w:rPr>
          <w:rStyle w:val="FootnoteAnchor"/>
          <w:rtl w:val="true"/>
        </w:rPr>
        <w:footnoteReference w:id="810"/>
      </w:r>
      <w:r>
        <w:rPr>
          <w:rFonts w:ascii="Amiri" w:hAnsi="Amiri" w:eastAsia="Amiri" w:cs="Amiri"/>
          <w:color w:val="111111"/>
          <w:sz w:val="28"/>
          <w:sz w:val="28"/>
          <w:szCs w:val="28"/>
          <w:rtl w:val="true"/>
          <w:lang w:bidi="ar-SA"/>
        </w:rPr>
        <w:t>ظاهر كلّ بنصّ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هذه الرواية بعض الروايات الأخر </w:t>
      </w:r>
      <w:r>
        <w:rPr>
          <w:rStyle w:val="FootnoteAnchor"/>
          <w:rtl w:val="true"/>
        </w:rPr>
        <w:footnoteReference w:id="811"/>
      </w:r>
      <w:r>
        <w:rPr>
          <w:rFonts w:ascii="Amiri" w:hAnsi="Amiri" w:eastAsia="Amiri" w:cs="Amiri"/>
          <w:color w:val="111111"/>
          <w:sz w:val="28"/>
          <w:sz w:val="28"/>
          <w:szCs w:val="28"/>
          <w:rtl w:val="true"/>
          <w:lang w:bidi="ar-SA"/>
        </w:rPr>
        <w:t>، الدالّة بظاهرها على مذهب الإسكافي، التي يمكن حملها على صورة اشتراط الرقّية جمعا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 ذلك موافقة أخبار الرقّية بإطلاقها للتقيّة؛ إذ لا منافاة في أن يكون العام الصادر عن المعصوم عليه السلام بظاهره موافقا لمذهب العامّة، و أريد به </w:t>
      </w:r>
      <w:r>
        <w:rPr>
          <w:rStyle w:val="FootnoteAnchor"/>
          <w:rtl w:val="true"/>
        </w:rPr>
        <w:footnoteReference w:id="812"/>
      </w:r>
      <w:r>
        <w:rPr>
          <w:rFonts w:ascii="Amiri" w:hAnsi="Amiri" w:eastAsia="Amiri" w:cs="Amiri"/>
          <w:color w:val="111111"/>
          <w:sz w:val="28"/>
          <w:sz w:val="28"/>
          <w:szCs w:val="28"/>
          <w:rtl w:val="true"/>
          <w:lang w:bidi="ar-SA"/>
        </w:rPr>
        <w:t>الخاصّ الموافق للحكم الواقعي بقرينة منفصلة، بل هذا أحسن أفراد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أنّ روايات الحرّية على الإطلاق أقوى دلالة و أكثر عددا، مع أنّ الجمع المذكور لا شاهد عليه، فالواجب في مثله مع عدم المرجّح بين </w:t>
      </w:r>
      <w:r>
        <w:rPr>
          <w:rStyle w:val="FootnoteAnchor"/>
          <w:rtl w:val="true"/>
        </w:rPr>
        <w:footnoteReference w:id="813"/>
      </w:r>
      <w:r>
        <w:rPr>
          <w:rFonts w:ascii="IRNazanin" w:hAnsi="IRNazanin" w:eastAsia="IRNazanin"/>
          <w:color w:val="111111"/>
          <w:sz w:val="28"/>
          <w:sz w:val="28"/>
          <w:szCs w:val="28"/>
          <w:rtl w:val="true"/>
          <w:lang w:bidi="fa-IR"/>
        </w:rPr>
        <w:t>الأخبار الرجوع إلى مقتضى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حديث وجوب الوفاء بالشروط و العقود المتضمنة لها، فلا ربط له بما نحن فيه؛ لأنّ رقّية الولد ليس ممّا يملكه الشخص حتّى يلتزم به، فإنّ الحق فيه للّٰه سبحانه و لا تسلّط للعباد عليه، فليس رقّية الولد قابلا لأن يلتزم به الشخص حتّى يجب الوفاء به، كما لا يجوز اشتراط رقّية ولد الحرين، و هذا واضح</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قلنا بفساد هذا الشرط، ففي فساد العقد المشروط به وجهان،</w:t>
      </w:r>
    </w:p>
    <w:p>
      <w:pPr>
        <w:pStyle w:val="BookText"/>
        <w:rPr/>
      </w:pPr>
      <w:r>
        <w:rPr>
          <w:rFonts w:ascii="Amiri" w:hAnsi="Amiri" w:eastAsia="Amiri" w:cs="Amiri"/>
          <w:color w:val="111111"/>
          <w:sz w:val="28"/>
          <w:sz w:val="28"/>
          <w:szCs w:val="28"/>
          <w:rtl w:val="true"/>
          <w:lang w:bidi="ar-SA"/>
        </w:rPr>
        <w:t>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فساد العقد، فلو وطأ عالما كان الولد رقا من حيث إنّه زنى، و مع الجهل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تزوّج الحرّ الأمة دواما أو انقطاعا بغير إذن المالك و إن كان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وطأها قبل حصول الإجازة من المالك التي يكفي فيها الرضى، عالما بالتحريم، فهو عاص زان كما يدلّ عليه موثقة أبي العبّاس </w:t>
      </w:r>
      <w:r>
        <w:rPr>
          <w:rStyle w:val="FootnoteAnchor"/>
          <w:rtl w:val="true"/>
        </w:rPr>
        <w:footnoteReference w:id="815"/>
      </w:r>
      <w:r>
        <w:rPr>
          <w:rFonts w:ascii="Amiri" w:hAnsi="Amiri" w:eastAsia="Amiri" w:cs="Amiri"/>
          <w:color w:val="111111"/>
          <w:sz w:val="28"/>
          <w:sz w:val="28"/>
          <w:szCs w:val="28"/>
          <w:rtl w:val="true"/>
          <w:lang w:bidi="ar-SA"/>
        </w:rPr>
        <w:t xml:space="preserve">، و روايته الأخرى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حينئذ يجب عليه الحدّ، و أمّا المهر فلا إشكال عندهم في ثبوته عليه إن كان أكرهها </w:t>
      </w:r>
      <w:r>
        <w:rPr>
          <w:rStyle w:val="FootnoteAnchor"/>
          <w:rtl w:val="true"/>
        </w:rPr>
        <w:footnoteReference w:id="817"/>
      </w:r>
      <w:r>
        <w:rPr>
          <w:rFonts w:ascii="Amiri" w:hAnsi="Amiri" w:eastAsia="Amiri" w:cs="Amiri"/>
          <w:color w:val="111111"/>
          <w:sz w:val="28"/>
          <w:sz w:val="28"/>
          <w:szCs w:val="28"/>
          <w:rtl w:val="true"/>
          <w:lang w:bidi="ar-SA"/>
        </w:rPr>
        <w:t>على الوطء أو كانت جاهلة بلا خلاف ظاهرا، و إن اختلف في أنّه المسمّى، أو مهر المثل، أو العشر، أو نصفه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الولد رقّ بلا خلاف أيضا كما في الحدائق </w:t>
      </w:r>
      <w:r>
        <w:rPr>
          <w:rStyle w:val="FootnoteAnchor"/>
          <w:rtl w:val="true"/>
        </w:rPr>
        <w:footnoteReference w:id="818"/>
      </w:r>
      <w:r>
        <w:rPr>
          <w:rFonts w:ascii="Amiri" w:hAnsi="Amiri" w:eastAsia="Amiri" w:cs="Amiri"/>
          <w:color w:val="111111"/>
          <w:sz w:val="28"/>
          <w:sz w:val="28"/>
          <w:szCs w:val="28"/>
          <w:rtl w:val="true"/>
          <w:lang w:bidi="ar-SA"/>
        </w:rPr>
        <w:t>، مستشهدا عليه بمرسلة جميل في من أقرّ على نفسه أنّه غصب جارية، فولدت الجارية من الغاصب،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الجارية و الولد على المغصوب</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لكن</w:t>
      </w:r>
    </w:p>
    <w:p>
      <w:pPr>
        <w:pStyle w:val="BookText"/>
        <w:rPr/>
      </w:pPr>
      <w:r>
        <w:rPr>
          <w:rFonts w:ascii="Amiri" w:hAnsi="Amiri" w:eastAsia="Amiri" w:cs="Amiri"/>
          <w:color w:val="111111"/>
          <w:sz w:val="28"/>
          <w:sz w:val="28"/>
          <w:szCs w:val="28"/>
          <w:rtl w:val="true"/>
          <w:lang w:bidi="ar-SA"/>
        </w:rPr>
        <w:t>موردها الزنى لا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الأمة عالمة مختارة فلا مهر و إن حدّت على ما اختاره المصنّف قدّس سرّه، و حكي عن جماعة </w:t>
      </w:r>
      <w:r>
        <w:rPr>
          <w:rStyle w:val="FootnoteAnchor"/>
          <w:rtl w:val="true"/>
        </w:rPr>
        <w:footnoteReference w:id="820"/>
      </w:r>
      <w:r>
        <w:rPr>
          <w:rFonts w:ascii="Amiri" w:hAnsi="Amiri" w:eastAsia="Amiri" w:cs="Amiri"/>
          <w:color w:val="111111"/>
          <w:sz w:val="28"/>
          <w:sz w:val="28"/>
          <w:szCs w:val="28"/>
          <w:rtl w:val="true"/>
          <w:lang w:bidi="ar-SA"/>
        </w:rPr>
        <w:t xml:space="preserve">لأصالة البراءة، و لأنّه </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بثبوت المهر </w:t>
      </w:r>
      <w:r>
        <w:rPr>
          <w:rStyle w:val="FootnoteAnchor"/>
          <w:rtl w:val="true"/>
        </w:rPr>
        <w:footnoteReference w:id="823"/>
      </w:r>
      <w:r>
        <w:rPr>
          <w:rFonts w:ascii="Amiri" w:hAnsi="Amiri" w:eastAsia="Amiri" w:cs="Amiri"/>
          <w:color w:val="111111"/>
          <w:sz w:val="28"/>
          <w:sz w:val="28"/>
          <w:szCs w:val="28"/>
          <w:rtl w:val="true"/>
          <w:lang w:bidi="ar-SA"/>
        </w:rPr>
        <w:t xml:space="preserve">لأنّه عوض البضع المستوفى، و هو ملك المولى، و لا دخل لاختيار الأمة و علمها في ذلك، و المهر ليس لها حتّى تمنع عنه لبغائها؛ فإنّ المنفي استحقاقها للمهر بسبب البغاء، و هي امرأة تكون من شأنها الاستحقاق، و الأمة ليست كذلك، فالخبر النافي لمهر البغي مختصّ بمن تستحقّه </w:t>
      </w:r>
      <w:r>
        <w:rPr>
          <w:rStyle w:val="FootnoteAnchor"/>
          <w:rtl w:val="true"/>
        </w:rPr>
        <w:footnoteReference w:id="824"/>
      </w:r>
      <w:r>
        <w:rPr>
          <w:rFonts w:ascii="IRNazanin" w:hAnsi="IRNazanin" w:eastAsia="IRNazanin"/>
          <w:color w:val="111111"/>
          <w:sz w:val="28"/>
          <w:sz w:val="28"/>
          <w:szCs w:val="28"/>
          <w:rtl w:val="true"/>
          <w:lang w:bidi="fa-IR"/>
        </w:rPr>
        <w:t>لو لا البغاء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ظاهر لفظ المهر في الخبر قرينة على إرادة الحرّة من البغيّ؛ لأنّه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مهيرة، في مقابل الأمة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لفحوى صحيحة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رجل له جارية نفيسة و هي بكر، أحلّ لأخيه ما دون فرجها، أ له أن يفتضها؟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له إلّا ما أحلّ له منها، و لو أحلّ له قبلة منها لم يحلّ له ما سوى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أحلّ له ما دون الفرج فغلبته الشهوة فافتضّها؟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أ يكون زانيا؟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يكون خائنا و يغرم لصاحبها عشر قيمتها إن كانت بكرا، و إن لم تكن فنصف عشر قيمتها</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الصحيح في رجل تزوّج امرأة فوجدها أمة دلّست نفسها؟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الذي زوّجها إياه من غير مواليها فالنكاح فاسد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يصنع بالمهر الذي أخذت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ممّا أعطاها شيئا فليأخذه، و إن لم يجد شيئا فلا شي‌ء له عليها، و إن كان زوّجه إياها وليّ له، ارتجع على وليها بما أخذته، و لمواليها عشر قيمتها إن كانت بكرا، و إن كانت غير بكر فنصف عشر قيمتها بما استحلّ من فرجها،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تعتدّ منه عدّة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جاءت منه بولد؟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أولادها منه أحرار إذا كان النكاح بغير إذن الموالي</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على سببيّة استحلال الفرج للعشر و نصف العشر مع جهالة الزوج، فمع علمه أولى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الاستدلال بالوجه الأوّل هو استحقاق مهر المثل؛ لأنّه كاجرة المثل في سائر المنافع التي يستوفيها من الأمة بالاستخدام و الاستعمال،</w:t>
      </w:r>
    </w:p>
    <w:p>
      <w:pPr>
        <w:pStyle w:val="BookText"/>
        <w:rPr/>
      </w:pPr>
      <w:r>
        <w:rPr>
          <w:rFonts w:ascii="Amiri" w:hAnsi="Amiri" w:eastAsia="Amiri" w:cs="Amiri"/>
          <w:color w:val="111111"/>
          <w:sz w:val="28"/>
          <w:sz w:val="28"/>
          <w:szCs w:val="28"/>
          <w:rtl w:val="true"/>
          <w:lang w:bidi="ar-SA"/>
        </w:rPr>
        <w:t>و مقتضى الصحيحتين ثبوت العشر و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التعويل على الدليل الأوّل مشكل؛ لأنّ استيفاء منفعة البضع ليس كاستيفاء سائر المنافع، و لذا لا يجب شي‌ء بتقبيل الأمة أو الاستمتاع بها بما دون الفرج، بخلاف استيفاء منافعها بالاستخدام أو تفويت منافعها، فإنّها مضمونة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منفعة البضع لها حكم غير حكم سائر المنافع،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القاعدة ضمان كلّ منفعة يستوفيها من الأمة؛ لأنّ منفعة المال كنفس المال مضمونة، إلّا أن يخرج شي‌ء بالإجماع، و لذا لم يخالف أحد في ثبوت المهر مع جهل الأمة، و لا ريب أنّ علمها و جهلها لا مدخل له في اشتغال ذمّة الزوج بعوض البضع، و الظاهر أنّ من لم يقل بالمهر استند إلى نفي المهر للبغيّ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الاختصاص، لا الملك </w:t>
      </w:r>
      <w:r>
        <w:rPr>
          <w:rStyle w:val="FootnoteAnchor"/>
          <w:rtl w:val="true"/>
        </w:rPr>
        <w:footnoteReference w:id="828"/>
      </w:r>
      <w:r>
        <w:rPr>
          <w:rFonts w:ascii="Amiri" w:hAnsi="Amiri" w:eastAsia="Amiri" w:cs="Amiri"/>
          <w:color w:val="111111"/>
          <w:sz w:val="28"/>
          <w:sz w:val="28"/>
          <w:szCs w:val="28"/>
          <w:rtl w:val="true"/>
          <w:lang w:bidi="ar-SA"/>
        </w:rPr>
        <w:t>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اجرة للدار و للدابّة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ثبت أنّ مقتضى القاعدة ثبوت مهر المثل، لكن قد عرفت أنّ مقتضى الصحيحتين هو العشر و نصف العشر، سواء زاد على مهر المثل أو نقص، و لا بأس بالقول بمضمونهما كما عن ابن حمزة </w:t>
      </w:r>
      <w:r>
        <w:rPr>
          <w:rStyle w:val="FootnoteAnchor"/>
          <w:rtl w:val="true"/>
        </w:rPr>
        <w:footnoteReference w:id="829"/>
      </w:r>
      <w:r>
        <w:rPr>
          <w:rFonts w:ascii="Amiri" w:hAnsi="Amiri" w:eastAsia="Amiri" w:cs="Amiri"/>
          <w:color w:val="111111"/>
          <w:sz w:val="28"/>
          <w:sz w:val="28"/>
          <w:szCs w:val="28"/>
          <w:rtl w:val="true"/>
          <w:lang w:bidi="ar-SA"/>
        </w:rPr>
        <w:t>، و اختاره في الرياض</w:t>
      </w:r>
      <w:r>
        <w:rPr>
          <w:rFonts w:eastAsia="Amiri" w:cs="Amiri" w:ascii="Amiri" w:hAnsi="Amiri"/>
          <w:color w:val="111111"/>
          <w:sz w:val="28"/>
          <w:szCs w:val="28"/>
          <w:rtl w:val="true"/>
          <w:lang w:bidi="ar-SA"/>
        </w:rPr>
        <w:t xml:space="preserve">. </w:t>
      </w:r>
      <w:r>
        <w:rPr>
          <w:rStyle w:val="FootnoteAnchor"/>
          <w:rtl w:val="true"/>
        </w:rPr>
        <w:footnoteReference w:id="83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كلّه إذا لم يجز المولى العقد بعد الوطء، أو أجازه بعده و قلنا بأنّ الإجازة كالعقد المستأنف، أو أنّها جزء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أجاز العقد بعد الوطء و قلنا بأنّها كاشفة، سقط الحدّ و إن بقي الإثم، و حكم بحريّة الولد، و ثبت في ذمّة الزوج المسمّى، لكن 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الإجازة كاشفة أو ناقلة لا أثر له في الأخبار </w:t>
      </w:r>
      <w:r>
        <w:rPr>
          <w:rStyle w:val="FootnoteAnchor"/>
          <w:rtl w:val="true"/>
        </w:rPr>
        <w:footnoteReference w:id="83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Style w:val="FootnoteAnchor"/>
          <w:rtl w:val="true"/>
        </w:rPr>
        <w:footnoteReference w:id="832"/>
      </w:r>
      <w:r>
        <w:rPr>
          <w:rFonts w:ascii="IRNazanin" w:hAnsi="IRNazanin" w:eastAsia="IRNazanin"/>
          <w:color w:val="111111"/>
          <w:sz w:val="28"/>
          <w:sz w:val="28"/>
          <w:szCs w:val="28"/>
          <w:rtl w:val="true"/>
          <w:lang w:bidi="fa-IR"/>
        </w:rPr>
        <w:t xml:space="preserve">محمد </w:t>
      </w:r>
      <w:r>
        <w:rPr>
          <w:rStyle w:val="FootnoteAnchor"/>
          <w:rtl w:val="true"/>
        </w:rPr>
        <w:footnoteReference w:id="833"/>
      </w:r>
      <w:r>
        <w:rPr>
          <w:rFonts w:ascii="Amiri" w:hAnsi="Amiri" w:eastAsia="Amiri" w:cs="Amiri"/>
          <w:color w:val="111111"/>
          <w:sz w:val="28"/>
          <w:sz w:val="28"/>
          <w:szCs w:val="28"/>
          <w:rtl w:val="true"/>
          <w:lang w:bidi="ar-SA"/>
        </w:rPr>
        <w:t>بن قيس في من باع جارية أبيه بغير إذنه، فجاء الأب يدّعي على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أمير المؤمنين عليه السلام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وليدتك و ابنها، ثمّ أجاز المالك بيع ابنه، فردّ الجارية و ولدها على المشتري</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دلالة على كون الإجازة كاشفة، فتدبّرها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الزوج الواطئ جاهلا بالتحريم و لو مع الشكّ فيه و التقصير في السؤال أو حصلت له شبهة في الحكم أو الموضوع، فلا حدّ، و لكن عليه المهر و إن كانت الأمة عالمة، على ما أطلقه المصنّف قدّس سرّه هنا و إن قيّده مع علم الزوج بصورة جهلها، و يمكن كون تركه هنا اعتمادا على ما سبق منه في صورة علم الزوج، و إلّا فمدرك الحكم إثباتا و نفيا لا يتفاوت بعلم الزوج و جهله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اختلفوا في المهر الثابت هنا،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المسمّى </w:t>
      </w:r>
      <w:r>
        <w:rPr>
          <w:rStyle w:val="FootnoteAnchor"/>
          <w:rtl w:val="true"/>
        </w:rPr>
        <w:footnoteReference w:id="835"/>
      </w:r>
      <w:r>
        <w:rPr>
          <w:rFonts w:ascii="IRNazanin" w:hAnsi="IRNazanin" w:eastAsia="IRNazanin"/>
          <w:color w:val="111111"/>
          <w:sz w:val="28"/>
          <w:sz w:val="28"/>
          <w:szCs w:val="28"/>
          <w:rtl w:val="true"/>
          <w:lang w:bidi="fa-IR"/>
        </w:rPr>
        <w:t>و لعلّه لإقدام</w:t>
      </w:r>
    </w:p>
    <w:p>
      <w:pPr>
        <w:pStyle w:val="BookText"/>
        <w:rPr/>
      </w:pPr>
      <w:r>
        <w:rPr>
          <w:rFonts w:ascii="Amiri" w:hAnsi="Amiri" w:eastAsia="Amiri" w:cs="Amiri"/>
          <w:color w:val="111111"/>
          <w:sz w:val="28"/>
          <w:sz w:val="28"/>
          <w:szCs w:val="28"/>
          <w:rtl w:val="true"/>
          <w:lang w:bidi="ar-SA"/>
        </w:rPr>
        <w:t>الزوج عليه، فإن زاد على مهر المثل أقدم عليه، و إن نقص عنه فلا دليل على الزائد؛ لأنّه موقوف على جعل منفعة البضع كسائر المنافع في ضمانها بأعواض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مهر المثل </w:t>
      </w:r>
      <w:r>
        <w:rPr>
          <w:rStyle w:val="FootnoteAnchor"/>
          <w:rtl w:val="true"/>
        </w:rPr>
        <w:footnoteReference w:id="836"/>
      </w:r>
      <w:r>
        <w:rPr>
          <w:rFonts w:ascii="Amiri" w:hAnsi="Amiri" w:eastAsia="Amiri" w:cs="Amiri"/>
          <w:color w:val="111111"/>
          <w:sz w:val="28"/>
          <w:sz w:val="28"/>
          <w:szCs w:val="28"/>
          <w:rtl w:val="true"/>
          <w:lang w:bidi="ar-SA"/>
        </w:rPr>
        <w:t xml:space="preserve">لما مرّ من أنّه في منفعة البضع كاجرة المثل في سائر المنافع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أو نصفه </w:t>
      </w:r>
      <w:r>
        <w:rPr>
          <w:rStyle w:val="FootnoteAnchor"/>
          <w:rtl w:val="true"/>
        </w:rPr>
        <w:footnoteReference w:id="838"/>
      </w:r>
      <w:r>
        <w:rPr>
          <w:rFonts w:ascii="Amiri" w:hAnsi="Amiri" w:eastAsia="Amiri" w:cs="Amiri"/>
          <w:color w:val="111111"/>
          <w:sz w:val="28"/>
          <w:sz w:val="28"/>
          <w:szCs w:val="28"/>
          <w:rtl w:val="true"/>
          <w:lang w:bidi="ar-SA"/>
        </w:rPr>
        <w:t xml:space="preserve">للصحيحتين المتقدّمتين </w:t>
      </w:r>
      <w:r>
        <w:rPr>
          <w:rStyle w:val="FootnoteAnchor"/>
          <w:rtl w:val="true"/>
        </w:rPr>
        <w:footnoteReference w:id="839"/>
      </w:r>
      <w:r>
        <w:rPr>
          <w:rFonts w:ascii="Amiri" w:hAnsi="Amiri" w:eastAsia="Amiri" w:cs="Amiri"/>
          <w:color w:val="111111"/>
          <w:sz w:val="28"/>
          <w:sz w:val="28"/>
          <w:szCs w:val="28"/>
          <w:rtl w:val="true"/>
          <w:lang w:bidi="ar-SA"/>
        </w:rPr>
        <w:t>، لكن مورد الاولى في صورة علم الزوج، فلا يتعدّى إلى صورة جهله بالأولويّة، إلّا إذا فرض نقصان العشر و نصف العشر عن مهر المثل و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زيادته فلا يصحّ التعدّي؛ لأنّ ثبوت الزائد على مهر المثل مع العلم لا يقتضي ثبوته مع الجهل، فالاستدلال بها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صاحب المدارك في شرح النافع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الصحيحة الثانية، فموردها علم الزوجة، فثبوت حكمها هنا مع جهل الأمة يحتاج إلى تنقيح المناط، و الأولوية هنا ممنوعة؛ لأنّ مهر المثل</w:t>
      </w:r>
    </w:p>
    <w:p>
      <w:pPr>
        <w:pStyle w:val="BookText"/>
        <w:rPr/>
      </w:pPr>
      <w:r>
        <w:rPr>
          <w:rFonts w:ascii="Amiri" w:hAnsi="Amiri" w:eastAsia="Amiri" w:cs="Amiri"/>
          <w:color w:val="111111"/>
          <w:sz w:val="28"/>
          <w:sz w:val="28"/>
          <w:szCs w:val="28"/>
          <w:rtl w:val="true"/>
          <w:lang w:bidi="ar-SA"/>
        </w:rPr>
        <w:t xml:space="preserve">قد يزيد عن العشر و نصفه و قد ينقص، و حكم صورة علم الجارية أخف من صورة جهلها؛ لما عرفت من ذهاب جماعة إلى عدم المهر أصلا مع علمها </w:t>
      </w:r>
      <w:r>
        <w:rPr>
          <w:rStyle w:val="FootnoteAnchor"/>
          <w:rtl w:val="true"/>
        </w:rPr>
        <w:footnoteReference w:id="841"/>
      </w:r>
      <w:r>
        <w:rPr>
          <w:rFonts w:ascii="Amiri" w:hAnsi="Amiri" w:eastAsia="Amiri" w:cs="Amiri"/>
          <w:color w:val="111111"/>
          <w:sz w:val="28"/>
          <w:sz w:val="28"/>
          <w:szCs w:val="28"/>
          <w:rtl w:val="true"/>
          <w:lang w:bidi="ar-SA"/>
        </w:rPr>
        <w:t>، فأولوية الحكم في الثانية بالعشر و نصفه موقوفة على زيادتها عن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يتمسك بدلالة ذيل الصحيحة على أنّ العشر و نصف العشر لأجل استحلال فرجها، فهو سبب في ذلك يدور معه أينما كان، فيتعدّى عن المورد بعموم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تقدير، لا ريب بمقتضى ما تقدّم من الأخبار من تبعيّة الولد لأشرف الأبوين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صورة علم الزوج بالحرمة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حرّ إلحاقا له بأبيه و لكن عليه قيمته لمولاها يوم سقط حيّا عوضا عمّا فات على المولى من منافع أمته إلى حين الوضع، فإنّ أجرتها قيمة ما حصل منها، و هو الولد، لا أنّ الولد رقّ يعتق على أبيه بقيمته عند الولادة؛ لما عرفت من أنّه ينعقد حرّا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w:t>
      </w:r>
      <w:r>
        <w:rPr>
          <w:rStyle w:val="FootnoteAnchor"/>
          <w:rtl w:val="true"/>
        </w:rPr>
        <w:footnoteReference w:id="844"/>
      </w:r>
      <w:r>
        <w:rPr>
          <w:rFonts w:ascii="Amiri" w:hAnsi="Amiri" w:eastAsia="Amiri" w:cs="Amiri"/>
          <w:color w:val="111111"/>
          <w:sz w:val="28"/>
          <w:sz w:val="28"/>
          <w:szCs w:val="28"/>
          <w:rtl w:val="true"/>
          <w:lang w:bidi="ar-SA"/>
        </w:rPr>
        <w:t xml:space="preserve">الحكم من سقوط الحدّ و وجوب المهر و لحوق الولد لو ادّعت الزوجة الحرّية فعقد عليها؛ لما مرّ من الصحيحة الثّانية، و هي لوليد بن صبيح </w:t>
      </w:r>
      <w:r>
        <w:rPr>
          <w:rStyle w:val="FootnoteAnchor"/>
          <w:rtl w:val="true"/>
        </w:rPr>
        <w:footnoteReference w:id="845"/>
      </w:r>
      <w:r>
        <w:rPr>
          <w:rFonts w:ascii="Amiri" w:hAnsi="Amiri" w:eastAsia="Amiri" w:cs="Amiri"/>
          <w:color w:val="111111"/>
          <w:sz w:val="28"/>
          <w:sz w:val="28"/>
          <w:szCs w:val="28"/>
          <w:rtl w:val="true"/>
          <w:lang w:bidi="ar-SA"/>
        </w:rPr>
        <w:t>، و هي و إن خلت عن إيجاب القيمة على الأب،</w:t>
      </w:r>
    </w:p>
    <w:p>
      <w:pPr>
        <w:pStyle w:val="BookText"/>
        <w:rPr/>
      </w:pPr>
      <w:r>
        <w:rPr>
          <w:rFonts w:ascii="Amiri" w:hAnsi="Amiri" w:eastAsia="Amiri" w:cs="Amiri"/>
          <w:color w:val="111111"/>
          <w:sz w:val="28"/>
          <w:sz w:val="28"/>
          <w:szCs w:val="28"/>
          <w:rtl w:val="true"/>
          <w:lang w:bidi="ar-SA"/>
        </w:rPr>
        <w:t>إلّا أنّه يدلّ عليه مصححة محمد بن قيس عن أبي جعفر عليه السلام في رجل تزوّج جارية على أنّها حرّة، ثمّ جاء رجل آخر فأقام البيّنة على أنّها جاريته،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جاريته، و يأخذ قيمة ولدها</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بعض الروايات تدلّ بظاهرها على رقّية الولد المولى الجارية، كموثقة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مملوكة أتت قوما و زعمت </w:t>
      </w:r>
      <w:r>
        <w:rPr>
          <w:rStyle w:val="FootnoteAnchor"/>
          <w:rtl w:val="true"/>
        </w:rPr>
        <w:footnoteReference w:id="847"/>
      </w:r>
      <w:r>
        <w:rPr>
          <w:rFonts w:ascii="Amiri" w:hAnsi="Amiri" w:eastAsia="Amiri" w:cs="Amiri"/>
          <w:color w:val="111111"/>
          <w:sz w:val="28"/>
          <w:sz w:val="28"/>
          <w:szCs w:val="28"/>
          <w:rtl w:val="true"/>
          <w:lang w:bidi="ar-SA"/>
        </w:rPr>
        <w:t>أنّها حرّة، فتزوّجها رجل منهم فأولدها ولدا، ثمّ إنّ مولاها أتاهم، فأقام عندهم البيّنة على أنّها مملوكة، و أقرّت الجارية بذلك؟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تدفع إلى مولاها هي و ولدها، و على مولاها أن يدفع ولدها إلى أبيه بقيمته يوم يصير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لأبيه ما يأخذ ابنه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أبوه في ثمن ابنه حتّى يؤدّيه و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الأب أن يسعى في ثمن ابنه؟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الإمام أن يفديه، و لا يملك ولد حرّ</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حسنة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أبقت من مواليها، فأتت قبيلة غير قبيلتها، فادّعت أنّها حرّة، فوثب عليها حرّ فتزوّجها، فظفر بها مولاها بعد ذلك و قد ولدت أولادا؟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أقام الزوج البيّنة على أنّه تزوّجها على أنّها حرّة، أعتق ولدها و ذهب القوم</w:t>
      </w:r>
    </w:p>
    <w:p>
      <w:pPr>
        <w:pStyle w:val="BookText"/>
        <w:rPr/>
      </w:pPr>
      <w:r>
        <w:rPr>
          <w:rFonts w:ascii="IRNazanin" w:hAnsi="IRNazanin" w:eastAsia="IRNazanin"/>
          <w:color w:val="111111"/>
          <w:sz w:val="28"/>
          <w:sz w:val="28"/>
          <w:szCs w:val="28"/>
          <w:rtl w:val="true"/>
          <w:lang w:bidi="fa-IR"/>
        </w:rPr>
        <w:t>بأمتهم، و إلّا أوجع ظهره و استرق ولده</w:t>
      </w:r>
      <w:r>
        <w:rPr>
          <w:rFonts w:eastAsia="IRNazanin" w:cs="IRNazanin"/>
          <w:color w:val="111111"/>
          <w:sz w:val="28"/>
          <w:szCs w:val="28"/>
          <w:rtl w:val="true"/>
          <w:lang w:bidi="fa-IR"/>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رواية محمد بن قيس الواردة عن أمير المؤمنين عليه السلام في من باع جارية أبيه بدون إذن أبيه، فأولدها المشتري فقال عليه السلام للمالك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وليدتك و ابنها</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المصحّح </w:t>
      </w:r>
      <w:r>
        <w:rPr>
          <w:rStyle w:val="FootnoteAnchor"/>
          <w:rtl w:val="true"/>
        </w:rPr>
        <w:footnoteReference w:id="8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ظنّ أهله أنّه قد مات أو قتل، فنكحت امرأته و تزوّجت سريّته، فولدت كلّ واحدة منهما من زوجها، ثم جاء الزوج الأوّل و جاء مولى السريّة، فقضى في ذلك أن يأخذ الأوّل امرأته فهو أحقّ بها، و يأخذ السيد سريته و ولدها، إلّا أن يأخذ رضاه من الثمن، ثمن الولد</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عمل بهذه الروايات الشيخ و جماعة على ما حكي عنهم </w:t>
      </w:r>
      <w:r>
        <w:rPr>
          <w:rStyle w:val="FootnoteAnchor"/>
          <w:rtl w:val="true"/>
        </w:rPr>
        <w:footnoteReference w:id="853"/>
      </w:r>
      <w:r>
        <w:rPr>
          <w:rFonts w:ascii="Amiri" w:hAnsi="Amiri" w:eastAsia="Amiri" w:cs="Amiri"/>
          <w:color w:val="111111"/>
          <w:sz w:val="28"/>
          <w:sz w:val="28"/>
          <w:szCs w:val="28"/>
          <w:rtl w:val="true"/>
          <w:lang w:bidi="ar-SA"/>
        </w:rPr>
        <w:t>، فحكموا برقّية الولد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النهاية </w:t>
      </w:r>
      <w:r>
        <w:rPr>
          <w:rStyle w:val="FootnoteAnchor"/>
          <w:rtl w:val="true"/>
        </w:rPr>
        <w:footnoteReference w:id="854"/>
      </w:r>
      <w:r>
        <w:rPr>
          <w:rFonts w:ascii="Amiri" w:hAnsi="Amiri" w:eastAsia="Amiri" w:cs="Amiri"/>
          <w:color w:val="111111"/>
          <w:sz w:val="28"/>
          <w:sz w:val="28"/>
          <w:szCs w:val="28"/>
          <w:rtl w:val="true"/>
          <w:lang w:bidi="ar-SA"/>
        </w:rPr>
        <w:t xml:space="preserve">و القاضي </w:t>
      </w:r>
      <w:r>
        <w:rPr>
          <w:rStyle w:val="FootnoteAnchor"/>
          <w:rtl w:val="true"/>
        </w:rPr>
        <w:footnoteReference w:id="855"/>
      </w:r>
      <w:r>
        <w:rPr>
          <w:rFonts w:ascii="Amiri" w:hAnsi="Amiri" w:eastAsia="Amiri" w:cs="Amiri"/>
          <w:color w:val="111111"/>
          <w:sz w:val="28"/>
          <w:sz w:val="28"/>
          <w:szCs w:val="28"/>
          <w:rtl w:val="true"/>
          <w:lang w:bidi="ar-SA"/>
        </w:rPr>
        <w:t xml:space="preserve">و ابن حمزة </w:t>
      </w:r>
      <w:r>
        <w:rPr>
          <w:rStyle w:val="FootnoteAnchor"/>
          <w:rtl w:val="true"/>
        </w:rPr>
        <w:footnoteReference w:id="856"/>
      </w:r>
      <w:r>
        <w:rPr>
          <w:rFonts w:ascii="Amiri" w:hAnsi="Amiri" w:eastAsia="Amiri" w:cs="Amiri"/>
          <w:color w:val="111111"/>
          <w:sz w:val="28"/>
          <w:sz w:val="28"/>
          <w:szCs w:val="28"/>
          <w:rtl w:val="true"/>
          <w:lang w:bidi="ar-SA"/>
        </w:rPr>
        <w:t>التفصيل بين ما إذا تزوّجها مع قيام البيّنة على حريتها أو صدّق فأولادها أحرار، و بين عدمها فهم أرقّاء؛ و لعلّه للجمع بين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المسالك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الأب دفع القيمة، و وجب على مولى الجارية قبول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الموثّقة المتقدّمة </w:t>
      </w:r>
      <w:r>
        <w:rPr>
          <w:rStyle w:val="FootnoteAnchor"/>
          <w:rtl w:val="true"/>
        </w:rPr>
        <w:footnoteReference w:id="858"/>
      </w:r>
      <w:r>
        <w:rPr>
          <w:rFonts w:ascii="Amiri" w:hAnsi="Amiri" w:eastAsia="Amiri" w:cs="Amiri"/>
          <w:color w:val="111111"/>
          <w:sz w:val="28"/>
          <w:sz w:val="28"/>
          <w:szCs w:val="28"/>
          <w:rtl w:val="true"/>
          <w:lang w:bidi="ar-SA"/>
        </w:rPr>
        <w:t xml:space="preserve">دلّت على أنّه لو عجز الأب عن قيمتهم سعى، و العمل بها عند من قال بمضمونها من رقّية الولد و إن كانت معارضة بأدلّة إنظار المعسر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متعيّن</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عند من لم يعمل بمضمونها فوجوب السعي مشكل؛ لعدم الدليل عليه، عدا الموثقة المشتملة على رقية الولد </w:t>
      </w:r>
      <w:r>
        <w:rPr>
          <w:rStyle w:val="FootnoteAnchor"/>
          <w:rtl w:val="true"/>
        </w:rPr>
        <w:footnoteReference w:id="860"/>
      </w:r>
      <w:r>
        <w:rPr>
          <w:rFonts w:ascii="Amiri" w:hAnsi="Amiri" w:eastAsia="Amiri" w:cs="Amiri"/>
          <w:color w:val="111111"/>
          <w:sz w:val="28"/>
          <w:sz w:val="28"/>
          <w:szCs w:val="28"/>
          <w:rtl w:val="true"/>
          <w:lang w:bidi="ar-SA"/>
        </w:rPr>
        <w:t xml:space="preserve">، التي </w:t>
      </w:r>
      <w:r>
        <w:rPr>
          <w:rStyle w:val="FootnoteAnchor"/>
          <w:rtl w:val="true"/>
        </w:rPr>
        <w:footnoteReference w:id="861"/>
      </w:r>
      <w:r>
        <w:rPr>
          <w:rFonts w:ascii="Amiri" w:hAnsi="Amiri" w:eastAsia="Amiri" w:cs="Amiri"/>
          <w:color w:val="111111"/>
          <w:sz w:val="28"/>
          <w:sz w:val="28"/>
          <w:szCs w:val="28"/>
          <w:rtl w:val="true"/>
          <w:lang w:bidi="ar-SA"/>
        </w:rPr>
        <w:t>لا يقول بها هذا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يمنع صراحتها في رقّية الولد، بل غاية مدلولها أنّه يدفع إلى مولى الجارية ولدها، و يجب عليه دفعه إلى أبيه و أخذ قيمته، و هو أعم من الرقية، فلعلّه أريد أنّه كالرقّ في مقابلته بالقيمة، بل قوله عليه السلام في الذيل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يملك ولد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ولد الحرّ لا يصير مملوكا، سيّما إذا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للمجهول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امتنع الأب عن السعي في قيمته قيل محكيا عن النهاية </w:t>
      </w:r>
      <w:r>
        <w:rPr>
          <w:rStyle w:val="FootnoteAnchor"/>
          <w:rtl w:val="true"/>
        </w:rPr>
        <w:footnoteReference w:id="862"/>
      </w:r>
      <w:r>
        <w:rPr>
          <w:rFonts w:ascii="Amiri" w:hAnsi="Amiri" w:eastAsia="Amiri" w:cs="Amiri"/>
          <w:color w:val="111111"/>
          <w:sz w:val="28"/>
          <w:sz w:val="28"/>
          <w:szCs w:val="28"/>
          <w:rtl w:val="true"/>
          <w:lang w:bidi="ar-SA"/>
        </w:rPr>
        <w:t xml:space="preserve">و ابن حمزة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يفكّهم الإمام من سهم الرقاب للموثّقة</w:t>
      </w:r>
    </w:p>
    <w:p>
      <w:pPr>
        <w:pStyle w:val="BookText"/>
        <w:rPr/>
      </w:pPr>
      <w:r>
        <w:rPr>
          <w:rFonts w:ascii="Amiri" w:hAnsi="Amiri" w:eastAsia="Amiri" w:cs="Amiri"/>
          <w:color w:val="111111"/>
          <w:sz w:val="28"/>
          <w:sz w:val="28"/>
          <w:szCs w:val="28"/>
          <w:rtl w:val="true"/>
          <w:lang w:bidi="ar-SA"/>
        </w:rPr>
        <w:t xml:space="preserve">المذكورة </w:t>
      </w:r>
      <w:r>
        <w:rPr>
          <w:rStyle w:val="FootnoteAnchor"/>
          <w:rtl w:val="true"/>
        </w:rPr>
        <w:footnoteReference w:id="864"/>
      </w:r>
      <w:r>
        <w:rPr>
          <w:rFonts w:ascii="Amiri" w:hAnsi="Amiri" w:eastAsia="Amiri" w:cs="Amiri"/>
          <w:color w:val="111111"/>
          <w:sz w:val="28"/>
          <w:sz w:val="28"/>
          <w:szCs w:val="28"/>
          <w:rtl w:val="true"/>
          <w:lang w:bidi="ar-SA"/>
        </w:rPr>
        <w:t xml:space="preserve">التي لا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على مطلوبهم من فكّهم من سهم الرقاب، بل غاية مدلوله وجوب فكّهم، فلعلّه من بيت المال المعدّ لمصالح المسلمين، كما حكي </w:t>
      </w:r>
      <w:r>
        <w:rPr>
          <w:rStyle w:val="FootnoteAnchor"/>
          <w:rtl w:val="true"/>
        </w:rPr>
        <w:footnoteReference w:id="866"/>
      </w:r>
      <w:r>
        <w:rPr>
          <w:rFonts w:ascii="Amiri" w:hAnsi="Amiri" w:eastAsia="Amiri" w:cs="Amiri"/>
          <w:color w:val="111111"/>
          <w:sz w:val="28"/>
          <w:sz w:val="28"/>
          <w:szCs w:val="28"/>
          <w:rtl w:val="true"/>
          <w:lang w:bidi="ar-SA"/>
        </w:rPr>
        <w:t xml:space="preserve">عن المصنّف قدّس سرّه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آية صرف الزكاة في الرقاب </w:t>
      </w:r>
      <w:r>
        <w:rPr>
          <w:rStyle w:val="FootnoteAnchor"/>
          <w:rtl w:val="true"/>
        </w:rPr>
        <w:footnoteReference w:id="868"/>
      </w:r>
      <w:r>
        <w:rPr>
          <w:rFonts w:ascii="Amiri" w:hAnsi="Amiri" w:eastAsia="Amiri" w:cs="Amiri"/>
          <w:color w:val="111111"/>
          <w:sz w:val="28"/>
          <w:sz w:val="28"/>
          <w:szCs w:val="28"/>
          <w:rtl w:val="true"/>
          <w:lang w:bidi="ar-SA"/>
        </w:rPr>
        <w:t>، فهي مختصة ببعض الموارد،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تزوّجت الحرّة بعبد بغير إذن مولاه، فإن كانت عالمة بالتحريم فلا مهر </w:t>
      </w:r>
      <w:r>
        <w:rPr>
          <w:rStyle w:val="FootnoteAnchor"/>
          <w:rtl w:val="true"/>
        </w:rPr>
        <w:footnoteReference w:id="869"/>
      </w:r>
      <w:r>
        <w:rPr>
          <w:rFonts w:ascii="Amiri" w:hAnsi="Amiri" w:eastAsia="Amiri" w:cs="Amiri"/>
          <w:color w:val="111111"/>
          <w:sz w:val="28"/>
          <w:sz w:val="28"/>
          <w:szCs w:val="28"/>
          <w:rtl w:val="true"/>
          <w:lang w:bidi="ar-SA"/>
        </w:rPr>
        <w:t>لأنّها بغيّ، و للرواية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حرّة زوّجت نفسها عبدا بغير إذن مواليه فقد أباحت فرجها و لا صداق</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إباحة الفرج عدم العوض فيه مطلقا و منها يظهر أنّه لا نفقة لأنّها فرع صحّة التزويج و الولد رقّ </w:t>
      </w:r>
      <w:r>
        <w:rPr>
          <w:rStyle w:val="FootnoteAnchor"/>
          <w:rtl w:val="true"/>
        </w:rPr>
        <w:footnoteReference w:id="871"/>
      </w: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بعض الروايات دلالة عليه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جاهلة فالولد حرّ لما مرّ من أدلّة تبعيته لأشرف</w:t>
      </w:r>
    </w:p>
    <w:p>
      <w:pPr>
        <w:pStyle w:val="BookText"/>
        <w:rPr/>
      </w:pPr>
      <w:r>
        <w:rPr>
          <w:rFonts w:ascii="Amiri" w:hAnsi="Amiri" w:eastAsia="Amiri" w:cs="Amiri"/>
          <w:color w:val="111111"/>
          <w:sz w:val="28"/>
          <w:sz w:val="28"/>
          <w:szCs w:val="28"/>
          <w:rtl w:val="true"/>
          <w:lang w:bidi="ar-SA"/>
        </w:rPr>
        <w:t xml:space="preserve">الأبوين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w:t>
      </w:r>
      <w:r>
        <w:rPr>
          <w:rStyle w:val="FootnoteAnchor"/>
          <w:rtl w:val="true"/>
        </w:rPr>
        <w:footnoteReference w:id="874"/>
      </w:r>
      <w:r>
        <w:rPr>
          <w:rFonts w:ascii="Amiri" w:hAnsi="Amiri" w:eastAsia="Amiri" w:cs="Amiri"/>
          <w:color w:val="111111"/>
          <w:sz w:val="28"/>
          <w:sz w:val="28"/>
          <w:szCs w:val="28"/>
          <w:rtl w:val="true"/>
          <w:lang w:bidi="ar-SA"/>
        </w:rPr>
        <w:t xml:space="preserve">عن ظاهر المقنعة </w:t>
      </w:r>
      <w:r>
        <w:rPr>
          <w:rStyle w:val="FootnoteAnchor"/>
          <w:rtl w:val="true"/>
        </w:rPr>
        <w:footnoteReference w:id="875"/>
      </w:r>
      <w:r>
        <w:rPr>
          <w:rFonts w:ascii="Amiri" w:hAnsi="Amiri" w:eastAsia="Amiri" w:cs="Amiri"/>
          <w:color w:val="111111"/>
          <w:sz w:val="28"/>
          <w:sz w:val="28"/>
          <w:szCs w:val="28"/>
          <w:rtl w:val="true"/>
          <w:lang w:bidi="ar-SA"/>
        </w:rPr>
        <w:t xml:space="preserve">و الشيخ في التهذيب </w:t>
      </w:r>
      <w:r>
        <w:rPr>
          <w:rStyle w:val="FootnoteAnchor"/>
          <w:rtl w:val="true"/>
        </w:rPr>
        <w:footnoteReference w:id="876"/>
      </w:r>
      <w:r>
        <w:rPr>
          <w:rFonts w:ascii="Amiri" w:hAnsi="Amiri" w:eastAsia="Amiri" w:cs="Amiri"/>
          <w:color w:val="111111"/>
          <w:sz w:val="28"/>
          <w:sz w:val="28"/>
          <w:szCs w:val="28"/>
          <w:rtl w:val="true"/>
          <w:lang w:bidi="ar-SA"/>
        </w:rPr>
        <w:t xml:space="preserve">رقية الولد؛ لرواية العلاء بن رزين </w:t>
      </w:r>
      <w:r>
        <w:rPr>
          <w:rStyle w:val="FootnoteAnchor"/>
          <w:rtl w:val="true"/>
        </w:rPr>
        <w:footnoteReference w:id="877"/>
      </w:r>
      <w:r>
        <w:rPr>
          <w:rFonts w:ascii="Amiri" w:hAnsi="Amiri" w:eastAsia="Amiri" w:cs="Amiri"/>
          <w:color w:val="111111"/>
          <w:sz w:val="28"/>
          <w:sz w:val="28"/>
          <w:szCs w:val="28"/>
          <w:rtl w:val="true"/>
          <w:lang w:bidi="ar-SA"/>
        </w:rPr>
        <w:t>، و يمكن حملها على صورة كون الزوجة أمة أو حرّة مع علمها بعد العقد بكون الزوج عبدا غير مأذون، و مع ذلك مكّنته من الوطء الموجب 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قيمة عليها عن الولد؛ للأصل، و اختصاص النصّ بعكس المسألة، مع ما عرفت من أنّ ثبوت القيمة على الأب؛ لفوت </w:t>
      </w:r>
      <w:r>
        <w:rPr>
          <w:rStyle w:val="FootnoteAnchor"/>
          <w:rtl w:val="true"/>
        </w:rPr>
        <w:footnoteReference w:id="878"/>
      </w:r>
      <w:r>
        <w:rPr>
          <w:rFonts w:ascii="Amiri" w:hAnsi="Amiri" w:eastAsia="Amiri" w:cs="Amiri"/>
          <w:color w:val="111111"/>
          <w:sz w:val="28"/>
          <w:sz w:val="28"/>
          <w:szCs w:val="28"/>
          <w:rtl w:val="true"/>
          <w:lang w:bidi="ar-SA"/>
        </w:rPr>
        <w:t>بعض منافع الأم في زمان الحمل، و هو هنا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يتبع العبد بالمهر المستقرّ عليه بالدخول بعد العتق، جمعا بين حقّ </w:t>
      </w:r>
      <w:r>
        <w:rPr>
          <w:rStyle w:val="FootnoteAnchor"/>
          <w:rtl w:val="true"/>
        </w:rPr>
        <w:footnoteReference w:id="879"/>
      </w:r>
      <w:r>
        <w:rPr>
          <w:rFonts w:ascii="Amiri" w:hAnsi="Amiri" w:eastAsia="Amiri" w:cs="Amiri"/>
          <w:color w:val="111111"/>
          <w:sz w:val="28"/>
          <w:sz w:val="28"/>
          <w:szCs w:val="28"/>
          <w:rtl w:val="true"/>
          <w:lang w:bidi="ar-SA"/>
        </w:rPr>
        <w:t>بضع المرأة و حق المولى، و المراد بالمهر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المثل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لم يجز المولى، أو جعلنا الإجازة ناقلة، أمّا لو أجاز و جعلناها كاشفة ثبت المسمّى، و هل يتعلّق المهر حينئذ و النفقة بذمة المولى، بناء على القول بذلك في صورة إذنه له في العقد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 وجهان</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تزوّج العبد بأمة غير مولاه بإذن منهما، أو بغير إذن منهما مع إجازتهما، أو لا معها فالولد لهما، و لو أذن أحدهما فالولد للآخر و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ذكروه في لحوق الولد بهما مع عدم إذنهما و اختصاص الولد بغير الآذن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 بعضهم أنّه منصوص،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نقف عليه </w:t>
      </w:r>
      <w:r>
        <w:rPr>
          <w:rStyle w:val="FootnoteAnchor"/>
          <w:rtl w:val="true"/>
        </w:rPr>
        <w:footnoteReference w:id="8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قريب منه في الحدائق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يزيد الإشكال ما ذكروه من غير خلاف أجده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حكى الاتفاق عليه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زنى العبد فالولد لمولى الأمة فإنّ الفرق في هذا الحكم بين التزويج بدون الإذن و الزنى مشكل، و استدلّ في الحدائق </w:t>
      </w:r>
      <w:r>
        <w:rPr>
          <w:rStyle w:val="FootnoteAnchor"/>
          <w:rtl w:val="true"/>
        </w:rPr>
        <w:footnoteReference w:id="884"/>
      </w:r>
      <w:r>
        <w:rPr>
          <w:rFonts w:ascii="Amiri" w:hAnsi="Amiri" w:eastAsia="Amiri" w:cs="Amiri"/>
          <w:color w:val="111111"/>
          <w:sz w:val="28"/>
          <w:sz w:val="28"/>
          <w:szCs w:val="28"/>
          <w:rtl w:val="true"/>
          <w:lang w:bidi="ar-SA"/>
        </w:rPr>
        <w:t>على كون الولد لمولى الأمة إذا زنى بها العبد برواية جميل في من أقرّ على نفسه أنّه غصب جارية فأولدها،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الجارية و ولدها إذا أقرّ الغاصب بذلك</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كون الأب حرّا، و إلحاق العبد قياس، مع إمكان الفرق بأنّ ذلك في الحرّ عقوبة حيث إنّ النسب عنه منتف بالزنى، فلا حرمة له حتى يلحق به الولد، بخلاف ما إذا كان الأب عبدا، فإنّ الملك للمولى</w:t>
      </w:r>
    </w:p>
    <w:p>
      <w:pPr>
        <w:pStyle w:val="BookText"/>
        <w:rPr/>
      </w:pPr>
      <w:r>
        <w:rPr>
          <w:rFonts w:ascii="Amiri" w:hAnsi="Amiri" w:eastAsia="Amiri" w:cs="Amiri"/>
          <w:color w:val="111111"/>
          <w:sz w:val="28"/>
          <w:sz w:val="28"/>
          <w:szCs w:val="28"/>
          <w:rtl w:val="true"/>
          <w:lang w:bidi="ar-SA"/>
        </w:rPr>
        <w:t>و لا عقوبة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زوّج عبده بأمته استحبّ له أن يعطيها المولى شيئا من ماله ليكون بصورة المهر لها، و جبرا لقلبها، و رفعا لمنزلة العبد عندها، و عن جماعة وجوبه </w:t>
      </w:r>
      <w:r>
        <w:rPr>
          <w:rStyle w:val="FootnoteAnchor"/>
          <w:rtl w:val="true"/>
        </w:rPr>
        <w:footnoteReference w:id="886"/>
      </w:r>
      <w:r>
        <w:rPr>
          <w:rFonts w:ascii="IRNazanin" w:hAnsi="IRNazanin" w:eastAsia="IRNazanin"/>
          <w:color w:val="111111"/>
          <w:sz w:val="28"/>
          <w:sz w:val="28"/>
          <w:szCs w:val="28"/>
          <w:rtl w:val="true"/>
          <w:lang w:bidi="fa-IR"/>
        </w:rPr>
        <w:t xml:space="preserve">اعتمادا على ظاهر بعض الأخبار </w:t>
      </w:r>
      <w:r>
        <w:rPr>
          <w:rStyle w:val="FootnoteAnchor"/>
          <w:rtl w:val="true"/>
        </w:rPr>
        <w:footnoteReference w:id="887"/>
      </w:r>
      <w:r>
        <w:rPr>
          <w:rFonts w:ascii="Amiri" w:hAnsi="Amiri" w:eastAsia="Amiri" w:cs="Amiri"/>
          <w:color w:val="111111"/>
          <w:sz w:val="28"/>
          <w:sz w:val="28"/>
          <w:szCs w:val="28"/>
          <w:rtl w:val="true"/>
          <w:lang w:bidi="ar-SA"/>
        </w:rPr>
        <w:t>، و لئلّا يخلو النكاح عن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لأنّ مهر الأمة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وجوب </w:t>
      </w:r>
      <w:r>
        <w:rPr>
          <w:rStyle w:val="FootnoteAnchor"/>
          <w:rtl w:val="true"/>
        </w:rPr>
        <w:footnoteReference w:id="888"/>
      </w:r>
      <w:r>
        <w:rPr>
          <w:rFonts w:ascii="Amiri" w:hAnsi="Amiri" w:eastAsia="Amiri" w:cs="Amiri"/>
          <w:color w:val="111111"/>
          <w:sz w:val="28"/>
          <w:sz w:val="28"/>
          <w:szCs w:val="28"/>
          <w:rtl w:val="true"/>
          <w:lang w:bidi="ar-SA"/>
        </w:rPr>
        <w:t xml:space="preserve">مراعاة ظاهر الأخبار، كما مال إليه بعض متأخّري المتأخّرين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اشترى حصته من زوجته المملوكة بطل العقد لامتناع عقد الإنسان على أمته لنفسه مطلقا ابتداء و استدامة </w:t>
      </w:r>
      <w:r>
        <w:rPr>
          <w:rStyle w:val="FootnoteAnchor"/>
          <w:rtl w:val="true"/>
        </w:rPr>
        <w:footnoteReference w:id="890"/>
      </w:r>
      <w:r>
        <w:rPr>
          <w:rFonts w:ascii="Amiri" w:hAnsi="Amiri" w:eastAsia="Amiri" w:cs="Amiri"/>
          <w:color w:val="111111"/>
          <w:sz w:val="28"/>
          <w:sz w:val="28"/>
          <w:szCs w:val="28"/>
          <w:rtl w:val="true"/>
          <w:lang w:bidi="ar-SA"/>
        </w:rPr>
        <w:t xml:space="preserve">، و يلزمه بطلان العقد بالإضافة إلى حصته المستلزم </w:t>
      </w:r>
      <w:r>
        <w:rPr>
          <w:rStyle w:val="FootnoteAnchor"/>
          <w:rtl w:val="true"/>
        </w:rPr>
        <w:footnoteReference w:id="891"/>
      </w:r>
      <w:r>
        <w:rPr>
          <w:rFonts w:ascii="Amiri" w:hAnsi="Amiri" w:eastAsia="Amiri" w:cs="Amiri"/>
          <w:color w:val="111111"/>
          <w:sz w:val="28"/>
          <w:sz w:val="28"/>
          <w:szCs w:val="28"/>
          <w:rtl w:val="true"/>
          <w:lang w:bidi="ar-SA"/>
        </w:rPr>
        <w:t>لبطلانه بالإضافة إلى الجميع؛ لعدم تبعّض العقد، و لمضمرة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رجلين بينهما أمة، فزوّجاها من رجل، ثمّ إنّ الرجل اشترى بعض السهمين؟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باشترائه</w:t>
      </w:r>
    </w:p>
    <w:p>
      <w:pPr>
        <w:pStyle w:val="BookText"/>
        <w:rPr/>
      </w:pPr>
      <w:r>
        <w:rPr>
          <w:rFonts w:ascii="Amiri" w:hAnsi="Amiri" w:eastAsia="Amiri" w:cs="Amiri"/>
          <w:color w:val="111111"/>
          <w:sz w:val="28"/>
          <w:sz w:val="28"/>
          <w:szCs w:val="28"/>
          <w:rtl w:val="true"/>
          <w:lang w:bidi="ar-SA"/>
        </w:rPr>
        <w:t>إيّاها، و ذلك أنّ بيعها طلاقها، إلّا أن يشتريها من جميعهم</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الموثق المحكي عن الفقيه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إذا بطل النكاح حرم وطؤها مع عدم إذن الشريك؛ لأنّه تصرّف في حصّة الشريك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إن أباحه الشريك أو أجاز العقد على رأي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الحلّ بإباحة الشريك، فلعموم قوله تعالى وَ الَّذِينَ هُمْ لِفُرُوجِهِمْ حٰافِظُونَ</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خرج منه الزوجة المحضة و ملك اليمين المحض، و خروج المبعّض موقوف على كون قوله أَوْ مٰا مَلَكَتْ أَيْمٰانُهُمْ</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لمنع الخلوّ، و هو غير معلوم؛ إذ لعلّ المنفصلة حقيقيّة، بل هو الظاهر؛ لأنّ التفصيل 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استصحاب الحلّ، فغير جار؛ لأنّ الحلّ السابق كان من جهة الزوجيّة المحضة، و قد ارتفعت؛ للإجماع على بطلان الزوجيّة، و غيره لم يثبت سابقا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الموثقة السابقة المروية في الكافي </w:t>
      </w:r>
      <w:r>
        <w:rPr>
          <w:rStyle w:val="FootnoteAnchor"/>
          <w:rtl w:val="true"/>
        </w:rPr>
        <w:footnoteReference w:id="896"/>
      </w:r>
      <w:r>
        <w:rPr>
          <w:rFonts w:ascii="Amiri" w:hAnsi="Amiri" w:eastAsia="Amiri" w:cs="Amiri"/>
          <w:color w:val="111111"/>
          <w:sz w:val="28"/>
          <w:sz w:val="28"/>
          <w:szCs w:val="28"/>
          <w:rtl w:val="true"/>
          <w:lang w:bidi="ar-SA"/>
        </w:rPr>
        <w:t>و المحكية عن الفقيه، خلافا</w:t>
      </w:r>
    </w:p>
    <w:p>
      <w:pPr>
        <w:pStyle w:val="BookText"/>
        <w:rPr/>
      </w:pPr>
      <w:r>
        <w:rPr>
          <w:rFonts w:ascii="Amiri" w:hAnsi="Amiri" w:eastAsia="Amiri" w:cs="Amiri"/>
          <w:color w:val="111111"/>
          <w:sz w:val="28"/>
          <w:sz w:val="28"/>
          <w:szCs w:val="28"/>
          <w:rtl w:val="true"/>
          <w:lang w:bidi="ar-SA"/>
        </w:rPr>
        <w:t xml:space="preserve">للمحكي </w:t>
      </w:r>
      <w:r>
        <w:rPr>
          <w:rStyle w:val="FootnoteAnchor"/>
          <w:rtl w:val="true"/>
        </w:rPr>
        <w:footnoteReference w:id="897"/>
      </w:r>
      <w:r>
        <w:rPr>
          <w:rFonts w:ascii="Amiri" w:hAnsi="Amiri" w:eastAsia="Amiri" w:cs="Amiri"/>
          <w:color w:val="111111"/>
          <w:sz w:val="28"/>
          <w:sz w:val="28"/>
          <w:szCs w:val="28"/>
          <w:rtl w:val="true"/>
          <w:lang w:bidi="ar-SA"/>
        </w:rPr>
        <w:t xml:space="preserve">عن ابن إدريس </w:t>
      </w:r>
      <w:r>
        <w:rPr>
          <w:rStyle w:val="FootnoteAnchor"/>
          <w:rtl w:val="true"/>
        </w:rPr>
        <w:footnoteReference w:id="898"/>
      </w:r>
      <w:r>
        <w:rPr>
          <w:rFonts w:ascii="Amiri" w:hAnsi="Amiri" w:eastAsia="Amiri" w:cs="Amiri"/>
          <w:color w:val="111111"/>
          <w:sz w:val="28"/>
          <w:sz w:val="28"/>
          <w:szCs w:val="28"/>
          <w:rtl w:val="true"/>
          <w:lang w:bidi="ar-SA"/>
        </w:rPr>
        <w:t xml:space="preserve">و جماعة </w:t>
      </w:r>
      <w:r>
        <w:rPr>
          <w:rStyle w:val="FootnoteAnchor"/>
          <w:rtl w:val="true"/>
        </w:rPr>
        <w:footnoteReference w:id="899"/>
      </w:r>
      <w:r>
        <w:rPr>
          <w:rFonts w:ascii="Amiri" w:hAnsi="Amiri" w:eastAsia="Amiri" w:cs="Amiri"/>
          <w:color w:val="111111"/>
          <w:sz w:val="28"/>
          <w:sz w:val="28"/>
          <w:szCs w:val="28"/>
          <w:rtl w:val="true"/>
          <w:lang w:bidi="ar-SA"/>
        </w:rPr>
        <w:t>، فحلّلوها بتحليل الشريك؛ لأنّ التحليل ملك المنفعة، فالواطئ يملك الكل؛ لأنّه مالك لعين نصف و لمنفعة نصف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للصحيح المروي في الكافي عن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جارية بين رجلين دبّراها جميعا، ثمّ أحلّ أحدهما فرجها لشريكه؟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حلال، و أيّهما مات قبل صاحبه صار نصفها حرّا من قبل الذي مات، و نصفها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أراد الباقي منهما أن يمسّها أ له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يبتّ عتقها و يتزوّجها برضى منها مثل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صار نصفها حرا، قد ملكت نصف رقبتها، و النصف الآخر للباقي منهما؟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هي جعلت مولاها في حلّ من فرجها و أحلّت له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له ذلك، كما أجزت للذي كان له نصفها حين أحلّ فرجها لشريكه منها؟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الحرة لا تهب فرجها و لا تعيره و لا تحلّله، و لكن لها من</w:t>
      </w:r>
    </w:p>
    <w:p>
      <w:pPr>
        <w:pStyle w:val="BookText"/>
        <w:rPr/>
      </w:pPr>
      <w:r>
        <w:rPr>
          <w:rFonts w:ascii="Amiri" w:hAnsi="Amiri" w:eastAsia="Amiri" w:cs="Amiri"/>
          <w:color w:val="111111"/>
          <w:sz w:val="28"/>
          <w:sz w:val="28"/>
          <w:szCs w:val="28"/>
          <w:rtl w:val="true"/>
          <w:lang w:bidi="ar-SA"/>
        </w:rPr>
        <w:t>نفسها يوم، و للذي دبّرها يوم، فإن أحب أن يتزوّجها متعة بشي‌ء في اليوم الذي تملك فيه نفسها، فيتمتّع منها بشي‌ء قلّ أو كثر</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القول لا يخلو عن قوّة، و كذلك الحكم فيما لو كان الباقي عدا نصيب الزوج حرّا فإنّه لم يحل العقد عليها و لا الإباحة، و لا متعة في أيّامها على رأي المصنّف رحمه اللّٰه المحكي عن الأكثر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عدم جواز العقد، فلما عرفت من عدم التبعّض، و أنّ الفرج لا يحلّ بسببين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الإباحة، فظاهر، و الظاهر أنّهما محلّ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الإباحة، فظاهر، و الظاهر أنّهما محلّ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جواز المتعة، فلأنّ منافع البضع لا تدخل في المهايأة، و إلّا حلّ لها المتعة لغير مالك النصف، و هو باطل اتفاقا كما في المسالك </w:t>
      </w:r>
      <w:r>
        <w:rPr>
          <w:rStyle w:val="FootnoteAnchor"/>
          <w:rtl w:val="true"/>
        </w:rPr>
        <w:footnoteReference w:id="902"/>
      </w:r>
      <w:r>
        <w:rPr>
          <w:rFonts w:ascii="Amiri" w:hAnsi="Amiri" w:eastAsia="Amiri" w:cs="Amiri"/>
          <w:color w:val="111111"/>
          <w:sz w:val="28"/>
          <w:sz w:val="28"/>
          <w:szCs w:val="28"/>
          <w:rtl w:val="true"/>
          <w:lang w:bidi="ar-SA"/>
        </w:rPr>
        <w:t xml:space="preserve">، و عن السيّد في شرح النافع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لآخرين فجوّزوا المتعة في أيّامها </w:t>
      </w:r>
      <w:r>
        <w:rPr>
          <w:rStyle w:val="FootnoteAnchor"/>
          <w:rtl w:val="true"/>
        </w:rPr>
        <w:footnoteReference w:id="904"/>
      </w:r>
      <w:r>
        <w:rPr>
          <w:rFonts w:ascii="Amiri" w:hAnsi="Amiri" w:eastAsia="Amiri" w:cs="Amiri"/>
          <w:color w:val="111111"/>
          <w:sz w:val="28"/>
          <w:sz w:val="28"/>
          <w:szCs w:val="28"/>
          <w:rtl w:val="true"/>
          <w:lang w:bidi="ar-SA"/>
        </w:rPr>
        <w:t xml:space="preserve">للرواية المذكورة </w:t>
      </w:r>
      <w:r>
        <w:rPr>
          <w:rStyle w:val="FootnoteAnchor"/>
          <w:rtl w:val="true"/>
        </w:rPr>
        <w:footnoteReference w:id="905"/>
      </w:r>
      <w:r>
        <w:rPr>
          <w:rFonts w:ascii="Amiri" w:hAnsi="Amiri" w:eastAsia="Amiri" w:cs="Amiri"/>
          <w:color w:val="111111"/>
          <w:sz w:val="28"/>
          <w:sz w:val="28"/>
          <w:szCs w:val="28"/>
          <w:rtl w:val="true"/>
          <w:lang w:bidi="ar-SA"/>
        </w:rPr>
        <w:t>، التي</w:t>
      </w:r>
    </w:p>
    <w:p>
      <w:pPr>
        <w:pStyle w:val="BookText"/>
        <w:rPr/>
      </w:pPr>
      <w:r>
        <w:rPr>
          <w:rFonts w:ascii="Amiri" w:hAnsi="Amiri" w:eastAsia="Amiri" w:cs="Amiri"/>
          <w:color w:val="111111"/>
          <w:sz w:val="28"/>
          <w:sz w:val="28"/>
          <w:szCs w:val="28"/>
          <w:rtl w:val="true"/>
          <w:lang w:bidi="ar-SA"/>
        </w:rPr>
        <w:t>هي نصّ في مقابل ما مرّ في سند المنع من الاجتهاد، و لكن 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طلاق العبد لزوجته الحرّة أو المملوكة بيده، و ليس للمولى إجباره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إلّا أن يزوّجه بأمته فالطلاق بيد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في المستثنى و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ثابت في الأخبار الكثيرة </w:t>
      </w:r>
      <w:r>
        <w:rPr>
          <w:rStyle w:val="FootnoteAnchor"/>
          <w:rtl w:val="true"/>
        </w:rPr>
        <w:footnoteReference w:id="908"/>
      </w:r>
      <w:r>
        <w:rPr>
          <w:rFonts w:ascii="Amiri" w:hAnsi="Amiri" w:eastAsia="Amiri" w:cs="Amiri"/>
          <w:color w:val="111111"/>
          <w:sz w:val="28"/>
          <w:sz w:val="28"/>
          <w:szCs w:val="28"/>
          <w:rtl w:val="true"/>
          <w:lang w:bidi="ar-SA"/>
        </w:rPr>
        <w:t>، و لا خلاف ظاهرا في حكم المستثنى، و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w:t>
      </w:r>
      <w:r>
        <w:rPr>
          <w:rStyle w:val="FootnoteAnchor"/>
          <w:rtl w:val="true"/>
        </w:rPr>
        <w:footnoteReference w:id="909"/>
      </w:r>
      <w:r>
        <w:rPr>
          <w:rFonts w:ascii="Amiri" w:hAnsi="Amiri" w:eastAsia="Amiri" w:cs="Amiri"/>
          <w:color w:val="111111"/>
          <w:sz w:val="28"/>
          <w:sz w:val="28"/>
          <w:szCs w:val="28"/>
          <w:rtl w:val="true"/>
          <w:lang w:bidi="ar-SA"/>
        </w:rPr>
        <w:t>، و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موضع وفاق </w:t>
      </w:r>
      <w:r>
        <w:rPr>
          <w:rStyle w:val="FootnoteAnchor"/>
          <w:rtl w:val="true"/>
        </w:rPr>
        <w:footnoteReference w:id="910"/>
      </w:r>
      <w:r>
        <w:rPr>
          <w:rFonts w:ascii="Amiri" w:hAnsi="Amiri" w:eastAsia="Amiri" w:cs="Amiri"/>
          <w:color w:val="111111"/>
          <w:sz w:val="28"/>
          <w:sz w:val="28"/>
          <w:szCs w:val="28"/>
          <w:rtl w:val="true"/>
          <w:lang w:bidi="ar-SA"/>
        </w:rPr>
        <w:t>، و عن المصنّف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على ذلك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حكم المستثنى منه فهو مذهب المشهور على ما في المسالك </w:t>
      </w:r>
      <w:r>
        <w:rPr>
          <w:rStyle w:val="FootnoteAnchor"/>
          <w:rtl w:val="true"/>
        </w:rPr>
        <w:footnoteReference w:id="912"/>
      </w:r>
      <w:r>
        <w:rPr>
          <w:rFonts w:ascii="IRNazanin" w:hAnsi="IRNazanin" w:eastAsia="IRNazanin"/>
          <w:color w:val="111111"/>
          <w:sz w:val="28"/>
          <w:sz w:val="28"/>
          <w:szCs w:val="28"/>
          <w:rtl w:val="true"/>
          <w:lang w:bidi="fa-IR"/>
        </w:rPr>
        <w:t xml:space="preserve">و الحدائق </w:t>
      </w:r>
      <w:r>
        <w:rPr>
          <w:rStyle w:val="FootnoteAnchor"/>
          <w:rtl w:val="true"/>
        </w:rPr>
        <w:footnoteReference w:id="913"/>
      </w:r>
      <w:r>
        <w:rPr>
          <w:rFonts w:ascii="Amiri" w:hAnsi="Amiri" w:eastAsia="Amiri" w:cs="Amiri"/>
          <w:color w:val="111111"/>
          <w:sz w:val="28"/>
          <w:sz w:val="28"/>
          <w:szCs w:val="28"/>
          <w:rtl w:val="true"/>
          <w:lang w:bidi="ar-SA"/>
        </w:rPr>
        <w:t xml:space="preserve">، و فيهما و في غيرهما </w:t>
      </w:r>
      <w:r>
        <w:rPr>
          <w:rStyle w:val="FootnoteAnchor"/>
          <w:rtl w:val="true"/>
        </w:rPr>
        <w:footnoteReference w:id="914"/>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الطلاق مطلقا بيد المولى؛</w:t>
      </w:r>
    </w:p>
    <w:p>
      <w:pPr>
        <w:pStyle w:val="BookText"/>
        <w:rPr/>
      </w:pPr>
      <w:r>
        <w:rPr>
          <w:rFonts w:ascii="Amiri" w:hAnsi="Amiri" w:eastAsia="Amiri" w:cs="Amiri"/>
          <w:color w:val="111111"/>
          <w:sz w:val="28"/>
          <w:sz w:val="28"/>
          <w:szCs w:val="28"/>
          <w:rtl w:val="true"/>
          <w:lang w:bidi="ar-SA"/>
        </w:rPr>
        <w:t xml:space="preserve">لبعض الأخبار الصحيحة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للمولى إجباره عليه و إن لم يكن بيده؛ لأنّ طاعته واجبة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كان بيده طلاق زوجة عبده المملوكة له فله الفسخ أيضا بغيره أي بغير الطلاق؛ لصحيحة محمد بن مسلم في تفسير وَ الْمُحْصَنٰاتُ مِنَ النِّسٰاءِ إِلّٰا مٰا مَلَكَتْ أَيْمٰانُكُمْ </w:t>
      </w:r>
      <w:r>
        <w:rPr>
          <w:rStyle w:val="FootnoteAnchor"/>
          <w:rtl w:val="true"/>
        </w:rPr>
        <w:footnoteReference w:id="917"/>
      </w:r>
      <w:r>
        <w:rPr>
          <w:rFonts w:ascii="Amiri" w:hAnsi="Amiri" w:eastAsia="Amiri" w:cs="Amiri"/>
          <w:color w:val="111111"/>
          <w:sz w:val="28"/>
          <w:sz w:val="28"/>
          <w:szCs w:val="28"/>
          <w:rtl w:val="true"/>
          <w:lang w:bidi="ar-SA"/>
        </w:rPr>
        <w:t xml:space="preserve">، و حسنة عبد اللّٰه بن سنان بابن هاشم </w:t>
      </w:r>
      <w:r>
        <w:rPr>
          <w:rStyle w:val="FootnoteAnchor"/>
          <w:rtl w:val="true"/>
        </w:rPr>
        <w:footnoteReference w:id="918"/>
      </w:r>
      <w:r>
        <w:rPr>
          <w:rFonts w:ascii="Amiri" w:hAnsi="Amiri" w:eastAsia="Amiri" w:cs="Amiri"/>
          <w:color w:val="111111"/>
          <w:sz w:val="28"/>
          <w:sz w:val="28"/>
          <w:szCs w:val="28"/>
          <w:rtl w:val="true"/>
          <w:lang w:bidi="ar-SA"/>
        </w:rPr>
        <w:t xml:space="preserve">، و موثقة عمار </w:t>
      </w:r>
      <w:r>
        <w:rPr>
          <w:rStyle w:val="FootnoteAnchor"/>
          <w:rtl w:val="true"/>
        </w:rPr>
        <w:footnoteReference w:id="919"/>
      </w:r>
      <w:r>
        <w:rPr>
          <w:rFonts w:ascii="Amiri" w:hAnsi="Amiri" w:eastAsia="Amiri" w:cs="Amiri"/>
          <w:color w:val="111111"/>
          <w:sz w:val="28"/>
          <w:sz w:val="28"/>
          <w:szCs w:val="28"/>
          <w:rtl w:val="true"/>
          <w:lang w:bidi="ar-SA"/>
        </w:rPr>
        <w:t>، و في رواية محمد بن فضيل عن عبد 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إن شاء نزعها منه بغير طلاق</w:t>
      </w:r>
      <w:r>
        <w:rPr>
          <w:rFonts w:eastAsia="Amiri" w:cs="Amiri" w:ascii="Amiri" w:hAnsi="Amiri"/>
          <w:color w:val="111111"/>
          <w:sz w:val="28"/>
          <w:szCs w:val="28"/>
          <w:rtl w:val="true"/>
          <w:lang w:bidi="ar-SA"/>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 و الأخبار الأخر </w:t>
      </w:r>
      <w:r>
        <w:rPr>
          <w:rStyle w:val="FootnoteAnchor"/>
          <w:rtl w:val="true"/>
        </w:rPr>
        <w:footnoteReference w:id="921"/>
      </w:r>
      <w:r>
        <w:rPr>
          <w:rFonts w:ascii="Amiri" w:hAnsi="Amiri" w:eastAsia="Amiri" w:cs="Amiri"/>
          <w:color w:val="111111"/>
          <w:sz w:val="28"/>
          <w:sz w:val="28"/>
          <w:szCs w:val="28"/>
          <w:rtl w:val="true"/>
          <w:lang w:bidi="ar-SA"/>
        </w:rPr>
        <w:t>ظاهرة في ذلك أيضا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أنّ هذا الفسخ لا يعدّ في الطلاق على رأي قوي،</w:t>
      </w:r>
    </w:p>
    <w:p>
      <w:pPr>
        <w:pStyle w:val="BookText"/>
        <w:rPr/>
      </w:pPr>
      <w:r>
        <w:rPr>
          <w:rFonts w:ascii="Amiri" w:hAnsi="Amiri" w:eastAsia="Amiri" w:cs="Amiri"/>
          <w:color w:val="111111"/>
          <w:sz w:val="28"/>
          <w:sz w:val="28"/>
          <w:szCs w:val="28"/>
          <w:rtl w:val="true"/>
          <w:lang w:bidi="ar-SA"/>
        </w:rPr>
        <w:t xml:space="preserve">خلافا لمن عدّه في الطلاق مطلقا </w:t>
      </w:r>
      <w:r>
        <w:rPr>
          <w:rStyle w:val="FootnoteAnchor"/>
          <w:rtl w:val="true"/>
        </w:rPr>
        <w:footnoteReference w:id="922"/>
      </w:r>
      <w:r>
        <w:rPr>
          <w:rFonts w:ascii="Amiri" w:hAnsi="Amiri" w:eastAsia="Amiri" w:cs="Amiri"/>
          <w:color w:val="111111"/>
          <w:sz w:val="28"/>
          <w:sz w:val="28"/>
          <w:szCs w:val="28"/>
          <w:rtl w:val="true"/>
          <w:lang w:bidi="ar-SA"/>
        </w:rPr>
        <w:t xml:space="preserve">، أو مع وقوع التفريق بلفظ الطلاق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عدم كونه طلاقا بناء على عدم كون تزويجه نكاحا واضح، كما حكي عن بعض من أنّه إباحة لا نكاح </w:t>
      </w:r>
      <w:r>
        <w:rPr>
          <w:rStyle w:val="FootnoteAnchor"/>
          <w:rtl w:val="true"/>
        </w:rPr>
        <w:footnoteReference w:id="924"/>
      </w:r>
      <w:r>
        <w:rPr>
          <w:rFonts w:ascii="Amiri" w:hAnsi="Amiri" w:eastAsia="Amiri" w:cs="Amiri"/>
          <w:color w:val="111111"/>
          <w:sz w:val="28"/>
          <w:sz w:val="28"/>
          <w:szCs w:val="28"/>
          <w:rtl w:val="true"/>
          <w:lang w:bidi="ar-SA"/>
        </w:rPr>
        <w:t>، و أمّا على القول بأنّه 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أطلق عليه التزويج في جملة من الأخبار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فالمستند هو الأخبار الدالّة على أنّ رفع ذلك بيد المولى </w:t>
      </w:r>
      <w:r>
        <w:rPr>
          <w:rStyle w:val="FootnoteAnchor"/>
          <w:rtl w:val="true"/>
        </w:rPr>
        <w:footnoteReference w:id="926"/>
      </w:r>
      <w:r>
        <w:rPr>
          <w:rFonts w:ascii="Amiri" w:hAnsi="Amiri" w:eastAsia="Amiri" w:cs="Amiri"/>
          <w:color w:val="111111"/>
          <w:sz w:val="28"/>
          <w:sz w:val="28"/>
          <w:szCs w:val="28"/>
          <w:rtl w:val="true"/>
          <w:lang w:bidi="ar-SA"/>
        </w:rPr>
        <w:t>، و رفع النكاح ليس منحصرا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الثمرة في اعتبار اجتماع شروط الطلاق فيه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باعها المالك بعد طلاق الزوج أ تمّت العدّة و كفت عن الاستبراء، لأنّ الغرض منه قد حصل بالعدة، خلافا للمحكي عن جماعة </w:t>
      </w:r>
      <w:r>
        <w:rPr>
          <w:rStyle w:val="FootnoteAnchor"/>
          <w:rtl w:val="true"/>
        </w:rPr>
        <w:footnoteReference w:id="928"/>
      </w:r>
      <w:r>
        <w:rPr>
          <w:rFonts w:ascii="Amiri" w:hAnsi="Amiri" w:eastAsia="Amiri" w:cs="Amiri"/>
          <w:color w:val="111111"/>
          <w:sz w:val="28"/>
          <w:sz w:val="28"/>
          <w:szCs w:val="28"/>
          <w:rtl w:val="true"/>
          <w:lang w:bidi="ar-SA"/>
        </w:rPr>
        <w:t>لأنّهما سببان مستقلّان و لا يتداخل السببان إلّا بدليل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يكره وطء الفاجرة </w:t>
      </w:r>
      <w:r>
        <w:rPr>
          <w:rStyle w:val="FootnoteAnchor"/>
          <w:rtl w:val="true"/>
        </w:rPr>
        <w:footnoteReference w:id="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ولد من الزنى، و يجوز وطء الأمة و في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غيره، و النوم بين أمتين، و يكره ذلك في الحرة</w:t>
      </w:r>
      <w:r>
        <w:rPr>
          <w:rFonts w:eastAsia="Amiri" w:cs="Amiri" w:ascii="Amiri" w:hAnsi="Amiri"/>
          <w:color w:val="111111"/>
          <w:sz w:val="28"/>
          <w:szCs w:val="28"/>
          <w:rtl w:val="true"/>
          <w:lang w:bidi="ar-SA"/>
        </w:rPr>
        <w:t>].</w:t>
      </w:r>
      <w:bookmarkStart w:id="76" w:name="pg19718_239095"/>
    </w:p>
    <w:p>
      <w:pPr>
        <w:pStyle w:val="Heading4"/>
        <w:numPr>
          <w:ilvl w:val="3"/>
          <w:numId w:val="1"/>
        </w:numPr>
        <w:rPr/>
      </w:pPr>
      <w:bookmarkStart w:id="77" w:name="__RefHeading___Toc1985768_2314609296"/>
      <w:bookmarkStart w:id="78" w:name="_Toc30"/>
      <w:bookmarkEnd w:id="76"/>
      <w:bookmarkEnd w:id="77"/>
      <w:r>
        <w:rPr>
          <w:rtl w:val="true"/>
        </w:rPr>
        <w:t>القسم الثاني في المتعة</w:t>
      </w:r>
      <w:bookmarkEnd w:id="78"/>
    </w:p>
    <w:p>
      <w:pPr>
        <w:pStyle w:val="Heading5"/>
        <w:numPr>
          <w:ilvl w:val="4"/>
          <w:numId w:val="1"/>
        </w:numPr>
        <w:rPr/>
      </w:pPr>
      <w:bookmarkStart w:id="79" w:name="__RefHeading___Toc1985770_2314609296"/>
      <w:bookmarkStart w:id="80" w:name="_Toc31"/>
      <w:bookmarkEnd w:id="79"/>
      <w:r>
        <w:rPr>
          <w:rtl w:val="true"/>
        </w:rPr>
        <w:t>اشارة</w:t>
      </w:r>
      <w:bookmarkEnd w:id="8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 في المتعة و فيه مطلبان</w:t>
      </w:r>
      <w:bookmarkStart w:id="81" w:name="pg19718_239097"/>
    </w:p>
    <w:p>
      <w:pPr>
        <w:pStyle w:val="Heading5"/>
        <w:numPr>
          <w:ilvl w:val="4"/>
          <w:numId w:val="1"/>
        </w:numPr>
        <w:rPr/>
      </w:pPr>
      <w:bookmarkStart w:id="82" w:name="__RefHeading___Toc1985772_2314609296"/>
      <w:bookmarkStart w:id="83" w:name="_Toc32"/>
      <w:bookmarkEnd w:id="81"/>
      <w:bookmarkEnd w:id="82"/>
      <w:r>
        <w:rPr>
          <w:rtl w:val="true"/>
        </w:rPr>
        <w:t>[</w:t>
      </w:r>
      <w:r>
        <w:rPr>
          <w:rtl w:val="true"/>
        </w:rPr>
        <w:t>المطلب الأوّل في أركانها</w:t>
      </w:r>
      <w:r>
        <w:rPr>
          <w:rtl w:val="true"/>
        </w:rPr>
        <w:t>]</w:t>
      </w:r>
      <w:bookmarkEnd w:id="83"/>
    </w:p>
    <w:p>
      <w:pPr>
        <w:pStyle w:val="Heading6"/>
        <w:numPr>
          <w:ilvl w:val="5"/>
          <w:numId w:val="1"/>
        </w:numPr>
        <w:rPr/>
      </w:pPr>
      <w:bookmarkStart w:id="84" w:name="__RefHeading___Toc1985774_2314609296"/>
      <w:bookmarkStart w:id="85" w:name="_Toc33"/>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المطلب الأوّل في أركانها و هي أربعة</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1985776_2314609296"/>
      <w:bookmarkStart w:id="87" w:name="_Toc34"/>
      <w:bookmarkEnd w:id="86"/>
      <w:r>
        <w:rPr>
          <w:rtl w:val="true"/>
        </w:rPr>
        <w:t>الأوّل</w:t>
      </w:r>
      <w:r>
        <w:rPr>
          <w:rtl w:val="true"/>
        </w:rPr>
        <w:t xml:space="preserve">: </w:t>
      </w:r>
      <w:r>
        <w:rPr>
          <w:rtl w:val="true"/>
        </w:rPr>
        <w:t>العقد</w:t>
      </w:r>
      <w:bookmarkEnd w:id="8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 يحتاج إلى إيجاب و قبول فالإيجاب المتّفق عليه 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و كذا أنكحتك، و مثلهما متّعتك مقيّدة كلّ واحدة </w:t>
      </w:r>
      <w:r>
        <w:rPr>
          <w:rStyle w:val="FootnoteAnchor"/>
          <w:rtl w:val="true"/>
        </w:rPr>
        <w:footnoteReference w:id="930"/>
      </w:r>
      <w:r>
        <w:rPr>
          <w:rFonts w:ascii="Amiri" w:hAnsi="Amiri" w:eastAsia="Amiri" w:cs="Amiri"/>
          <w:color w:val="111111"/>
          <w:sz w:val="28"/>
          <w:sz w:val="28"/>
          <w:szCs w:val="28"/>
          <w:rtl w:val="true"/>
          <w:lang w:bidi="ar-SA"/>
        </w:rPr>
        <w:t>من الثلاثة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كذا بكذا من الأجر، و حكي عن المرتضى قدّس سرّه أنّه يرى التحليل عقد متعة، فعنده ينعقد بلفظ التحليل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فالظاهر عدم الخلاف في أنّه لا ينعقد بالتمليك و الإجارة و الهبة و العارية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القبول الصادر من الزوج بعد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 رضيت و شبههما، و هل يجوز تقديمه؟ فيه قولان، مضى في الدائم الكلام</w:t>
      </w:r>
    </w:p>
    <w:p>
      <w:pPr>
        <w:pStyle w:val="BookText"/>
        <w:rPr/>
      </w:pPr>
      <w:r>
        <w:rPr>
          <w:rFonts w:ascii="Amiri" w:hAnsi="Amiri" w:eastAsia="Amiri" w:cs="Amiri"/>
          <w:color w:val="111111"/>
          <w:sz w:val="28"/>
          <w:sz w:val="28"/>
          <w:szCs w:val="28"/>
          <w:rtl w:val="true"/>
          <w:lang w:bidi="ar-SA"/>
        </w:rPr>
        <w:t xml:space="preserve">فيه </w:t>
      </w:r>
      <w:r>
        <w:rPr>
          <w:rStyle w:val="FootnoteAnchor"/>
          <w:rtl w:val="true"/>
        </w:rPr>
        <w:footnoteReference w:id="932"/>
      </w:r>
      <w:r>
        <w:rPr>
          <w:rFonts w:ascii="Amiri" w:hAnsi="Amiri" w:eastAsia="Amiri" w:cs="Amiri"/>
          <w:color w:val="111111"/>
          <w:sz w:val="28"/>
          <w:sz w:val="28"/>
          <w:szCs w:val="28"/>
          <w:rtl w:val="true"/>
          <w:lang w:bidi="ar-SA"/>
        </w:rPr>
        <w:t xml:space="preserve">و في أنّه يشترط المضيّ </w:t>
      </w:r>
      <w:r>
        <w:rPr>
          <w:rStyle w:val="FootnoteAnchor"/>
          <w:rtl w:val="true"/>
        </w:rPr>
        <w:footnoteReference w:id="933"/>
      </w:r>
      <w:r>
        <w:rPr>
          <w:rFonts w:ascii="Amiri" w:hAnsi="Amiri" w:eastAsia="Amiri" w:cs="Amiri"/>
          <w:color w:val="111111"/>
          <w:sz w:val="28"/>
          <w:sz w:val="28"/>
          <w:szCs w:val="28"/>
          <w:rtl w:val="true"/>
          <w:lang w:bidi="ar-SA"/>
        </w:rPr>
        <w:t xml:space="preserve">على رأي المصنّف و الأكثر قدّس اللّٰه أسرارهم </w:t>
      </w:r>
      <w:r>
        <w:rPr>
          <w:rStyle w:val="FootnoteAnchor"/>
          <w:rtl w:val="true"/>
        </w:rPr>
        <w:footnoteReference w:id="934"/>
      </w:r>
      <w:r>
        <w:rPr>
          <w:rFonts w:ascii="Amiri" w:hAnsi="Amiri" w:eastAsia="Amiri" w:cs="Amiri"/>
          <w:color w:val="111111"/>
          <w:sz w:val="28"/>
          <w:sz w:val="28"/>
          <w:szCs w:val="28"/>
          <w:rtl w:val="true"/>
          <w:lang w:bidi="ar-SA"/>
        </w:rPr>
        <w:t>، و أنّ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الواردة في المتعة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بلفظ المستقبل مع كون الإيجاب من المرأة و القبول من الرجل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في صحّة العقد و لزومه صدوره من أهله أعني الزوج و الزوجة أو وكيلهما أو وليّهما، فإنّ للوليّ الإنكاح متعة أيضا، و لغيره ذلك فضولا</w:t>
      </w:r>
      <w:r>
        <w:rPr>
          <w:rFonts w:eastAsia="Amiri" w:cs="Amiri" w:ascii="Amiri" w:hAnsi="Amiri"/>
          <w:color w:val="111111"/>
          <w:sz w:val="28"/>
          <w:szCs w:val="28"/>
          <w:rtl w:val="true"/>
          <w:lang w:bidi="ar-SA"/>
        </w:rPr>
        <w:t>.</w:t>
      </w:r>
      <w:bookmarkStart w:id="88" w:name="pg19718_239099"/>
    </w:p>
    <w:p>
      <w:pPr>
        <w:pStyle w:val="Heading6"/>
        <w:numPr>
          <w:ilvl w:val="5"/>
          <w:numId w:val="1"/>
        </w:numPr>
        <w:rPr/>
      </w:pPr>
      <w:bookmarkStart w:id="89" w:name="__RefHeading___Toc1985778_2314609296"/>
      <w:bookmarkStart w:id="90" w:name="_Toc35"/>
      <w:bookmarkEnd w:id="88"/>
      <w:bookmarkEnd w:id="89"/>
      <w:r>
        <w:rPr>
          <w:rtl w:val="true"/>
        </w:rPr>
        <w:t>الركن الثاني</w:t>
      </w:r>
      <w:r>
        <w:rPr>
          <w:rtl w:val="true"/>
        </w:rPr>
        <w:t xml:space="preserve">: </w:t>
      </w:r>
      <w:r>
        <w:rPr>
          <w:rtl w:val="true"/>
        </w:rPr>
        <w:t>المحل</w:t>
      </w:r>
      <w:bookmarkEnd w:id="90"/>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و يشترط </w:t>
      </w:r>
      <w:r>
        <w:rPr>
          <w:rStyle w:val="FootnoteAnchor"/>
          <w:rtl w:val="true"/>
        </w:rPr>
        <w:footnoteReference w:id="936"/>
      </w:r>
      <w:r>
        <w:rPr>
          <w:rFonts w:ascii="Amiri" w:hAnsi="Amiri" w:eastAsia="Amiri" w:cs="Amiri"/>
          <w:color w:val="111111"/>
          <w:sz w:val="28"/>
          <w:sz w:val="28"/>
          <w:szCs w:val="28"/>
          <w:rtl w:val="true"/>
          <w:lang w:bidi="ar-SA"/>
        </w:rPr>
        <w:t>إسلام الزوجة أو كتابيتها على رأي، و ليس للمسلمة أن تتزوّج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الاستمتاع بالوثنية و لا بالناصبية و لا بالأمة لمن عنده حرّة بغير إذنها، و لا بنت أخت امرأته أو بنت أخيها من غير إذن العمّة و 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المؤمنة العفيفة و سؤالها، و يكره الزانية و البكر إذا خلت من أب، فإن فعل كره افتضاضها، و للرشيدة أن تعقد بغير إذن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الكتابي عن مثله لم ينفسخ العقد، و لو أسلمت قبله اعتبرت العدّة، فإن أسلم فيها فهو أحقّ مع الأجل، و إلّا بطل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أسلم أحد الحربيين بعد الدخول اعتبرت العدة و الأجل، فإن خرج أحدهما قبل إسلام الآخر بطل، و لو أسلم و عنده حرة و أمة ثبت عقد الحرة دون الأمة إلّا مع رضاها</w:t>
      </w:r>
      <w:r>
        <w:rPr>
          <w:rFonts w:eastAsia="Amiri" w:cs="Amiri" w:ascii="Amiri" w:hAnsi="Amiri"/>
          <w:color w:val="111111"/>
          <w:sz w:val="28"/>
          <w:szCs w:val="28"/>
          <w:rtl w:val="true"/>
          <w:lang w:bidi="ar-SA"/>
        </w:rPr>
        <w:t>.</w:t>
      </w:r>
      <w:bookmarkStart w:id="91" w:name="pg19718_239100"/>
    </w:p>
    <w:p>
      <w:pPr>
        <w:pStyle w:val="Heading6"/>
        <w:numPr>
          <w:ilvl w:val="5"/>
          <w:numId w:val="1"/>
        </w:numPr>
        <w:rPr/>
      </w:pPr>
      <w:bookmarkStart w:id="92" w:name="__RefHeading___Toc1985780_2314609296"/>
      <w:bookmarkStart w:id="93" w:name="_Toc36"/>
      <w:bookmarkEnd w:id="91"/>
      <w:bookmarkEnd w:id="92"/>
      <w:r>
        <w:rPr>
          <w:rtl w:val="true"/>
        </w:rPr>
        <w:t>الركن الثالث</w:t>
      </w:r>
      <w:r>
        <w:rPr>
          <w:rtl w:val="true"/>
        </w:rPr>
        <w:t xml:space="preserve">: </w:t>
      </w:r>
      <w:r>
        <w:rPr>
          <w:rtl w:val="true"/>
        </w:rPr>
        <w:t>الأجل</w:t>
      </w:r>
      <w:bookmarkEnd w:id="93"/>
    </w:p>
    <w:p>
      <w:p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لا خلاف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غير واحد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اشتراط ذكر الأجل في المتعة فلو أخلّ به لم ينعقد متعة إجماعا، و بطل أصل العقد على رأي المصنّف و جماعة </w:t>
      </w:r>
      <w:r>
        <w:rPr>
          <w:rStyle w:val="FootnoteAnchor"/>
          <w:rtl w:val="true"/>
        </w:rPr>
        <w:footnoteReference w:id="938"/>
      </w:r>
      <w:r>
        <w:rPr>
          <w:rFonts w:ascii="Amiri" w:hAnsi="Amiri" w:eastAsia="Amiri" w:cs="Amiri"/>
          <w:color w:val="111111"/>
          <w:sz w:val="28"/>
          <w:sz w:val="28"/>
          <w:szCs w:val="28"/>
          <w:rtl w:val="true"/>
          <w:lang w:bidi="ar-SA"/>
        </w:rPr>
        <w:t xml:space="preserve">لأنّ المتعة لم تقع، للإخلال بشرطها </w:t>
      </w:r>
      <w:r>
        <w:rPr>
          <w:rStyle w:val="FootnoteAnchor"/>
          <w:rtl w:val="true"/>
        </w:rPr>
        <w:footnoteReference w:id="939"/>
      </w:r>
      <w:r>
        <w:rPr>
          <w:rFonts w:ascii="Amiri" w:hAnsi="Amiri" w:eastAsia="Amiri" w:cs="Amiri"/>
          <w:color w:val="111111"/>
          <w:sz w:val="28"/>
          <w:sz w:val="28"/>
          <w:szCs w:val="28"/>
          <w:rtl w:val="true"/>
          <w:lang w:bidi="ar-SA"/>
        </w:rPr>
        <w:t>، و غيرها لم يقصد، فلم يقع أيضا لعدم ركنه و هو القصد المعتبر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للأكثر فتنعقد دائما </w:t>
      </w:r>
      <w:r>
        <w:rPr>
          <w:rStyle w:val="FootnoteAnchor"/>
          <w:rtl w:val="true"/>
        </w:rPr>
        <w:footnoteReference w:id="940"/>
      </w:r>
      <w:r>
        <w:rPr>
          <w:rFonts w:ascii="Amiri" w:hAnsi="Amiri" w:eastAsia="Amiri" w:cs="Amiri"/>
          <w:color w:val="111111"/>
          <w:sz w:val="28"/>
          <w:sz w:val="28"/>
          <w:szCs w:val="28"/>
          <w:rtl w:val="true"/>
          <w:lang w:bidi="ar-SA"/>
        </w:rPr>
        <w:t>لروايتي أبان بن تغلب و عبد اللّٰه بن بكير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أولاهما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أستحيي أن أذكر شرط الأيّام،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أضرّ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لم تشترط كان تزويج مقام، و لزمتك النفقة في العدّة، و كانت وارثا، و لم تقدر على أن تطلّقها إلّا طلاق السنّة</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سمّى الأجل فهو متعة، و إن لم يسمّ الأجل فهو نكاح بات</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ردّها في المسالك بأنّه ليس فيها دلالة على أنّ من قصد المتعة و لم يذكر الأجل يكون دائما، بل إنّما دلّ على أنّ الدوام لا يذكر فيه الأجل، و هو كذلك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هذا الحمل لو تطرّق في هذه الرواية و لم يناف صدرها، فالرواية الاولى آبية عنه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أوّلت هي أيضا بأنّ المراد بالأضرية هو الإضافة إلى ظاهر الشريعة، حيث إنّ المرأة لو ادّعت الدوام و أثبتت الألفاظ بدون الأجل، حكم على الزوج ظاهرا بالدوام، و الزم أحكامه من النفقة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الاستحياء </w:t>
      </w:r>
      <w:r>
        <w:rPr>
          <w:rStyle w:val="FootnoteAnchor"/>
          <w:rtl w:val="true"/>
        </w:rPr>
        <w:footnoteReference w:id="944"/>
      </w:r>
      <w:r>
        <w:rPr>
          <w:rFonts w:ascii="Amiri" w:hAnsi="Amiri" w:eastAsia="Amiri" w:cs="Amiri"/>
          <w:color w:val="111111"/>
          <w:sz w:val="28"/>
          <w:sz w:val="28"/>
          <w:szCs w:val="28"/>
          <w:rtl w:val="true"/>
          <w:lang w:bidi="ar-SA"/>
        </w:rPr>
        <w:t>من أجل التمتّع بها، لا مجرّد ذكر الأجل في المتعة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المسألة مشكلة؛ لمخالفة الحكم المشهور للأصول القطعيّة و يظهر من بعض المعاصرين </w:t>
      </w:r>
      <w:r>
        <w:rPr>
          <w:rStyle w:val="FootnoteAnchor"/>
          <w:rtl w:val="true"/>
        </w:rPr>
        <w:footnoteReference w:id="945"/>
      </w:r>
      <w:r>
        <w:rPr>
          <w:rFonts w:ascii="Amiri" w:hAnsi="Amiri" w:eastAsia="Amiri" w:cs="Amiri"/>
          <w:color w:val="111111"/>
          <w:sz w:val="28"/>
          <w:sz w:val="28"/>
          <w:szCs w:val="28"/>
          <w:rtl w:val="true"/>
          <w:lang w:bidi="ar-SA"/>
        </w:rPr>
        <w:t>موافقة الحكم للأصول، من حيث إنّ الانقطاع الحاصل في المؤجل الذي شرّعه الشارع من حيث اشتراط الأجل فيه،</w:t>
      </w:r>
    </w:p>
    <w:p>
      <w:pPr>
        <w:pStyle w:val="BookText"/>
        <w:rPr/>
      </w:pPr>
      <w:r>
        <w:rPr>
          <w:rFonts w:ascii="Amiri" w:hAnsi="Amiri" w:eastAsia="Amiri" w:cs="Amiri"/>
          <w:color w:val="111111"/>
          <w:sz w:val="28"/>
          <w:sz w:val="28"/>
          <w:szCs w:val="28"/>
          <w:rtl w:val="true"/>
          <w:lang w:bidi="ar-SA"/>
        </w:rPr>
        <w:t>فمع عدم ذكره يكون كالعقد الفاقد للشرط؛ لا أنّ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 في المنقطع على وجه يكون ذكر الأجل كاشفا عن المراد، بل هي ليست مستعملة إلّا في معنى النكاحيّة، فإذا أريد الانقطاع جي‌ء بما يدلّ عليه من ذكر الأجل، فهو معه حينئذ دالّان و مدلولان، و مع عدمه يبقى الأوّل، و يحصل الدوام فيه من مجرد ثبوت النكاحيّة فيه، و عدم اشتراط الأجل </w:t>
      </w:r>
      <w:r>
        <w:rPr>
          <w:rStyle w:val="FootnoteAnchor"/>
          <w:rtl w:val="true"/>
        </w:rPr>
        <w:footnoteReference w:id="94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حاصله، أنّ أصل الصيغة دالّة على النكاح و مقتضى إطلاق النكاح الدوام، و قصد الدوام غير شرط في الدائم كما صرّح به في مقام آخر </w:t>
      </w:r>
      <w:r>
        <w:rPr>
          <w:rStyle w:val="FootnoteAnchor"/>
          <w:rtl w:val="true"/>
        </w:rPr>
        <w:footnoteReference w:id="947"/>
      </w:r>
      <w:r>
        <w:rPr>
          <w:rFonts w:ascii="Amiri" w:hAnsi="Amiri" w:eastAsia="Amiri" w:cs="Amiri"/>
          <w:color w:val="111111"/>
          <w:sz w:val="28"/>
          <w:sz w:val="28"/>
          <w:szCs w:val="28"/>
          <w:rtl w:val="true"/>
          <w:lang w:bidi="ar-SA"/>
        </w:rPr>
        <w:t xml:space="preserve">، و جعله من قبيل ما يدلّ على التمليك و التملك، فإنّ مطلقه يفيد الملكية </w:t>
      </w:r>
      <w:r>
        <w:rPr>
          <w:rStyle w:val="FootnoteAnchor"/>
          <w:rtl w:val="true"/>
        </w:rPr>
        <w:footnoteReference w:id="948"/>
      </w:r>
      <w:r>
        <w:rPr>
          <w:rFonts w:ascii="Amiri" w:hAnsi="Amiri" w:eastAsia="Amiri" w:cs="Amiri"/>
          <w:color w:val="111111"/>
          <w:sz w:val="28"/>
          <w:sz w:val="28"/>
          <w:szCs w:val="28"/>
          <w:rtl w:val="true"/>
          <w:lang w:bidi="ar-SA"/>
        </w:rPr>
        <w:t>الدائمة و لا يعتبر قصد الدوام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لاحظ النصوص و الفتاوى أنّ النكاح المنقطع و الدائم حقيقتان مختلفتان و إن كان لفظ التزويج و أخويه موضوعا للقدر المشترك بينهما، لكن ذلك لا يخرجهما عن اختلاف الحقيقة، و ليس اختلافهما بمجرّد أنّ الدائم تزويج مطلق، و المنقطع تزويج مشروط، فحالهما كحال البيع و الهبة، حيث إنّ التمليك و إن كان موضوعا للقدر المشترك بينهما، إلّا أنّ ذلك لا يخرجهما عن اختلاف الحقيقة، و ليس الفرق بينهما مجرد أنّ الهبة تمليك مطلق، و البيع تمليك مشروط بعوض </w:t>
      </w:r>
      <w:r>
        <w:rPr>
          <w:rStyle w:val="FootnoteAnchor"/>
          <w:rtl w:val="true"/>
        </w:rPr>
        <w:footnoteReference w:id="949"/>
      </w:r>
      <w:r>
        <w:rPr>
          <w:rFonts w:ascii="Amiri" w:hAnsi="Amiri" w:eastAsia="Amiri" w:cs="Amiri"/>
          <w:color w:val="111111"/>
          <w:sz w:val="28"/>
          <w:sz w:val="28"/>
          <w:szCs w:val="28"/>
          <w:rtl w:val="true"/>
          <w:lang w:bidi="ar-SA"/>
        </w:rPr>
        <w:t>، فإذا قال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w:t>
      </w:r>
    </w:p>
    <w:p>
      <w:pPr>
        <w:pStyle w:val="BookText"/>
        <w:rPr/>
      </w:pPr>
      <w:r>
        <w:rPr>
          <w:rFonts w:ascii="Amiri" w:hAnsi="Amiri" w:eastAsia="Amiri" w:cs="Amiri"/>
          <w:color w:val="111111"/>
          <w:sz w:val="28"/>
          <w:sz w:val="28"/>
          <w:szCs w:val="28"/>
          <w:rtl w:val="true"/>
          <w:lang w:bidi="ar-SA"/>
        </w:rPr>
        <w:t>الثمن، فلا ينصرف إلى الهبة، و كذا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ذلك قول العلماء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أخلّ بالأجل ينقلب دائما </w:t>
      </w:r>
      <w:r>
        <w:rPr>
          <w:rStyle w:val="FootnoteAnchor"/>
          <w:rtl w:val="true"/>
        </w:rPr>
        <w:footnoteReference w:id="950"/>
      </w:r>
      <w:r>
        <w:rPr>
          <w:rFonts w:ascii="Amiri" w:hAnsi="Amiri" w:eastAsia="Amiri" w:cs="Amiri"/>
          <w:color w:val="111111"/>
          <w:sz w:val="28"/>
          <w:sz w:val="28"/>
          <w:szCs w:val="28"/>
          <w:rtl w:val="true"/>
          <w:lang w:bidi="ar-SA"/>
        </w:rPr>
        <w:t>، فإنّ التعبير بالانقلاب يدلّ على أنّ الإنشاء الصادر من أوّل الأمر لم يكن مقتضيا للدوام، و إلّا لوجب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يبقى العقد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النصوص </w:t>
      </w:r>
      <w:r>
        <w:rPr>
          <w:rStyle w:val="FootnoteAnchor"/>
          <w:rtl w:val="true"/>
        </w:rPr>
        <w:footnoteReference w:id="951"/>
      </w:r>
      <w:r>
        <w:rPr>
          <w:rFonts w:ascii="IRNazanin" w:hAnsi="IRNazanin" w:eastAsia="IRNazanin"/>
          <w:color w:val="111111"/>
          <w:sz w:val="28"/>
          <w:sz w:val="28"/>
          <w:szCs w:val="28"/>
          <w:rtl w:val="true"/>
          <w:lang w:bidi="fa-IR"/>
        </w:rPr>
        <w:t xml:space="preserve">و الفتاوى </w:t>
      </w:r>
      <w:r>
        <w:rPr>
          <w:rStyle w:val="FootnoteAnchor"/>
          <w:rtl w:val="true"/>
        </w:rPr>
        <w:footnoteReference w:id="952"/>
      </w:r>
      <w:r>
        <w:rPr>
          <w:rFonts w:ascii="Amiri" w:hAnsi="Amiri" w:eastAsia="Amiri" w:cs="Amiri"/>
          <w:color w:val="111111"/>
          <w:sz w:val="28"/>
          <w:sz w:val="28"/>
          <w:szCs w:val="28"/>
          <w:rtl w:val="true"/>
          <w:lang w:bidi="ar-SA"/>
        </w:rPr>
        <w:t xml:space="preserve">على أنّ المهر ركن هنا للعقد دون الدائم، فالعقد المنقطع بمنزلة المعاوضة على التسليط على البضع و تمليك الانتفاع به بعوض كالإجارة، كما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أنّهنّ مستأجرات</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و لا ريب أنّ المهر ليس يشترط ذكره في الدائم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يلزم هذا القائل أنّه متى أنشأ الإيجاب و أخلّ بذكر الأجل و المهر كليهما انقلب </w:t>
      </w:r>
      <w:r>
        <w:rPr>
          <w:rStyle w:val="FootnoteAnchor"/>
          <w:rtl w:val="true"/>
        </w:rPr>
        <w:footnoteReference w:id="954"/>
      </w:r>
      <w:r>
        <w:rPr>
          <w:rFonts w:ascii="Amiri" w:hAnsi="Amiri" w:eastAsia="Amiri" w:cs="Amiri"/>
          <w:color w:val="111111"/>
          <w:sz w:val="28"/>
          <w:sz w:val="28"/>
          <w:szCs w:val="28"/>
          <w:rtl w:val="true"/>
          <w:lang w:bidi="ar-SA"/>
        </w:rPr>
        <w:t xml:space="preserve">دائما أيضا؛ لثبوت الدوام بحكم عدم اشتراط الأجل، و عدم اشتراط ذكر المهر في النكاح الدائم، مع أنّ ظاهر المسالك </w:t>
      </w:r>
      <w:r>
        <w:rPr>
          <w:rStyle w:val="FootnoteAnchor"/>
          <w:rtl w:val="true"/>
        </w:rPr>
        <w:footnoteReference w:id="955"/>
      </w:r>
      <w:r>
        <w:rPr>
          <w:rFonts w:ascii="Amiri" w:hAnsi="Amiri" w:eastAsia="Amiri" w:cs="Amiri"/>
          <w:color w:val="111111"/>
          <w:sz w:val="28"/>
          <w:sz w:val="28"/>
          <w:szCs w:val="28"/>
          <w:rtl w:val="true"/>
          <w:lang w:bidi="ar-SA"/>
        </w:rPr>
        <w:t>الاتفاق على أنّه متى أخلّ في هذا العقد بهما بطل، و أنّ الخلاف في البطلان و الانقلاب إنّما هو فيما إذا ذكر المهر و أخلّ بالأجل،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نفسي، إذا أرادت به الانقطاع، فقد أنشأت بهذه الصيغة المعاوضة على الانتفاع ببضعها بإزاء المهر المسمّى، بخلاف ما إذا أرادت الدوام، فإنّه ليس هنا معاوضة، و لذا لا يسقط من المهر شي‌ء بعدم تمكين الزوجة و لو مدّة متطاولة، بخلاف العوض في المنقطع، فإنّه عوض حقيقي للانتفاع بالبضع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يتفرّع على ما ذكره أنّ الزوجين لو تداعيا في الانقطاع و الدوام، كان القول قول مدّعي الدوام، لأنّ مرجعه إلى إنكار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الفاضل اعترف بأنّه لو أراد الموجب خصوص الانقطاع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أتزوّجك، و جعل ذكر الأجل كاشفا عن مراده، فسد العقد بالإخلال بالأجل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هذا هو الذي يظهر منهم في محلّ الخلاف، لا ما إذا خلا الإيجاب عن قصد خصوص المتعة و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قصدا المتعة و أخلّا بذكر الأجل، فالمشهور بين الأصحاب أنّه ينقلب دائما </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تعبير كلهم بالانقلاب </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959"/>
      </w:r>
      <w:r>
        <w:rPr>
          <w:rFonts w:ascii="Amiri" w:hAnsi="Amiri" w:eastAsia="Amiri" w:cs="Amiri"/>
          <w:color w:val="111111"/>
          <w:sz w:val="28"/>
          <w:sz w:val="28"/>
          <w:szCs w:val="28"/>
          <w:rtl w:val="true"/>
          <w:lang w:bidi="ar-SA"/>
        </w:rPr>
        <w:t>مضمون رواية أبان بن</w:t>
      </w:r>
    </w:p>
    <w:p>
      <w:pPr>
        <w:pStyle w:val="BookText"/>
        <w:rPr/>
      </w:pPr>
      <w:r>
        <w:rPr>
          <w:rFonts w:ascii="IRNazanin" w:hAnsi="IRNazanin" w:eastAsia="IRNazanin"/>
          <w:color w:val="111111"/>
          <w:sz w:val="28"/>
          <w:sz w:val="28"/>
          <w:szCs w:val="28"/>
          <w:rtl w:val="true"/>
          <w:lang w:bidi="fa-IR"/>
        </w:rPr>
        <w:t xml:space="preserve">تغلب من هذا الباب </w:t>
      </w:r>
      <w:r>
        <w:rPr>
          <w:rStyle w:val="FootnoteAnchor"/>
          <w:rtl w:val="true"/>
        </w:rPr>
        <w:footnoteReference w:id="960"/>
      </w:r>
      <w:r>
        <w:rPr>
          <w:rFonts w:ascii="Amiri" w:hAnsi="Amiri" w:eastAsia="Amiri" w:cs="Amiri"/>
          <w:color w:val="111111"/>
          <w:sz w:val="28"/>
          <w:sz w:val="28"/>
          <w:szCs w:val="28"/>
          <w:rtl w:val="true"/>
          <w:lang w:bidi="ar-SA"/>
        </w:rPr>
        <w:t xml:space="preserve">فإنّ فيه </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متعة على كتاب اللّٰه و سنّة رسوله صلّى اللّٰه عليه و آله و سلّم لا وارثة و لا موروثة</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 xml:space="preserve">، فإنّه صريح </w:t>
      </w:r>
      <w:r>
        <w:rPr>
          <w:rStyle w:val="FootnoteAnchor"/>
          <w:rtl w:val="true"/>
        </w:rPr>
        <w:footnoteReference w:id="963"/>
      </w:r>
      <w:r>
        <w:rPr>
          <w:rFonts w:ascii="Amiri" w:hAnsi="Amiri" w:eastAsia="Amiri" w:cs="Amiri"/>
          <w:color w:val="111111"/>
          <w:sz w:val="28"/>
          <w:sz w:val="28"/>
          <w:szCs w:val="28"/>
          <w:rtl w:val="true"/>
          <w:lang w:bidi="ar-SA"/>
        </w:rPr>
        <w:t xml:space="preserve">في قصد المتعة بهذا الإيجاب، و قد اعترف الفاضل </w:t>
      </w:r>
      <w:r>
        <w:rPr>
          <w:rStyle w:val="FootnoteAnchor"/>
          <w:rtl w:val="true"/>
        </w:rPr>
        <w:footnoteReference w:id="964"/>
      </w:r>
      <w:r>
        <w:rPr>
          <w:rFonts w:ascii="IRNazanin" w:hAnsi="IRNazanin" w:eastAsia="IRNazanin"/>
          <w:color w:val="111111"/>
          <w:sz w:val="28"/>
          <w:sz w:val="28"/>
          <w:szCs w:val="28"/>
          <w:rtl w:val="true"/>
          <w:lang w:bidi="fa-IR"/>
        </w:rPr>
        <w:t xml:space="preserve">ببطلان هذا، ثمّ استدلّ به </w:t>
      </w:r>
      <w:r>
        <w:rPr>
          <w:rStyle w:val="FootnoteAnchor"/>
          <w:rtl w:val="true"/>
        </w:rPr>
        <w:footnoteReference w:id="965"/>
      </w:r>
      <w:r>
        <w:rPr>
          <w:rFonts w:ascii="Amiri" w:hAnsi="Amiri" w:eastAsia="Amiri" w:cs="Amiri"/>
          <w:color w:val="111111"/>
          <w:sz w:val="28"/>
          <w:sz w:val="28"/>
          <w:szCs w:val="28"/>
          <w:rtl w:val="true"/>
          <w:lang w:bidi="ar-SA"/>
        </w:rPr>
        <w:t>على مذهبه من أنّه لو لم يقصد بالإيجاب خصوص المتعة صار دائما بالإخلال بالأجل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اعلم </w:t>
      </w:r>
      <w:r>
        <w:rPr>
          <w:rStyle w:val="FootnoteAnchor"/>
          <w:rtl w:val="true"/>
        </w:rPr>
        <w:footnoteReference w:id="966"/>
      </w:r>
      <w:r>
        <w:rPr>
          <w:rFonts w:ascii="Amiri" w:hAnsi="Amiri" w:eastAsia="Amiri" w:cs="Amiri"/>
          <w:color w:val="111111"/>
          <w:sz w:val="28"/>
          <w:sz w:val="28"/>
          <w:szCs w:val="28"/>
          <w:rtl w:val="true"/>
          <w:lang w:bidi="ar-SA"/>
        </w:rPr>
        <w:t xml:space="preserve">أنّ في المسألة قولا ثالثا محكيّا عن ابن إدريس </w:t>
      </w:r>
      <w:r>
        <w:rPr>
          <w:rStyle w:val="FootnoteAnchor"/>
          <w:rtl w:val="true"/>
        </w:rPr>
        <w:footnoteReference w:id="967"/>
      </w:r>
      <w:r>
        <w:rPr>
          <w:rFonts w:ascii="Amiri" w:hAnsi="Amiri" w:eastAsia="Amiri" w:cs="Amiri"/>
          <w:color w:val="111111"/>
          <w:sz w:val="28"/>
          <w:sz w:val="28"/>
          <w:szCs w:val="28"/>
          <w:rtl w:val="true"/>
          <w:lang w:bidi="ar-SA"/>
        </w:rPr>
        <w:t xml:space="preserve">، مفصّلا بين كون الصيغة بلفظ النكاح و التزويج فينقلب دائما، و بين كونها </w:t>
      </w:r>
      <w:r>
        <w:rPr>
          <w:rStyle w:val="FootnoteAnchor"/>
          <w:rtl w:val="true"/>
        </w:rPr>
        <w:footnoteReference w:id="968"/>
      </w:r>
      <w:r>
        <w:rPr>
          <w:rFonts w:ascii="Amiri" w:hAnsi="Amiri" w:eastAsia="Amiri" w:cs="Amiri"/>
          <w:color w:val="111111"/>
          <w:sz w:val="28"/>
          <w:sz w:val="28"/>
          <w:szCs w:val="28"/>
          <w:rtl w:val="true"/>
          <w:lang w:bidi="ar-SA"/>
        </w:rPr>
        <w:t>بلفظ التمتّع فيبطل و لعلّه مبنيّ على صلاحيّة الأوّلين للدائم، و عدم صلاحية الأخير 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حكي قول رابع، و هو الفرق بين تعمّد الإخلال بالأجل فينقلب دائما، و بين نسيانه فيبطل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يشترط </w:t>
      </w:r>
      <w:r>
        <w:rPr>
          <w:rStyle w:val="FootnoteAnchor"/>
          <w:rtl w:val="true"/>
        </w:rPr>
        <w:footnoteReference w:id="970"/>
      </w:r>
      <w:r>
        <w:rPr>
          <w:rFonts w:ascii="Amiri" w:hAnsi="Amiri" w:eastAsia="Amiri" w:cs="Amiri"/>
          <w:color w:val="111111"/>
          <w:sz w:val="28"/>
          <w:sz w:val="28"/>
          <w:szCs w:val="28"/>
          <w:rtl w:val="true"/>
          <w:lang w:bidi="ar-SA"/>
        </w:rPr>
        <w:t xml:space="preserve">في الأجل تعيّنه بما لا يحتمل الزيادة و النقصان لرواية محمد بن إسماعيل </w:t>
      </w:r>
      <w:r>
        <w:rPr>
          <w:rStyle w:val="FootnoteAnchor"/>
          <w:rtl w:val="true"/>
        </w:rPr>
        <w:footnoteReference w:id="971"/>
      </w:r>
      <w:r>
        <w:rPr>
          <w:rFonts w:ascii="Amiri" w:hAnsi="Amiri" w:eastAsia="Amiri" w:cs="Amiri"/>
          <w:color w:val="111111"/>
          <w:sz w:val="28"/>
          <w:sz w:val="28"/>
          <w:szCs w:val="28"/>
          <w:rtl w:val="true"/>
          <w:lang w:bidi="ar-SA"/>
        </w:rPr>
        <w:t xml:space="preserve">و رواية إسماعيل بن الفضل الهاشمي </w:t>
      </w:r>
      <w:r>
        <w:rPr>
          <w:rStyle w:val="FootnoteAnchor"/>
          <w:rtl w:val="true"/>
        </w:rPr>
        <w:footnoteReference w:id="972"/>
      </w:r>
      <w:r>
        <w:rPr>
          <w:rFonts w:ascii="Amiri" w:hAnsi="Amiri" w:eastAsia="Amiri" w:cs="Amiri"/>
          <w:color w:val="111111"/>
          <w:sz w:val="28"/>
          <w:sz w:val="28"/>
          <w:szCs w:val="28"/>
          <w:rtl w:val="true"/>
          <w:lang w:bidi="ar-SA"/>
        </w:rPr>
        <w:t>و يؤيّدهما موثقة زرارة،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عن جواز التمتّع ساعة أو ساعتين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 و الساعتان لا يوقف على حدّهما</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العمومات أنّ الأجل المشروط يجوز اتّصاله بزمان الصيغة و تأخيره كالإجارة، لما في الأخبار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أنّهنّ مستأجرات</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بمنزلة المستأجرة</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يؤيّده رواية بكّار بن كردم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قيل </w:t>
      </w:r>
      <w:r>
        <w:rPr>
          <w:rStyle w:val="FootnoteAnchor"/>
          <w:rtl w:val="true"/>
        </w:rPr>
        <w:footnoteReference w:id="977"/>
      </w:r>
      <w:r>
        <w:rPr>
          <w:rFonts w:ascii="Amiri" w:hAnsi="Amiri" w:eastAsia="Amiri" w:cs="Amiri"/>
          <w:color w:val="111111"/>
          <w:sz w:val="28"/>
          <w:sz w:val="28"/>
          <w:szCs w:val="28"/>
          <w:rtl w:val="true"/>
          <w:lang w:bidi="ar-SA"/>
        </w:rPr>
        <w:t>بالمنع عن الانفصال؛ لأدلّة ضعيفة، أقواها انصراف أدلّة عقد المنقطع إلى غيره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تقدير الانفصال، هل يجوز للمرأة أن تتزوّج بغيره فيما قبل المدّة، أم لا؟ قولان </w:t>
      </w:r>
      <w:r>
        <w:rPr>
          <w:rStyle w:val="FootnoteAnchor"/>
          <w:rtl w:val="true"/>
        </w:rPr>
        <w:footnoteReference w:id="978"/>
      </w:r>
      <w:r>
        <w:rPr>
          <w:rFonts w:ascii="Amiri" w:hAnsi="Amiri" w:eastAsia="Amiri" w:cs="Amiri"/>
          <w:color w:val="111111"/>
          <w:sz w:val="28"/>
          <w:sz w:val="28"/>
          <w:szCs w:val="28"/>
          <w:rtl w:val="true"/>
          <w:lang w:bidi="ar-SA"/>
        </w:rPr>
        <w:t>، لا يبعد الجواز؛ لوجود المقتضي و عدم المانع</w:t>
      </w:r>
    </w:p>
    <w:p>
      <w:pPr>
        <w:pStyle w:val="BookText"/>
        <w:rPr/>
      </w:pPr>
      <w:r>
        <w:rPr>
          <w:rFonts w:ascii="Amiri" w:hAnsi="Amiri" w:eastAsia="Amiri" w:cs="Amiri"/>
          <w:color w:val="111111"/>
          <w:sz w:val="28"/>
          <w:sz w:val="28"/>
          <w:szCs w:val="28"/>
          <w:rtl w:val="true"/>
          <w:lang w:bidi="ar-SA"/>
        </w:rPr>
        <w:t xml:space="preserve">عدا 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ذات بعل، و هو ممنوع، و مع التسليم فأدلّة حرمة النكاح على ذات البعل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منصرفة</w:t>
      </w:r>
      <w:r>
        <w:rPr>
          <w:rFonts w:eastAsia="Amiri" w:cs="Amiri" w:ascii="Amiri" w:hAnsi="Amiri"/>
          <w:color w:val="111111"/>
          <w:sz w:val="28"/>
          <w:szCs w:val="28"/>
          <w:rtl w:val="true"/>
          <w:lang w:bidi="ar-SA"/>
        </w:rPr>
        <w:t xml:space="preserve">] </w:t>
      </w:r>
      <w:r>
        <w:rPr>
          <w:rStyle w:val="FootnoteAnchor"/>
          <w:rtl w:val="true"/>
        </w:rPr>
        <w:footnoteReference w:id="980"/>
      </w:r>
      <w:r>
        <w:rPr>
          <w:rFonts w:ascii="IRNazanin" w:hAnsi="IRNazanin" w:eastAsia="IRNazanin"/>
          <w:color w:val="111111"/>
          <w:sz w:val="28"/>
          <w:sz w:val="28"/>
          <w:szCs w:val="28"/>
          <w:rtl w:val="true"/>
          <w:lang w:bidi="fa-IR"/>
        </w:rPr>
        <w:t>إلى ذات البعل 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يشترط أن يكون ما قبل الأجل قابلا لزمان العقد المنقطع و 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جواز التأخير إنّما هو مع تعيين الشهر،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الفلاني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و قيّده بالمنفصل عن زمان العقد، و لم يبيّن الشهر، فالظاهر عدم الصحة؛ لعدم كونه معلوما، و بطلان مثل هذا في الإجارة فكذا فيما هو بمنزلته </w:t>
      </w:r>
      <w:r>
        <w:rPr>
          <w:rStyle w:val="FootnoteAnchor"/>
          <w:rtl w:val="true"/>
        </w:rPr>
        <w:footnoteReference w:id="981"/>
      </w:r>
      <w:r>
        <w:rPr>
          <w:rFonts w:ascii="Amiri" w:hAnsi="Amiri" w:eastAsia="Amiri" w:cs="Amiri"/>
          <w:color w:val="111111"/>
          <w:sz w:val="28"/>
          <w:sz w:val="28"/>
          <w:szCs w:val="28"/>
          <w:rtl w:val="true"/>
          <w:lang w:bidi="ar-SA"/>
        </w:rPr>
        <w:t>بناء على أنّ عموم المنزلة يقتضي تساوي الشيئين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أطلق من غير تقييد بالانفصال اتّصل بزمان العقد؛ لانصرافه إليه بحكم العرف، و حكي عن ابن إدريس المنع؛ للجهالة </w:t>
      </w:r>
      <w:r>
        <w:rPr>
          <w:rStyle w:val="FootnoteAnchor"/>
          <w:rtl w:val="true"/>
        </w:rPr>
        <w:footnoteReference w:id="982"/>
      </w:r>
      <w:r>
        <w:rPr>
          <w:rFonts w:ascii="Amiri" w:hAnsi="Amiri" w:eastAsia="Amiri" w:cs="Amiri"/>
          <w:color w:val="111111"/>
          <w:sz w:val="28"/>
          <w:sz w:val="28"/>
          <w:szCs w:val="28"/>
          <w:rtl w:val="true"/>
          <w:lang w:bidi="ar-SA"/>
        </w:rPr>
        <w:t>، و هو ضعيف؛ لارتفاع الجهالة بحمله على المتّصل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يدخل الزوج حتّى خرج الأجل فلها المهر لاستحقاقها له بالعقد و بذل نفسها، و لا مانع من قبلها، كما لو استأجر دارا فلم يدخلها اختيارا حتّى خرجت مدّة الإجارة و خرجت المتمتّع بها عن العقد بمضي المدّة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أن يشترط المرّة و المرّتان من دون ذكر الأجل</w:t>
      </w:r>
    </w:p>
    <w:p>
      <w:pPr>
        <w:pStyle w:val="BookText"/>
        <w:rPr/>
      </w:pPr>
      <w:r>
        <w:rPr>
          <w:rFonts w:ascii="Amiri" w:hAnsi="Amiri" w:eastAsia="Amiri" w:cs="Amiri"/>
          <w:color w:val="111111"/>
          <w:sz w:val="28"/>
          <w:sz w:val="28"/>
          <w:szCs w:val="28"/>
          <w:rtl w:val="true"/>
          <w:lang w:bidi="ar-SA"/>
        </w:rPr>
        <w:t xml:space="preserve">لعموم ما دلّ على اشتراط الأجل المعيّن في هذا العقد و أنّه ركن فيه </w:t>
      </w:r>
      <w:r>
        <w:rPr>
          <w:rStyle w:val="FootnoteAnchor"/>
          <w:rtl w:val="true"/>
        </w:rPr>
        <w:footnoteReference w:id="983"/>
      </w:r>
      <w:r>
        <w:rPr>
          <w:rFonts w:ascii="Amiri" w:hAnsi="Amiri" w:eastAsia="Amiri" w:cs="Amiri"/>
          <w:color w:val="111111"/>
          <w:sz w:val="28"/>
          <w:sz w:val="28"/>
          <w:szCs w:val="28"/>
          <w:rtl w:val="true"/>
          <w:lang w:bidi="ar-SA"/>
        </w:rPr>
        <w:t xml:space="preserve">، و على أنّ المرأة مستأجرة </w:t>
      </w:r>
      <w:r>
        <w:rPr>
          <w:rStyle w:val="FootnoteAnchor"/>
          <w:rtl w:val="true"/>
        </w:rPr>
        <w:footnoteReference w:id="984"/>
      </w:r>
      <w:r>
        <w:rPr>
          <w:rFonts w:ascii="Amiri" w:hAnsi="Amiri" w:eastAsia="Amiri" w:cs="Amiri"/>
          <w:color w:val="111111"/>
          <w:sz w:val="28"/>
          <w:sz w:val="28"/>
          <w:szCs w:val="28"/>
          <w:rtl w:val="true"/>
          <w:lang w:bidi="ar-SA"/>
        </w:rPr>
        <w:t xml:space="preserve">، و في بعض الروايات الجواز </w:t>
      </w:r>
      <w:r>
        <w:rPr>
          <w:rStyle w:val="FootnoteAnchor"/>
          <w:rtl w:val="true"/>
        </w:rPr>
        <w:footnoteReference w:id="985"/>
      </w:r>
      <w:r>
        <w:rPr>
          <w:rFonts w:ascii="Amiri" w:hAnsi="Amiri" w:eastAsia="Amiri" w:cs="Amiri"/>
          <w:color w:val="111111"/>
          <w:sz w:val="28"/>
          <w:sz w:val="28"/>
          <w:szCs w:val="28"/>
          <w:rtl w:val="true"/>
          <w:lang w:bidi="ar-SA"/>
        </w:rPr>
        <w:t>،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حكم بانقلاب العقد دائما بالإخلال بالأجل </w:t>
      </w:r>
      <w:r>
        <w:rPr>
          <w:rStyle w:val="FootnoteAnchor"/>
          <w:rtl w:val="true"/>
        </w:rPr>
        <w:footnoteReference w:id="986"/>
      </w:r>
      <w:r>
        <w:rPr>
          <w:rFonts w:ascii="Amiri" w:hAnsi="Amiri" w:eastAsia="Amiri" w:cs="Amiri"/>
          <w:color w:val="111111"/>
          <w:sz w:val="28"/>
          <w:sz w:val="28"/>
          <w:szCs w:val="28"/>
          <w:rtl w:val="true"/>
          <w:lang w:bidi="ar-SA"/>
        </w:rPr>
        <w:t>، لا يلزمه القول بالانقلاب هنا؛ لأنّ الفساد هنا أقوى من هناك،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ذكر الأجل مع اشتراط المرّة و المرّتين، فإن جعل الأجل ظرفا للمتعة، إلّا أنّه شرط أن لا يطأها في هذا الزمان الذي جعل ظرفا للمتعة إلّا مرّة أو مرّتين، جاز بغير إشكال؛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 فإذا وطأها العدد المشروط حرم عليه وطؤها </w:t>
      </w:r>
      <w:r>
        <w:rPr>
          <w:rStyle w:val="FootnoteAnchor"/>
          <w:rtl w:val="true"/>
        </w:rPr>
        <w:footnoteReference w:id="988"/>
      </w:r>
      <w:r>
        <w:rPr>
          <w:rFonts w:ascii="Amiri" w:hAnsi="Amiri" w:eastAsia="Amiri" w:cs="Amiri"/>
          <w:color w:val="111111"/>
          <w:sz w:val="28"/>
          <w:sz w:val="28"/>
          <w:szCs w:val="28"/>
          <w:rtl w:val="true"/>
          <w:lang w:bidi="ar-SA"/>
        </w:rPr>
        <w:t>و إن لم تنقضي المدّة، و لا منافاة بين بقاء الزوجية و حرمة الوطء</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أذنت في الوطء، ففي جوازه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لم يجوّزه العقد فلا </w:t>
      </w:r>
      <w:r>
        <w:rPr>
          <w:rStyle w:val="FootnoteAnchor"/>
          <w:rtl w:val="true"/>
        </w:rPr>
        <w:footnoteReference w:id="990"/>
      </w:r>
      <w:r>
        <w:rPr>
          <w:rFonts w:ascii="Amiri" w:hAnsi="Amiri" w:eastAsia="Amiri" w:cs="Amiri"/>
          <w:color w:val="111111"/>
          <w:sz w:val="28"/>
          <w:sz w:val="28"/>
          <w:szCs w:val="28"/>
          <w:rtl w:val="true"/>
          <w:lang w:bidi="ar-SA"/>
        </w:rPr>
        <w:t>يجوّزه إذنها؛ لعدم حلّية الفروج بمجرّد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 </w:t>
      </w:r>
      <w:r>
        <w:rPr>
          <w:rStyle w:val="FootnoteAnchor"/>
          <w:rtl w:val="true"/>
        </w:rPr>
        <w:footnoteReference w:id="991"/>
      </w:r>
      <w:r>
        <w:rPr>
          <w:rFonts w:ascii="Amiri" w:hAnsi="Amiri" w:eastAsia="Amiri" w:cs="Amiri"/>
          <w:color w:val="111111"/>
          <w:sz w:val="28"/>
          <w:sz w:val="28"/>
          <w:szCs w:val="28"/>
          <w:rtl w:val="true"/>
          <w:lang w:bidi="ar-SA"/>
        </w:rPr>
        <w:t>العقد اقتضى جوازه إلّا أنّه شرطت لها العدد الخاص، فالمقتضي للجواز</w:t>
      </w:r>
    </w:p>
    <w:p>
      <w:pPr>
        <w:pStyle w:val="BookText"/>
        <w:rPr/>
      </w:pPr>
      <w:r>
        <w:rPr>
          <w:rFonts w:ascii="Amiri" w:hAnsi="Amiri" w:eastAsia="Amiri" w:cs="Amiri"/>
          <w:color w:val="111111"/>
          <w:sz w:val="28"/>
          <w:sz w:val="28"/>
          <w:szCs w:val="28"/>
          <w:rtl w:val="true"/>
          <w:lang w:bidi="ar-SA"/>
        </w:rPr>
        <w:t>موجود، و المانع هو عدم رضاها بأزيد ممّا شرط، فإذا ارتفع المانع أثّر المقتضي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رواية إسحاق بن عمار المحكية عن الفقيه </w:t>
      </w:r>
      <w:r>
        <w:rPr>
          <w:rStyle w:val="FootnoteAnchor"/>
          <w:rtl w:val="true"/>
        </w:rPr>
        <w:footnoteReference w:id="992"/>
      </w:r>
      <w:r>
        <w:rPr>
          <w:rFonts w:ascii="Amiri" w:hAnsi="Amiri" w:eastAsia="Amiri" w:cs="Amiri"/>
          <w:color w:val="111111"/>
          <w:sz w:val="28"/>
          <w:sz w:val="28"/>
          <w:szCs w:val="28"/>
          <w:rtl w:val="true"/>
          <w:lang w:bidi="ar-SA"/>
        </w:rPr>
        <w:t>أنّه إذا شرط للمرأة أن لا يفتضها ثم أذنت فيه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ذكر الأجل ظرفا للمتعة، و أمّا إذا جعل المدّة المضروبة ظرفا للمرّة و المرّتين، بمعنى أن لا يقع شي‌ء من العدد المضروب خارج المدّة، و متى تمّ العدد بانت منه، و لو خرجت المدّة قبل العدد أيضا بانت،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على أن أطأك في هذا اليوم مرّة أو مرّتين، فالأقوى عدم الصحة؛ للإخلال بالأجل المعيّن، فإنّ المدّة المذكورة ليست أجلا للمتعة، و إنّما هي ظرف للعدد المشروط، و أجل المتعة هو الزمان الذي يكمل فيه العدد، سواء كان مجموع هذا الزمان أو بعضا منه، و لا ريب في جهالته، و هو يبطل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بانقلاب العقد دائما بإخلال الأجل، فالظاهر الحكم هنا بالبطلان؛ لأنّ ذكر الأجل المجهول يؤثّر في البطلان و إن قلنا بأنّ الإخلال بأصل الأجل لا يؤثّر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قول الشيخ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تعرّض له هنا في المتن بانقلاب العقد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الانقلاب هنا </w:t>
      </w:r>
      <w:r>
        <w:rPr>
          <w:rStyle w:val="FootnoteAnchor"/>
          <w:rtl w:val="true"/>
        </w:rPr>
        <w:footnoteReference w:id="9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نظر كما في المسالك </w:t>
      </w:r>
      <w:r>
        <w:rPr>
          <w:rStyle w:val="FootnoteAnchor"/>
          <w:rtl w:val="true"/>
        </w:rPr>
        <w:footnoteReference w:id="994"/>
      </w:r>
      <w:r>
        <w:rPr>
          <w:rFonts w:ascii="Amiri" w:hAnsi="Amiri" w:eastAsia="Amiri" w:cs="Amiri"/>
          <w:color w:val="111111"/>
          <w:sz w:val="28"/>
          <w:sz w:val="28"/>
          <w:szCs w:val="28"/>
          <w:rtl w:val="true"/>
          <w:lang w:bidi="ar-SA"/>
        </w:rPr>
        <w:t>للفرق بين الإخلال بالأجل و جعله مجهولا،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لا فرق في الأجل المضبوط بين زيادته على ما يحتمل بقاءهما فيه كمائة سنة، أو ما ينقص عن زمان يقبل للاستمتاع، كلحظة و لحظتين إذا علمتا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مانع في الأوّل إلّا ما ربما يقال من انصراف النصوص إلى غير ذلك، خصوصا بعد عدم جواز مثله في الإجارة المشبّه بها؛ ضرورة عدم القابليّة حينئذ للاستمتاع، فلا وجه لإنشاء تملّكه و تمليكه بالعوض، بل هو شبه المعاملة السفهيّة، بل لا ريب في عدم مراعاة مثله في التوزيع؛ لعدم تحقّق جنس المنفعة فيه المقتضي للتوزيع</w:t>
      </w:r>
      <w:r>
        <w:rPr>
          <w:rFonts w:eastAsia="Amiri" w:cs="Amiri" w:ascii="Amiri" w:hAnsi="Amiri"/>
          <w:color w:val="111111"/>
          <w:sz w:val="28"/>
          <w:szCs w:val="28"/>
          <w:rtl w:val="true"/>
          <w:lang w:bidi="ar-SA"/>
        </w:rPr>
        <w:t>.</w:t>
      </w:r>
      <w:bookmarkStart w:id="94" w:name="pg19718_239111"/>
    </w:p>
    <w:p>
      <w:pPr>
        <w:pStyle w:val="Heading6"/>
        <w:numPr>
          <w:ilvl w:val="5"/>
          <w:numId w:val="1"/>
        </w:numPr>
        <w:rPr/>
      </w:pPr>
      <w:bookmarkStart w:id="95" w:name="__RefHeading___Toc1985782_2314609296"/>
      <w:bookmarkStart w:id="96" w:name="_Toc37"/>
      <w:bookmarkEnd w:id="94"/>
      <w:bookmarkEnd w:id="95"/>
      <w:r>
        <w:rPr>
          <w:rtl w:val="true"/>
        </w:rPr>
        <w:t>الرابع من الأركان المهر</w:t>
      </w:r>
      <w:bookmarkEnd w:id="96"/>
    </w:p>
    <w:p>
      <w:pPr>
        <w:pStyle w:val="BookText"/>
        <w:rPr/>
      </w:pPr>
      <w:r>
        <w:rPr>
          <w:rFonts w:ascii="Amiri" w:hAnsi="Amiri" w:eastAsia="Amiri" w:cs="Amiri"/>
          <w:color w:val="111111"/>
          <w:sz w:val="28"/>
          <w:sz w:val="28"/>
          <w:szCs w:val="28"/>
          <w:rtl w:val="true"/>
          <w:lang w:bidi="ar-SA"/>
        </w:rPr>
        <w:t>الرابع من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و هو ركن في العقد لو أخلّ به بطل بلا خلاف على الظاهر، و الروايات به مستفيضة </w:t>
      </w:r>
      <w:r>
        <w:rPr>
          <w:rStyle w:val="FootnoteAnchor"/>
          <w:rtl w:val="true"/>
        </w:rPr>
        <w:footnoteReference w:id="995"/>
      </w:r>
      <w:r>
        <w:rPr>
          <w:rFonts w:ascii="IRNazanin" w:hAnsi="IRNazanin" w:eastAsia="IRNazanin"/>
          <w:color w:val="111111"/>
          <w:sz w:val="28"/>
          <w:sz w:val="28"/>
          <w:szCs w:val="28"/>
          <w:rtl w:val="true"/>
          <w:lang w:bidi="fa-IR"/>
        </w:rPr>
        <w:t xml:space="preserve">، و بها </w:t>
      </w:r>
      <w:r>
        <w:rPr>
          <w:rStyle w:val="FootnoteAnchor"/>
          <w:rtl w:val="true"/>
        </w:rPr>
        <w:footnoteReference w:id="996"/>
      </w:r>
      <w:r>
        <w:rPr>
          <w:rFonts w:ascii="Amiri" w:hAnsi="Amiri" w:eastAsia="Amiri" w:cs="Amiri"/>
          <w:color w:val="111111"/>
          <w:sz w:val="28"/>
          <w:sz w:val="28"/>
          <w:szCs w:val="28"/>
          <w:rtl w:val="true"/>
          <w:lang w:bidi="ar-SA"/>
        </w:rPr>
        <w:t>فرّق بينه و بين الدائم الذي لا يشترط فيه ذكر المهر مضافا إلى بعض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أن يكون مملوكا معلوما بلا خلاف؛ للروايات </w:t>
      </w:r>
      <w:r>
        <w:rPr>
          <w:rStyle w:val="FootnoteAnchor"/>
          <w:rtl w:val="true"/>
        </w:rPr>
        <w:footnoteReference w:id="997"/>
      </w:r>
      <w:r>
        <w:rPr>
          <w:rFonts w:ascii="Amiri" w:hAnsi="Amiri" w:eastAsia="Amiri" w:cs="Amiri"/>
          <w:color w:val="111111"/>
          <w:sz w:val="28"/>
          <w:sz w:val="28"/>
          <w:szCs w:val="28"/>
          <w:rtl w:val="true"/>
          <w:lang w:bidi="ar-SA"/>
        </w:rPr>
        <w:t xml:space="preserve">و عمومات أنّها كالمستأجرة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يكتفى بالمعلوميّة و لو بالمشاهدة حتّى في المكيل و الموزون، فلا يشترط الكيل و الوزن؛ لأنّ هذا العقد ليس معاوضة صرفة، فيكتفى فيه باندفاع الغرر الحاصل بالمشاهدة، و يكتفى في الغائب الوصف الرافع للغرر، بحيث يصدق عليه أنّه شي‌ء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تقدير فيه إلّا ما تراضيا عليه ممّا يتموّل؛ للروايات الخاصة </w:t>
      </w:r>
      <w:r>
        <w:rPr>
          <w:rStyle w:val="FootnoteAnchor"/>
          <w:rtl w:val="true"/>
        </w:rPr>
        <w:footnoteReference w:id="999"/>
      </w:r>
      <w:r>
        <w:rPr>
          <w:rFonts w:ascii="Amiri" w:hAnsi="Amiri" w:eastAsia="Amiri" w:cs="Amiri"/>
          <w:color w:val="111111"/>
          <w:sz w:val="28"/>
          <w:sz w:val="28"/>
          <w:szCs w:val="28"/>
          <w:rtl w:val="true"/>
          <w:lang w:bidi="ar-SA"/>
        </w:rPr>
        <w:t>و عموم أنّها كالمستأجرة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وهبها الأجل قبل الدخول استحقّت النصف من المسمّى؛</w:t>
      </w:r>
    </w:p>
    <w:p>
      <w:pPr>
        <w:pStyle w:val="BookText"/>
        <w:rPr/>
      </w:pPr>
      <w:r>
        <w:rPr>
          <w:rFonts w:ascii="Amiri" w:hAnsi="Amiri" w:eastAsia="Amiri" w:cs="Amiri"/>
          <w:color w:val="111111"/>
          <w:sz w:val="28"/>
          <w:sz w:val="28"/>
          <w:szCs w:val="28"/>
          <w:rtl w:val="true"/>
          <w:lang w:bidi="ar-SA"/>
        </w:rPr>
        <w:t xml:space="preserve">للرواية </w:t>
      </w:r>
      <w:r>
        <w:rPr>
          <w:rStyle w:val="FootnoteAnchor"/>
          <w:rtl w:val="true"/>
        </w:rPr>
        <w:footnoteReference w:id="1000"/>
      </w:r>
      <w:r>
        <w:rPr>
          <w:rFonts w:ascii="Amiri" w:hAnsi="Amiri" w:eastAsia="Amiri" w:cs="Amiri"/>
          <w:color w:val="111111"/>
          <w:sz w:val="28"/>
          <w:sz w:val="28"/>
          <w:szCs w:val="28"/>
          <w:rtl w:val="true"/>
          <w:lang w:bidi="ar-SA"/>
        </w:rPr>
        <w:t xml:space="preserve">المنجبرة بحكاية الإجماع عن المحقّق الثاني </w:t>
      </w:r>
      <w:r>
        <w:rPr>
          <w:rStyle w:val="FootnoteAnchor"/>
          <w:rtl w:val="true"/>
        </w:rPr>
        <w:footnoteReference w:id="1001"/>
      </w:r>
      <w:r>
        <w:rPr>
          <w:rFonts w:ascii="Amiri" w:hAnsi="Amiri" w:eastAsia="Amiri" w:cs="Amiri"/>
          <w:color w:val="111111"/>
          <w:sz w:val="28"/>
          <w:sz w:val="28"/>
          <w:szCs w:val="28"/>
          <w:rtl w:val="true"/>
          <w:lang w:bidi="ar-SA"/>
        </w:rPr>
        <w:t xml:space="preserve">، و في الحدائق </w:t>
      </w:r>
      <w:r>
        <w:rPr>
          <w:rStyle w:val="FootnoteAnchor"/>
          <w:rtl w:val="true"/>
        </w:rPr>
        <w:footnoteReference w:id="1002"/>
      </w:r>
      <w:r>
        <w:rPr>
          <w:rFonts w:ascii="IRNazanin" w:hAnsi="IRNazanin" w:eastAsia="IRNazanin"/>
          <w:color w:val="111111"/>
          <w:sz w:val="28"/>
          <w:sz w:val="28"/>
          <w:szCs w:val="28"/>
          <w:rtl w:val="true"/>
          <w:lang w:bidi="fa-IR"/>
        </w:rPr>
        <w:t>و عن شرح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ظهور الاتّفاق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وهب جميع الباقي، و لو وهب بعض الباقي فاتّفق عدم الدخول في البعض الغير الموهوب، ففي إلحاقه بهبة جميع الباقي نظر، لا يبعد العدم؛ قصرا للحكم المخالف للأصل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وهبها المدّة الباقية بعده أي بعد الدخول استحقّت الجميع لاستحقاقها إيّاه بنفس العقد إلّا أن تمتنع عنه بعض المدّة بغير مانع شرعي كالحيض و نحوه فيسقط بنسبة المتخلّف لأنّه مقتضى القاعدة في المعاوضة، و للروايات الخاصّة </w:t>
      </w:r>
      <w:r>
        <w:rPr>
          <w:rStyle w:val="FootnoteAnchor"/>
          <w:rtl w:val="true"/>
        </w:rPr>
        <w:footnoteReference w:id="1004"/>
      </w:r>
      <w:r>
        <w:rPr>
          <w:rFonts w:ascii="Amiri" w:hAnsi="Amiri" w:eastAsia="Amiri" w:cs="Amiri"/>
          <w:color w:val="111111"/>
          <w:sz w:val="28"/>
          <w:sz w:val="28"/>
          <w:szCs w:val="28"/>
          <w:rtl w:val="true"/>
          <w:lang w:bidi="ar-SA"/>
        </w:rPr>
        <w:t xml:space="preserve">و عموم كونها بمنزلة المستأجرة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ظهر فساد العقد بتحريمها عليه بأحد الأسباب فلا مهر لها قبل الدخول لعدم سبب الاستحقاق؛ إذ لم يصحّ عقد </w:t>
      </w:r>
      <w:r>
        <w:rPr>
          <w:rStyle w:val="FootnoteAnchor"/>
          <w:rtl w:val="true"/>
        </w:rPr>
        <w:footnoteReference w:id="1006"/>
      </w:r>
      <w:r>
        <w:rPr>
          <w:rFonts w:ascii="Amiri" w:hAnsi="Amiri" w:eastAsia="Amiri" w:cs="Amiri"/>
          <w:color w:val="111111"/>
          <w:sz w:val="28"/>
          <w:sz w:val="28"/>
          <w:szCs w:val="28"/>
          <w:rtl w:val="true"/>
          <w:lang w:bidi="ar-SA"/>
        </w:rPr>
        <w:t>و لم يقع دخول، و لا موجب للمهر سواهما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بعده أي بعد الدخول لها المهر مع جهلها بالحال و الحكم، أمّا مع علمها بهما فلا؛ لأنّها 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w:t>
      </w:r>
      <w:r>
        <w:rPr>
          <w:rStyle w:val="FootnoteAnchor"/>
          <w:rtl w:val="true"/>
        </w:rPr>
        <w:footnoteReference w:id="1007"/>
      </w:r>
      <w:r>
        <w:rPr>
          <w:rFonts w:ascii="Amiri" w:hAnsi="Amiri" w:eastAsia="Amiri" w:cs="Amiri"/>
          <w:color w:val="111111"/>
          <w:sz w:val="28"/>
          <w:sz w:val="28"/>
          <w:szCs w:val="28"/>
          <w:rtl w:val="true"/>
          <w:lang w:bidi="ar-SA"/>
        </w:rPr>
        <w:t>من المهر هو المسمّى أو مهر المثل؟ و على الثاني، فهل المراد مهر أمثالها بحسب حالها لتلك المدّة التي سلّمت نفسها، أو مهر المثل في النكاح الدائم؟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لها رابع مطابق لبعض الروايات </w:t>
      </w:r>
      <w:r>
        <w:rPr>
          <w:rStyle w:val="FootnoteAnchor"/>
          <w:rtl w:val="true"/>
        </w:rPr>
        <w:footnoteReference w:id="1008"/>
      </w:r>
      <w:r>
        <w:rPr>
          <w:rFonts w:ascii="Amiri" w:hAnsi="Amiri" w:eastAsia="Amiri" w:cs="Amiri"/>
          <w:color w:val="111111"/>
          <w:sz w:val="28"/>
          <w:sz w:val="28"/>
          <w:szCs w:val="28"/>
          <w:rtl w:val="true"/>
          <w:lang w:bidi="ar-SA"/>
        </w:rPr>
        <w:t>، و هو أنّ لها ما أخذت من المسمّى و لا يلزمه ما بقي، و ليس فيها تعرّض لحكم ما إذا لم يدفع إليها شيئا أو دفع إليها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أقلّ الأمرين من المسمّى و مهر المثل؛ لأنّ الأقلّ إن كان مهر المثل فقد استحقته في مقابل بضعها، و إن كان أكثر فقد رضيت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الرضى كان في العقد الذي حكم بفساده، فلا أثر لذلك الرضى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w:t>
      </w:r>
      <w:r>
        <w:rPr>
          <w:rStyle w:val="FootnoteAnchor"/>
          <w:rtl w:val="true"/>
        </w:rPr>
        <w:footnoteReference w:id="1009"/>
      </w:r>
      <w:r>
        <w:rPr>
          <w:rFonts w:ascii="Amiri" w:hAnsi="Amiri" w:eastAsia="Amiri" w:cs="Amiri"/>
          <w:color w:val="111111"/>
          <w:sz w:val="28"/>
          <w:sz w:val="28"/>
          <w:szCs w:val="28"/>
          <w:rtl w:val="true"/>
          <w:lang w:bidi="ar-SA"/>
        </w:rPr>
        <w:t xml:space="preserve">، و أمّا الرواية </w:t>
      </w:r>
      <w:r>
        <w:rPr>
          <w:rStyle w:val="FootnoteAnchor"/>
          <w:rtl w:val="true"/>
        </w:rPr>
        <w:footnoteReference w:id="1010"/>
      </w:r>
      <w:r>
        <w:rPr>
          <w:rFonts w:ascii="Amiri" w:hAnsi="Amiri" w:eastAsia="Amiri" w:cs="Amiri"/>
          <w:color w:val="111111"/>
          <w:sz w:val="28"/>
          <w:sz w:val="28"/>
          <w:szCs w:val="28"/>
          <w:rtl w:val="true"/>
          <w:lang w:bidi="ar-SA"/>
        </w:rPr>
        <w:t>فقد رميت بالضعف، و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المثل؛ لأنّه الحكم في وطء الشبهة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دخل لتسليم نفسها في مدّة قليلة أو كثيرة، كما أنّه لا فرق بين الدخول مرّة أو مرّات مع استمرار الشبهة</w:t>
      </w:r>
      <w:r>
        <w:rPr>
          <w:rFonts w:eastAsia="Amiri" w:cs="Amiri" w:ascii="Amiri" w:hAnsi="Amiri"/>
          <w:color w:val="111111"/>
          <w:sz w:val="28"/>
          <w:szCs w:val="28"/>
          <w:rtl w:val="true"/>
          <w:lang w:bidi="ar-SA"/>
        </w:rPr>
        <w:t>.</w:t>
      </w:r>
      <w:bookmarkStart w:id="97" w:name="pg19718_239115"/>
    </w:p>
    <w:p>
      <w:pPr>
        <w:pStyle w:val="Heading5"/>
        <w:numPr>
          <w:ilvl w:val="4"/>
          <w:numId w:val="1"/>
        </w:numPr>
        <w:rPr/>
      </w:pPr>
      <w:bookmarkStart w:id="98" w:name="__RefHeading___Toc1985784_2314609296"/>
      <w:bookmarkStart w:id="99" w:name="_Toc38"/>
      <w:bookmarkEnd w:id="97"/>
      <w:bookmarkEnd w:id="98"/>
      <w:r>
        <w:rPr>
          <w:rtl w:val="true"/>
        </w:rPr>
        <w:t>المطلب الثاني في الأحكام</w:t>
      </w:r>
      <w:bookmarkEnd w:id="99"/>
    </w:p>
    <w:p>
      <w:pPr>
        <w:pStyle w:val="BookText"/>
        <w:rPr/>
      </w:pPr>
      <w:r>
        <w:rPr>
          <w:rFonts w:ascii="Amiri" w:hAnsi="Amiri" w:eastAsia="Amiri" w:cs="Amiri"/>
          <w:color w:val="111111"/>
          <w:sz w:val="28"/>
          <w:sz w:val="28"/>
          <w:szCs w:val="28"/>
          <w:rtl w:val="true"/>
          <w:lang w:bidi="ar-SA"/>
        </w:rPr>
        <w:t xml:space="preserve">المطلب الثاني في الأحكام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إذا شرط السائغ في ضمن العقد بجعله جزءا من الإيجاب و القبول لزم بلزوم العقد؛ لأنّه جزء من العقد الذي يجب الوفاء به، و لو لم يف به لم يف بالعقد، و لا يلزم ما يشترط قبله و بعده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استشكل ذلك في الكفاية من حيث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منع صدق الشرط، و هو مشكل </w:t>
      </w:r>
      <w:r>
        <w:rPr>
          <w:rStyle w:val="FootnoteAnchor"/>
          <w:rtl w:val="true"/>
        </w:rPr>
        <w:footnoteReference w:id="101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الاتّفاق على عدم لزوم الشرط الغير المذكور في متن العقد، كما يظهر من الرياض حكاية و دعوى </w:t>
      </w:r>
      <w:r>
        <w:rPr>
          <w:rStyle w:val="FootnoteAnchor"/>
          <w:rtl w:val="true"/>
        </w:rPr>
        <w:footnoteReference w:id="1015"/>
      </w:r>
      <w:r>
        <w:rPr>
          <w:rFonts w:ascii="Amiri" w:hAnsi="Amiri" w:eastAsia="Amiri" w:cs="Amiri"/>
          <w:color w:val="111111"/>
          <w:sz w:val="28"/>
          <w:sz w:val="28"/>
          <w:szCs w:val="28"/>
          <w:rtl w:val="true"/>
          <w:lang w:bidi="ar-SA"/>
        </w:rPr>
        <w:t>، و أفرط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ذكره </w:t>
      </w:r>
      <w:r>
        <w:rPr>
          <w:rStyle w:val="FootnoteAnchor"/>
          <w:rtl w:val="true"/>
        </w:rPr>
        <w:footnoteReference w:id="1016"/>
      </w:r>
      <w:r>
        <w:rPr>
          <w:rFonts w:ascii="Amiri" w:hAnsi="Amiri" w:eastAsia="Amiri" w:cs="Amiri"/>
          <w:color w:val="111111"/>
          <w:sz w:val="28"/>
          <w:sz w:val="28"/>
          <w:szCs w:val="28"/>
          <w:rtl w:val="true"/>
          <w:lang w:bidi="ar-SA"/>
        </w:rPr>
        <w:t>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إعادته بعده أيضا </w:t>
      </w:r>
      <w:r>
        <w:rPr>
          <w:rStyle w:val="FootnoteAnchor"/>
          <w:rtl w:val="true"/>
        </w:rPr>
        <w:footnoteReference w:id="10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لبعض الأخبار </w:t>
      </w:r>
      <w:r>
        <w:rPr>
          <w:rStyle w:val="FootnoteAnchor"/>
          <w:rtl w:val="true"/>
        </w:rPr>
        <w:footnoteReference w:id="1018"/>
      </w:r>
      <w:r>
        <w:rPr>
          <w:rFonts w:ascii="Amiri" w:hAnsi="Amiri" w:eastAsia="Amiri" w:cs="Amiri"/>
          <w:color w:val="111111"/>
          <w:sz w:val="28"/>
          <w:sz w:val="28"/>
          <w:szCs w:val="28"/>
          <w:rtl w:val="true"/>
          <w:lang w:bidi="ar-SA"/>
        </w:rPr>
        <w:t>، المحمولة على إرادة تكراره في القبول أيضا، و عدم الاكتفاء بذكره في الإيجاب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يتفرّع على ذلك أنّه يجوز اشتراط الإتيان في وقت معيّن، و اشتراط المرّة و المرّتين في يوم أو في جميع الأجل، و ادعى في الحدائق عدم الخلاف فيه، و ذكر الخلاف في الدائم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يجوز اشتراط أن لا يواقعها؛ للخبرين </w:t>
      </w:r>
      <w:r>
        <w:rPr>
          <w:rStyle w:val="FootnoteAnchor"/>
          <w:rtl w:val="true"/>
        </w:rPr>
        <w:footnoteReference w:id="1020"/>
      </w:r>
      <w:r>
        <w:rPr>
          <w:rFonts w:ascii="Amiri" w:hAnsi="Amiri" w:eastAsia="Amiri" w:cs="Amiri"/>
          <w:color w:val="111111"/>
          <w:sz w:val="28"/>
          <w:sz w:val="28"/>
          <w:szCs w:val="28"/>
          <w:rtl w:val="true"/>
          <w:lang w:bidi="ar-SA"/>
        </w:rPr>
        <w:t xml:space="preserve">، و في أحدهما </w:t>
      </w:r>
      <w:r>
        <w:rPr>
          <w:rStyle w:val="FootnoteAnchor"/>
          <w:rtl w:val="true"/>
        </w:rPr>
        <w:footnoteReference w:id="1021"/>
      </w:r>
      <w:r>
        <w:rPr>
          <w:rFonts w:ascii="Amiri" w:hAnsi="Amiri" w:eastAsia="Amiri" w:cs="Amiri"/>
          <w:color w:val="111111"/>
          <w:sz w:val="28"/>
          <w:sz w:val="28"/>
          <w:szCs w:val="28"/>
          <w:rtl w:val="true"/>
          <w:lang w:bidi="ar-SA"/>
        </w:rPr>
        <w:t>دلالة على أنّها إن أذنت بعد ذلك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العزل عنها بدون إذنها من غير كراهة، بلا خلاف ظاهرا، و في الرياض ادّعى الإجماع </w:t>
      </w:r>
      <w:r>
        <w:rPr>
          <w:rStyle w:val="FootnoteAnchor"/>
          <w:rtl w:val="true"/>
        </w:rPr>
        <w:footnoteReference w:id="1022"/>
      </w:r>
      <w:r>
        <w:rPr>
          <w:rFonts w:ascii="Amiri" w:hAnsi="Amiri" w:eastAsia="Amiri" w:cs="Amiri"/>
          <w:color w:val="111111"/>
          <w:sz w:val="28"/>
          <w:sz w:val="28"/>
          <w:szCs w:val="28"/>
          <w:rtl w:val="true"/>
          <w:lang w:bidi="ar-SA"/>
        </w:rPr>
        <w:t xml:space="preserve">، مضافا إلى ما مرّ في العزل عن الدائم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يلحق الولد به و إن عزل كما هو الشأن في كلّ وطء صحيح؛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و خصوص الأخبار في المقام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يقع بها لعان لنفي الولد إجماعا، كما ادّعاه بعض </w:t>
      </w:r>
      <w:r>
        <w:rPr>
          <w:rStyle w:val="FootnoteAnchor"/>
          <w:rtl w:val="true"/>
        </w:rPr>
        <w:footnoteReference w:id="1026"/>
      </w:r>
      <w:r>
        <w:rPr>
          <w:rFonts w:ascii="Amiri" w:hAnsi="Amiri" w:eastAsia="Amiri" w:cs="Amiri"/>
          <w:color w:val="111111"/>
          <w:sz w:val="28"/>
          <w:sz w:val="28"/>
          <w:szCs w:val="28"/>
          <w:rtl w:val="true"/>
          <w:lang w:bidi="ar-SA"/>
        </w:rPr>
        <w:t xml:space="preserve">و ادّعى آخر الاتّفاق </w:t>
      </w:r>
      <w:r>
        <w:rPr>
          <w:rStyle w:val="FootnoteAnchor"/>
          <w:rtl w:val="true"/>
        </w:rPr>
        <w:footnoteReference w:id="1027"/>
      </w:r>
      <w:r>
        <w:rPr>
          <w:rFonts w:ascii="Amiri" w:hAnsi="Amiri" w:eastAsia="Amiri" w:cs="Amiri"/>
          <w:color w:val="111111"/>
          <w:sz w:val="28"/>
          <w:sz w:val="28"/>
          <w:szCs w:val="28"/>
          <w:rtl w:val="true"/>
          <w:lang w:bidi="ar-SA"/>
        </w:rPr>
        <w:t xml:space="preserve">، بل لو نفى الولد انتفى ظاهرا بغير لعان، و لا للقذف على رأي غير واحد </w:t>
      </w:r>
      <w:r>
        <w:rPr>
          <w:rStyle w:val="FootnoteAnchor"/>
          <w:rtl w:val="true"/>
        </w:rPr>
        <w:footnoteReference w:id="1028"/>
      </w:r>
      <w:r>
        <w:rPr>
          <w:rFonts w:ascii="Amiri" w:hAnsi="Amiri" w:eastAsia="Amiri" w:cs="Amiri"/>
          <w:color w:val="111111"/>
          <w:sz w:val="28"/>
          <w:sz w:val="28"/>
          <w:szCs w:val="28"/>
          <w:rtl w:val="true"/>
          <w:lang w:bidi="ar-SA"/>
        </w:rPr>
        <w:t xml:space="preserve">، و عن الغنية الإجماع عليه </w:t>
      </w:r>
      <w:r>
        <w:rPr>
          <w:rStyle w:val="FootnoteAnchor"/>
          <w:rtl w:val="true"/>
        </w:rPr>
        <w:footnoteReference w:id="1029"/>
      </w:r>
      <w:r>
        <w:rPr>
          <w:rFonts w:ascii="Amiri" w:hAnsi="Amiri" w:eastAsia="Amiri" w:cs="Amiri"/>
          <w:color w:val="111111"/>
          <w:sz w:val="28"/>
          <w:sz w:val="28"/>
          <w:szCs w:val="28"/>
          <w:rtl w:val="true"/>
          <w:lang w:bidi="ar-SA"/>
        </w:rPr>
        <w:t xml:space="preserve">، و حكى عليه روايتان مصحّحتان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طلاق إجماعا، بل تبين بغير طلاق إذا انقضى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ظهار على رأي </w:t>
      </w:r>
      <w:r>
        <w:rPr>
          <w:rStyle w:val="FootnoteAnchor"/>
          <w:rtl w:val="true"/>
        </w:rPr>
        <w:footnoteReference w:id="1031"/>
      </w:r>
      <w:r>
        <w:rPr>
          <w:rFonts w:ascii="Amiri" w:hAnsi="Amiri" w:eastAsia="Amiri" w:cs="Amiri"/>
          <w:color w:val="111111"/>
          <w:sz w:val="28"/>
          <w:sz w:val="28"/>
          <w:szCs w:val="28"/>
          <w:rtl w:val="true"/>
          <w:lang w:bidi="ar-SA"/>
        </w:rPr>
        <w:t xml:space="preserve">إذ لا يجب الوطء، و لا يقع الطلاق، و الواجب </w:t>
      </w:r>
      <w:r>
        <w:rPr>
          <w:rStyle w:val="FootnoteAnchor"/>
          <w:rtl w:val="true"/>
        </w:rPr>
        <w:footnoteReference w:id="1032"/>
      </w:r>
      <w:r>
        <w:rPr>
          <w:rFonts w:ascii="Amiri" w:hAnsi="Amiri" w:eastAsia="Amiri" w:cs="Amiri"/>
          <w:color w:val="111111"/>
          <w:sz w:val="28"/>
          <w:sz w:val="28"/>
          <w:szCs w:val="28"/>
          <w:rtl w:val="true"/>
          <w:lang w:bidi="ar-SA"/>
        </w:rPr>
        <w:t xml:space="preserve">في الإيلاء أحد الأمرين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ميراث و إن شرطاه </w:t>
      </w:r>
      <w:r>
        <w:rPr>
          <w:rStyle w:val="FootnoteAnchor"/>
          <w:rtl w:val="true"/>
        </w:rPr>
        <w:footnoteReference w:id="1034"/>
      </w:r>
      <w:r>
        <w:rPr>
          <w:rFonts w:ascii="Amiri" w:hAnsi="Amiri" w:eastAsia="Amiri" w:cs="Amiri"/>
          <w:color w:val="111111"/>
          <w:sz w:val="28"/>
          <w:sz w:val="28"/>
          <w:szCs w:val="28"/>
          <w:rtl w:val="true"/>
          <w:lang w:bidi="ar-SA"/>
        </w:rPr>
        <w:t xml:space="preserve">على رأي </w:t>
      </w:r>
      <w:r>
        <w:rPr>
          <w:rStyle w:val="FootnoteAnchor"/>
          <w:rtl w:val="true"/>
        </w:rPr>
        <w:footnoteReference w:id="1035"/>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و إن شرطا</w:t>
      </w:r>
    </w:p>
    <w:p>
      <w:pPr>
        <w:pStyle w:val="BookText"/>
        <w:rPr/>
      </w:pPr>
      <w:r>
        <w:rPr>
          <w:rFonts w:ascii="IRNazanin" w:hAnsi="IRNazanin" w:eastAsia="IRNazanin"/>
          <w:color w:val="111111"/>
          <w:sz w:val="28"/>
          <w:sz w:val="28"/>
          <w:szCs w:val="28"/>
          <w:rtl w:val="true"/>
          <w:lang w:bidi="fa-IR"/>
        </w:rPr>
        <w:t xml:space="preserve">سقوطه </w:t>
      </w:r>
      <w:r>
        <w:rPr>
          <w:rStyle w:val="FootnoteAnchor"/>
          <w:rtl w:val="true"/>
        </w:rPr>
        <w:footnoteReference w:id="1036"/>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Style w:val="FootnoteAnchor"/>
          <w:rtl w:val="true"/>
        </w:rPr>
        <w:footnoteReference w:id="1037"/>
      </w:r>
      <w:r>
        <w:rPr>
          <w:rFonts w:ascii="IRNazanin" w:hAnsi="IRNazanin" w:eastAsia="IRNazanin"/>
          <w:color w:val="111111"/>
          <w:sz w:val="28"/>
          <w:sz w:val="28"/>
          <w:szCs w:val="28"/>
          <w:rtl w:val="true"/>
          <w:lang w:bidi="fa-IR"/>
        </w:rPr>
        <w:t xml:space="preserve">مع الاشتراط </w:t>
      </w:r>
      <w:r>
        <w:rPr>
          <w:rStyle w:val="FootnoteAnchor"/>
          <w:rtl w:val="true"/>
        </w:rPr>
        <w:footnoteReference w:id="103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إلّا مع الاشتراط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منشأ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الأخبار </w:t>
      </w:r>
      <w:r>
        <w:rPr>
          <w:rStyle w:val="FootnoteAnchor"/>
          <w:rtl w:val="true"/>
        </w:rPr>
        <w:footnoteReference w:id="1040"/>
      </w:r>
      <w:r>
        <w:rPr>
          <w:rFonts w:ascii="Amiri" w:hAnsi="Amiri" w:eastAsia="Amiri" w:cs="Amiri"/>
          <w:color w:val="111111"/>
          <w:sz w:val="28"/>
          <w:sz w:val="28"/>
          <w:szCs w:val="28"/>
          <w:rtl w:val="true"/>
          <w:lang w:bidi="ar-SA"/>
        </w:rPr>
        <w:t xml:space="preserve">و عموم آية الإرث للأزواج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أوسط الأقوال ثالثها، فيكون الزوجية المنقطعة بضميمة اشتراط الإرث سببا للإرث، لا الزوجية نفسها حتّى يرد عدم الحاجة إلى الاشتراط، و لا الشرط فقط حتّى يرد جواز اشتراط توارثهما أزيد من نصيب الزوجين، أو اشتراط عدم منعها من العقار و غيرها ممّا لا ترثه الدائمة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عدّتها بانقضاء الأجل و الدخول حيضتان، و عن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حيضة </w:t>
      </w:r>
      <w:r>
        <w:rPr>
          <w:rStyle w:val="FootnoteAnchor"/>
          <w:rtl w:val="true"/>
        </w:rPr>
        <w:footnoteReference w:id="1042"/>
      </w:r>
      <w:r>
        <w:rPr>
          <w:rFonts w:ascii="Amiri" w:hAnsi="Amiri" w:eastAsia="Amiri" w:cs="Amiri"/>
          <w:color w:val="111111"/>
          <w:sz w:val="28"/>
          <w:sz w:val="28"/>
          <w:szCs w:val="28"/>
          <w:rtl w:val="true"/>
          <w:lang w:bidi="ar-SA"/>
        </w:rPr>
        <w:t>، و عن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حيضة و نصف </w:t>
      </w:r>
      <w:r>
        <w:rPr>
          <w:rStyle w:val="FootnoteAnchor"/>
          <w:rtl w:val="true"/>
        </w:rPr>
        <w:footnoteReference w:id="1043"/>
      </w:r>
      <w:r>
        <w:rPr>
          <w:rFonts w:ascii="Amiri" w:hAnsi="Amiri" w:eastAsia="Amiri" w:cs="Amiri"/>
          <w:color w:val="111111"/>
          <w:sz w:val="28"/>
          <w:sz w:val="28"/>
          <w:szCs w:val="28"/>
          <w:rtl w:val="true"/>
          <w:lang w:bidi="ar-SA"/>
        </w:rPr>
        <w:t>، و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المصنّف،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طهران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الأوّل لا يخلو عن قرب، مع أنّه</w:t>
      </w:r>
    </w:p>
    <w:p>
      <w:pPr>
        <w:pStyle w:val="BookText"/>
        <w:rPr/>
      </w:pP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إذا حاضت، و لو لم تحض و هي من أهله فخمسة و أربعون يوما للأخبار الكثيرة </w:t>
      </w:r>
      <w:r>
        <w:rPr>
          <w:rStyle w:val="FootnoteAnchor"/>
          <w:rtl w:val="true"/>
        </w:rPr>
        <w:footnoteReference w:id="1045"/>
      </w:r>
      <w:r>
        <w:rPr>
          <w:rFonts w:ascii="Amiri" w:hAnsi="Amiri" w:eastAsia="Amiri" w:cs="Amiri"/>
          <w:color w:val="111111"/>
          <w:sz w:val="28"/>
          <w:sz w:val="28"/>
          <w:szCs w:val="28"/>
          <w:rtl w:val="true"/>
          <w:lang w:bidi="ar-SA"/>
        </w:rPr>
        <w:t xml:space="preserve">، و في الرياض ادعى الإجماع عليه نصّا و فتوى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حصل الفرقة بالوفاة و إن لم يدخل بها </w:t>
      </w:r>
      <w:r>
        <w:rPr>
          <w:rStyle w:val="FootnoteAnchor"/>
          <w:rtl w:val="true"/>
        </w:rPr>
        <w:footnoteReference w:id="1047"/>
      </w:r>
      <w:r>
        <w:rPr>
          <w:rFonts w:ascii="Amiri" w:hAnsi="Amiri" w:eastAsia="Amiri" w:cs="Amiri"/>
          <w:color w:val="111111"/>
          <w:sz w:val="28"/>
          <w:sz w:val="28"/>
          <w:szCs w:val="28"/>
          <w:rtl w:val="true"/>
          <w:lang w:bidi="ar-SA"/>
        </w:rPr>
        <w:t xml:space="preserve">، اعتدّت بأربعة أشهر و عشرة أيّام على المشهور كما في الحدائق </w:t>
      </w:r>
      <w:r>
        <w:rPr>
          <w:rStyle w:val="FootnoteAnchor"/>
          <w:rtl w:val="true"/>
        </w:rPr>
        <w:footnoteReference w:id="1048"/>
      </w:r>
      <w:r>
        <w:rPr>
          <w:rFonts w:ascii="Amiri" w:hAnsi="Amiri" w:eastAsia="Amiri" w:cs="Amiri"/>
          <w:color w:val="111111"/>
          <w:sz w:val="28"/>
          <w:sz w:val="28"/>
          <w:szCs w:val="28"/>
          <w:rtl w:val="true"/>
          <w:lang w:bidi="ar-SA"/>
        </w:rPr>
        <w:t xml:space="preserve">للآية </w:t>
      </w:r>
      <w:r>
        <w:rPr>
          <w:rStyle w:val="FootnoteAnchor"/>
          <w:rtl w:val="true"/>
        </w:rPr>
        <w:footnoteReference w:id="1049"/>
      </w:r>
      <w:r>
        <w:rPr>
          <w:rFonts w:ascii="Amiri" w:hAnsi="Amiri" w:eastAsia="Amiri" w:cs="Amiri"/>
          <w:color w:val="111111"/>
          <w:sz w:val="28"/>
          <w:sz w:val="28"/>
          <w:szCs w:val="28"/>
          <w:rtl w:val="true"/>
          <w:lang w:bidi="ar-SA"/>
        </w:rPr>
        <w:t xml:space="preserve">و غير واحد من الروايات </w:t>
      </w:r>
      <w:r>
        <w:rPr>
          <w:rStyle w:val="FootnoteAnchor"/>
          <w:rtl w:val="true"/>
        </w:rPr>
        <w:footnoteReference w:id="1050"/>
      </w:r>
      <w:r>
        <w:rPr>
          <w:rFonts w:ascii="Amiri" w:hAnsi="Amiri" w:eastAsia="Amiri" w:cs="Amiri"/>
          <w:color w:val="111111"/>
          <w:sz w:val="28"/>
          <w:sz w:val="28"/>
          <w:szCs w:val="28"/>
          <w:rtl w:val="true"/>
          <w:lang w:bidi="ar-SA"/>
        </w:rPr>
        <w:t>، و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بشهرين و خمسة أيّام </w:t>
      </w:r>
      <w:r>
        <w:rPr>
          <w:rStyle w:val="FootnoteAnchor"/>
          <w:rtl w:val="true"/>
        </w:rPr>
        <w:footnoteReference w:id="1051"/>
      </w:r>
      <w:r>
        <w:rPr>
          <w:rFonts w:ascii="Amiri" w:hAnsi="Amiri" w:eastAsia="Amiri" w:cs="Amiri"/>
          <w:color w:val="111111"/>
          <w:sz w:val="28"/>
          <w:sz w:val="28"/>
          <w:szCs w:val="28"/>
          <w:rtl w:val="true"/>
          <w:lang w:bidi="ar-SA"/>
        </w:rPr>
        <w:t xml:space="preserve">، بناء على أنّها عدّة الأمة، لبعض الأخبار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الأمة بشهرين و خمسة أيّام؛ للأخبار الكثيرة </w:t>
      </w:r>
      <w:r>
        <w:rPr>
          <w:rStyle w:val="FootnoteAnchor"/>
          <w:rtl w:val="true"/>
        </w:rPr>
        <w:footnoteReference w:id="1053"/>
      </w:r>
      <w:r>
        <w:rPr>
          <w:rFonts w:ascii="Amiri" w:hAnsi="Amiri" w:eastAsia="Amiri" w:cs="Amiri"/>
          <w:color w:val="111111"/>
          <w:sz w:val="28"/>
          <w:sz w:val="28"/>
          <w:szCs w:val="28"/>
          <w:rtl w:val="true"/>
          <w:lang w:bidi="ar-SA"/>
        </w:rPr>
        <w:t xml:space="preserve">، و عن الحلي </w:t>
      </w:r>
      <w:r>
        <w:rPr>
          <w:rStyle w:val="FootnoteAnchor"/>
          <w:rtl w:val="true"/>
        </w:rPr>
        <w:footnoteReference w:id="1054"/>
      </w:r>
      <w:r>
        <w:rPr>
          <w:rFonts w:ascii="Amiri" w:hAnsi="Amiri" w:eastAsia="Amiri" w:cs="Amiri"/>
          <w:color w:val="111111"/>
          <w:sz w:val="28"/>
          <w:sz w:val="28"/>
          <w:szCs w:val="28"/>
          <w:rtl w:val="true"/>
          <w:lang w:bidi="ar-SA"/>
        </w:rPr>
        <w:t xml:space="preserve">و المصنّف في المختلف </w:t>
      </w:r>
      <w:r>
        <w:rPr>
          <w:rStyle w:val="FootnoteAnchor"/>
          <w:rtl w:val="true"/>
        </w:rPr>
        <w:footnoteReference w:id="1055"/>
      </w:r>
      <w:r>
        <w:rPr>
          <w:rFonts w:ascii="Amiri" w:hAnsi="Amiri" w:eastAsia="Amiri" w:cs="Amiri"/>
          <w:color w:val="111111"/>
          <w:sz w:val="28"/>
          <w:sz w:val="28"/>
          <w:szCs w:val="28"/>
          <w:rtl w:val="true"/>
          <w:lang w:bidi="ar-SA"/>
        </w:rPr>
        <w:t>أنّها كالحرّة، و هو أحوط و إن كان الأوّل أقوى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تعتدّ الحامل حرّة كانت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بأبعد الأجلين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الأشهر و وضع الحمل؛ للآية </w:t>
      </w:r>
      <w:r>
        <w:rPr>
          <w:rStyle w:val="FootnoteAnchor"/>
          <w:rtl w:val="true"/>
        </w:rPr>
        <w:footnoteReference w:id="1056"/>
      </w:r>
      <w:r>
        <w:rPr>
          <w:rFonts w:ascii="Amiri" w:hAnsi="Amiri" w:eastAsia="Amiri" w:cs="Amiri"/>
          <w:color w:val="111111"/>
          <w:sz w:val="28"/>
          <w:sz w:val="28"/>
          <w:szCs w:val="28"/>
          <w:rtl w:val="true"/>
          <w:lang w:bidi="ar-SA"/>
        </w:rPr>
        <w:t xml:space="preserve">، و ادّعى في الرياض ظهور الإجماع عليه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bookmarkStart w:id="100" w:name="pg19718_239122"/>
    </w:p>
    <w:p>
      <w:pPr>
        <w:pStyle w:val="Heading4"/>
        <w:numPr>
          <w:ilvl w:val="3"/>
          <w:numId w:val="1"/>
        </w:numPr>
        <w:rPr/>
      </w:pPr>
      <w:bookmarkStart w:id="101" w:name="__RefHeading___Toc1985786_2314609296"/>
      <w:bookmarkStart w:id="102" w:name="_Toc39"/>
      <w:bookmarkEnd w:id="100"/>
      <w:bookmarkEnd w:id="101"/>
      <w:r>
        <w:rPr>
          <w:rtl w:val="true"/>
        </w:rPr>
        <w:t>القسم الثّالث في نكاح الإماء</w:t>
      </w:r>
      <w:bookmarkEnd w:id="102"/>
    </w:p>
    <w:p>
      <w:pPr>
        <w:pStyle w:val="Heading5"/>
        <w:numPr>
          <w:ilvl w:val="4"/>
          <w:numId w:val="1"/>
        </w:numPr>
        <w:rPr/>
      </w:pPr>
      <w:bookmarkStart w:id="103" w:name="__RefHeading___Toc1985788_2314609296"/>
      <w:bookmarkStart w:id="104" w:name="_Toc40"/>
      <w:bookmarkEnd w:id="103"/>
      <w:r>
        <w:rPr>
          <w:rtl w:val="true"/>
        </w:rPr>
        <w:t>اشارة</w:t>
      </w:r>
      <w:bookmarkEnd w:id="10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يستباح وطؤهنّ بالملك و العقد و الإباحة</w:t>
      </w:r>
      <w:bookmarkStart w:id="105" w:name="pg19718_239123"/>
    </w:p>
    <w:p>
      <w:pPr>
        <w:pStyle w:val="BookText"/>
        <w:rPr/>
      </w:pPr>
      <w:bookmarkEnd w:id="105"/>
      <w:r>
        <w:rPr>
          <w:rFonts w:ascii="Amiri" w:hAnsi="Amiri" w:eastAsia="Amiri" w:cs="Amiri"/>
          <w:color w:val="111111"/>
          <w:sz w:val="28"/>
          <w:sz w:val="28"/>
          <w:szCs w:val="28"/>
          <w:rtl w:val="true"/>
          <w:lang w:bidi="ar-SA"/>
        </w:rPr>
        <w:t>و لهذا يقع النظر في أمور ثلاثة</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985790_2314609296"/>
      <w:bookmarkStart w:id="107" w:name="_Toc41"/>
      <w:bookmarkEnd w:id="106"/>
      <w:r>
        <w:rPr>
          <w:rtl w:val="true"/>
        </w:rPr>
        <w:t>النظر الأوّل</w:t>
      </w:r>
      <w:r>
        <w:rPr>
          <w:rtl w:val="true"/>
        </w:rPr>
        <w:t xml:space="preserve">: </w:t>
      </w:r>
      <w:r>
        <w:rPr>
          <w:rtl w:val="true"/>
        </w:rPr>
        <w:t>الملك</w:t>
      </w:r>
      <w:bookmarkEnd w:id="107"/>
    </w:p>
    <w:p>
      <w:pPr>
        <w:pStyle w:val="BookText"/>
        <w:rPr/>
      </w:pPr>
      <w:r>
        <w:rPr>
          <w:rFonts w:ascii="Amiri" w:hAnsi="Amiri" w:eastAsia="Amiri" w:cs="Amiri"/>
          <w:color w:val="111111"/>
          <w:sz w:val="28"/>
          <w:sz w:val="28"/>
          <w:szCs w:val="28"/>
          <w:rtl w:val="true"/>
          <w:lang w:bidi="ar-SA"/>
        </w:rPr>
        <w:t xml:space="preserve">يستباح </w:t>
      </w:r>
      <w:r>
        <w:rPr>
          <w:rStyle w:val="FootnoteAnchor"/>
          <w:rtl w:val="true"/>
        </w:rPr>
        <w:footnoteReference w:id="1058"/>
      </w:r>
      <w:r>
        <w:rPr>
          <w:rFonts w:ascii="Amiri" w:hAnsi="Amiri" w:eastAsia="Amiri" w:cs="Amiri"/>
          <w:color w:val="111111"/>
          <w:sz w:val="28"/>
          <w:sz w:val="28"/>
          <w:szCs w:val="28"/>
          <w:rtl w:val="true"/>
          <w:lang w:bidi="ar-SA"/>
        </w:rPr>
        <w:t>به الوطء بأصل الشرع إن استغرق و لم يشترك فيه أحد و لا ينحصر في عدد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كانت مشتركة لم يحلّ وطؤها بالملك لأنّ ملك بعضها لا يسوّغ التصرّف في حصة الآخر و لكن يحل بالتحليل من الشريك على رأي قوي؛ للصحيح المتقدّم في رجلين دبّرا جارية فأحلّها أحدهما لصاحبه،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 حلال</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وطأها قبله أي قبل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حدّ مع العلم بالتحريم، و قوّم عليه حصص الشركاء في الأمّ و الولد لأنّ الجارية صارت أم ولد، فعليه قيمة حصصهم منها، و ولده حرّ و إن كان الوطء زنى؛ لأنّ بعض الامّ مملوك له فتبعه بعض الولد، فقد أتلف الجارية و ولدها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الجمع بين الامّ و البنت في الملك للأصل و عدم ما يتخيّل مانعا، و لعلّه لا خلاف فيه كما في الحدائق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الجمع في الوطء، فإن وطأ إحداهما حرمت الأخرى</w:t>
      </w:r>
    </w:p>
    <w:p>
      <w:pPr>
        <w:pStyle w:val="BookText"/>
        <w:rPr/>
      </w:pPr>
      <w:r>
        <w:rPr>
          <w:rFonts w:ascii="Amiri" w:hAnsi="Amiri" w:eastAsia="Amiri" w:cs="Amiri"/>
          <w:color w:val="111111"/>
          <w:sz w:val="28"/>
          <w:sz w:val="28"/>
          <w:szCs w:val="28"/>
          <w:rtl w:val="true"/>
          <w:lang w:bidi="ar-SA"/>
        </w:rPr>
        <w:t>مؤبّدا و عن شرح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إجماع المسلمين </w:t>
      </w:r>
      <w:r>
        <w:rPr>
          <w:rStyle w:val="FootnoteAnchor"/>
          <w:rtl w:val="true"/>
        </w:rPr>
        <w:footnoteReference w:id="1062"/>
      </w:r>
      <w:r>
        <w:rPr>
          <w:rFonts w:ascii="Amiri" w:hAnsi="Amiri" w:eastAsia="Amiri" w:cs="Amiri"/>
          <w:color w:val="111111"/>
          <w:sz w:val="28"/>
          <w:sz w:val="28"/>
          <w:szCs w:val="28"/>
          <w:rtl w:val="true"/>
          <w:lang w:bidi="ar-SA"/>
        </w:rPr>
        <w:t xml:space="preserve">، و يدلّ عليه الأخبار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يحرم نكاح الامّ بملك البنت و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لكلّ من الأب و الابن تملّك من وطأها الآخر، و لكن يحرم وطؤها لعموم وَ لٰا تَنْكِحُوا مٰا نَكَحَ آبٰاؤُكُمْ </w:t>
      </w:r>
      <w:r>
        <w:rPr>
          <w:rStyle w:val="FootnoteAnchor"/>
          <w:rtl w:val="true"/>
        </w:rPr>
        <w:footnoteReference w:id="1064"/>
      </w:r>
      <w:r>
        <w:rPr>
          <w:rFonts w:ascii="Amiri" w:hAnsi="Amiri" w:eastAsia="Amiri" w:cs="Amiri"/>
          <w:color w:val="111111"/>
          <w:sz w:val="28"/>
          <w:sz w:val="28"/>
          <w:szCs w:val="28"/>
          <w:rtl w:val="true"/>
          <w:lang w:bidi="ar-SA"/>
        </w:rPr>
        <w:t xml:space="preserve">، وَ حَلٰائِلُ أَبْنٰائِكُمُ </w:t>
      </w:r>
      <w:r>
        <w:rPr>
          <w:rStyle w:val="FootnoteAnchor"/>
          <w:rtl w:val="true"/>
        </w:rPr>
        <w:footnoteReference w:id="1065"/>
      </w:r>
      <w:r>
        <w:rPr>
          <w:rFonts w:ascii="Amiri" w:hAnsi="Amiri" w:eastAsia="Amiri" w:cs="Amiri"/>
          <w:color w:val="111111"/>
          <w:sz w:val="28"/>
          <w:sz w:val="28"/>
          <w:szCs w:val="28"/>
          <w:rtl w:val="true"/>
          <w:lang w:bidi="ar-SA"/>
        </w:rPr>
        <w:t>، و عن شرح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بجواز تملّك الموطوءة و حرمة وطئها كليهما إجماعيان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يحرم وطؤها بملك الآخر من دون الوطء و الأصل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المصاهرة منوطة بالوطء دون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لأحدهما أي الأب و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وطء مملوكة الآخر إلّا بعقد أو إباحة للأدلّة القاطعة بقبح التصرّف في مال الغير إلّا بإذنه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دلّ غير واحد من الأخبار </w:t>
      </w:r>
      <w:r>
        <w:rPr>
          <w:rStyle w:val="FootnoteAnchor"/>
          <w:rtl w:val="true"/>
        </w:rPr>
        <w:footnoteReference w:id="1068"/>
      </w:r>
      <w:r>
        <w:rPr>
          <w:rFonts w:ascii="Amiri" w:hAnsi="Amiri" w:eastAsia="Amiri" w:cs="Amiri"/>
          <w:color w:val="111111"/>
          <w:sz w:val="28"/>
          <w:sz w:val="28"/>
          <w:szCs w:val="28"/>
          <w:rtl w:val="true"/>
          <w:lang w:bidi="ar-SA"/>
        </w:rPr>
        <w:t>على أنّ للأب أن يقوّم مملوكة ابنه الصغير فيبيعها من نفسه ثمّ يطأها بالملك و مقتضى إطلاق</w:t>
      </w:r>
    </w:p>
    <w:p>
      <w:pPr>
        <w:pStyle w:val="BookText"/>
        <w:rPr/>
      </w:pPr>
      <w:r>
        <w:rPr>
          <w:rFonts w:ascii="Amiri" w:hAnsi="Amiri" w:eastAsia="Amiri" w:cs="Amiri"/>
          <w:color w:val="111111"/>
          <w:sz w:val="28"/>
          <w:sz w:val="28"/>
          <w:szCs w:val="28"/>
          <w:rtl w:val="true"/>
          <w:lang w:bidi="ar-SA"/>
        </w:rPr>
        <w:t xml:space="preserve">تلك الأخبار عدم اعتبار المصلحة في ذلك، و حكى في الحدائق التصريح بذلك عن جماعة </w:t>
      </w:r>
      <w:r>
        <w:rPr>
          <w:rStyle w:val="FootnoteAnchor"/>
          <w:rtl w:val="true"/>
        </w:rPr>
        <w:footnoteReference w:id="1069"/>
      </w:r>
      <w:r>
        <w:rPr>
          <w:rFonts w:ascii="Amiri" w:hAnsi="Amiri" w:eastAsia="Amiri" w:cs="Amiri"/>
          <w:color w:val="111111"/>
          <w:sz w:val="28"/>
          <w:sz w:val="28"/>
          <w:szCs w:val="28"/>
          <w:rtl w:val="true"/>
          <w:lang w:bidi="ar-SA"/>
        </w:rPr>
        <w:t xml:space="preserve">، و في تعدّي الحكم إلى الجدّ قولان، حكي عن المسالك </w:t>
      </w:r>
      <w:r>
        <w:rPr>
          <w:rStyle w:val="FootnoteAnchor"/>
          <w:rtl w:val="true"/>
        </w:rPr>
        <w:footnoteReference w:id="1070"/>
      </w:r>
      <w:r>
        <w:rPr>
          <w:rFonts w:ascii="Amiri" w:hAnsi="Amiri" w:eastAsia="Amiri" w:cs="Amiri"/>
          <w:color w:val="111111"/>
          <w:sz w:val="28"/>
          <w:sz w:val="28"/>
          <w:szCs w:val="28"/>
          <w:rtl w:val="true"/>
          <w:lang w:bidi="ar-SA"/>
        </w:rPr>
        <w:t xml:space="preserve">الأوّل، و عن سبطه الثاني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وطأ أحدهما مملوكة الأخر من غير شبهة فهو زان لما مرّ في تزويج الأمة بغير إذن مولاها </w:t>
      </w:r>
      <w:r>
        <w:rPr>
          <w:rStyle w:val="FootnoteAnchor"/>
          <w:rtl w:val="true"/>
        </w:rPr>
        <w:footnoteReference w:id="1072"/>
      </w:r>
      <w:r>
        <w:rPr>
          <w:rFonts w:ascii="Amiri" w:hAnsi="Amiri" w:eastAsia="Amiri" w:cs="Amiri"/>
          <w:color w:val="111111"/>
          <w:sz w:val="28"/>
          <w:sz w:val="28"/>
          <w:szCs w:val="28"/>
          <w:rtl w:val="true"/>
          <w:lang w:bidi="ar-SA"/>
        </w:rPr>
        <w:t xml:space="preserve">و لا تحرم الموطوءة على المالك </w:t>
      </w:r>
      <w:r>
        <w:rPr>
          <w:rStyle w:val="FootnoteAnchor"/>
          <w:rtl w:val="true"/>
        </w:rPr>
        <w:footnoteReference w:id="1073"/>
      </w:r>
      <w:r>
        <w:rPr>
          <w:rFonts w:ascii="Amiri" w:hAnsi="Amiri" w:eastAsia="Amiri" w:cs="Amiri"/>
          <w:color w:val="111111"/>
          <w:sz w:val="28"/>
          <w:sz w:val="28"/>
          <w:szCs w:val="28"/>
          <w:rtl w:val="true"/>
          <w:lang w:bidi="ar-SA"/>
        </w:rPr>
        <w:t>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في أحكام المصاهرة </w:t>
      </w:r>
      <w:r>
        <w:rPr>
          <w:rStyle w:val="FootnoteAnchor"/>
          <w:rtl w:val="true"/>
        </w:rPr>
        <w:footnoteReference w:id="1074"/>
      </w:r>
      <w:r>
        <w:rPr>
          <w:rFonts w:ascii="Amiri" w:hAnsi="Amiri" w:eastAsia="Amiri" w:cs="Amiri"/>
          <w:color w:val="111111"/>
          <w:sz w:val="28"/>
          <w:sz w:val="28"/>
          <w:szCs w:val="28"/>
          <w:rtl w:val="true"/>
          <w:lang w:bidi="ar-SA"/>
        </w:rPr>
        <w:t xml:space="preserve">، و يحدّ الابن </w:t>
      </w:r>
      <w:r>
        <w:rPr>
          <w:rStyle w:val="FootnoteAnchor"/>
          <w:rtl w:val="true"/>
        </w:rPr>
        <w:footnoteReference w:id="1075"/>
      </w:r>
      <w:r>
        <w:rPr>
          <w:rFonts w:ascii="Amiri" w:hAnsi="Amiri" w:eastAsia="Amiri" w:cs="Amiri"/>
          <w:color w:val="111111"/>
          <w:sz w:val="28"/>
          <w:sz w:val="28"/>
          <w:szCs w:val="28"/>
          <w:rtl w:val="true"/>
          <w:lang w:bidi="ar-SA"/>
        </w:rPr>
        <w:t xml:space="preserve">دون الأب، قيل </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 و الاعتبار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يعتق ولده على الأب لو وطأ الابن بالشبهة جارية أبيه، لأنّه ابن ابنه لا بالعكس بأن وطأ الأب جارية الابن بشبهة، فإنّ الولد الحاصل يصير أخا للمالك و يجب على الأب فكه، إلّا أن يكون الولد الحاصل من الوطء الأنثى فتعتق لأنّها أخت المالك، فلا يستحقّ قيمتها على الأب، بخلاف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وطء المملوكة على المالك لو زوّجها إجماعا كتابا و سنّة، و الحق به اللمس و النظر بشهوة و النظر إلى العورة، و في الرياض </w:t>
      </w:r>
      <w:r>
        <w:rPr>
          <w:rStyle w:val="FootnoteAnchor"/>
          <w:rtl w:val="true"/>
        </w:rPr>
        <w:footnoteReference w:id="1077"/>
      </w:r>
      <w:r>
        <w:rPr>
          <w:rFonts w:ascii="Amiri" w:hAnsi="Amiri" w:eastAsia="Amiri" w:cs="Amiri"/>
          <w:color w:val="111111"/>
          <w:sz w:val="28"/>
          <w:sz w:val="28"/>
          <w:szCs w:val="28"/>
          <w:rtl w:val="true"/>
          <w:lang w:bidi="ar-SA"/>
        </w:rPr>
        <w:t xml:space="preserve">عن بعض المتأخّرين دعوى الإجماع على حرمة ذلك، بل و حرمة النظر إلى ما عدا الوجه و الكفين، و في بعض الأخبار كراهة أن تراه منكشفا </w:t>
      </w:r>
      <w:r>
        <w:rPr>
          <w:rStyle w:val="FootnoteAnchor"/>
          <w:rtl w:val="true"/>
        </w:rPr>
        <w:footnoteReference w:id="1078"/>
      </w:r>
      <w:r>
        <w:rPr>
          <w:rFonts w:ascii="Amiri" w:hAnsi="Amiri" w:eastAsia="Amiri" w:cs="Amiri"/>
          <w:color w:val="111111"/>
          <w:sz w:val="28"/>
          <w:sz w:val="28"/>
          <w:szCs w:val="28"/>
          <w:rtl w:val="true"/>
          <w:lang w:bidi="ar-SA"/>
        </w:rPr>
        <w:t>، نعم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يزوّج جاريته، هل ينبغي له أن ترى عورته؟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ظاهرة، بل صريحة في المنع عن نظر الجارية المزوّجة إلى عورة مولاها، فيثبت العكس بعدم القول بالفصل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يتوهّم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عبّر عن الحكم المسئول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أعمّ من الحرمة؛ لأنّ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يجوز أم لا؟ لا أنّه يرجّح أم لا؟ و حكي </w:t>
      </w:r>
      <w:r>
        <w:rPr>
          <w:rStyle w:val="FootnoteAnchor"/>
          <w:rtl w:val="true"/>
        </w:rPr>
        <w:footnoteReference w:id="1080"/>
      </w:r>
      <w:r>
        <w:rPr>
          <w:rFonts w:ascii="Amiri" w:hAnsi="Amiri" w:eastAsia="Amiri" w:cs="Amiri"/>
          <w:color w:val="111111"/>
          <w:sz w:val="28"/>
          <w:sz w:val="28"/>
          <w:szCs w:val="28"/>
          <w:rtl w:val="true"/>
          <w:lang w:bidi="ar-SA"/>
        </w:rPr>
        <w:t xml:space="preserve">عن جماعة عدم تحريم النظر إلى ما عدا العورة ممّا يحرم على غير المالك النظر إليه، و حرّمه المصنّف هنا؛ و لعلّه لعموم أدلّة وجوب غضّ البصر </w:t>
      </w:r>
      <w:r>
        <w:rPr>
          <w:rStyle w:val="FootnoteAnchor"/>
          <w:rtl w:val="true"/>
        </w:rPr>
        <w:footnoteReference w:id="1081"/>
      </w:r>
      <w:r>
        <w:rPr>
          <w:rFonts w:ascii="Amiri" w:hAnsi="Amiri" w:eastAsia="Amiri" w:cs="Amiri"/>
          <w:color w:val="111111"/>
          <w:sz w:val="28"/>
          <w:sz w:val="28"/>
          <w:szCs w:val="28"/>
          <w:rtl w:val="true"/>
          <w:lang w:bidi="ar-SA"/>
        </w:rPr>
        <w:t xml:space="preserve">، و قوله تعالى وَ لٰا يُبْدِينَ زِينَتَهُنَّ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082"/>
      </w:r>
      <w:r>
        <w:rPr>
          <w:rFonts w:ascii="Amiri" w:hAnsi="Amiri" w:eastAsia="Amiri" w:cs="Amiri"/>
          <w:color w:val="111111"/>
          <w:sz w:val="28"/>
          <w:sz w:val="28"/>
          <w:szCs w:val="28"/>
          <w:rtl w:val="true"/>
          <w:lang w:bidi="ar-SA"/>
        </w:rPr>
        <w:t>ما لم يفارق الزوج بأحد أسباب الفراق، و لا إشكال في اشتراط جواز</w:t>
      </w:r>
    </w:p>
    <w:p>
      <w:pPr>
        <w:pStyle w:val="BookText"/>
        <w:rPr/>
      </w:pPr>
      <w:r>
        <w:rPr>
          <w:rFonts w:ascii="Amiri" w:hAnsi="Amiri" w:eastAsia="Amiri" w:cs="Amiri"/>
          <w:color w:val="111111"/>
          <w:sz w:val="28"/>
          <w:sz w:val="28"/>
          <w:szCs w:val="28"/>
          <w:rtl w:val="true"/>
          <w:lang w:bidi="ar-SA"/>
        </w:rPr>
        <w:t xml:space="preserve">الوطء بانقضاء العدّة مطلقا، و لا في توقف غيره من الاستمتاع، بل مطلق ما كان يحرم قبل الفراق على خروج العدّة الرجعيّة؛ لأنّها بمنزلة الزوجة قبله، و هل يتوقّف على خروج غيرها؟ صرّح في المسالك </w:t>
      </w:r>
      <w:r>
        <w:rPr>
          <w:rStyle w:val="FootnoteAnchor"/>
          <w:rtl w:val="true"/>
        </w:rPr>
        <w:footnoteReference w:id="1083"/>
      </w:r>
      <w:r>
        <w:rPr>
          <w:rFonts w:ascii="Amiri" w:hAnsi="Amiri" w:eastAsia="Amiri" w:cs="Amiri"/>
          <w:color w:val="111111"/>
          <w:sz w:val="28"/>
          <w:sz w:val="28"/>
          <w:szCs w:val="28"/>
          <w:rtl w:val="true"/>
          <w:lang w:bidi="ar-SA"/>
        </w:rPr>
        <w:t>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للمولى المزوّج أمته من غير بعده فسخ العقد بدون بيعها بلا خلاف ظاهر كما في الرياض،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حكى عليه الإجماع </w:t>
      </w:r>
      <w:r>
        <w:rPr>
          <w:rStyle w:val="FootnoteAnchor"/>
          <w:rtl w:val="true"/>
        </w:rPr>
        <w:footnoteReference w:id="1084"/>
      </w:r>
      <w:r>
        <w:rPr>
          <w:rFonts w:ascii="Amiri" w:hAnsi="Amiri" w:eastAsia="Amiri" w:cs="Amiri"/>
          <w:color w:val="111111"/>
          <w:sz w:val="28"/>
          <w:sz w:val="28"/>
          <w:szCs w:val="28"/>
          <w:rtl w:val="true"/>
          <w:lang w:bidi="ar-SA"/>
        </w:rPr>
        <w:t xml:space="preserve">، هذا كلّه مضافا إلى الروايات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باعها فيتخيّر المشتري في إمضاء العقد و فسخه؛ لصحيحة محمد بن مسلم </w:t>
      </w:r>
      <w:r>
        <w:rPr>
          <w:rStyle w:val="FootnoteAnchor"/>
          <w:rtl w:val="true"/>
        </w:rPr>
        <w:footnoteReference w:id="1086"/>
      </w:r>
      <w:r>
        <w:rPr>
          <w:rFonts w:ascii="Amiri" w:hAnsi="Amiri" w:eastAsia="Amiri" w:cs="Amiri"/>
          <w:color w:val="111111"/>
          <w:sz w:val="28"/>
          <w:sz w:val="28"/>
          <w:szCs w:val="28"/>
          <w:rtl w:val="true"/>
          <w:lang w:bidi="ar-SA"/>
        </w:rPr>
        <w:t>و حسنة بكير و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هاشم </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ذلك بين صورتي الدخول و عدمه، و لا بين ما إذا كان الزوج عبدا أو حرّا، بل مورد الصحيحة الزوج الحرّ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اشتراها المشتري مزوّجة فأجاز أو لم يفسخ العقد مع العلم به و بتسلّطه على الفسخ استقرّ عقد الزوج؛ لقوله في الحسنة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شاء تركهما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بالترك مجرّد عدم الفسخ، و المراد باستقراره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ليس له الفسخ بعد ذلك؛ لأصالة اللزوم، خرج ما إذا فسخ قبل 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قوله في رواية الكناني المحكية عن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هو تركها معه فليس له أن يفرّق بينهما بعد ما رضي</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فسخ على الفور بطل العقد و كفاه الاستبراء عن العدّة مع الدخول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المالك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الوجوه المملّكة على المشهور، خلافا للمحكي عن ابن إدريس </w:t>
      </w:r>
      <w:r>
        <w:rPr>
          <w:rStyle w:val="FootnoteAnchor"/>
          <w:rtl w:val="true"/>
        </w:rPr>
        <w:footnoteReference w:id="1091"/>
      </w:r>
      <w:r>
        <w:rPr>
          <w:rFonts w:ascii="Amiri" w:hAnsi="Amiri" w:eastAsia="Amiri" w:cs="Amiri"/>
          <w:color w:val="111111"/>
          <w:sz w:val="28"/>
          <w:sz w:val="28"/>
          <w:szCs w:val="28"/>
          <w:rtl w:val="true"/>
          <w:lang w:bidi="ar-SA"/>
        </w:rPr>
        <w:t>حيث خصّه بمورد النصّ و هو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النكاح قبل الاستبراء لها بحيضة، أو بخمسة و أربعين يوما إن تأخّرت حيضة، و إن علم بحصولها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أطلقه المصنّف، إلّا أن يملكها حائضا؛ لحسنة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هاشم </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موثقة سماعة، و فيها رجحان الاستبراء بحيضة أخرى </w:t>
      </w:r>
      <w:r>
        <w:rPr>
          <w:rStyle w:val="FootnoteAnchor"/>
          <w:rtl w:val="true"/>
        </w:rPr>
        <w:footnoteReference w:id="1093"/>
      </w:r>
      <w:r>
        <w:rPr>
          <w:rFonts w:ascii="Amiri" w:hAnsi="Amiri" w:eastAsia="Amiri" w:cs="Amiri"/>
          <w:color w:val="111111"/>
          <w:sz w:val="28"/>
          <w:sz w:val="28"/>
          <w:szCs w:val="28"/>
          <w:rtl w:val="true"/>
          <w:lang w:bidi="ar-SA"/>
        </w:rPr>
        <w:t xml:space="preserve">، و عن الحلّي وجوب ذلك </w:t>
      </w:r>
      <w:r>
        <w:rPr>
          <w:rStyle w:val="FootnoteAnchor"/>
          <w:rtl w:val="true"/>
        </w:rPr>
        <w:footnoteReference w:id="1094"/>
      </w:r>
      <w:r>
        <w:rPr>
          <w:rFonts w:ascii="Amiri" w:hAnsi="Amiri" w:eastAsia="Amiri" w:cs="Amiri"/>
          <w:color w:val="111111"/>
          <w:sz w:val="28"/>
          <w:sz w:val="28"/>
          <w:szCs w:val="28"/>
          <w:rtl w:val="true"/>
          <w:lang w:bidi="ar-SA"/>
        </w:rPr>
        <w:t xml:space="preserve">، أو تنتقل إليه من امرأة لرواية ابن أبي عمير عن حفص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أو آيسة فإنّه لا عدّة عليها و لا استبراء؛ و لرواية عبد اللّٰه بن عمرو </w:t>
      </w:r>
      <w:r>
        <w:rPr>
          <w:rStyle w:val="FootnoteAnchor"/>
          <w:rtl w:val="true"/>
        </w:rPr>
        <w:footnoteReference w:id="1096"/>
      </w:r>
      <w:r>
        <w:rPr>
          <w:rFonts w:ascii="Amiri" w:hAnsi="Amiri" w:eastAsia="Amiri" w:cs="Amiri"/>
          <w:color w:val="111111"/>
          <w:sz w:val="28"/>
          <w:sz w:val="28"/>
          <w:szCs w:val="28"/>
          <w:rtl w:val="true"/>
          <w:lang w:bidi="ar-SA"/>
        </w:rPr>
        <w:t xml:space="preserve">، أو تكون حاملا بناء على جواز وطئها قبل مضي أربعة أشهر من الحمل أو يخبر البائع الثقة بالاستبراء لرواية ابن أبي عمير عن حفص ابن البختري </w:t>
      </w:r>
      <w:r>
        <w:rPr>
          <w:rStyle w:val="FootnoteAnchor"/>
          <w:rtl w:val="true"/>
        </w:rPr>
        <w:footnoteReference w:id="1097"/>
      </w:r>
      <w:r>
        <w:rPr>
          <w:rFonts w:ascii="Amiri" w:hAnsi="Amiri" w:eastAsia="Amiri" w:cs="Amiri"/>
          <w:color w:val="111111"/>
          <w:sz w:val="28"/>
          <w:sz w:val="28"/>
          <w:szCs w:val="28"/>
          <w:rtl w:val="true"/>
          <w:lang w:bidi="ar-SA"/>
        </w:rPr>
        <w:t>أو يعتقها و يعقد عليها فإنّ العدّة عن المولى لغيره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وطأها المولى و أعتقها حرمت على الغير قبل العدّة و هي ثلاثة أقراء، على ما سيجي‌ء في كتاب الطلاق</w:t>
      </w:r>
      <w:r>
        <w:rPr>
          <w:rFonts w:eastAsia="Amiri" w:cs="Amiri" w:ascii="Amiri" w:hAnsi="Amiri"/>
          <w:color w:val="111111"/>
          <w:sz w:val="28"/>
          <w:szCs w:val="28"/>
          <w:rtl w:val="true"/>
          <w:lang w:bidi="ar-SA"/>
        </w:rPr>
        <w:t>.</w:t>
      </w:r>
      <w:bookmarkStart w:id="108" w:name="pg19718_239130"/>
    </w:p>
    <w:p>
      <w:pPr>
        <w:pStyle w:val="Heading5"/>
        <w:numPr>
          <w:ilvl w:val="4"/>
          <w:numId w:val="1"/>
        </w:numPr>
        <w:rPr/>
      </w:pPr>
      <w:bookmarkStart w:id="109" w:name="__RefHeading___Toc1985792_2314609296"/>
      <w:bookmarkStart w:id="110" w:name="_Toc42"/>
      <w:bookmarkEnd w:id="108"/>
      <w:bookmarkEnd w:id="109"/>
      <w:r>
        <w:rPr>
          <w:rtl w:val="true"/>
        </w:rPr>
        <w:t>النظر الثاني</w:t>
      </w:r>
      <w:r>
        <w:rPr>
          <w:rtl w:val="true"/>
        </w:rPr>
        <w:t xml:space="preserve">: </w:t>
      </w:r>
      <w:r>
        <w:rPr>
          <w:rtl w:val="true"/>
        </w:rPr>
        <w:t>في استباحة الإماء بالعقد</w:t>
      </w:r>
      <w:bookmarkEnd w:id="110"/>
    </w:p>
    <w:p>
      <w:pPr>
        <w:pStyle w:val="BookText"/>
        <w:rPr/>
      </w:pPr>
      <w:r>
        <w:rPr>
          <w:rFonts w:ascii="Amiri" w:hAnsi="Amiri" w:eastAsia="Amiri" w:cs="Amiri"/>
          <w:color w:val="111111"/>
          <w:sz w:val="28"/>
          <w:sz w:val="28"/>
          <w:szCs w:val="28"/>
          <w:rtl w:val="true"/>
          <w:lang w:bidi="ar-SA"/>
        </w:rPr>
        <w:t>و إنّما يصحّ العقد على الأمة بإذن المالك، و لا يشترط التخصيص، فإذا أطلق تخيّرت الأمة المأذونة في تعيين من شاءت من العبيد و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صرّح غير واحد </w:t>
      </w:r>
      <w:r>
        <w:rPr>
          <w:rStyle w:val="FootnoteAnchor"/>
          <w:rtl w:val="true"/>
        </w:rPr>
        <w:footnoteReference w:id="1098"/>
      </w:r>
      <w:r>
        <w:rPr>
          <w:rFonts w:ascii="Amiri" w:hAnsi="Amiri" w:eastAsia="Amiri" w:cs="Amiri"/>
          <w:color w:val="111111"/>
          <w:sz w:val="28"/>
          <w:sz w:val="28"/>
          <w:szCs w:val="28"/>
          <w:rtl w:val="true"/>
          <w:lang w:bidi="ar-SA"/>
        </w:rPr>
        <w:t xml:space="preserve">بأنّ من القواعد المعلومة أنّه لا يجوز تزويج الإنسان بأمته بأي مهر كان إلّا أن يجعل عتقها صداقها، فإنّه يجوز عند علماء أهل البيت عليهم السلام كما في المسالك </w:t>
      </w:r>
      <w:r>
        <w:rPr>
          <w:rStyle w:val="FootnoteAnchor"/>
          <w:rtl w:val="true"/>
        </w:rPr>
        <w:footnoteReference w:id="1099"/>
      </w:r>
      <w:r>
        <w:rPr>
          <w:rFonts w:ascii="Amiri" w:hAnsi="Amiri" w:eastAsia="Amiri" w:cs="Amiri"/>
          <w:color w:val="111111"/>
          <w:sz w:val="28"/>
          <w:sz w:val="28"/>
          <w:szCs w:val="28"/>
          <w:rtl w:val="true"/>
          <w:lang w:bidi="ar-SA"/>
        </w:rPr>
        <w:t xml:space="preserve">، و ادّعى عدم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 xml:space="preserve">غير واحد </w:t>
      </w:r>
      <w:r>
        <w:rPr>
          <w:rStyle w:val="FootnoteAnchor"/>
          <w:rtl w:val="true"/>
        </w:rPr>
        <w:footnoteReference w:id="1101"/>
      </w:r>
      <w:r>
        <w:rPr>
          <w:rFonts w:ascii="Amiri" w:hAnsi="Amiri" w:eastAsia="Amiri" w:cs="Amiri"/>
          <w:color w:val="111111"/>
          <w:sz w:val="28"/>
          <w:sz w:val="28"/>
          <w:szCs w:val="28"/>
          <w:rtl w:val="true"/>
          <w:lang w:bidi="ar-SA"/>
        </w:rPr>
        <w:t xml:space="preserve">، و حكي أيضا عن المختلف </w:t>
      </w:r>
      <w:r>
        <w:rPr>
          <w:rStyle w:val="FootnoteAnchor"/>
          <w:rtl w:val="true"/>
        </w:rPr>
        <w:footnoteReference w:id="1102"/>
      </w:r>
      <w:r>
        <w:rPr>
          <w:rFonts w:ascii="Amiri" w:hAnsi="Amiri" w:eastAsia="Amiri" w:cs="Amiri"/>
          <w:color w:val="111111"/>
          <w:sz w:val="28"/>
          <w:sz w:val="28"/>
          <w:szCs w:val="28"/>
          <w:rtl w:val="true"/>
          <w:lang w:bidi="ar-SA"/>
        </w:rPr>
        <w:t xml:space="preserve">، و الأخبار به كثيرة </w:t>
      </w:r>
      <w:r>
        <w:rPr>
          <w:rStyle w:val="FootnoteAnchor"/>
          <w:rtl w:val="true"/>
        </w:rPr>
        <w:footnoteReference w:id="1103"/>
      </w:r>
      <w:r>
        <w:rPr>
          <w:rFonts w:ascii="Amiri" w:hAnsi="Amiri" w:eastAsia="Amiri" w:cs="Amiri"/>
          <w:color w:val="111111"/>
          <w:sz w:val="28"/>
          <w:sz w:val="28"/>
          <w:szCs w:val="28"/>
          <w:rtl w:val="true"/>
          <w:lang w:bidi="ar-SA"/>
        </w:rPr>
        <w:t xml:space="preserve">حتّى أنّه حكيت دعوى تواترها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هذا الحكم، و إنّما الخلاف في مواضع</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تقديم التزويج على الإعتاق في التلفّظ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حكي عن أكثر المتقدّمين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تزوّجتك و أعتقتك و جعلت مهرك عتقك أو يبدأ بالعتق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رأي المصنّف هنا و الجماعة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ترتيب بينهما فيجوز الأمران كما هو المحكي عن أكثر المتأخّرين </w:t>
      </w:r>
      <w:r>
        <w:rPr>
          <w:rStyle w:val="FootnoteAnchor"/>
          <w:rtl w:val="true"/>
        </w:rPr>
        <w:footnoteReference w:id="1107"/>
      </w:r>
      <w:r>
        <w:rPr>
          <w:rFonts w:ascii="Amiri" w:hAnsi="Amiri" w:eastAsia="Amiri" w:cs="Amiri"/>
          <w:color w:val="111111"/>
          <w:sz w:val="28"/>
          <w:sz w:val="28"/>
          <w:szCs w:val="28"/>
          <w:rtl w:val="true"/>
          <w:lang w:bidi="ar-SA"/>
        </w:rPr>
        <w:t>؟ أقوال، أوسطها 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 المسألة على خلاف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النصوص </w:t>
      </w:r>
      <w:r>
        <w:rPr>
          <w:rStyle w:val="FootnoteAnchor"/>
          <w:rtl w:val="true"/>
        </w:rPr>
        <w:footnoteReference w:id="1108"/>
      </w:r>
      <w:r>
        <w:rPr>
          <w:rFonts w:ascii="Amiri" w:hAnsi="Amiri" w:eastAsia="Amiri" w:cs="Amiri"/>
          <w:color w:val="111111"/>
          <w:sz w:val="28"/>
          <w:sz w:val="28"/>
          <w:szCs w:val="28"/>
          <w:rtl w:val="true"/>
          <w:lang w:bidi="ar-SA"/>
        </w:rPr>
        <w:t>، و ليس في شي‌ء من القولين الأوّلين تعليل مخالفة للأصل عدا ما يتوهّم للأوّل من أنّه لو قدّم الإعتاق عتقت، فيعتبر رضاها في التزويج، و استشهد له برواية علي بن جعفر عن أخيه المصححة المحكية عن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أعتقتك و جعلت عتقك مهرك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عتقت و هي بالخيار إن شاءت تزوّجت و إن شاءت فلا، فإن تزوّجته فليعطها شيئا،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تزوّجتك و جعلت عتقك مهرك فإنّ النكاح واقع لا يعطها شيئا</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المحكي عن قرب الإسناد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النكاح 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النكاح واجبا</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عن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النكاح باطل</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الإعتاق إنّما يفيد رفع التسلّط عليها لو لم يعقب في الكلام الواحد بالتزويج، لا مطلقا؛ و لذا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أعتقتك و عليك خدمة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الخدمة و لم يرتفع التسلّط بمجرّد التلفّظ بالإعتاق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الإمام عليه السلام بارتفاع التسلّط عليها؛ لعلّه لعدم تعقب الإعتاق بصريح التزويج المعتبر في النكاح،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تقديم التزويج يوجب إيقاع العقد على أمة حال ملكيتها، فلا بدّ من تقديم ما يفيد زوال الملكية، ليصحّ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ما أورد على الأوّل من عدم الاكتفاء في زوال الملك بمجرّد التلفّظ، و إلّا لاعتبر رضاها، و لما استحقّ الخدمة على من أعتق بشرط خدمة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التصريح بإنشاء العتق، أو يكفي جعله مهرا؟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بالأوّل </w:t>
      </w:r>
      <w:r>
        <w:rPr>
          <w:rStyle w:val="FootnoteAnchor"/>
          <w:rtl w:val="true"/>
        </w:rPr>
        <w:footnoteReference w:id="1112"/>
      </w:r>
      <w:r>
        <w:rPr>
          <w:rFonts w:ascii="Amiri" w:hAnsi="Amiri" w:eastAsia="Amiri" w:cs="Amiri"/>
          <w:color w:val="111111"/>
          <w:sz w:val="28"/>
          <w:sz w:val="28"/>
          <w:szCs w:val="28"/>
          <w:rtl w:val="true"/>
          <w:lang w:bidi="ar-SA"/>
        </w:rPr>
        <w:t xml:space="preserve">و قيل بالثاني </w:t>
      </w:r>
      <w:r>
        <w:rPr>
          <w:rStyle w:val="FootnoteAnchor"/>
          <w:rtl w:val="true"/>
        </w:rPr>
        <w:footnoteReference w:id="1113"/>
      </w:r>
      <w:r>
        <w:rPr>
          <w:rFonts w:ascii="IRNazanin" w:hAnsi="IRNazanin" w:eastAsia="IRNazanin"/>
          <w:color w:val="111111"/>
          <w:sz w:val="28"/>
          <w:sz w:val="28"/>
          <w:szCs w:val="28"/>
          <w:rtl w:val="true"/>
          <w:lang w:bidi="fa-IR"/>
        </w:rPr>
        <w:t>، و الأوّل أقوى، مع أنّه أحوط؛ اقتصارا</w:t>
      </w:r>
    </w:p>
    <w:p>
      <w:pPr>
        <w:pStyle w:val="BookText"/>
        <w:rPr/>
      </w:pPr>
      <w:r>
        <w:rPr>
          <w:rFonts w:ascii="Amiri" w:hAnsi="Amiri" w:eastAsia="Amiri" w:cs="Amiri"/>
          <w:color w:val="111111"/>
          <w:sz w:val="28"/>
          <w:sz w:val="28"/>
          <w:szCs w:val="28"/>
          <w:rtl w:val="true"/>
          <w:lang w:bidi="ar-SA"/>
        </w:rPr>
        <w:t xml:space="preserve">فيما خالف الأصل على القدر المتيقّن، و ليس في إهماله في رواية عليّ بن جعفر </w:t>
      </w:r>
      <w:r>
        <w:rPr>
          <w:rStyle w:val="FootnoteAnchor"/>
          <w:rtl w:val="true"/>
        </w:rPr>
        <w:footnoteReference w:id="1114"/>
      </w:r>
      <w:r>
        <w:rPr>
          <w:rFonts w:ascii="Amiri" w:hAnsi="Amiri" w:eastAsia="Amiri" w:cs="Amiri"/>
          <w:color w:val="111111"/>
          <w:sz w:val="28"/>
          <w:sz w:val="28"/>
          <w:szCs w:val="28"/>
          <w:rtl w:val="true"/>
          <w:lang w:bidi="ar-SA"/>
        </w:rPr>
        <w:t>دلالة تطمئنّ بها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القبول من الأمة في صحّة التزويج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عقد، و من أنّ الأمة قبل تمام العقد لا تعتق لتصير أهلا للقبول، و بعده لا 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رواية عليّ بن جعفر الدالّة على وقوع النكاح أو وجوبه بمجرّد الكلام الصادر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اشترى المولى جارية نسيئة و أعتقها و تزوّجها و جعل عتقها مهرها، ثمّ استولدها و أفلس بالثمن و مات مفلّسا فهما أي الجارية و ولدها حرّان على رأي الأكثر؛ لصحّة التحرير و عدم ما يرفعه، فلا وجه لعودها رقّا للبائع، و صحّة النكاح، فلا وجه لكون الولد رقّا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فرض بطلان التحرير بجملته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وقع في مرض الموت مع الدين المستغرق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لعودها رقّا، بل أقصاه أنّها تباع، و لا وجه لرقّية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عن الشيخ </w:t>
      </w:r>
      <w:r>
        <w:rPr>
          <w:rStyle w:val="FootnoteAnchor"/>
          <w:rtl w:val="true"/>
        </w:rPr>
        <w:footnoteReference w:id="1115"/>
      </w:r>
      <w:r>
        <w:rPr>
          <w:rFonts w:ascii="Amiri" w:hAnsi="Amiri" w:eastAsia="Amiri" w:cs="Amiri"/>
          <w:color w:val="111111"/>
          <w:sz w:val="28"/>
          <w:sz w:val="28"/>
          <w:szCs w:val="28"/>
          <w:rtl w:val="true"/>
          <w:lang w:bidi="ar-SA"/>
        </w:rPr>
        <w:t xml:space="preserve">و جماعة </w:t>
      </w:r>
      <w:r>
        <w:rPr>
          <w:rStyle w:val="FootnoteAnchor"/>
          <w:rtl w:val="true"/>
        </w:rPr>
        <w:footnoteReference w:id="1116"/>
      </w:r>
      <w:r>
        <w:rPr>
          <w:rFonts w:ascii="Amiri" w:hAnsi="Amiri" w:eastAsia="Amiri" w:cs="Amiri"/>
          <w:color w:val="111111"/>
          <w:sz w:val="28"/>
          <w:sz w:val="28"/>
          <w:szCs w:val="28"/>
          <w:rtl w:val="true"/>
          <w:lang w:bidi="ar-SA"/>
        </w:rPr>
        <w:t xml:space="preserve">الحكم برقيتهما، لرواية هشام ابن سالم </w:t>
      </w:r>
      <w:r>
        <w:rPr>
          <w:rStyle w:val="FootnoteAnchor"/>
          <w:rtl w:val="true"/>
        </w:rPr>
        <w:footnoteReference w:id="1117"/>
      </w:r>
      <w:r>
        <w:rPr>
          <w:rFonts w:ascii="Amiri" w:hAnsi="Amiri" w:eastAsia="Amiri" w:cs="Amiri"/>
          <w:color w:val="111111"/>
          <w:sz w:val="28"/>
          <w:sz w:val="28"/>
          <w:szCs w:val="28"/>
          <w:rtl w:val="true"/>
          <w:lang w:bidi="ar-SA"/>
        </w:rPr>
        <w:t>المصححة في كلام جماعة، و إن ناقش فيها في المسالك باشتراك</w:t>
      </w:r>
    </w:p>
    <w:p>
      <w:pPr>
        <w:pStyle w:val="BookText"/>
        <w:rPr/>
      </w:pPr>
      <w:r>
        <w:rPr>
          <w:rFonts w:ascii="Amiri" w:hAnsi="Amiri" w:eastAsia="Amiri" w:cs="Amiri"/>
          <w:color w:val="111111"/>
          <w:sz w:val="28"/>
          <w:sz w:val="28"/>
          <w:szCs w:val="28"/>
          <w:rtl w:val="true"/>
          <w:lang w:bidi="ar-SA"/>
        </w:rPr>
        <w:t xml:space="preserve">أبي بصير في سندها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المسألة لا تخلو عن إشكال، من صحّة الرواية، و مخالفتها لقواعد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طلّق المولى المتزوّج الأمة المجعولة عتقها صداقها فإن طلّقها بعد الدخول فلا إشكال، و لو طلّق قبل الدخول رجع نصفها رقّا على ما حكى عن الشيخ </w:t>
      </w:r>
      <w:r>
        <w:rPr>
          <w:rStyle w:val="FootnoteAnchor"/>
          <w:rtl w:val="true"/>
        </w:rPr>
        <w:footnoteReference w:id="1119"/>
      </w:r>
      <w:r>
        <w:rPr>
          <w:rFonts w:ascii="Amiri" w:hAnsi="Amiri" w:eastAsia="Amiri" w:cs="Amiri"/>
          <w:color w:val="111111"/>
          <w:sz w:val="28"/>
          <w:sz w:val="28"/>
          <w:szCs w:val="28"/>
          <w:rtl w:val="true"/>
          <w:lang w:bidi="ar-SA"/>
        </w:rPr>
        <w:t xml:space="preserve">و ابن حمزة </w:t>
      </w:r>
      <w:r>
        <w:rPr>
          <w:rStyle w:val="FootnoteAnchor"/>
          <w:rtl w:val="true"/>
        </w:rPr>
        <w:footnoteReference w:id="1120"/>
      </w:r>
      <w:r>
        <w:rPr>
          <w:rFonts w:ascii="IRNazanin" w:hAnsi="IRNazanin" w:eastAsia="IRNazanin"/>
          <w:color w:val="111111"/>
          <w:sz w:val="28"/>
          <w:sz w:val="28"/>
          <w:szCs w:val="28"/>
          <w:rtl w:val="true"/>
          <w:lang w:bidi="fa-IR"/>
        </w:rPr>
        <w:t xml:space="preserve">و المصنف هنا، و هو </w:t>
      </w:r>
      <w:r>
        <w:rPr>
          <w:rStyle w:val="FootnoteAnchor"/>
          <w:rtl w:val="true"/>
        </w:rPr>
        <w:footnoteReference w:id="1121"/>
      </w:r>
      <w:r>
        <w:rPr>
          <w:rFonts w:ascii="Amiri" w:hAnsi="Amiri" w:eastAsia="Amiri" w:cs="Amiri"/>
          <w:color w:val="111111"/>
          <w:sz w:val="28"/>
          <w:sz w:val="28"/>
          <w:szCs w:val="28"/>
          <w:rtl w:val="true"/>
          <w:lang w:bidi="ar-SA"/>
        </w:rPr>
        <w:t xml:space="preserve">خطأ؛ لأنّه صرّح من غير فاصلة </w:t>
      </w:r>
      <w:r>
        <w:rPr>
          <w:rStyle w:val="FootnoteAnchor"/>
          <w:rtl w:val="true"/>
        </w:rPr>
        <w:footnoteReference w:id="1122"/>
      </w:r>
      <w:r>
        <w:rPr>
          <w:rFonts w:ascii="Amiri" w:hAnsi="Amiri" w:eastAsia="Amiri" w:cs="Amiri"/>
          <w:color w:val="111111"/>
          <w:sz w:val="28"/>
          <w:sz w:val="28"/>
          <w:szCs w:val="28"/>
          <w:rtl w:val="true"/>
          <w:lang w:bidi="ar-SA"/>
        </w:rPr>
        <w:t xml:space="preserve">بأنّ الحقّ الرجوع على الأمة بنصف قيمتها، فعلم أنّ الحكم الأوّل ليس فتواه، و منشأ الخلاف اختلاف الأخبار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أنّه قد تقدم أنّه إذا عقد على الأمة بإذن مولاه أو إجازته، فليس لمولاه نزعها فإن باع الأمة المزوّجة بعد العقد تخيّر المشتري بين الفسخ و الإمضاء لما مرّ من الأخبار </w:t>
      </w:r>
      <w:r>
        <w:rPr>
          <w:rStyle w:val="FootnoteAnchor"/>
          <w:rtl w:val="true"/>
        </w:rPr>
        <w:footnoteReference w:id="1124"/>
      </w:r>
      <w:r>
        <w:rPr>
          <w:rFonts w:ascii="Amiri" w:hAnsi="Amiri" w:eastAsia="Amiri" w:cs="Amiri"/>
          <w:color w:val="111111"/>
          <w:sz w:val="28"/>
          <w:sz w:val="28"/>
          <w:szCs w:val="28"/>
          <w:rtl w:val="true"/>
          <w:lang w:bidi="ar-SA"/>
        </w:rPr>
        <w:t>المؤيّدة بأنّ صبر المشتري على ذلك ضرر، فلا بدّ من جبره بالخيار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اشتراها مع العلم، فقد أدخل الضرر على نفسه، و إن</w:t>
      </w:r>
    </w:p>
    <w:p>
      <w:pPr>
        <w:pStyle w:val="BookText"/>
        <w:rPr/>
      </w:pPr>
      <w:r>
        <w:rPr>
          <w:rFonts w:ascii="IRNazanin" w:hAnsi="IRNazanin" w:eastAsia="IRNazanin"/>
          <w:color w:val="111111"/>
          <w:sz w:val="28"/>
          <w:sz w:val="28"/>
          <w:szCs w:val="28"/>
          <w:rtl w:val="true"/>
          <w:lang w:bidi="fa-IR"/>
        </w:rPr>
        <w:t xml:space="preserve">اشتراها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الجهل</w:t>
      </w:r>
      <w:r>
        <w:rPr>
          <w:rFonts w:eastAsia="IRNazanin" w:cs="IRNazanin"/>
          <w:color w:val="111111"/>
          <w:sz w:val="28"/>
          <w:szCs w:val="28"/>
          <w:rtl w:val="true"/>
          <w:lang w:bidi="fa-IR"/>
        </w:rPr>
        <w:t xml:space="preserve">] </w:t>
      </w:r>
      <w:r>
        <w:rPr>
          <w:rStyle w:val="FootnoteAnchor"/>
          <w:rtl w:val="true"/>
        </w:rPr>
        <w:footnoteReference w:id="1125"/>
      </w:r>
      <w:r>
        <w:rPr>
          <w:rFonts w:ascii="Amiri" w:hAnsi="Amiri" w:eastAsia="Amiri" w:cs="Amiri"/>
          <w:color w:val="111111"/>
          <w:sz w:val="28"/>
          <w:sz w:val="28"/>
          <w:szCs w:val="28"/>
          <w:rtl w:val="true"/>
          <w:lang w:bidi="ar-SA"/>
        </w:rPr>
        <w:t>فثبوت الخيار في البيع أولى من ثبوته في النكاح، فالعمدة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هذا الخيار على الفور اقتصارا فيما خالف الأصل على المتيقّن، و في الحدائق أنّه ممّا قطع به الأصحاب </w:t>
      </w:r>
      <w:r>
        <w:rPr>
          <w:rStyle w:val="FootnoteAnchor"/>
          <w:rtl w:val="true"/>
        </w:rPr>
        <w:footnoteReference w:id="1126"/>
      </w:r>
      <w:r>
        <w:rPr>
          <w:rFonts w:ascii="Amiri" w:hAnsi="Amiri" w:eastAsia="Amiri" w:cs="Amiri"/>
          <w:color w:val="111111"/>
          <w:sz w:val="28"/>
          <w:sz w:val="28"/>
          <w:szCs w:val="28"/>
          <w:rtl w:val="true"/>
          <w:lang w:bidi="ar-SA"/>
        </w:rPr>
        <w:t xml:space="preserve">، و في الكفاية نسبته إلى الأصحاب </w:t>
      </w:r>
      <w:r>
        <w:rPr>
          <w:rStyle w:val="FootnoteAnchor"/>
          <w:rtl w:val="true"/>
        </w:rPr>
        <w:footnoteReference w:id="1127"/>
      </w:r>
      <w:r>
        <w:rPr>
          <w:rFonts w:ascii="Amiri" w:hAnsi="Amiri" w:eastAsia="Amiri" w:cs="Amiri"/>
          <w:color w:val="111111"/>
          <w:sz w:val="28"/>
          <w:sz w:val="28"/>
          <w:szCs w:val="28"/>
          <w:rtl w:val="true"/>
          <w:lang w:bidi="ar-SA"/>
        </w:rPr>
        <w:t xml:space="preserve">، و يظهر من الرياض عدم الخلاف </w:t>
      </w:r>
      <w:r>
        <w:rPr>
          <w:rStyle w:val="FootnoteAnchor"/>
          <w:rtl w:val="true"/>
        </w:rPr>
        <w:footnoteReference w:id="1128"/>
      </w:r>
      <w:r>
        <w:rPr>
          <w:rFonts w:ascii="Amiri" w:hAnsi="Amiri" w:eastAsia="Amiri" w:cs="Amiri"/>
          <w:color w:val="111111"/>
          <w:sz w:val="28"/>
          <w:sz w:val="28"/>
          <w:szCs w:val="28"/>
          <w:rtl w:val="true"/>
          <w:lang w:bidi="ar-SA"/>
        </w:rPr>
        <w:t>، و قد يستفاد من رواية أبي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تركها معه فليس له أن يفرق بينهما بعد ما رضي</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 من حيث دلالتها على أنّ تركها رضى منه، 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باع العبد المزوّج، فللمشتري الخيار فورا في فسخ العبد إن كان تحته أمة، بلا خلاف على الظاهر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إن كان تحته حرّة على المشهور؛ لرواية </w:t>
      </w:r>
      <w:r>
        <w:rPr>
          <w:rStyle w:val="FootnoteAnchor"/>
          <w:rtl w:val="true"/>
        </w:rPr>
        <w:footnoteReference w:id="1130"/>
      </w:r>
      <w:r>
        <w:rPr>
          <w:rFonts w:ascii="Amiri" w:hAnsi="Amiri" w:eastAsia="Amiri" w:cs="Amiri"/>
          <w:color w:val="111111"/>
          <w:sz w:val="28"/>
          <w:sz w:val="28"/>
          <w:szCs w:val="28"/>
          <w:rtl w:val="true"/>
          <w:lang w:bidi="ar-SA"/>
        </w:rPr>
        <w:t>رميت بالضعف سندا 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استدلّ له في الرياض </w:t>
      </w:r>
      <w:r>
        <w:rPr>
          <w:rStyle w:val="FootnoteAnchor"/>
          <w:rtl w:val="true"/>
        </w:rPr>
        <w:footnoteReference w:id="1131"/>
      </w:r>
      <w:r>
        <w:rPr>
          <w:rFonts w:ascii="Amiri" w:hAnsi="Amiri" w:eastAsia="Amiri" w:cs="Amiri"/>
          <w:color w:val="111111"/>
          <w:sz w:val="28"/>
          <w:sz w:val="28"/>
          <w:szCs w:val="28"/>
          <w:rtl w:val="true"/>
          <w:lang w:bidi="ar-SA"/>
        </w:rPr>
        <w:t>بعموم التعليل في ما رواه في الكافي عن صفوان بن يحيى، عن ابن مسكان، عن الحسن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اشترى جارية يطأها، فبلغه أنّ لها زوجا؟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يطأها، فإنّ بيعها طلاقها، و ذلك أنّهما لا يقدران على شي‌ء</w:t>
      </w:r>
    </w:p>
    <w:p>
      <w:pPr>
        <w:pStyle w:val="BookText"/>
        <w:rPr/>
      </w:pPr>
      <w:r>
        <w:rPr>
          <w:rFonts w:ascii="Amiri" w:hAnsi="Amiri" w:eastAsia="Amiri" w:cs="Amiri"/>
          <w:color w:val="111111"/>
          <w:sz w:val="28"/>
          <w:sz w:val="28"/>
          <w:szCs w:val="28"/>
          <w:rtl w:val="true"/>
          <w:lang w:bidi="ar-SA"/>
        </w:rPr>
        <w:t>من أمرهما إذا بيعا</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 فإنّ سلب قدرتهما على الشي‌ء عند البيع يدلّ على أنّ للمولى فسخ نكاح زوجة العبد و إن كانت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ما ذكر من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إذا بيع الأمة المزوّجة أو العبد المزوّج من أمة تخيّر مولاهما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كانا لمالك </w:t>
      </w:r>
      <w:r>
        <w:rPr>
          <w:rStyle w:val="FootnoteAnchor"/>
          <w:rtl w:val="true"/>
        </w:rPr>
        <w:footnoteReference w:id="1133"/>
      </w:r>
      <w:r>
        <w:rPr>
          <w:rFonts w:ascii="Amiri" w:hAnsi="Amiri" w:eastAsia="Amiri" w:cs="Amiri"/>
          <w:color w:val="111111"/>
          <w:sz w:val="28"/>
          <w:sz w:val="28"/>
          <w:szCs w:val="28"/>
          <w:rtl w:val="true"/>
          <w:lang w:bidi="ar-SA"/>
        </w:rPr>
        <w:t>فباعهما على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باع كلّ واحد بواحد، أو باعهما عليهما على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منهما الخيار، و أنّه لو بيعا على واحد تخيّر بطريق أولى و لو باع مالكهما أحدهما على شخص فلكلّ من المشتري و البائع الخيار، أمّا المشتري فحكمه واضح، و 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البائع فالحكم فيه منسوب إلى المشهور، و علّل بتعليل ضعيف لا ينهض لمصادمة 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استدلّ لهم في الرياض </w:t>
      </w:r>
      <w:r>
        <w:rPr>
          <w:rStyle w:val="FootnoteAnchor"/>
          <w:rtl w:val="true"/>
        </w:rPr>
        <w:footnoteReference w:id="1134"/>
      </w:r>
      <w:r>
        <w:rPr>
          <w:rFonts w:ascii="Amiri" w:hAnsi="Amiri" w:eastAsia="Amiri" w:cs="Amiri"/>
          <w:color w:val="111111"/>
          <w:sz w:val="28"/>
          <w:sz w:val="28"/>
          <w:szCs w:val="28"/>
          <w:rtl w:val="true"/>
          <w:lang w:bidi="ar-SA"/>
        </w:rPr>
        <w:t>باستصحاب الخيار الثابت له حال ملكهما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ردّه بأنّ الخيار في الفتاوى و النصوص لمالك الزوجين، من حيث إنّه مالك الزوجين، فالوصف العنواني مأخوذ في الموضوع، فافهم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المهر الثابت في عقد الأمة المزوّجة التي بيعت للبائع مع الدخول بلا خلاف، و وجهه واضح سواء أجاز المشتري أو لا لأنّ فسخه لا يزيد على طلاق الزوج و قبله لا مهر مع فسخ المشتري قيل لأن الفسخ قبل الدخول جاء من قبل من يستحقّ المهر فلا يستحقّه،</w:t>
      </w:r>
    </w:p>
    <w:p>
      <w:pPr>
        <w:pStyle w:val="BookText"/>
        <w:rPr/>
      </w:pPr>
      <w:r>
        <w:rPr>
          <w:rFonts w:ascii="Amiri" w:hAnsi="Amiri" w:eastAsia="Amiri" w:cs="Amiri"/>
          <w:color w:val="111111"/>
          <w:sz w:val="28"/>
          <w:sz w:val="28"/>
          <w:szCs w:val="28"/>
          <w:rtl w:val="true"/>
          <w:lang w:bidi="ar-SA"/>
        </w:rPr>
        <w:t>و مع الإجازة فالمهر له بناء على أنّها كعقد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لعدم الدليل على كونها كالعقد المستأنف، فكيف ترفع به اليد عن مقتضى القاعدة من استحقاق المهر للمولى الأوّل بنفس العقد، فلا يبعد استحقاق الأوّل له </w:t>
      </w:r>
      <w:r>
        <w:rPr>
          <w:rStyle w:val="FootnoteAnchor"/>
          <w:rtl w:val="true"/>
        </w:rPr>
        <w:footnoteReference w:id="1135"/>
      </w:r>
      <w:r>
        <w:rPr>
          <w:rFonts w:ascii="Amiri" w:hAnsi="Amiri" w:eastAsia="Amiri" w:cs="Amiri"/>
          <w:color w:val="111111"/>
          <w:sz w:val="28"/>
          <w:sz w:val="28"/>
          <w:szCs w:val="28"/>
          <w:rtl w:val="true"/>
          <w:lang w:bidi="ar-SA"/>
        </w:rPr>
        <w:t xml:space="preserve">، كما احتمله غير واحد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إذا أعتقت الأمة المزوّجة قبل الدخول فأجازت النكاح، كان المهر للمولى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يعلم النظر في سقوط المهر كملا مع فسخ المشتري؛ لأنّ المفروض عدم الدليل على استحقاقه للمهر مع الإجازة، حتّى يكون الفسخ تفويتا منه للمهر على نفسه، فلا يستحقّ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أيضا استحقاق الأوّل كان بيعه المعرض للفسخ المصادف له في قوة فسخه، فلا يستحقّ شيئا؛ لأنّ الحدث جاء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 العبد المزوّج قبل الدخول تخيّر المشتري، فإن فسخ فعلى المولى الأوّل نصف الصداق، و لو باعه بعد الدخول استقرّ المهر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في العقد الدائم واضح؛ لاستقرار جميع المهر بالدخول، و أمّا في العقد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الأجر فيه بمنزلة الأجرة الموزّعة على المدّة المضروبة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استحقاق المولى المهر كملا بمجرّد الدخول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باع جاريته التي وطأها ثمّ ادّعى بعد البيع أنّ حملها</w:t>
      </w:r>
    </w:p>
    <w:p>
      <w:pPr>
        <w:pStyle w:val="BookText"/>
        <w:rPr/>
      </w:pPr>
      <w:r>
        <w:rPr>
          <w:rFonts w:ascii="Amiri" w:hAnsi="Amiri" w:eastAsia="Amiri" w:cs="Amiri"/>
          <w:color w:val="111111"/>
          <w:sz w:val="28"/>
          <w:sz w:val="28"/>
          <w:szCs w:val="28"/>
          <w:rtl w:val="true"/>
          <w:lang w:bidi="ar-SA"/>
        </w:rPr>
        <w:t xml:space="preserve">منه حتّى تكون أم ولد فيكشف عن فساد البيع لم يبطل البيع لأصالة الصحّة و لكن الحق </w:t>
      </w:r>
      <w:r>
        <w:rPr>
          <w:rStyle w:val="FootnoteAnchor"/>
          <w:rtl w:val="true"/>
        </w:rPr>
        <w:footnoteReference w:id="1138"/>
      </w:r>
      <w:r>
        <w:rPr>
          <w:rFonts w:ascii="Amiri" w:hAnsi="Amiri" w:eastAsia="Amiri" w:cs="Amiri"/>
          <w:color w:val="111111"/>
          <w:sz w:val="28"/>
          <w:sz w:val="28"/>
          <w:szCs w:val="28"/>
          <w:rtl w:val="true"/>
          <w:lang w:bidi="ar-SA"/>
        </w:rPr>
        <w:t>النسب إذا لم يشترط دخول الحمل في بيع الحامل و قلنا بخروجه مع الإطلاق، و أمّا إذا اشترطه أو قلنا بدخوله مع الإطلاق فلا يبعد أيضا القبول؛ لأنّه إقرار لا يضرّ بالمشتري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ترتّب على ذلك إلزام المشتري بشي‌ء لم يلزم؛ لعدم نفوذ الإقرار إلّا في حقّ المقرّ</w:t>
      </w:r>
      <w:r>
        <w:rPr>
          <w:rFonts w:eastAsia="Amiri" w:cs="Amiri" w:ascii="Amiri" w:hAnsi="Amiri"/>
          <w:color w:val="111111"/>
          <w:sz w:val="28"/>
          <w:szCs w:val="28"/>
          <w:rtl w:val="true"/>
          <w:lang w:bidi="ar-SA"/>
        </w:rPr>
        <w:t>.</w:t>
      </w:r>
      <w:bookmarkStart w:id="111" w:name="pg19718_239139"/>
    </w:p>
    <w:p>
      <w:pPr>
        <w:pStyle w:val="Heading5"/>
        <w:numPr>
          <w:ilvl w:val="4"/>
          <w:numId w:val="1"/>
        </w:numPr>
        <w:rPr/>
      </w:pPr>
      <w:bookmarkStart w:id="112" w:name="__RefHeading___Toc1985794_2314609296"/>
      <w:bookmarkStart w:id="113" w:name="_Toc43"/>
      <w:bookmarkEnd w:id="111"/>
      <w:bookmarkEnd w:id="112"/>
      <w:r>
        <w:rPr>
          <w:rtl w:val="true"/>
        </w:rPr>
        <w:t>النظر الثالث</w:t>
      </w:r>
      <w:r>
        <w:rPr>
          <w:rtl w:val="true"/>
        </w:rPr>
        <w:t xml:space="preserve">: </w:t>
      </w:r>
      <w:r>
        <w:rPr>
          <w:rtl w:val="true"/>
        </w:rPr>
        <w:t>في حلّ فروج الإماء على وجه الإباحة</w:t>
      </w:r>
      <w:bookmarkEnd w:id="113"/>
    </w:p>
    <w:p>
      <w:pPr>
        <w:pStyle w:val="BookText"/>
        <w:rPr/>
      </w:pPr>
      <w:r>
        <w:rPr>
          <w:rFonts w:ascii="Amiri" w:hAnsi="Amiri" w:eastAsia="Amiri" w:cs="Amiri"/>
          <w:color w:val="111111"/>
          <w:sz w:val="28"/>
          <w:sz w:val="28"/>
          <w:szCs w:val="28"/>
          <w:rtl w:val="true"/>
          <w:lang w:bidi="ar-SA"/>
        </w:rPr>
        <w:t>النظر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 فروج الإماء على وجه الإباحة و اختلف في أنّها عقد نكاح </w:t>
      </w:r>
      <w:r>
        <w:rPr>
          <w:rStyle w:val="FootnoteAnchor"/>
          <w:rtl w:val="true"/>
        </w:rPr>
        <w:footnoteReference w:id="1139"/>
      </w:r>
      <w:r>
        <w:rPr>
          <w:rFonts w:ascii="Amiri" w:hAnsi="Amiri" w:eastAsia="Amiri" w:cs="Amiri"/>
          <w:color w:val="111111"/>
          <w:sz w:val="28"/>
          <w:sz w:val="28"/>
          <w:szCs w:val="28"/>
          <w:rtl w:val="true"/>
          <w:lang w:bidi="ar-SA"/>
        </w:rPr>
        <w:t>أو تمليك منفعة، و أنّ المحلّلة داخلة في الأزواج أو في ما ملكت الأيمان، 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فيحتاج إلى القبول، و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المعروف بين الأصحاب </w:t>
      </w:r>
      <w:r>
        <w:rPr>
          <w:rStyle w:val="FootnoteAnchor"/>
          <w:rtl w:val="true"/>
        </w:rPr>
        <w:footnoteReference w:id="1140"/>
      </w:r>
      <w:r>
        <w:rPr>
          <w:rFonts w:ascii="Amiri" w:hAnsi="Amiri" w:eastAsia="Amiri" w:cs="Amiri"/>
          <w:color w:val="111111"/>
          <w:sz w:val="28"/>
          <w:sz w:val="28"/>
          <w:szCs w:val="28"/>
          <w:rtl w:val="true"/>
          <w:lang w:bidi="ar-SA"/>
        </w:rPr>
        <w:t xml:space="preserve">لأصالة عدم التملّك إلّا بالرضى و الاختيار، و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أنّه عقد على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اختلف في أنّه عقد نكاح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التحليل لا يصحّ بغير اللفظ؛ لعدم حلّ الفروج بالتراضي إجماعا، كما صرّح به غير واحد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اللفظ الصريح له ما يشتق من التحليل بشرط صراحته في الإنشاء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 لك، أو جعلتك في حلّ، و تأمّل بعض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حلّ </w:t>
      </w:r>
      <w:r>
        <w:rPr>
          <w:rStyle w:val="FootnoteAnchor"/>
          <w:rtl w:val="true"/>
        </w:rPr>
        <w:footnoteReference w:id="1143"/>
      </w:r>
      <w:r>
        <w:rPr>
          <w:rFonts w:ascii="Amiri" w:hAnsi="Amiri" w:eastAsia="Amiri" w:cs="Amiri"/>
          <w:color w:val="111111"/>
          <w:sz w:val="28"/>
          <w:sz w:val="28"/>
          <w:szCs w:val="28"/>
          <w:rtl w:val="true"/>
          <w:lang w:bidi="ar-SA"/>
        </w:rPr>
        <w:t xml:space="preserve">و في إنشائه بما يشتق من الإباحة </w:t>
      </w:r>
      <w:r>
        <w:rPr>
          <w:rStyle w:val="FootnoteAnchor"/>
          <w:rtl w:val="true"/>
        </w:rPr>
        <w:footnoteReference w:id="1144"/>
      </w:r>
      <w:r>
        <w:rPr>
          <w:rFonts w:ascii="Amiri" w:hAnsi="Amiri" w:eastAsia="Amiri" w:cs="Amiri"/>
          <w:color w:val="111111"/>
          <w:sz w:val="28"/>
          <w:sz w:val="28"/>
          <w:szCs w:val="28"/>
          <w:rtl w:val="true"/>
          <w:lang w:bidi="ar-SA"/>
        </w:rPr>
        <w:t>و لا يبعد</w:t>
      </w:r>
    </w:p>
    <w:p>
      <w:pPr>
        <w:pStyle w:val="BookText"/>
        <w:rPr/>
      </w:pPr>
      <w:r>
        <w:rPr>
          <w:rFonts w:ascii="Amiri" w:hAnsi="Amiri" w:eastAsia="Amiri" w:cs="Amiri"/>
          <w:color w:val="111111"/>
          <w:sz w:val="28"/>
          <w:sz w:val="28"/>
          <w:szCs w:val="28"/>
          <w:rtl w:val="true"/>
          <w:lang w:bidi="ar-SA"/>
        </w:rPr>
        <w:t xml:space="preserve">الصحّة على ما هو رأي المصنّف و جماعة </w:t>
      </w:r>
      <w:r>
        <w:rPr>
          <w:rStyle w:val="FootnoteAnchor"/>
          <w:rtl w:val="true"/>
        </w:rPr>
        <w:footnoteReference w:id="1145"/>
      </w:r>
      <w:r>
        <w:rPr>
          <w:rFonts w:ascii="Amiri" w:hAnsi="Amiri" w:eastAsia="Amiri" w:cs="Amiri"/>
          <w:color w:val="111111"/>
          <w:sz w:val="28"/>
          <w:sz w:val="28"/>
          <w:szCs w:val="28"/>
          <w:rtl w:val="true"/>
          <w:lang w:bidi="ar-SA"/>
        </w:rPr>
        <w:t xml:space="preserve">لخلوّ الأخبار عمّا يدلّ على وجوب الاقتصار على لفظ التحليل و إن وردت بلفظه </w:t>
      </w:r>
      <w:r>
        <w:rPr>
          <w:rStyle w:val="FootnoteAnchor"/>
          <w:rtl w:val="true"/>
        </w:rPr>
        <w:footnoteReference w:id="1146"/>
      </w:r>
      <w:r>
        <w:rPr>
          <w:rFonts w:ascii="Amiri" w:hAnsi="Amiri" w:eastAsia="Amiri" w:cs="Amiri"/>
          <w:color w:val="111111"/>
          <w:sz w:val="28"/>
          <w:sz w:val="28"/>
          <w:szCs w:val="28"/>
          <w:rtl w:val="true"/>
          <w:lang w:bidi="ar-SA"/>
        </w:rPr>
        <w:t>، لكن المراد معناه المعبّر عنه بالإباحة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اشتراط العربية و الترتيب كلام مرّ غير مرّة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يستباح بالعارية</w:t>
      </w:r>
      <w:r>
        <w:rPr>
          <w:rFonts w:eastAsia="Amiri" w:cs="Amiri" w:ascii="Amiri" w:hAnsi="Amiri"/>
          <w:color w:val="111111"/>
          <w:sz w:val="28"/>
          <w:szCs w:val="28"/>
          <w:rtl w:val="true"/>
          <w:lang w:bidi="ar-SA"/>
        </w:rPr>
        <w:t xml:space="preserve">] </w:t>
      </w:r>
      <w:r>
        <w:rPr>
          <w:rStyle w:val="FootnoteAnchor"/>
          <w:rtl w:val="true"/>
        </w:rPr>
        <w:footnoteReference w:id="1148"/>
      </w:r>
      <w:r>
        <w:rPr>
          <w:rFonts w:ascii="Amiri" w:hAnsi="Amiri" w:eastAsia="Amiri" w:cs="Amiri"/>
          <w:color w:val="111111"/>
          <w:sz w:val="28"/>
          <w:sz w:val="28"/>
          <w:szCs w:val="28"/>
          <w:rtl w:val="true"/>
          <w:lang w:bidi="ar-SA"/>
        </w:rPr>
        <w:t xml:space="preserve">و هل يستباح بهبة الوطء أو تسويغه أو تمليكه؟ الأقرب عند المصنّف قدّس سرّه و غير واحد من الأصحاب </w:t>
      </w:r>
      <w:r>
        <w:rPr>
          <w:rStyle w:val="FootnoteAnchor"/>
          <w:rtl w:val="true"/>
        </w:rPr>
        <w:footnoteReference w:id="1149"/>
      </w:r>
      <w:r>
        <w:rPr>
          <w:rFonts w:ascii="Amiri" w:hAnsi="Amiri" w:eastAsia="Amiri" w:cs="Amiri"/>
          <w:color w:val="111111"/>
          <w:sz w:val="28"/>
          <w:sz w:val="28"/>
          <w:szCs w:val="28"/>
          <w:rtl w:val="true"/>
          <w:lang w:bidi="ar-SA"/>
        </w:rPr>
        <w:t>عدم ذلك لوجوب الاقتصار في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المتيقّن و هو على ما عرفت ملك منفعة لا عقد نكاح</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أن يبيح المولى أمته القنّ و المتشبثة بالحرّية مثل أمّ ولده و مدبّرته لمملوكه خلافا لمن منعه </w:t>
      </w:r>
      <w:r>
        <w:rPr>
          <w:rStyle w:val="FootnoteAnchor"/>
          <w:rtl w:val="true"/>
        </w:rPr>
        <w:footnoteReference w:id="1150"/>
      </w:r>
      <w:r>
        <w:rPr>
          <w:rFonts w:ascii="Amiri" w:hAnsi="Amiri" w:eastAsia="Amiri" w:cs="Amiri"/>
          <w:color w:val="111111"/>
          <w:sz w:val="28"/>
          <w:sz w:val="28"/>
          <w:szCs w:val="28"/>
          <w:rtl w:val="true"/>
          <w:lang w:bidi="ar-SA"/>
        </w:rPr>
        <w:t xml:space="preserve">إمّا بناء على أنّه تمليك منفعة، و عدم قابليّة العبد للتملّك، و إمّا لأجل رواية علي بن يقطين </w:t>
      </w:r>
      <w:r>
        <w:rPr>
          <w:rStyle w:val="FootnoteAnchor"/>
          <w:rtl w:val="true"/>
        </w:rPr>
        <w:footnoteReference w:id="1151"/>
      </w:r>
      <w:r>
        <w:rPr>
          <w:rFonts w:ascii="Amiri" w:hAnsi="Amiri" w:eastAsia="Amiri" w:cs="Amiri"/>
          <w:color w:val="111111"/>
          <w:sz w:val="28"/>
          <w:sz w:val="28"/>
          <w:szCs w:val="28"/>
          <w:rtl w:val="true"/>
          <w:lang w:bidi="ar-SA"/>
        </w:rPr>
        <w:t>، المحمولة على الكراهة بقرينة بعض الأخبار الدالّة على جواز اشتراء المملوك</w:t>
      </w:r>
    </w:p>
    <w:p>
      <w:pPr>
        <w:pStyle w:val="BookText"/>
        <w:rPr/>
      </w:pPr>
      <w:r>
        <w:rPr>
          <w:rFonts w:ascii="Amiri" w:hAnsi="Amiri" w:eastAsia="Amiri" w:cs="Amiri"/>
          <w:color w:val="111111"/>
          <w:sz w:val="28"/>
          <w:sz w:val="28"/>
          <w:szCs w:val="28"/>
          <w:rtl w:val="true"/>
          <w:lang w:bidi="ar-SA"/>
        </w:rPr>
        <w:t xml:space="preserve">للجواري و وطئها بإذن سيّده، رواها في الكافي في باب ما يحلّ للمملوك من النساء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تحليله لغيره حرا كان أم عبد غيره فهو جائز، بلا خلاف ظاهرا، إلّا من صاحب الحدائق في العبد </w:t>
      </w:r>
      <w:r>
        <w:rPr>
          <w:rStyle w:val="FootnoteAnchor"/>
          <w:rtl w:val="true"/>
        </w:rPr>
        <w:footnoteReference w:id="1153"/>
      </w:r>
      <w:r>
        <w:rPr>
          <w:rFonts w:ascii="Amiri" w:hAnsi="Amiri" w:eastAsia="Amiri" w:cs="Amiri"/>
          <w:color w:val="111111"/>
          <w:sz w:val="28"/>
          <w:sz w:val="28"/>
          <w:szCs w:val="28"/>
          <w:rtl w:val="true"/>
          <w:lang w:bidi="ar-SA"/>
        </w:rPr>
        <w:t>لخلوّ الأخبار عنه، و مخالفة الحكم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للمحلّل له استباحة ما خرج عن اللفظ الدالّ على التحليل فلو أباح التقبيل حرم غيره من لمس و نظر لا يتوقّف التقبيل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أباح الوطء حلّ التقبيل و شبهه، لدلالة تحليله على تحليله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أباح الخدمة لم يطأها و جاز لمسها فيما يحتاج الخدمة إليه كغمز الرجلين و بالعكس فلا يجوز الاستخدام إذا أحلّ الوطء</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ولد التحليل حرّ على ما سبق في المزوّجة </w:t>
      </w:r>
      <w:r>
        <w:rPr>
          <w:rStyle w:val="FootnoteAnchor"/>
          <w:rtl w:val="true"/>
        </w:rPr>
        <w:footnoteReference w:id="1154"/>
      </w:r>
      <w:r>
        <w:rPr>
          <w:rFonts w:ascii="Amiri" w:hAnsi="Amiri" w:eastAsia="Amiri" w:cs="Amiri"/>
          <w:color w:val="111111"/>
          <w:sz w:val="28"/>
          <w:sz w:val="28"/>
          <w:szCs w:val="28"/>
          <w:rtl w:val="true"/>
          <w:lang w:bidi="ar-SA"/>
        </w:rPr>
        <w:t>إلّا أن يشترطه المولى على الخلاف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قيمة على الأب </w:t>
      </w:r>
      <w:r>
        <w:rPr>
          <w:rStyle w:val="FootnoteAnchor"/>
          <w:rtl w:val="true"/>
        </w:rPr>
        <w:footnoteReference w:id="1155"/>
      </w:r>
      <w:r>
        <w:rPr>
          <w:rFonts w:ascii="IRNazanin" w:hAnsi="IRNazanin" w:eastAsia="IRNazanin"/>
          <w:color w:val="111111"/>
          <w:sz w:val="28"/>
          <w:sz w:val="28"/>
          <w:szCs w:val="28"/>
          <w:rtl w:val="true"/>
          <w:lang w:bidi="fa-IR"/>
        </w:rPr>
        <w:t xml:space="preserve">، خلافا للصدوق </w:t>
      </w:r>
      <w:r>
        <w:rPr>
          <w:rStyle w:val="FootnoteAnchor"/>
          <w:rtl w:val="true"/>
        </w:rPr>
        <w:footnoteReference w:id="1156"/>
      </w:r>
      <w:r>
        <w:rPr>
          <w:rFonts w:ascii="Amiri" w:hAnsi="Amiri" w:eastAsia="Amiri" w:cs="Amiri"/>
          <w:color w:val="111111"/>
          <w:sz w:val="28"/>
          <w:sz w:val="28"/>
          <w:szCs w:val="28"/>
          <w:rtl w:val="true"/>
          <w:lang w:bidi="ar-SA"/>
        </w:rPr>
        <w:t>على ما حكي عنه؛ جمعا بين ما دلّ على حرّيته و ما دلّ على لزوم قيمته يوم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سقط حيّا، و استجوده في الكفاية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bookmarkStart w:id="114" w:name="pg19718_239143"/>
    </w:p>
    <w:p>
      <w:pPr>
        <w:pStyle w:val="Heading3"/>
        <w:numPr>
          <w:ilvl w:val="2"/>
          <w:numId w:val="1"/>
        </w:numPr>
        <w:rPr/>
      </w:pPr>
      <w:bookmarkStart w:id="115" w:name="__RefHeading___Toc1985796_2314609296"/>
      <w:bookmarkStart w:id="116" w:name="_Toc44"/>
      <w:bookmarkEnd w:id="114"/>
      <w:bookmarkEnd w:id="115"/>
      <w:r>
        <w:rPr>
          <w:rtl w:val="true"/>
        </w:rPr>
        <w:t>المقصد الثّاني في الصّدق</w:t>
      </w:r>
      <w:bookmarkEnd w:id="116"/>
    </w:p>
    <w:p>
      <w:pPr>
        <w:pStyle w:val="Heading4"/>
        <w:numPr>
          <w:ilvl w:val="3"/>
          <w:numId w:val="1"/>
        </w:numPr>
        <w:rPr/>
      </w:pPr>
      <w:bookmarkStart w:id="117" w:name="__RefHeading___Toc1985798_2314609296"/>
      <w:bookmarkStart w:id="118" w:name="_Toc45"/>
      <w:bookmarkEnd w:id="117"/>
      <w:r>
        <w:rPr>
          <w:rtl w:val="true"/>
        </w:rPr>
        <w:t>اشارة</w:t>
      </w:r>
      <w:bookmarkEnd w:id="11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مطالب</w:t>
      </w:r>
      <w:bookmarkStart w:id="119" w:name="pg19718_239145"/>
    </w:p>
    <w:p>
      <w:pPr>
        <w:pStyle w:val="Heading4"/>
        <w:numPr>
          <w:ilvl w:val="3"/>
          <w:numId w:val="1"/>
        </w:numPr>
        <w:rPr/>
      </w:pPr>
      <w:bookmarkStart w:id="120" w:name="__RefHeading___Toc1985800_2314609296"/>
      <w:bookmarkStart w:id="121" w:name="_Toc46"/>
      <w:bookmarkEnd w:id="119"/>
      <w:bookmarkEnd w:id="120"/>
      <w:r>
        <w:rPr>
          <w:rtl w:val="true"/>
        </w:rPr>
        <w:t xml:space="preserve">المطلب الأوّل </w:t>
      </w:r>
      <w:r>
        <w:rPr>
          <w:rtl w:val="true"/>
        </w:rPr>
        <w:t>[</w:t>
      </w:r>
      <w:r>
        <w:rPr>
          <w:rtl w:val="true"/>
        </w:rPr>
        <w:t>في ماهية الصداق و شرائطه</w:t>
      </w:r>
      <w:r>
        <w:rPr>
          <w:rtl w:val="true"/>
        </w:rPr>
        <w:t>]</w:t>
      </w:r>
      <w:bookmarkEnd w:id="121"/>
    </w:p>
    <w:p>
      <w:pPr>
        <w:pStyle w:val="BookText"/>
        <w:rPr/>
      </w:pPr>
      <w:r>
        <w:rPr>
          <w:rFonts w:ascii="Amiri" w:hAnsi="Amiri" w:eastAsia="Amiri" w:cs="Amiri"/>
          <w:color w:val="111111"/>
          <w:sz w:val="28"/>
          <w:sz w:val="28"/>
          <w:szCs w:val="28"/>
          <w:rtl w:val="true"/>
          <w:lang w:bidi="ar-SA"/>
        </w:rPr>
        <w:t>كلّ ما يصحّ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كان أو منفعة، و إن كان ذلك النفع إجارة الزوج نفسه من المرأة لعمل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مهرا، قلّ أو كثر لعموم ما دلّ من الأخبار المستفيضة على أنّ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تراضى عليه الناس</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يجوز جعله حقّا محضا، كحقّ التحجير و نحوه ممّا يقابل بالمال؟</w:t>
      </w:r>
    </w:p>
    <w:p>
      <w:pPr>
        <w:pStyle w:val="BookText"/>
        <w:rPr/>
      </w:pPr>
      <w:r>
        <w:rPr>
          <w:rFonts w:ascii="Amiri" w:hAnsi="Amiri" w:eastAsia="Amiri" w:cs="Amiri"/>
          <w:color w:val="111111"/>
          <w:sz w:val="28"/>
          <w:sz w:val="28"/>
          <w:szCs w:val="28"/>
          <w:rtl w:val="true"/>
          <w:lang w:bidi="ar-SA"/>
        </w:rPr>
        <w:t xml:space="preserve">استظهر بعض المعاصرين جوازه </w:t>
      </w:r>
      <w:r>
        <w:rPr>
          <w:rStyle w:val="FootnoteAnchor"/>
          <w:rtl w:val="true"/>
        </w:rPr>
        <w:footnoteReference w:id="1159"/>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تراضى عليه الناس</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 و هو مشكل؛ لأنّ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تراضى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يدّعى أنّه مخصّص بما دلّ على أنّ الصداق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تراضى عليه الناس من كثير أو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القليل 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 في مقام تحديد الصداق حدّا مانعا و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تراضى عليه الناس</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إمكان دعوى أنّ السؤال في الخبر العام بقول السائل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المهر ما هو </w:t>
      </w:r>
      <w:r>
        <w:rPr>
          <w:rStyle w:val="FootnoteAnchor"/>
          <w:rtl w:val="true"/>
        </w:rPr>
        <w:footnoteReference w:id="1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سؤال عن الكم لا الحقيقة؛ لعدم الحاجة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دلّ على أنّه لا يصحّ النكاح إلّا عن درهم أو درهمين </w:t>
      </w:r>
      <w:r>
        <w:rPr>
          <w:rStyle w:val="FootnoteAnchor"/>
          <w:rtl w:val="true"/>
        </w:rPr>
        <w:footnoteReference w:id="1162"/>
      </w:r>
      <w:r>
        <w:rPr>
          <w:rFonts w:ascii="Amiri" w:hAnsi="Amiri" w:eastAsia="Amiri" w:cs="Amiri"/>
          <w:color w:val="111111"/>
          <w:sz w:val="28"/>
          <w:sz w:val="28"/>
          <w:szCs w:val="28"/>
          <w:rtl w:val="true"/>
          <w:lang w:bidi="ar-SA"/>
        </w:rPr>
        <w:t xml:space="preserve">، فإنّه الحق </w:t>
      </w:r>
      <w:r>
        <w:rPr>
          <w:rStyle w:val="FootnoteAnchor"/>
          <w:rtl w:val="true"/>
        </w:rPr>
        <w:footnoteReference w:id="1163"/>
      </w:r>
      <w:r>
        <w:rPr>
          <w:rFonts w:ascii="Amiri" w:hAnsi="Amiri" w:eastAsia="Amiri" w:cs="Amiri"/>
          <w:color w:val="111111"/>
          <w:sz w:val="28"/>
          <w:sz w:val="28"/>
          <w:szCs w:val="28"/>
          <w:rtl w:val="true"/>
          <w:lang w:bidi="ar-SA"/>
        </w:rPr>
        <w:t>بالإجماع المركب مطلق المال، و أمّا الحقّ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تسميته في القرآن صدقة و أجرا </w:t>
      </w:r>
      <w:r>
        <w:rPr>
          <w:rStyle w:val="FootnoteAnchor"/>
          <w:rtl w:val="true"/>
        </w:rPr>
        <w:footnoteReference w:id="1164"/>
      </w:r>
      <w:r>
        <w:rPr>
          <w:rFonts w:ascii="Amiri" w:hAnsi="Amiri" w:eastAsia="Amiri" w:cs="Amiri"/>
          <w:color w:val="111111"/>
          <w:sz w:val="28"/>
          <w:sz w:val="28"/>
          <w:szCs w:val="28"/>
          <w:rtl w:val="true"/>
          <w:lang w:bidi="ar-SA"/>
        </w:rPr>
        <w:t>سيّما في المتعة، فإنّ الظاهر أنّه لا قائل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الصداق منفعة، مع أنّ منفعة الحرّ لا يكون مالا، و أنّه لا يضمن بحبس الحرّ كما يضمن بحبس العبد،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عدم كونه </w:t>
      </w:r>
      <w:r>
        <w:rPr>
          <w:rStyle w:val="FootnoteAnchor"/>
          <w:rtl w:val="true"/>
        </w:rPr>
        <w:footnoteReference w:id="1165"/>
      </w:r>
      <w:r>
        <w:rPr>
          <w:rFonts w:ascii="Amiri" w:hAnsi="Amiri" w:eastAsia="Amiri" w:cs="Amiri"/>
          <w:color w:val="111111"/>
          <w:sz w:val="28"/>
          <w:sz w:val="28"/>
          <w:szCs w:val="28"/>
          <w:rtl w:val="true"/>
          <w:lang w:bidi="ar-SA"/>
        </w:rPr>
        <w:t xml:space="preserve">مالا أمكن التزام خروجه بالدليل، مع جواز الفرق بأنّ منفعة الحرّ يمكن أن يجعل عوضا للمبيع و في الإجارة، بخلاف حقّ التحجير، و المحكي عن الشيخ في الخلاف أنّ الصداق ما يصلح أن يكون ثمنا للمبيع أو اجرة قلّ أو كثر، و ادّعى الإجماع على ذلك </w:t>
      </w:r>
      <w:r>
        <w:rPr>
          <w:rStyle w:val="FootnoteAnchor"/>
          <w:rtl w:val="true"/>
        </w:rPr>
        <w:footnoteReference w:id="1166"/>
      </w:r>
      <w:r>
        <w:rPr>
          <w:rFonts w:ascii="Amiri" w:hAnsi="Amiri" w:eastAsia="Amiri" w:cs="Amiri"/>
          <w:color w:val="111111"/>
          <w:sz w:val="28"/>
          <w:sz w:val="28"/>
          <w:szCs w:val="28"/>
          <w:rtl w:val="true"/>
          <w:lang w:bidi="ar-SA"/>
        </w:rPr>
        <w:t xml:space="preserve">، مضافا إلى كلمات الفقهاء في تفسير الصداق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الحقوق المالية، و أمّا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Style w:val="FootnoteAnchor"/>
          <w:rtl w:val="true"/>
        </w:rPr>
        <w:footnoteReference w:id="1168"/>
      </w:r>
      <w:r>
        <w:rPr>
          <w:rFonts w:ascii="IRNazanin" w:hAnsi="IRNazanin" w:eastAsia="IRNazanin"/>
          <w:color w:val="111111"/>
          <w:sz w:val="28"/>
          <w:sz w:val="28"/>
          <w:szCs w:val="28"/>
          <w:rtl w:val="true"/>
          <w:lang w:bidi="fa-IR"/>
        </w:rPr>
        <w:t>لا تقبل الانتقال،</w:t>
      </w:r>
    </w:p>
    <w:p>
      <w:pPr>
        <w:pStyle w:val="BookText"/>
        <w:rPr/>
      </w:pPr>
      <w:r>
        <w:rPr>
          <w:rFonts w:ascii="IRNazanin" w:hAnsi="IRNazanin" w:eastAsia="IRNazanin"/>
          <w:color w:val="111111"/>
          <w:sz w:val="28"/>
          <w:sz w:val="28"/>
          <w:szCs w:val="28"/>
          <w:rtl w:val="true"/>
          <w:lang w:bidi="fa-IR"/>
        </w:rPr>
        <w:t xml:space="preserve">بل الإسقاط، فقد اعترف هذا المعاصر بعدم جوازها مهرا </w:t>
      </w:r>
      <w:r>
        <w:rPr>
          <w:rStyle w:val="FootnoteAnchor"/>
          <w:rtl w:val="true"/>
        </w:rPr>
        <w:footnoteReference w:id="1169"/>
      </w:r>
      <w:r>
        <w:rPr>
          <w:rFonts w:ascii="Amiri" w:hAnsi="Amiri" w:eastAsia="Amiri" w:cs="Amiri"/>
          <w:color w:val="111111"/>
          <w:sz w:val="28"/>
          <w:sz w:val="28"/>
          <w:szCs w:val="28"/>
          <w:rtl w:val="true"/>
          <w:lang w:bidi="ar-SA"/>
        </w:rPr>
        <w:t>، مع أنّ الدليل جار فيه، فتأمّل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الشيخ </w:t>
      </w:r>
      <w:r>
        <w:rPr>
          <w:rStyle w:val="FootnoteAnchor"/>
          <w:rtl w:val="true"/>
        </w:rPr>
        <w:footnoteReference w:id="1170"/>
      </w:r>
      <w:r>
        <w:rPr>
          <w:rFonts w:ascii="Amiri" w:hAnsi="Amiri" w:eastAsia="Amiri" w:cs="Amiri"/>
          <w:color w:val="111111"/>
          <w:sz w:val="28"/>
          <w:sz w:val="28"/>
          <w:szCs w:val="28"/>
          <w:rtl w:val="true"/>
          <w:lang w:bidi="ar-SA"/>
        </w:rPr>
        <w:t xml:space="preserve">و جماعة </w:t>
      </w:r>
      <w:r>
        <w:rPr>
          <w:rStyle w:val="FootnoteAnchor"/>
          <w:rtl w:val="true"/>
        </w:rPr>
        <w:footnoteReference w:id="1171"/>
      </w:r>
      <w:r>
        <w:rPr>
          <w:rFonts w:ascii="Amiri" w:hAnsi="Amiri" w:eastAsia="Amiri" w:cs="Amiri"/>
          <w:color w:val="111111"/>
          <w:sz w:val="28"/>
          <w:sz w:val="28"/>
          <w:szCs w:val="28"/>
          <w:rtl w:val="true"/>
          <w:lang w:bidi="ar-SA"/>
        </w:rPr>
        <w:t xml:space="preserve">في العقد على منفعة الزوج مدّة؛ للمروي عن البزنطي </w:t>
      </w:r>
      <w:r>
        <w:rPr>
          <w:rStyle w:val="FootnoteAnchor"/>
          <w:rtl w:val="true"/>
        </w:rPr>
        <w:footnoteReference w:id="1172"/>
      </w:r>
      <w:r>
        <w:rPr>
          <w:rFonts w:ascii="Amiri" w:hAnsi="Amiri" w:eastAsia="Amiri" w:cs="Amiri"/>
          <w:color w:val="111111"/>
          <w:sz w:val="28"/>
          <w:sz w:val="28"/>
          <w:szCs w:val="28"/>
          <w:rtl w:val="true"/>
          <w:lang w:bidi="ar-SA"/>
        </w:rPr>
        <w:t xml:space="preserve">المضعّف </w:t>
      </w:r>
      <w:r>
        <w:rPr>
          <w:rStyle w:val="FootnoteAnchor"/>
          <w:rtl w:val="true"/>
        </w:rPr>
        <w:footnoteReference w:id="1173"/>
      </w:r>
      <w:r>
        <w:rPr>
          <w:rFonts w:ascii="Amiri" w:hAnsi="Amiri" w:eastAsia="Amiri" w:cs="Amiri"/>
          <w:color w:val="111111"/>
          <w:sz w:val="28"/>
          <w:sz w:val="28"/>
          <w:szCs w:val="28"/>
          <w:rtl w:val="true"/>
          <w:lang w:bidi="ar-SA"/>
        </w:rPr>
        <w:t>سندا تارة و دلالة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ظاهر </w:t>
      </w:r>
      <w:r>
        <w:rPr>
          <w:rStyle w:val="FootnoteAnchor"/>
          <w:rtl w:val="true"/>
        </w:rPr>
        <w:footnoteReference w:id="1174"/>
      </w:r>
      <w:r>
        <w:rPr>
          <w:rFonts w:ascii="Amiri" w:hAnsi="Amiri" w:eastAsia="Amiri" w:cs="Amiri"/>
          <w:color w:val="111111"/>
          <w:sz w:val="28"/>
          <w:sz w:val="28"/>
          <w:szCs w:val="28"/>
          <w:rtl w:val="true"/>
          <w:lang w:bidi="ar-SA"/>
        </w:rPr>
        <w:t xml:space="preserve">العموم في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المهر ما تراضى عليه الناس</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تراضى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جعل الحقوق الغير المالية أيضا صداقا، كحقّ التحجير و غيره من الحقوق الغير المالية القابلة للنقل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الزوجان الذمّيان أو أحدهما بعد العقد على خمر بقيا على عقدهما، و وجبت على الزوج القيمة؛ لأنّها أقرب شي‌ء إليه حيث تعذّر دفعه؛ للإسلام، و لأنّ المعيّن يراد شخصه و ماليته، فإذا تعذّر الأوّل يصار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ما رواه في التهذيب عن عبيد بن زرارة، و فيها القاسم بن محمد الجوهري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قبضته الزوجة حال كونهما كافرين صحّ و برأت ذمّة</w:t>
      </w:r>
    </w:p>
    <w:p>
      <w:pPr>
        <w:pStyle w:val="BookText"/>
        <w:rPr/>
      </w:pPr>
      <w:r>
        <w:rPr>
          <w:rFonts w:ascii="Amiri" w:hAnsi="Amiri" w:eastAsia="Amiri" w:cs="Amiri"/>
          <w:color w:val="111111"/>
          <w:sz w:val="28"/>
          <w:sz w:val="28"/>
          <w:szCs w:val="28"/>
          <w:rtl w:val="true"/>
          <w:lang w:bidi="ar-SA"/>
        </w:rPr>
        <w:t>الزوج، فلا يطالب بشي‌ء بعد الإسلام، كسائر ما يؤدّيه من الديون في حال الكفر ممّا لا يتموّل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عقد المسلم، عليه عالما بالموضوع صحّ على الأقوى؛ لوجود المقتضي و عدم المانع، عدا ما يستند إليه من وجوب اقتران الرضى بالعقد، و لم يقع الرضى إلّا على الباطل، فما رضيا به لم يصحّ، و ما صحّ لم يتراضيا عليه، و لأنّه عقد معاوضة، حيث يذكر فيه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فيفسد بفساد العوض كالبيع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لو ظهر المهر المشخّص مستحقا للغير؛ فإنّه لا يوجب فساد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الحدائق </w:t>
      </w:r>
      <w:r>
        <w:rPr>
          <w:rStyle w:val="FootnoteAnchor"/>
          <w:rtl w:val="true"/>
        </w:rPr>
        <w:footnoteReference w:id="1177"/>
      </w:r>
      <w:r>
        <w:rPr>
          <w:rFonts w:ascii="Amiri" w:hAnsi="Amiri" w:eastAsia="Amiri" w:cs="Amiri"/>
          <w:color w:val="111111"/>
          <w:sz w:val="28"/>
          <w:sz w:val="28"/>
          <w:szCs w:val="28"/>
          <w:rtl w:val="true"/>
          <w:lang w:bidi="ar-SA"/>
        </w:rPr>
        <w:t xml:space="preserve">و الرياض </w:t>
      </w:r>
      <w:r>
        <w:rPr>
          <w:rStyle w:val="FootnoteAnchor"/>
          <w:rtl w:val="true"/>
        </w:rPr>
        <w:footnoteReference w:id="1178"/>
      </w:r>
      <w:r>
        <w:rPr>
          <w:rFonts w:ascii="Amiri" w:hAnsi="Amiri" w:eastAsia="Amiri" w:cs="Amiri"/>
          <w:color w:val="111111"/>
          <w:sz w:val="28"/>
          <w:sz w:val="28"/>
          <w:szCs w:val="28"/>
          <w:rtl w:val="true"/>
          <w:lang w:bidi="ar-SA"/>
        </w:rPr>
        <w:t xml:space="preserve">و المسالك </w:t>
      </w:r>
      <w:r>
        <w:rPr>
          <w:rStyle w:val="FootnoteAnchor"/>
          <w:rtl w:val="true"/>
        </w:rPr>
        <w:footnoteReference w:id="1179"/>
      </w:r>
      <w:r>
        <w:rPr>
          <w:rFonts w:ascii="Amiri" w:hAnsi="Amiri" w:eastAsia="Amiri" w:cs="Amiri"/>
          <w:color w:val="111111"/>
          <w:sz w:val="28"/>
          <w:sz w:val="28"/>
          <w:szCs w:val="28"/>
          <w:rtl w:val="true"/>
          <w:lang w:bidi="ar-SA"/>
        </w:rPr>
        <w:t>، مع أنّ ما استدلّ به جار فيه حرفا بحرف، و كذا لو زعماه خلّا فبان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فإنّ الرضى بأصل النكاح حاصل، فإنّه متقوّم بالزوجين، و الالتزام بالصداق بمنزلة الالتزام بالشرط الفاسد الغير المنافي لأصل النكاح الذي اتّفقوا ظاهرا على عدم فساد العقد به، بل هنا أولى، حيث إنّ في اشتراط الفاسد تصريحا بعدم الرضى بالعقد، بخلاف الصداق الفاسد، مع أنّ فساد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المعاوضات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بفساد الشرط محلّ كلام، لا يبعد القول بالعدم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 المسألة مشكلة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فعلى القول بالصحّة لا إشكال في عدم استحقاق المرأة</w:t>
      </w:r>
    </w:p>
    <w:p>
      <w:pPr>
        <w:pStyle w:val="BookText"/>
        <w:rPr/>
      </w:pPr>
      <w:r>
        <w:rPr>
          <w:rFonts w:ascii="Amiri" w:hAnsi="Amiri" w:eastAsia="Amiri" w:cs="Amiri"/>
          <w:color w:val="111111"/>
          <w:sz w:val="28"/>
          <w:sz w:val="28"/>
          <w:szCs w:val="28"/>
          <w:rtl w:val="true"/>
          <w:lang w:bidi="ar-SA"/>
        </w:rPr>
        <w:t>لنفس ما جعل صداقا؛ لأنّه ممّا لا يستحقّ شرعا، فهل الواجب لها بدله مهر المثل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إذا لم يسلّم المعيّن صداقا فالواجب بدله، و هو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الدخول </w:t>
      </w:r>
      <w:r>
        <w:rPr>
          <w:rStyle w:val="FootnoteAnchor"/>
          <w:rtl w:val="true"/>
        </w:rPr>
        <w:footnoteReference w:id="1180"/>
      </w:r>
      <w:r>
        <w:rPr>
          <w:rFonts w:ascii="Amiri" w:hAnsi="Amiri" w:eastAsia="Amiri" w:cs="Amiri"/>
          <w:color w:val="111111"/>
          <w:sz w:val="28"/>
          <w:sz w:val="28"/>
          <w:szCs w:val="28"/>
          <w:rtl w:val="true"/>
          <w:lang w:bidi="ar-SA"/>
        </w:rPr>
        <w:t>بناء على أنّ التسمية إذا فسدت فلا يجب شي‌ء إلّا عوضا للبضع، فقبل الدخول لا شي‌ء، و مع الدخول يستحقّ مهر المثل؛ لأنّه عوض الوطء المحترم؟</w:t>
      </w:r>
    </w:p>
    <w:p>
      <w:pPr>
        <w:pStyle w:val="BookText"/>
        <w:rPr/>
      </w:pPr>
      <w:r>
        <w:rPr>
          <w:rFonts w:ascii="Amiri" w:hAnsi="Amiri" w:eastAsia="Amiri" w:cs="Amiri"/>
          <w:color w:val="111111"/>
          <w:sz w:val="28"/>
          <w:sz w:val="28"/>
          <w:szCs w:val="28"/>
          <w:rtl w:val="true"/>
          <w:lang w:bidi="ar-SA"/>
        </w:rPr>
        <w:t>و تظهر الثمرة في ما لو مات أحدهما قبل الدخول، فإنّه على الأوّل يجب نصف مهر المثل أو جميعه على القولين في التنصيف بالموت و عدمه؛ لأنّه يثبت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فلا شي‌ء؛ لأنّه لا يثبت إلّا بالوطء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هنا قول ثالث </w:t>
      </w:r>
      <w:r>
        <w:rPr>
          <w:rStyle w:val="FootnoteAnchor"/>
          <w:rtl w:val="true"/>
        </w:rPr>
        <w:footnoteReference w:id="1181"/>
      </w:r>
      <w:r>
        <w:rPr>
          <w:rFonts w:ascii="Amiri" w:hAnsi="Amiri" w:eastAsia="Amiri" w:cs="Amiri"/>
          <w:color w:val="111111"/>
          <w:sz w:val="28"/>
          <w:sz w:val="28"/>
          <w:szCs w:val="28"/>
          <w:rtl w:val="true"/>
          <w:lang w:bidi="ar-SA"/>
        </w:rPr>
        <w:t xml:space="preserve">بوجوب قيمة ما جعل صداقا؛ لأنّها أقرب إليه، كما مرّ في مسألة الذمّيين اللذين أسلما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القول يستحقّ القيمة بنفس العقد؛ لأنّه بدل عن نفس الصداق المجعول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رابع </w:t>
      </w:r>
      <w:r>
        <w:rPr>
          <w:rStyle w:val="FootnoteAnchor"/>
          <w:rtl w:val="true"/>
        </w:rPr>
        <w:footnoteReference w:id="1183"/>
      </w:r>
      <w:r>
        <w:rPr>
          <w:rFonts w:ascii="Amiri" w:hAnsi="Amiri" w:eastAsia="Amiri" w:cs="Amiri"/>
          <w:color w:val="111111"/>
          <w:sz w:val="28"/>
          <w:sz w:val="28"/>
          <w:szCs w:val="28"/>
          <w:rtl w:val="true"/>
          <w:lang w:bidi="ar-SA"/>
        </w:rPr>
        <w:t>بالتفصيل بين الصداق الذي له قيمة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يقابل بالمال، كالخمر المضمون على المسلم، و الذي للذمّي المتستّر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ليس كذلك كالحرّ، فيصار في الأوّل إلى القيمة، و في الثاني إلى مهر المثل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المسألة محلّ إشكال، و إن كان القول الثاني الذي اختاره المصنّف هنا</w:t>
      </w:r>
    </w:p>
    <w:p>
      <w:pPr>
        <w:pStyle w:val="BookText"/>
        <w:rPr/>
      </w:pPr>
      <w:r>
        <w:rPr>
          <w:rFonts w:ascii="Amiri" w:hAnsi="Amiri" w:eastAsia="Amiri" w:cs="Amiri"/>
          <w:color w:val="111111"/>
          <w:sz w:val="28"/>
          <w:sz w:val="28"/>
          <w:szCs w:val="28"/>
          <w:rtl w:val="true"/>
          <w:lang w:bidi="ar-SA"/>
        </w:rPr>
        <w:t>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الصداق تعيينه بما يرفع معظم الجهالة، فإن أبهم كلّية فسد المهر و لها مهر المثل مع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يشترط</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أن لا يتضمّن إثباته نفيه؛ لعدم صحّة تملّك مثل هذا صداقا، كما لو أصدق الحرّة رقبة عبده المزوّج بها، فإنّ تملّكه ينافي ثبوته، فالجمع بين تملّكها له صداقا و بين تزويجها به جمع بين 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المشاهدة و إن جهل وزنه لعدم كون الإصداق معاوضة صرفة يعتبر فيها الكيل في المكيل و الوزن في الموزون،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الصداق ما تراضى عليه الناس</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في تزويج النبيّ صلّى اللّٰه عليه و آله و سلّم تلك المرأة على ما يحسن الزوج من القرآن </w:t>
      </w:r>
      <w:r>
        <w:rPr>
          <w:rStyle w:val="FootnoteAnchor"/>
          <w:rtl w:val="true"/>
        </w:rPr>
        <w:footnoteReference w:id="1186"/>
      </w:r>
      <w:r>
        <w:rPr>
          <w:rFonts w:ascii="Amiri" w:hAnsi="Amiri" w:eastAsia="Amiri" w:cs="Amiri"/>
          <w:color w:val="111111"/>
          <w:sz w:val="28"/>
          <w:sz w:val="28"/>
          <w:szCs w:val="28"/>
          <w:rtl w:val="true"/>
          <w:lang w:bidi="ar-SA"/>
        </w:rPr>
        <w:t>، و لم ينقل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تزوّجها على خادم، أو بيت، أو دار فلها وسط ذلك لرواية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الواقفي المعاند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الخادم </w:t>
      </w:r>
      <w:r>
        <w:rPr>
          <w:rStyle w:val="FootnoteAnchor"/>
          <w:rtl w:val="true"/>
        </w:rPr>
        <w:footnoteReference w:id="1187"/>
      </w:r>
      <w:r>
        <w:rPr>
          <w:rFonts w:ascii="Amiri" w:hAnsi="Amiri" w:eastAsia="Amiri" w:cs="Amiri"/>
          <w:color w:val="111111"/>
          <w:sz w:val="28"/>
          <w:sz w:val="28"/>
          <w:szCs w:val="28"/>
          <w:rtl w:val="true"/>
          <w:lang w:bidi="ar-SA"/>
        </w:rPr>
        <w:t xml:space="preserve">، و مرسلة ابن أبي عمير في البيت </w:t>
      </w:r>
      <w:r>
        <w:rPr>
          <w:rStyle w:val="FootnoteAnchor"/>
          <w:rtl w:val="true"/>
        </w:rPr>
        <w:footnoteReference w:id="1188"/>
      </w:r>
      <w:r>
        <w:rPr>
          <w:rFonts w:ascii="Amiri" w:hAnsi="Amiri" w:eastAsia="Amiri" w:cs="Amiri"/>
          <w:color w:val="111111"/>
          <w:sz w:val="28"/>
          <w:sz w:val="28"/>
          <w:szCs w:val="28"/>
          <w:rtl w:val="true"/>
          <w:lang w:bidi="ar-SA"/>
        </w:rPr>
        <w:t>، و لأجل ذلك حكم بفساد المهر لزيادة الجهالة، فيرجع إلى مهر المثل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تزوّجها على كتاب اللّٰه و سنّة نبيّه صلّى اللّٰه عليه و آله و سلّم،</w:t>
      </w:r>
    </w:p>
    <w:p>
      <w:pPr>
        <w:pStyle w:val="BookText"/>
        <w:rPr/>
      </w:pPr>
      <w:r>
        <w:rPr>
          <w:rFonts w:ascii="Amiri" w:hAnsi="Amiri" w:eastAsia="Amiri" w:cs="Amiri"/>
          <w:color w:val="111111"/>
          <w:sz w:val="28"/>
          <w:sz w:val="28"/>
          <w:szCs w:val="28"/>
          <w:rtl w:val="true"/>
          <w:lang w:bidi="ar-SA"/>
        </w:rPr>
        <w:t xml:space="preserve">و لم يسمّ شيئا فخمسمائة درهم مهر السنة؛ للإجماع كما في الروضة </w:t>
      </w:r>
      <w:r>
        <w:rPr>
          <w:rStyle w:val="FootnoteAnchor"/>
          <w:rtl w:val="true"/>
        </w:rPr>
        <w:footnoteReference w:id="1189"/>
      </w:r>
      <w:r>
        <w:rPr>
          <w:rFonts w:ascii="Amiri" w:hAnsi="Amiri" w:eastAsia="Amiri" w:cs="Amiri"/>
          <w:color w:val="111111"/>
          <w:sz w:val="28"/>
          <w:sz w:val="28"/>
          <w:szCs w:val="28"/>
          <w:rtl w:val="true"/>
          <w:lang w:bidi="ar-SA"/>
        </w:rPr>
        <w:t xml:space="preserve">و الرواية </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يدفع الاعتراض بأنّ مقتضى القاعدة هو الفساد حيث لا يعلمان أو أحدهما به، فيكون كما لو تزوّجا بما تزوّج به فلان مع الجهل به، و بأنّ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ذكر المهر أصلا؛ لاحتمال إرادة النكاح المرغوب إليه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عقد على امرأتين و تزوّجهما بمهر واحد صحّ التزويج بلا خلاف، و كذا المهر على الأقوى؛ لعموم ما دلّ على الاكتفاء بما تراضيا عليه، و لا يضرّ جهل كلّ واحدة بما يقابل بضعها من المهر، و قسط المهر المذكور على مهر المثل و تستحقّ كلّ واحدة منهما منه بنسبة مهر مثلها؛ لأنّ مهر المثل بالنسبة إلى البضع كالقيمة، فيحكم عليه بحكمها على رأي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يقسّط على الرءوس، فينصّف بين الزوجتين، و يثلّث بين الثلاث </w:t>
      </w:r>
      <w:r>
        <w:rPr>
          <w:rStyle w:val="FootnoteAnchor"/>
          <w:rtl w:val="true"/>
        </w:rPr>
        <w:footnoteReference w:id="1191"/>
      </w:r>
      <w:r>
        <w:rPr>
          <w:rFonts w:ascii="Amiri" w:hAnsi="Amiri" w:eastAsia="Amiri" w:cs="Amiri"/>
          <w:color w:val="111111"/>
          <w:sz w:val="28"/>
          <w:sz w:val="28"/>
          <w:szCs w:val="28"/>
          <w:rtl w:val="true"/>
          <w:lang w:bidi="ar-SA"/>
        </w:rPr>
        <w:t>، و هكذا؛ لعدم الدليل على الترجيح، و عدم كون المعاوضة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المرجّح حكم العرف و الاعتبار، و القاعدة المستفادة من تتبّع الموارد الشرعيّة من مقابلة البضع بمهر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جمع بين تزويج و بيع في عوض و قد مرّ في باب البيع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يلزم ما يسمّيه للأب غير المهر، أو منه على رأي دلّ عليه بعض</w:t>
      </w:r>
    </w:p>
    <w:p>
      <w:pPr>
        <w:pStyle w:val="BookText"/>
        <w:rPr/>
      </w:pPr>
      <w:r>
        <w:rPr>
          <w:rFonts w:ascii="IRNazanin" w:hAnsi="IRNazanin" w:eastAsia="IRNazanin"/>
          <w:color w:val="111111"/>
          <w:sz w:val="28"/>
          <w:sz w:val="28"/>
          <w:szCs w:val="28"/>
          <w:rtl w:val="true"/>
          <w:lang w:bidi="fa-IR"/>
        </w:rPr>
        <w:t xml:space="preserve">الأخبار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أصدقها تعليم سورة، علّمها الجائز من القراءات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 xml:space="preserve">دون الشاذّة، فإن طلّقها قبل الدخول رجع الزوج عليها بنصف الأجرة إن علّمها، و إلّا يكن علّمها رجعت الزوجة </w:t>
      </w:r>
      <w:r>
        <w:rPr>
          <w:rStyle w:val="FootnoteAnchor"/>
          <w:rtl w:val="true"/>
        </w:rPr>
        <w:footnoteReference w:id="1194"/>
      </w:r>
      <w:r>
        <w:rPr>
          <w:rFonts w:ascii="Amiri" w:hAnsi="Amiri" w:eastAsia="Amiri" w:cs="Amiri"/>
          <w:color w:val="111111"/>
          <w:sz w:val="28"/>
          <w:sz w:val="28"/>
          <w:szCs w:val="28"/>
          <w:rtl w:val="true"/>
          <w:lang w:bidi="ar-SA"/>
        </w:rPr>
        <w:t>عليه بنصف الأجرة، أو بتعليم نصف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في الصنعة حيث يصدقها تعليمها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تعليم السورة حدّه </w:t>
      </w:r>
      <w:r>
        <w:rPr>
          <w:rStyle w:val="FootnoteAnchor"/>
          <w:rtl w:val="true"/>
        </w:rPr>
        <w:footnoteReference w:id="1195"/>
      </w:r>
      <w:r>
        <w:rPr>
          <w:rFonts w:ascii="Amiri" w:hAnsi="Amiri" w:eastAsia="Amiri" w:cs="Amiri"/>
          <w:color w:val="111111"/>
          <w:sz w:val="28"/>
          <w:sz w:val="28"/>
          <w:szCs w:val="28"/>
          <w:rtl w:val="true"/>
          <w:lang w:bidi="ar-SA"/>
        </w:rPr>
        <w:t xml:space="preserve">الاستقلال بالتلاوة </w:t>
      </w:r>
      <w:r>
        <w:rPr>
          <w:rStyle w:val="FootnoteAnchor"/>
          <w:rtl w:val="true"/>
        </w:rPr>
        <w:footnoteReference w:id="1196"/>
      </w:r>
      <w:r>
        <w:rPr>
          <w:rFonts w:ascii="Amiri" w:hAnsi="Amiri" w:eastAsia="Amiri" w:cs="Amiri"/>
          <w:color w:val="111111"/>
          <w:sz w:val="28"/>
          <w:sz w:val="28"/>
          <w:szCs w:val="28"/>
          <w:rtl w:val="true"/>
          <w:lang w:bidi="ar-SA"/>
        </w:rPr>
        <w:t>لا متابعته عند النطق؛ لأنّه تلقين لا 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نسيت الآية الأولى قبل تعلّم </w:t>
      </w:r>
      <w:r>
        <w:rPr>
          <w:rStyle w:val="FootnoteAnchor"/>
          <w:rtl w:val="true"/>
        </w:rPr>
        <w:footnoteReference w:id="1197"/>
      </w:r>
      <w:r>
        <w:rPr>
          <w:rFonts w:ascii="Amiri" w:hAnsi="Amiri" w:eastAsia="Amiri" w:cs="Amiri"/>
          <w:color w:val="111111"/>
          <w:sz w:val="28"/>
          <w:sz w:val="28"/>
          <w:szCs w:val="28"/>
          <w:rtl w:val="true"/>
          <w:lang w:bidi="ar-SA"/>
        </w:rPr>
        <w:t>الثانية لم يجب إعادة التعليم لبراءة ذمّته بحصوله الغير المشروط ببقائه في الذاكرة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تعلّمت من غيره، أو تعذّر تعلّمها </w:t>
      </w:r>
      <w:r>
        <w:rPr>
          <w:rStyle w:val="FootnoteAnchor"/>
          <w:rtl w:val="true"/>
        </w:rPr>
        <w:footnoteReference w:id="1198"/>
      </w:r>
      <w:r>
        <w:rPr>
          <w:rFonts w:ascii="Amiri" w:hAnsi="Amiri" w:eastAsia="Amiri" w:cs="Amiri"/>
          <w:color w:val="111111"/>
          <w:sz w:val="28"/>
          <w:sz w:val="28"/>
          <w:szCs w:val="28"/>
          <w:rtl w:val="true"/>
          <w:lang w:bidi="ar-SA"/>
        </w:rPr>
        <w:t>لبلادة أو طروء آفة رجعت بالأجرة لتعذّر العين، و لا ينفسخ المهر فيرجع إلى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تنفسخ الإجارة بتعذّر تحصيل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الدليل هناك،</w:t>
      </w:r>
    </w:p>
    <w:p>
      <w:pPr>
        <w:pStyle w:val="BookText"/>
        <w:rPr/>
      </w:pPr>
      <w:r>
        <w:rPr>
          <w:rFonts w:ascii="IRNazanin" w:hAnsi="IRNazanin" w:eastAsia="IRNazanin"/>
          <w:color w:val="111111"/>
          <w:sz w:val="28"/>
          <w:sz w:val="28"/>
          <w:szCs w:val="28"/>
          <w:rtl w:val="true"/>
          <w:lang w:bidi="fa-IR"/>
        </w:rPr>
        <w:t xml:space="preserve">و هنا </w:t>
      </w:r>
      <w:r>
        <w:rPr>
          <w:rStyle w:val="FootnoteAnchor"/>
          <w:rtl w:val="true"/>
        </w:rPr>
        <w:footnoteReference w:id="1199"/>
      </w:r>
      <w:r>
        <w:rPr>
          <w:rFonts w:ascii="Amiri" w:hAnsi="Amiri" w:eastAsia="Amiri" w:cs="Amiri"/>
          <w:color w:val="111111"/>
          <w:sz w:val="28"/>
          <w:sz w:val="28"/>
          <w:szCs w:val="28"/>
          <w:rtl w:val="true"/>
          <w:lang w:bidi="ar-SA"/>
        </w:rPr>
        <w:t>لما وجب المهر المسمّى و تعذّر ضمنه الزوج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يعلم أنّ مقتضى القاعدة في المهر هو كون ضمانه ضمان يد لا ضمان معاوضة، فما عن جامع المقاصد </w:t>
      </w:r>
      <w:r>
        <w:rPr>
          <w:rStyle w:val="FootnoteAnchor"/>
          <w:rtl w:val="true"/>
        </w:rPr>
        <w:footnoteReference w:id="1200"/>
      </w:r>
      <w:r>
        <w:rPr>
          <w:rFonts w:ascii="Amiri" w:hAnsi="Amiri" w:eastAsia="Amiri" w:cs="Amiri"/>
          <w:color w:val="111111"/>
          <w:sz w:val="28"/>
          <w:sz w:val="28"/>
          <w:szCs w:val="28"/>
          <w:rtl w:val="true"/>
          <w:lang w:bidi="ar-SA"/>
        </w:rPr>
        <w:t xml:space="preserve">و كشف اللثام </w:t>
      </w:r>
      <w:r>
        <w:rPr>
          <w:rStyle w:val="FootnoteAnchor"/>
          <w:rtl w:val="true"/>
        </w:rPr>
        <w:footnoteReference w:id="1201"/>
      </w:r>
      <w:r>
        <w:rPr>
          <w:rFonts w:ascii="Amiri" w:hAnsi="Amiri" w:eastAsia="Amiri" w:cs="Amiri"/>
          <w:color w:val="111111"/>
          <w:sz w:val="28"/>
          <w:sz w:val="28"/>
          <w:szCs w:val="28"/>
          <w:rtl w:val="true"/>
          <w:lang w:bidi="ar-SA"/>
        </w:rPr>
        <w:t>من احتمال الرجوع إلى مهر المثل ضعيف، نعم لو بذل الزوج التعليم، و تعلّمت الزوجة من غيره، يمكن القول بأنّها فوّتت المهر على نفسها، كما لو أمهرها منفعة عين بذلها لها فلم تستوف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بان الخلّ المصدق خمرا صحّ العقد،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جماعة </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تستحقّه عليه بعد ظهور كونه خمرا فالوجه أنّ لها مثل الخلّ لأنّه أقرب إلى المتعذّر من قيمته التي لا تطابقه إلّا من حيث المالية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بقيمة الخمر </w:t>
      </w:r>
      <w:r>
        <w:rPr>
          <w:rStyle w:val="FootnoteAnchor"/>
          <w:rtl w:val="true"/>
        </w:rPr>
        <w:footnoteReference w:id="1203"/>
      </w:r>
      <w:r>
        <w:rPr>
          <w:rFonts w:ascii="Amiri" w:hAnsi="Amiri" w:eastAsia="Amiri" w:cs="Amiri"/>
          <w:color w:val="111111"/>
          <w:sz w:val="28"/>
          <w:sz w:val="28"/>
          <w:szCs w:val="28"/>
          <w:rtl w:val="true"/>
          <w:lang w:bidi="ar-SA"/>
        </w:rPr>
        <w:t xml:space="preserve">، و ردّ بأنّ الخمر لم يقصد حتّى ينتقل إلى قيمته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بمهر المثل؛ لفساد ما قصد و عدم </w:t>
      </w:r>
      <w:r>
        <w:rPr>
          <w:rStyle w:val="FootnoteAnchor"/>
          <w:rtl w:val="true"/>
        </w:rPr>
        <w:footnoteReference w:id="1205"/>
      </w:r>
      <w:r>
        <w:rPr>
          <w:rFonts w:ascii="Amiri" w:hAnsi="Amiri" w:eastAsia="Amiri" w:cs="Amiri"/>
          <w:color w:val="111111"/>
          <w:sz w:val="28"/>
          <w:sz w:val="28"/>
          <w:szCs w:val="28"/>
          <w:rtl w:val="true"/>
          <w:lang w:bidi="ar-SA"/>
        </w:rPr>
        <w:t xml:space="preserve">قصد غيره، فيرجع إلى مهر المثل </w:t>
      </w:r>
      <w:r>
        <w:rPr>
          <w:rStyle w:val="FootnoteAnchor"/>
          <w:rtl w:val="true"/>
        </w:rPr>
        <w:footnoteReference w:id="1206"/>
      </w:r>
      <w:r>
        <w:rPr>
          <w:rFonts w:ascii="Amiri" w:hAnsi="Amiri" w:eastAsia="Amiri" w:cs="Amiri"/>
          <w:color w:val="111111"/>
          <w:sz w:val="28"/>
          <w:sz w:val="28"/>
          <w:szCs w:val="28"/>
          <w:rtl w:val="true"/>
          <w:lang w:bidi="ar-SA"/>
        </w:rPr>
        <w:t>، و هو حسن؛ لان المهر انكشف عدم تملكه و لم يقصد غيره فتعين</w:t>
      </w:r>
    </w:p>
    <w:p>
      <w:pPr>
        <w:pStyle w:val="BookText"/>
        <w:rPr/>
      </w:pPr>
      <w:r>
        <w:rPr>
          <w:rFonts w:ascii="Amiri" w:hAnsi="Amiri" w:eastAsia="Amiri" w:cs="Amiri"/>
          <w:color w:val="111111"/>
          <w:sz w:val="28"/>
          <w:sz w:val="28"/>
          <w:szCs w:val="28"/>
          <w:rtl w:val="true"/>
          <w:lang w:bidi="ar-SA"/>
        </w:rPr>
        <w:t xml:space="preserve">مهر المثل لكنّه حسن إن أريد به بعد الدخول، و إن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1207"/>
      </w:r>
      <w:r>
        <w:rPr>
          <w:rFonts w:ascii="Amiri" w:hAnsi="Amiri" w:eastAsia="Amiri" w:cs="Amiri"/>
          <w:color w:val="111111"/>
          <w:sz w:val="28"/>
          <w:sz w:val="28"/>
          <w:szCs w:val="28"/>
          <w:rtl w:val="true"/>
          <w:lang w:bidi="ar-SA"/>
        </w:rPr>
        <w:t xml:space="preserve">بمجرّد العقد فهو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Style w:val="FootnoteAnchor"/>
          <w:rtl w:val="true"/>
        </w:rPr>
        <w:footnoteReference w:id="1208"/>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المثلي، و أمّا في 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كالعبد المستحقّ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العبد، و مهر المثل و كذا لو بان العبد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قبضت المعيّن صداقا، ثمّ وجدت به عيبا، فلها الردّ و أخذ المثل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حدث العيب بعد العقد فلها الأرش لأنّه في مقابل الجزء الفائت المضمون بالمقابل كالكلّ و لو تلف قبل القبض فلها القيمة وقت التلف الذي هو وقت استقرار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عقد سرّا و جهرا بمهرين، فالصحيح الأوّل سرّا كان أو جهرا؛ لأنّ الأخير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تقليله بلا خلاف ظاهرا و يكره تجاوز مهر السنّة و حرّمه المرتضى </w:t>
      </w:r>
      <w:r>
        <w:rPr>
          <w:rStyle w:val="FootnoteAnchor"/>
          <w:rtl w:val="true"/>
        </w:rPr>
        <w:footnoteReference w:id="1209"/>
      </w:r>
      <w:r>
        <w:rPr>
          <w:rFonts w:ascii="Amiri" w:hAnsi="Amiri" w:eastAsia="Amiri" w:cs="Amiri"/>
          <w:color w:val="111111"/>
          <w:sz w:val="28"/>
          <w:sz w:val="28"/>
          <w:szCs w:val="28"/>
          <w:rtl w:val="true"/>
          <w:lang w:bidi="ar-SA"/>
        </w:rPr>
        <w:t xml:space="preserve">على ما حكي عنه، و هو ضعيف محجوج عليه بالروايات الكثيرة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الدخول قبل تقديمه أي المهر، كلا أو بعضه </w:t>
      </w:r>
      <w:r>
        <w:rPr>
          <w:rStyle w:val="FootnoteAnchor"/>
          <w:rtl w:val="true"/>
        </w:rPr>
        <w:footnoteReference w:id="1211"/>
      </w:r>
      <w:r>
        <w:rPr>
          <w:rFonts w:ascii="Amiri" w:hAnsi="Amiri" w:eastAsia="Amiri" w:cs="Amiri"/>
          <w:color w:val="111111"/>
          <w:sz w:val="28"/>
          <w:sz w:val="28"/>
          <w:szCs w:val="28"/>
          <w:rtl w:val="true"/>
          <w:lang w:bidi="ar-SA"/>
        </w:rPr>
        <w:t>أو هديّة لرواية</w:t>
      </w:r>
    </w:p>
    <w:p>
      <w:pPr>
        <w:pStyle w:val="BookText"/>
        <w:rPr/>
      </w:pPr>
      <w:r>
        <w:rPr>
          <w:rFonts w:ascii="Amiri" w:hAnsi="Amiri" w:eastAsia="Amiri" w:cs="Amiri"/>
          <w:color w:val="111111"/>
          <w:sz w:val="28"/>
          <w:sz w:val="28"/>
          <w:szCs w:val="28"/>
          <w:rtl w:val="true"/>
          <w:lang w:bidi="ar-SA"/>
        </w:rPr>
        <w:t xml:space="preserve">أبي بصير </w:t>
      </w:r>
      <w:r>
        <w:rPr>
          <w:rStyle w:val="FootnoteAnchor"/>
          <w:rtl w:val="true"/>
        </w:rPr>
        <w:footnoteReference w:id="1212"/>
      </w:r>
      <w:r>
        <w:rPr>
          <w:rFonts w:ascii="Amiri" w:hAnsi="Amiri" w:eastAsia="Amiri" w:cs="Amiri"/>
          <w:color w:val="111111"/>
          <w:sz w:val="28"/>
          <w:sz w:val="28"/>
          <w:szCs w:val="28"/>
          <w:rtl w:val="true"/>
          <w:lang w:bidi="ar-SA"/>
        </w:rPr>
        <w:t xml:space="preserve">الظاهرة في التحريم، المحمولة على الكراهة بقرينة رواية عبد الحميد الطائي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الزوجة لها الامتناع من الدخول قبل قبضه أي قبض المهر؛ لأنّ الوطء و المهر بمنزلة العوضين، لصاحب أحدهما الامتناع حتّى يقبض الآخر، و لا يجبر أحدهما على التسليم قبل الآخر، فطريق الجمع لو أرادا التقابض و تشاحّا في التقديم و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بإقباض المهر أوّلا، و إمّا بوضعه في يد من يتّفقان عليه، فإذا مكّنت نفسها سلّم المهر إليها أو تسلّم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ممّا لا خلاف فيه إذا كان قبل الدخول، و أمّا بعد الدخول فليس لها الامتناع على رأي قوي؛ لتسلّط الزوج على البضع، و حصول التقابض في الجملة، مع يسار الزوج و حلول المهر و قابليّة الزوجة للوطء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معسرا </w:t>
      </w:r>
      <w:r>
        <w:rPr>
          <w:rStyle w:val="FootnoteAnchor"/>
          <w:rtl w:val="true"/>
        </w:rPr>
        <w:footnoteReference w:id="1214"/>
      </w:r>
      <w:r>
        <w:rPr>
          <w:rFonts w:ascii="Amiri" w:hAnsi="Amiri" w:eastAsia="Amiri" w:cs="Amiri"/>
          <w:color w:val="111111"/>
          <w:sz w:val="28"/>
          <w:sz w:val="28"/>
          <w:szCs w:val="28"/>
          <w:rtl w:val="true"/>
          <w:lang w:bidi="ar-SA"/>
        </w:rPr>
        <w:t xml:space="preserve">فالحكم أيضا كذلك على ما نسب إلى الأكثر </w:t>
      </w:r>
      <w:r>
        <w:rPr>
          <w:rStyle w:val="FootnoteAnchor"/>
          <w:rtl w:val="true"/>
        </w:rPr>
        <w:footnoteReference w:id="1215"/>
      </w:r>
      <w:r>
        <w:rPr>
          <w:rFonts w:ascii="Amiri" w:hAnsi="Amiri" w:eastAsia="Amiri" w:cs="Amiri"/>
          <w:color w:val="111111"/>
          <w:sz w:val="28"/>
          <w:sz w:val="28"/>
          <w:szCs w:val="28"/>
          <w:rtl w:val="true"/>
          <w:lang w:bidi="ar-SA"/>
        </w:rPr>
        <w:t>لأنّ الوجه المتقدّم جار هنا، و وجه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مطالبة المعسر، فيجب عليها تسليم حقّه إليه إذا طالبه؛ لأنّ الامتناع ظلم عرفا، فيحرم شرعا، سيّما مع علمها قبل العقد بإعساره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أنّ له المطالبة مع عدم إقباض المهر، و أنّه مصادرة، يدفعه؛ ثبوت استحقاق البضع بنفس العقد و تحقّق الزوجيّة، بل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دلّ على حرمة امتناع الزوجة و نشوزها، بل قد يمنع أصل الحكم في المسألة رأسا حتّى مع اليسار، لأجل الوجه الذي ذكرناه، كما حكي عن السيّد في شرح النافع </w:t>
      </w:r>
      <w:r>
        <w:rPr>
          <w:rStyle w:val="FootnoteAnchor"/>
          <w:rtl w:val="true"/>
        </w:rPr>
        <w:footnoteReference w:id="1216"/>
      </w:r>
      <w:r>
        <w:rPr>
          <w:rFonts w:ascii="Amiri" w:hAnsi="Amiri" w:eastAsia="Amiri" w:cs="Amiri"/>
          <w:color w:val="111111"/>
          <w:sz w:val="28"/>
          <w:sz w:val="28"/>
          <w:szCs w:val="28"/>
          <w:rtl w:val="true"/>
          <w:lang w:bidi="ar-SA"/>
        </w:rPr>
        <w:t xml:space="preserve">، و مال إليه في الحدائق </w:t>
      </w:r>
      <w:r>
        <w:rPr>
          <w:rStyle w:val="FootnoteAnchor"/>
          <w:rtl w:val="true"/>
        </w:rPr>
        <w:footnoteReference w:id="1217"/>
      </w:r>
      <w:r>
        <w:rPr>
          <w:rFonts w:ascii="Amiri" w:hAnsi="Amiri" w:eastAsia="Amiri" w:cs="Amiri"/>
          <w:color w:val="111111"/>
          <w:sz w:val="28"/>
          <w:sz w:val="28"/>
          <w:szCs w:val="28"/>
          <w:rtl w:val="true"/>
          <w:lang w:bidi="ar-SA"/>
        </w:rPr>
        <w:t xml:space="preserve">، و سبقهما إلى الخدشة في نظير المسألة المحقّق الأردبيلي في مسألة تقابض العوضين في البيع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لم تكن الزوجة قابلة للوطء لصغرها، ففيه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امتناع التقابض، و من أنّ الصداق حقّ ثابت، طلبه المستحقّ فوجب دفعه إليه، و عدم قبض مقابله قد أقدم الزوج عليه حيث عقد عليها كذلك، و هو الأقوى كما في المسالك </w:t>
      </w:r>
      <w:r>
        <w:rPr>
          <w:rStyle w:val="FootnoteAnchor"/>
          <w:rtl w:val="true"/>
        </w:rPr>
        <w:footnoteReference w:id="1219"/>
      </w:r>
      <w:r>
        <w:rPr>
          <w:rFonts w:ascii="Amiri" w:hAnsi="Amiri" w:eastAsia="Amiri" w:cs="Amiri"/>
          <w:color w:val="111111"/>
          <w:sz w:val="28"/>
          <w:sz w:val="28"/>
          <w:szCs w:val="28"/>
          <w:rtl w:val="true"/>
          <w:lang w:bidi="ar-SA"/>
        </w:rPr>
        <w:t xml:space="preserve">، و هذا الدليل بعينه يجري في مسألة إعسار الزوج، و القول الأوّل محكيّ عن الشيخ في المبسوط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لم تصلح للاستمتاع، و لو صلحت لغير الوطء ففي وجوب إجابته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الزوجيّة المقتضية للاستمتاع، و من أنّ المقصود الذاتي الوطء، و الباقي تابع، فإذا انتفى المتبوع انتفى التابع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لم يكن الصداق حالّا، فإنّ الظاهر عدم الخلاف و</w:t>
      </w:r>
    </w:p>
    <w:p>
      <w:pPr>
        <w:pStyle w:val="BookText"/>
        <w:rPr/>
      </w:pPr>
      <w:r>
        <w:rPr>
          <w:rFonts w:ascii="Amiri" w:hAnsi="Amiri" w:eastAsia="Amiri" w:cs="Amiri"/>
          <w:color w:val="111111"/>
          <w:sz w:val="28"/>
          <w:sz w:val="28"/>
          <w:szCs w:val="28"/>
          <w:rtl w:val="true"/>
          <w:lang w:bidi="ar-SA"/>
        </w:rPr>
        <w:t xml:space="preserve">حكى في الرياض </w:t>
      </w:r>
      <w:r>
        <w:rPr>
          <w:rStyle w:val="FootnoteAnchor"/>
          <w:rtl w:val="true"/>
        </w:rPr>
        <w:footnoteReference w:id="1221"/>
      </w:r>
      <w:r>
        <w:rPr>
          <w:rFonts w:ascii="Amiri" w:hAnsi="Amiri" w:eastAsia="Amiri" w:cs="Amiri"/>
          <w:color w:val="111111"/>
          <w:sz w:val="28"/>
          <w:sz w:val="28"/>
          <w:szCs w:val="28"/>
          <w:rtl w:val="true"/>
          <w:lang w:bidi="ar-SA"/>
        </w:rPr>
        <w:t xml:space="preserve">الإجماع في أنّه ليس لها الامتناع من الدخول؛ إذ لا </w:t>
      </w:r>
      <w:r>
        <w:rPr>
          <w:rStyle w:val="FootnoteAnchor"/>
          <w:rtl w:val="true"/>
        </w:rPr>
        <w:footnoteReference w:id="1222"/>
      </w:r>
      <w:r>
        <w:rPr>
          <w:rFonts w:ascii="Amiri" w:hAnsi="Amiri" w:eastAsia="Amiri" w:cs="Amiri"/>
          <w:color w:val="111111"/>
          <w:sz w:val="28"/>
          <w:sz w:val="28"/>
          <w:szCs w:val="28"/>
          <w:rtl w:val="true"/>
          <w:lang w:bidi="ar-SA"/>
        </w:rPr>
        <w:t>يجب لها عليه شي‌ء حينئذ، فيبقى وجوب حقّه عليها بغير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لدخولها على الرضى بتسليم نفسها قبل قبض العوض، كما لو كان العوض في المعاوضات الصرفة مؤجّلا، أو امتنعت عصيانا للّٰه و لزوجها ثمّ حلّ أجل الصداق، فليس لها أيضا الامتناع بعد الحلول؛ لوجوب تسليم نفسها قبل الحلول، فتستصحب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تستحقّ الصداق حالا، فلها الامتناع عمّا تستحقّه حتّى يسلّمها ما تستحقّه، و الأوّل يحكى عن الأكثر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يجب بذله إذا كانت الزوجة مهيّأة للاستمتاع، فلا يلزم تسليمه إلى المحبوسة و الممنوعة بعذر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سلّم فعليه إمهالها للتنظيف، و البلوغ إذا كانت صغيرة و الصحّة إذا كانت مريضة لا للجهاز و الحيض؛ فإنّه يستمتع بما دون الفرج</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المحكيّ عن السيّد في شرح النافع </w:t>
      </w:r>
      <w:r>
        <w:rPr>
          <w:rStyle w:val="FootnoteAnchor"/>
          <w:rtl w:val="true"/>
        </w:rPr>
        <w:footnoteReference w:id="1224"/>
      </w:r>
      <w:r>
        <w:rPr>
          <w:rFonts w:ascii="Amiri" w:hAnsi="Amiri" w:eastAsia="Amiri" w:cs="Amiri"/>
          <w:color w:val="111111"/>
          <w:sz w:val="28"/>
          <w:sz w:val="28"/>
          <w:szCs w:val="28"/>
          <w:rtl w:val="true"/>
          <w:lang w:bidi="ar-SA"/>
        </w:rPr>
        <w:t xml:space="preserve">الخدشة في أصل </w:t>
      </w:r>
      <w:r>
        <w:rPr>
          <w:rStyle w:val="FootnoteAnchor"/>
          <w:rtl w:val="true"/>
        </w:rPr>
        <w:footnoteReference w:id="1225"/>
      </w:r>
      <w:r>
        <w:rPr>
          <w:rFonts w:ascii="Amiri" w:hAnsi="Amiri" w:eastAsia="Amiri" w:cs="Amiri"/>
          <w:color w:val="111111"/>
          <w:sz w:val="28"/>
          <w:sz w:val="28"/>
          <w:szCs w:val="28"/>
          <w:rtl w:val="true"/>
          <w:lang w:bidi="ar-SA"/>
        </w:rPr>
        <w:t>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جواز الامتناع للزوجة إن لم يكن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إجماعيّة</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مقتضى العقد استحقاق الزوج لحقّ البضع و جواز الاستمتاع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وجب</w:t>
      </w:r>
    </w:p>
    <w:p>
      <w:pPr>
        <w:pStyle w:val="BookText"/>
        <w:rPr/>
      </w:pPr>
      <w:r>
        <w:rPr>
          <w:rFonts w:ascii="Amiri" w:hAnsi="Amiri" w:eastAsia="Amiri" w:cs="Amiri"/>
          <w:color w:val="111111"/>
          <w:sz w:val="28"/>
          <w:sz w:val="28"/>
          <w:szCs w:val="28"/>
          <w:rtl w:val="true"/>
          <w:lang w:bidi="ar-SA"/>
        </w:rPr>
        <w:t>عليه أداء الصداق مع المطالبة و الحلول، سيّما بملاحظة ما دلّ على وجوب إطاعة الزوج و حرمة النشوز و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العقد في عقود المعاوضة و ما يشبهها يقتضي التراضي على هذا الوجه، فالامتناع من تسليم أحد العوضين قبل تسلّم الآخر لا يعدّ نقضا للعقد، و ليس خروجا عن الوفاء بمقتضاه؛ لأنّ أحدا من المتعاقدين لم يلتزم إلّا بالتمليك و إقباض ما ملّكه مع قبض ما ملكه، لا مطلقا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أنّ العقد إذا اقتضى الملك لزمه وجوب رفع اليد عنه؛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 مدفوعة بمنع الملازمة إذا كان إطلاق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منشأ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منصرفا إلى النحو المذكور، و هذا الكلام يجري في النكاح بنحو من التقريب، مع أنّه يمكن أن يستدلّ على جواز امتناعها إن امتنع الزوج من المهر مع التمكّن بآية جواز الاعتداء بالمثل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bookmarkStart w:id="122" w:name="pg19718_239159"/>
    </w:p>
    <w:p>
      <w:pPr>
        <w:pStyle w:val="Heading4"/>
        <w:numPr>
          <w:ilvl w:val="3"/>
          <w:numId w:val="1"/>
        </w:numPr>
        <w:rPr/>
      </w:pPr>
      <w:bookmarkStart w:id="123" w:name="__RefHeading___Toc1985802_2314609296"/>
      <w:bookmarkStart w:id="124" w:name="_Toc47"/>
      <w:bookmarkEnd w:id="122"/>
      <w:bookmarkEnd w:id="123"/>
      <w:r>
        <w:rPr>
          <w:rtl w:val="true"/>
        </w:rPr>
        <w:t>المطلب الثاني في التفويض</w:t>
      </w:r>
      <w:bookmarkEnd w:id="124"/>
    </w:p>
    <w:p>
      <w:pPr>
        <w:pStyle w:val="BookText"/>
        <w:rPr/>
      </w:pPr>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تفويض البضع، و هو إخلاء العقد عن المهر أصلا بأمر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صحيح بلا خلاف، كما ادّعاه غير واحد </w:t>
      </w:r>
      <w:r>
        <w:rPr>
          <w:rStyle w:val="FootnoteAnchor"/>
          <w:rtl w:val="true"/>
        </w:rPr>
        <w:footnoteReference w:id="1229"/>
      </w:r>
      <w:r>
        <w:rPr>
          <w:rFonts w:ascii="IRNazanin" w:hAnsi="IRNazanin" w:eastAsia="IRNazanin"/>
          <w:color w:val="111111"/>
          <w:sz w:val="28"/>
          <w:sz w:val="28"/>
          <w:szCs w:val="28"/>
          <w:rtl w:val="true"/>
          <w:lang w:bidi="fa-IR"/>
        </w:rPr>
        <w:t>، سواء أهملاه، أو شرطا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شرطا عدمه في الحال و المآل على وجه يشمل ما بعد الدخول، فسد العقد، على ما نسب إلى الأشهر </w:t>
      </w:r>
      <w:r>
        <w:rPr>
          <w:rStyle w:val="FootnoteAnchor"/>
          <w:rtl w:val="true"/>
        </w:rPr>
        <w:footnoteReference w:id="1230"/>
      </w:r>
      <w:r>
        <w:rPr>
          <w:rFonts w:ascii="IRNazanin" w:hAnsi="IRNazanin" w:eastAsia="IRNazanin"/>
          <w:color w:val="111111"/>
          <w:sz w:val="28"/>
          <w:sz w:val="28"/>
          <w:szCs w:val="28"/>
          <w:rtl w:val="true"/>
          <w:lang w:bidi="fa-IR"/>
        </w:rPr>
        <w:t>لمنافاته لمقتضى العقد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تأمّل؛ لأنّ العقد لا يقتضي ثبوت المهر بالدخول، نعم انتفاء المهر مع الدخول مخالف للمشروع، فبطلانه من جهة عدم مشروعيّته؛ فإنّه بمنزلة</w:t>
      </w:r>
    </w:p>
    <w:p>
      <w:pPr>
        <w:pStyle w:val="BookText"/>
        <w:rPr/>
      </w:pPr>
      <w:r>
        <w:rPr>
          <w:rFonts w:ascii="Amiri" w:hAnsi="Amiri" w:eastAsia="Amiri" w:cs="Amiri"/>
          <w:color w:val="111111"/>
          <w:sz w:val="28"/>
          <w:sz w:val="28"/>
          <w:szCs w:val="28"/>
          <w:rtl w:val="true"/>
          <w:lang w:bidi="ar-SA"/>
        </w:rPr>
        <w:t xml:space="preserve">الهبة التي لا تحلّ إلّا لرسول اللّٰه صلّى اللّٰه عليه و آله و سلّم، كما في الخبر </w:t>
      </w:r>
      <w:r>
        <w:rPr>
          <w:rStyle w:val="FootnoteAnchor"/>
          <w:rtl w:val="true"/>
        </w:rPr>
        <w:footnoteReference w:id="1231"/>
      </w:r>
      <w:r>
        <w:rPr>
          <w:rFonts w:ascii="Amiri" w:hAnsi="Amiri" w:eastAsia="Amiri" w:cs="Amiri"/>
          <w:color w:val="111111"/>
          <w:sz w:val="28"/>
          <w:sz w:val="28"/>
          <w:szCs w:val="28"/>
          <w:rtl w:val="true"/>
          <w:lang w:bidi="ar-SA"/>
        </w:rPr>
        <w:t xml:space="preserve">، و أمّا لغيره فلا يصلح نكاح </w:t>
      </w:r>
      <w:r>
        <w:rPr>
          <w:rStyle w:val="FootnoteAnchor"/>
          <w:rtl w:val="true"/>
        </w:rPr>
        <w:footnoteReference w:id="1232"/>
      </w:r>
      <w:r>
        <w:rPr>
          <w:rFonts w:ascii="Amiri" w:hAnsi="Amiri" w:eastAsia="Amiri" w:cs="Amiri"/>
          <w:color w:val="111111"/>
          <w:sz w:val="28"/>
          <w:sz w:val="28"/>
          <w:szCs w:val="28"/>
          <w:rtl w:val="true"/>
          <w:lang w:bidi="ar-SA"/>
        </w:rPr>
        <w:t>إلّا بمهر، و في المسألة قول بالصحّة، و قول آخر بفساد التفويض دون العقد، فيجب مهر المثل، كما لو شرط في المهر ما يفسده تمسّكا بأصالة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التفويض إنّما يتحقّق في الرشيدة؛ لأنّ المهر بيدها دون الصغيرة و السفيهة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زوّجها </w:t>
      </w:r>
      <w:r>
        <w:rPr>
          <w:rStyle w:val="FootnoteAnchor"/>
          <w:rtl w:val="true"/>
        </w:rPr>
        <w:footnoteReference w:id="1233"/>
      </w:r>
      <w:r>
        <w:rPr>
          <w:rFonts w:ascii="Amiri" w:hAnsi="Amiri" w:eastAsia="Amiri" w:cs="Amiri"/>
          <w:color w:val="111111"/>
          <w:sz w:val="28"/>
          <w:sz w:val="28"/>
          <w:szCs w:val="28"/>
          <w:rtl w:val="true"/>
          <w:lang w:bidi="ar-SA"/>
        </w:rPr>
        <w:t>الوليّ بدون مهر المثل فقد مرّ حكمه و أنّ لها الاعتراض إذا بلغت إذا زوّجها به من غير مصلحة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زوّجها </w:t>
      </w:r>
      <w:r>
        <w:rPr>
          <w:rStyle w:val="FootnoteAnchor"/>
          <w:rtl w:val="true"/>
        </w:rPr>
        <w:footnoteReference w:id="1234"/>
      </w:r>
      <w:r>
        <w:rPr>
          <w:rFonts w:ascii="Amiri" w:hAnsi="Amiri" w:eastAsia="Amiri" w:cs="Amiri"/>
          <w:color w:val="111111"/>
          <w:sz w:val="28"/>
          <w:sz w:val="28"/>
          <w:szCs w:val="28"/>
          <w:rtl w:val="true"/>
          <w:lang w:bidi="ar-SA"/>
        </w:rPr>
        <w:t>مفوّضة، فالأقرب هنا أيضا الصحّة مع المصلحة، و إلّا يكن مصلحة ثبت مهر المثل مع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يصحّ التفويض فلو تزوّجها و لم يذكر مهرا أو شرطا سقوطه، صحّ العقد لكن لا يقتضي مهرا أصلا، بلا خلاف كما يظهر من المسالك </w:t>
      </w:r>
      <w:r>
        <w:rPr>
          <w:rStyle w:val="FootnoteAnchor"/>
          <w:rtl w:val="true"/>
        </w:rPr>
        <w:footnoteReference w:id="1235"/>
      </w:r>
      <w:r>
        <w:rPr>
          <w:rFonts w:ascii="Amiri" w:hAnsi="Amiri" w:eastAsia="Amiri" w:cs="Amiri"/>
          <w:color w:val="111111"/>
          <w:sz w:val="28"/>
          <w:sz w:val="28"/>
          <w:szCs w:val="28"/>
          <w:rtl w:val="true"/>
          <w:lang w:bidi="ar-SA"/>
        </w:rPr>
        <w:t xml:space="preserve">و الرياض </w:t>
      </w:r>
      <w:r>
        <w:rPr>
          <w:rStyle w:val="FootnoteAnchor"/>
          <w:rtl w:val="true"/>
        </w:rPr>
        <w:footnoteReference w:id="1236"/>
      </w:r>
      <w:r>
        <w:rPr>
          <w:rFonts w:ascii="Amiri" w:hAnsi="Amiri" w:eastAsia="Amiri" w:cs="Amiri"/>
          <w:color w:val="111111"/>
          <w:sz w:val="28"/>
          <w:sz w:val="28"/>
          <w:szCs w:val="28"/>
          <w:rtl w:val="true"/>
          <w:lang w:bidi="ar-SA"/>
        </w:rPr>
        <w:t>لعدم ثبوت المقتضي له فإن دخل فلها مهر المثل لأنّه بمنزلة القيمة للبضع</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 فيه حال المرأة في الشرف و الجمال و غيرهما ممّا يتفاوت به المهر من العقل و الأدب و البكارة و حسن التدبير و نحو ذلك، كلّ ذلك</w:t>
      </w:r>
    </w:p>
    <w:p>
      <w:pPr>
        <w:pStyle w:val="BookText"/>
        <w:rPr/>
      </w:pPr>
      <w:r>
        <w:rPr>
          <w:rFonts w:ascii="Amiri" w:hAnsi="Amiri" w:eastAsia="Amiri" w:cs="Amiri"/>
          <w:color w:val="111111"/>
          <w:sz w:val="28"/>
          <w:sz w:val="28"/>
          <w:szCs w:val="28"/>
          <w:rtl w:val="true"/>
          <w:lang w:bidi="ar-SA"/>
        </w:rPr>
        <w:t>مع مراعاة عادة أهلها المستقرّين في بلدها، أو ما يساويه من حيث العادة في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في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أقاربها من الطرفين ما لم يتجاوز خمسمائة درهم و هو مهر السنّة؛ للمرويّ عن أبي بصير </w:t>
      </w:r>
      <w:r>
        <w:rPr>
          <w:rStyle w:val="FootnoteAnchor"/>
          <w:rtl w:val="true"/>
        </w:rPr>
        <w:footnoteReference w:id="1237"/>
      </w:r>
      <w:r>
        <w:rPr>
          <w:rFonts w:ascii="Amiri" w:hAnsi="Amiri" w:eastAsia="Amiri" w:cs="Amiri"/>
          <w:color w:val="111111"/>
          <w:sz w:val="28"/>
          <w:sz w:val="28"/>
          <w:szCs w:val="28"/>
          <w:rtl w:val="true"/>
          <w:lang w:bidi="ar-SA"/>
        </w:rPr>
        <w:t>، المضعّف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ثمّ قيل </w:t>
      </w:r>
      <w:r>
        <w:rPr>
          <w:rStyle w:val="FootnoteAnchor"/>
          <w:rtl w:val="true"/>
        </w:rPr>
        <w:footnoteReference w:id="1238"/>
      </w:r>
      <w:r>
        <w:rPr>
          <w:rFonts w:ascii="Amiri" w:hAnsi="Amiri" w:eastAsia="Amiri" w:cs="Amiri"/>
          <w:color w:val="111111"/>
          <w:sz w:val="28"/>
          <w:sz w:val="28"/>
          <w:szCs w:val="28"/>
          <w:rtl w:val="true"/>
          <w:lang w:bidi="ar-SA"/>
        </w:rPr>
        <w:t xml:space="preserve">بعدم تقييده بذلك؛ لإطلاق الأخبار أنّ لها صداق نسائها، مع اعتضادها بقاعدة أنّ مهر المثل بمنزلة القيمة للبضع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طلّق قبل الدخول فلها المتعة بلا خلاف ظاهر؛ للآية </w:t>
      </w:r>
      <w:r>
        <w:rPr>
          <w:rStyle w:val="FootnoteAnchor"/>
          <w:rtl w:val="true"/>
        </w:rPr>
        <w:footnoteReference w:id="1240"/>
      </w:r>
      <w:r>
        <w:rPr>
          <w:rFonts w:ascii="IRNazanin" w:hAnsi="IRNazanin" w:eastAsia="IRNazanin"/>
          <w:color w:val="111111"/>
          <w:sz w:val="28"/>
          <w:sz w:val="28"/>
          <w:szCs w:val="28"/>
          <w:rtl w:val="true"/>
          <w:lang w:bidi="fa-IR"/>
        </w:rPr>
        <w:t xml:space="preserve">و الأخبار </w:t>
      </w:r>
      <w:r>
        <w:rPr>
          <w:rStyle w:val="FootnoteAnchor"/>
          <w:rtl w:val="true"/>
        </w:rPr>
        <w:footnoteReference w:id="1241"/>
      </w:r>
      <w:r>
        <w:rPr>
          <w:rFonts w:ascii="IRNazanin" w:hAnsi="IRNazanin" w:eastAsia="IRNazanin"/>
          <w:color w:val="111111"/>
          <w:sz w:val="28"/>
          <w:sz w:val="28"/>
          <w:szCs w:val="28"/>
          <w:rtl w:val="true"/>
          <w:lang w:bidi="fa-IR"/>
        </w:rPr>
        <w:t xml:space="preserve">المدّعى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تواترها</w:t>
      </w:r>
      <w:r>
        <w:rPr>
          <w:rFonts w:eastAsia="IRNazanin" w:cs="IRNazanin"/>
          <w:color w:val="111111"/>
          <w:sz w:val="28"/>
          <w:szCs w:val="28"/>
          <w:rtl w:val="true"/>
          <w:lang w:bidi="fa-IR"/>
        </w:rPr>
        <w:t xml:space="preserve">] </w:t>
      </w:r>
      <w:r>
        <w:rPr>
          <w:rStyle w:val="FootnoteAnchor"/>
          <w:rtl w:val="true"/>
        </w:rPr>
        <w:footnoteReference w:id="1242"/>
      </w:r>
      <w:r>
        <w:rPr>
          <w:rFonts w:ascii="Amiri" w:hAnsi="Amiri" w:eastAsia="Amiri" w:cs="Amiri"/>
          <w:color w:val="111111"/>
          <w:sz w:val="28"/>
          <w:sz w:val="28"/>
          <w:szCs w:val="28"/>
          <w:rtl w:val="true"/>
          <w:lang w:bidi="ar-SA"/>
        </w:rPr>
        <w:t>، و مقتضى إطلاقها ثبوتها لها حرّة كانت أو أمة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يعتبر المتعة بحاله، فالموسر يتمتّع بالدابّة أو الثوب المرتفع أو عشرة دنانير، و المتوسّط بخمسة أو الثوب المتوسّط، و الفقير بالدينار أو الخاتم </w:t>
      </w:r>
      <w:r>
        <w:rPr>
          <w:rStyle w:val="FootnoteAnchor"/>
          <w:rtl w:val="true"/>
        </w:rPr>
        <w:footnoteReference w:id="1243"/>
      </w:r>
      <w:r>
        <w:rPr>
          <w:rFonts w:ascii="IRNazanin" w:hAnsi="IRNazanin" w:eastAsia="IRNazanin"/>
          <w:color w:val="111111"/>
          <w:sz w:val="28"/>
          <w:sz w:val="28"/>
          <w:szCs w:val="28"/>
          <w:rtl w:val="true"/>
          <w:lang w:bidi="fa-IR"/>
        </w:rPr>
        <w:t xml:space="preserve">و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244"/>
      </w:r>
      <w:r>
        <w:rPr>
          <w:rFonts w:ascii="Amiri" w:hAnsi="Amiri" w:eastAsia="Amiri" w:cs="Amiri"/>
          <w:color w:val="111111"/>
          <w:sz w:val="28"/>
          <w:sz w:val="28"/>
          <w:szCs w:val="28"/>
          <w:rtl w:val="true"/>
          <w:lang w:bidi="ar-SA"/>
        </w:rPr>
        <w:t xml:space="preserve">كلّ ذلك على وجه المثال، و 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1245"/>
      </w:r>
      <w:r>
        <w:rPr>
          <w:rFonts w:ascii="Amiri" w:hAnsi="Amiri" w:eastAsia="Amiri" w:cs="Amiri"/>
          <w:color w:val="111111"/>
          <w:sz w:val="28"/>
          <w:sz w:val="28"/>
          <w:szCs w:val="28"/>
          <w:rtl w:val="true"/>
          <w:lang w:bidi="ar-SA"/>
        </w:rPr>
        <w:t xml:space="preserve">المتاع بالمعروف كما في الآية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مات أحدهما قبل الدخول المقتضي لمهر المثل و قبل الفرض فلا مهر و لا متعة؛ لعدم المقتضي، فإنّ المقتضي هو الدخول أو الفرض، خلافا للمحكي عن المبسوط </w:t>
      </w:r>
      <w:r>
        <w:rPr>
          <w:rStyle w:val="FootnoteAnchor"/>
          <w:rtl w:val="true"/>
        </w:rPr>
        <w:footnoteReference w:id="1247"/>
      </w:r>
      <w:r>
        <w:rPr>
          <w:rFonts w:ascii="Amiri" w:hAnsi="Amiri" w:eastAsia="Amiri" w:cs="Amiri"/>
          <w:color w:val="111111"/>
          <w:sz w:val="28"/>
          <w:sz w:val="28"/>
          <w:szCs w:val="28"/>
          <w:rtl w:val="true"/>
          <w:lang w:bidi="ar-SA"/>
        </w:rPr>
        <w:t xml:space="preserve">، فأثبتها بما يقع من طلاق أو فسخ أو من قبلهما، دون ما كان من قبلها، و حكي </w:t>
      </w:r>
      <w:r>
        <w:rPr>
          <w:rStyle w:val="FootnoteAnchor"/>
          <w:rtl w:val="true"/>
        </w:rPr>
        <w:footnoteReference w:id="1248"/>
      </w:r>
      <w:r>
        <w:rPr>
          <w:rFonts w:ascii="Amiri" w:hAnsi="Amiri" w:eastAsia="Amiri" w:cs="Amiri"/>
          <w:color w:val="111111"/>
          <w:sz w:val="28"/>
          <w:sz w:val="28"/>
          <w:szCs w:val="28"/>
          <w:rtl w:val="true"/>
          <w:lang w:bidi="ar-SA"/>
        </w:rPr>
        <w:t>ثبوتها في الجميع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الدخول فقد عرفت و أمّا الفرض فلأنّه لو عيّناه بعد العقد جاز و لزم؛ لأنّ الحقّ منحصر فيهما و إن زاد عن مهر المثل أو نقص فإنّ مهر المثل قد عرفت أنّه بمنزلة القيمة التي لا يمنع من تراضي المتعاقدين على أزيد منها أو أقلّ و إن طلّقها </w:t>
      </w:r>
      <w:r>
        <w:rPr>
          <w:rStyle w:val="FootnoteAnchor"/>
          <w:rtl w:val="true"/>
        </w:rPr>
        <w:footnoteReference w:id="1249"/>
      </w:r>
      <w:r>
        <w:rPr>
          <w:rFonts w:ascii="Amiri" w:hAnsi="Amiri" w:eastAsia="Amiri" w:cs="Amiri"/>
          <w:color w:val="111111"/>
          <w:sz w:val="28"/>
          <w:sz w:val="28"/>
          <w:szCs w:val="28"/>
          <w:rtl w:val="true"/>
          <w:lang w:bidi="ar-SA"/>
        </w:rPr>
        <w:t xml:space="preserve">قبل الدخول، فلها نصفه؛ لقوله تعالى فَنِصْفُ مٰا فَرَضْتُمْ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زوّج أمته مفوّضة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بلا خلاف، فإذا باعها مولاها كان فرض المهر بين الزوج و المشتري، و هو المولى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أجاز جاز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المهر؛ لحدوث الاستحقاق في ملكه دون الأوّل إذ لم يقع في ملكه إلّا العقد الذي لا يقتضي المهر في المفوّضة، مضافا</w:t>
      </w:r>
    </w:p>
    <w:p>
      <w:pPr>
        <w:pStyle w:val="BookText"/>
        <w:rPr/>
      </w:pPr>
      <w:r>
        <w:rPr>
          <w:rFonts w:ascii="Amiri" w:hAnsi="Amiri" w:eastAsia="Amiri" w:cs="Amiri"/>
          <w:color w:val="111111"/>
          <w:sz w:val="28"/>
          <w:sz w:val="28"/>
          <w:szCs w:val="28"/>
          <w:rtl w:val="true"/>
          <w:lang w:bidi="ar-SA"/>
        </w:rPr>
        <w:t>إلى ما عرفت من أنّ إجازة المشتري بمنزلة العقد المستأنف</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أعتقها المولى المزوّج على وجه التفويض، فالمهر لها إن أجازت العقد بعد العتق؛ لحدوث استحقاقها حين حرّيتها، و لم يحدث في ملك المولى إلّا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الثاني من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لو تزوّجها بحكم أحدهما صحّ، و يلزم الزوج ما يحكم به الحاكم منهما 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الحاكمة هي المرأة فإنّها لا تتجاوز السنّة بالاتّفاق، كما ادّعاه في المسالك </w:t>
      </w:r>
      <w:r>
        <w:rPr>
          <w:rStyle w:val="FootnoteAnchor"/>
          <w:rtl w:val="true"/>
        </w:rPr>
        <w:footnoteReference w:id="1252"/>
      </w:r>
      <w:r>
        <w:rPr>
          <w:rFonts w:ascii="Amiri" w:hAnsi="Amiri" w:eastAsia="Amiri" w:cs="Amiri"/>
          <w:color w:val="111111"/>
          <w:sz w:val="28"/>
          <w:sz w:val="28"/>
          <w:szCs w:val="28"/>
          <w:rtl w:val="true"/>
          <w:lang w:bidi="ar-SA"/>
        </w:rPr>
        <w:t xml:space="preserve">لبعض الروايات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طلّقها قبل الدخول الزم من إليه الحكم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بالفرض، و إذا فرض ثبت لها نصفه، و لو مات الحاكم قبله فلها المتعة على رأي المصنّف، و حكي عن جماعة </w:t>
      </w:r>
      <w:r>
        <w:rPr>
          <w:rStyle w:val="FootnoteAnchor"/>
          <w:rtl w:val="true"/>
        </w:rPr>
        <w:footnoteReference w:id="1254"/>
      </w:r>
      <w:r>
        <w:rPr>
          <w:rFonts w:ascii="Amiri" w:hAnsi="Amiri" w:eastAsia="Amiri" w:cs="Amiri"/>
          <w:color w:val="111111"/>
          <w:sz w:val="28"/>
          <w:sz w:val="28"/>
          <w:szCs w:val="28"/>
          <w:rtl w:val="true"/>
          <w:lang w:bidi="ar-SA"/>
        </w:rPr>
        <w:t xml:space="preserve">للمصحّح </w:t>
      </w:r>
      <w:r>
        <w:rPr>
          <w:rStyle w:val="FootnoteAnchor"/>
          <w:rtl w:val="true"/>
        </w:rPr>
        <w:footnoteReference w:id="1255"/>
      </w:r>
      <w:r>
        <w:rPr>
          <w:rFonts w:ascii="Amiri" w:hAnsi="Amiri" w:eastAsia="Amiri" w:cs="Amiri"/>
          <w:color w:val="111111"/>
          <w:sz w:val="28"/>
          <w:sz w:val="28"/>
          <w:szCs w:val="28"/>
          <w:rtl w:val="true"/>
          <w:lang w:bidi="ar-SA"/>
        </w:rPr>
        <w:t xml:space="preserve">و لا شي‌ء على رأي محكي عن الإسكافي </w:t>
      </w:r>
      <w:r>
        <w:rPr>
          <w:rStyle w:val="FootnoteAnchor"/>
          <w:rtl w:val="true"/>
        </w:rPr>
        <w:footnoteReference w:id="1256"/>
      </w:r>
      <w:r>
        <w:rPr>
          <w:rFonts w:ascii="Amiri" w:hAnsi="Amiri" w:eastAsia="Amiri" w:cs="Amiri"/>
          <w:color w:val="111111"/>
          <w:sz w:val="28"/>
          <w:sz w:val="28"/>
          <w:szCs w:val="28"/>
          <w:rtl w:val="true"/>
          <w:lang w:bidi="ar-SA"/>
        </w:rPr>
        <w:t xml:space="preserve">و الشيخ في الخلاف </w:t>
      </w:r>
      <w:r>
        <w:rPr>
          <w:rStyle w:val="FootnoteAnchor"/>
          <w:rtl w:val="true"/>
        </w:rPr>
        <w:footnoteReference w:id="1257"/>
      </w:r>
      <w:r>
        <w:rPr>
          <w:rFonts w:ascii="Amiri" w:hAnsi="Amiri" w:eastAsia="Amiri" w:cs="Amiri"/>
          <w:color w:val="111111"/>
          <w:sz w:val="28"/>
          <w:sz w:val="28"/>
          <w:szCs w:val="28"/>
          <w:rtl w:val="true"/>
          <w:lang w:bidi="ar-SA"/>
        </w:rPr>
        <w:t xml:space="preserve">و ابن إدريس </w:t>
      </w:r>
      <w:r>
        <w:rPr>
          <w:rStyle w:val="FootnoteAnchor"/>
          <w:rtl w:val="true"/>
        </w:rPr>
        <w:footnoteReference w:id="1258"/>
      </w:r>
      <w:r>
        <w:rPr>
          <w:rFonts w:ascii="Amiri" w:hAnsi="Amiri" w:eastAsia="Amiri" w:cs="Amiri"/>
          <w:color w:val="111111"/>
          <w:sz w:val="28"/>
          <w:sz w:val="28"/>
          <w:szCs w:val="28"/>
          <w:rtl w:val="true"/>
          <w:lang w:bidi="ar-SA"/>
        </w:rPr>
        <w:t>للأصل و طرح الرواية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للمرأة طلب الفرض، و لها حبس نفسها بعد الدخول للفرض لا لتسليم المفروض؛ لما سبق من أنّه ليس لها الامتناع بعد الدخول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أسقطت حقّ طلب الفرض لم يسقط لأنّها ما دامت مستحقّة لعوض بضعها لها المطالبة بتعيينه</w:t>
      </w:r>
      <w:r>
        <w:rPr>
          <w:rFonts w:eastAsia="Amiri" w:cs="Amiri" w:ascii="Amiri" w:hAnsi="Amiri"/>
          <w:color w:val="111111"/>
          <w:sz w:val="28"/>
          <w:szCs w:val="28"/>
          <w:rtl w:val="true"/>
          <w:lang w:bidi="ar-SA"/>
        </w:rPr>
        <w:t>.</w:t>
      </w:r>
      <w:bookmarkStart w:id="125" w:name="pg19718_239167"/>
    </w:p>
    <w:p>
      <w:pPr>
        <w:pStyle w:val="Heading4"/>
        <w:numPr>
          <w:ilvl w:val="3"/>
          <w:numId w:val="1"/>
        </w:numPr>
        <w:rPr/>
      </w:pPr>
      <w:bookmarkStart w:id="126" w:name="__RefHeading___Toc1985804_2314609296"/>
      <w:bookmarkStart w:id="127" w:name="_Toc48"/>
      <w:bookmarkEnd w:id="125"/>
      <w:bookmarkEnd w:id="126"/>
      <w:r>
        <w:rPr>
          <w:rtl w:val="true"/>
        </w:rPr>
        <w:t>المطلب الثالث في الأحكام</w:t>
      </w:r>
      <w:bookmarkEnd w:id="127"/>
    </w:p>
    <w:p>
      <w:pPr>
        <w:pStyle w:val="BookText"/>
        <w:rPr/>
      </w:pPr>
      <w:r>
        <w:rPr>
          <w:rFonts w:ascii="Amiri" w:hAnsi="Amiri" w:eastAsia="Amiri" w:cs="Amiri"/>
          <w:color w:val="111111"/>
          <w:sz w:val="28"/>
          <w:sz w:val="28"/>
          <w:szCs w:val="28"/>
          <w:rtl w:val="true"/>
          <w:lang w:bidi="ar-SA"/>
        </w:rPr>
        <w:t xml:space="preserve">تملك </w:t>
      </w:r>
      <w:r>
        <w:rPr>
          <w:rStyle w:val="FootnoteAnchor"/>
          <w:rtl w:val="true"/>
        </w:rPr>
        <w:footnoteReference w:id="1259"/>
      </w:r>
      <w:r>
        <w:rPr>
          <w:rFonts w:ascii="Amiri" w:hAnsi="Amiri" w:eastAsia="Amiri" w:cs="Amiri"/>
          <w:color w:val="111111"/>
          <w:sz w:val="28"/>
          <w:sz w:val="28"/>
          <w:szCs w:val="28"/>
          <w:rtl w:val="true"/>
          <w:lang w:bidi="ar-SA"/>
        </w:rPr>
        <w:t xml:space="preserve">المرأة المعقودة الصداق المسمّى في العقد بنفس العقد على الأشهر، بل عن الحلّي </w:t>
      </w:r>
      <w:r>
        <w:rPr>
          <w:rStyle w:val="FootnoteAnchor"/>
          <w:rtl w:val="true"/>
        </w:rPr>
        <w:footnoteReference w:id="1260"/>
      </w:r>
      <w:r>
        <w:rPr>
          <w:rFonts w:ascii="Amiri" w:hAnsi="Amiri" w:eastAsia="Amiri" w:cs="Amiri"/>
          <w:color w:val="111111"/>
          <w:sz w:val="28"/>
          <w:sz w:val="28"/>
          <w:szCs w:val="28"/>
          <w:rtl w:val="true"/>
          <w:lang w:bidi="ar-SA"/>
        </w:rPr>
        <w:t xml:space="preserve">نفي الخلاف فيه، و لعلّه حمل مذهب الإسكافي على أنّ الملك المستقرّ للنصف موقوف على الدخول، كما احتمله في كشف اللثام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فيدلّ على 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نفس العقد تملّكها للصداق من غير توقّف على شي‌ء آخر، كما في كلّ العقود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ورد في موثقة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نماء الصداق قبل الطلاق لها </w:t>
      </w:r>
      <w:r>
        <w:rPr>
          <w:rStyle w:val="FootnoteAnchor"/>
          <w:rtl w:val="true"/>
        </w:rPr>
        <w:footnoteReference w:id="1262"/>
      </w:r>
      <w:r>
        <w:rPr>
          <w:rFonts w:ascii="Amiri" w:hAnsi="Amiri" w:eastAsia="Amiri" w:cs="Amiri"/>
          <w:color w:val="111111"/>
          <w:sz w:val="28"/>
          <w:sz w:val="28"/>
          <w:szCs w:val="28"/>
          <w:rtl w:val="true"/>
          <w:lang w:bidi="ar-SA"/>
        </w:rPr>
        <w:t xml:space="preserve">، و ما دلّ على جواز إبرائه من الصداق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كموثقة سماعة</w:t>
      </w:r>
    </w:p>
    <w:p>
      <w:pPr>
        <w:pStyle w:val="BookText"/>
        <w:rPr/>
      </w:pPr>
      <w:r>
        <w:rPr>
          <w:rFonts w:ascii="Amiri" w:hAnsi="Amiri" w:eastAsia="Amiri" w:cs="Amiri"/>
          <w:color w:val="111111"/>
          <w:sz w:val="28"/>
          <w:sz w:val="28"/>
          <w:szCs w:val="28"/>
          <w:rtl w:val="true"/>
          <w:lang w:bidi="ar-SA"/>
        </w:rPr>
        <w:t xml:space="preserve">المروية في باب المتعة من التهذيب </w:t>
      </w:r>
      <w:r>
        <w:rPr>
          <w:rStyle w:val="FootnoteAnchor"/>
          <w:rtl w:val="true"/>
        </w:rPr>
        <w:footnoteReference w:id="1263"/>
      </w:r>
      <w:r>
        <w:rPr>
          <w:rFonts w:ascii="Amiri" w:hAnsi="Amiri" w:eastAsia="Amiri" w:cs="Amiri"/>
          <w:color w:val="111111"/>
          <w:sz w:val="28"/>
          <w:sz w:val="28"/>
          <w:szCs w:val="28"/>
          <w:rtl w:val="true"/>
          <w:lang w:bidi="ar-SA"/>
        </w:rPr>
        <w:t xml:space="preserve">، و نحوها رواية </w:t>
      </w:r>
      <w:r>
        <w:rPr>
          <w:rStyle w:val="FootnoteAnchor"/>
          <w:rtl w:val="true"/>
        </w:rPr>
        <w:footnoteReference w:id="1264"/>
      </w:r>
      <w:r>
        <w:rPr>
          <w:rFonts w:ascii="IRNazanin" w:hAnsi="IRNazanin" w:eastAsia="IRNazanin"/>
          <w:color w:val="111111"/>
          <w:sz w:val="28"/>
          <w:sz w:val="28"/>
          <w:szCs w:val="28"/>
          <w:rtl w:val="true"/>
          <w:lang w:bidi="fa-IR"/>
        </w:rPr>
        <w:t>شهاب بن عبد ربّه</w:t>
      </w:r>
      <w:r>
        <w:rPr>
          <w:rFonts w:eastAsia="IRNazanin" w:cs="IRNazanin"/>
          <w:color w:val="111111"/>
          <w:sz w:val="28"/>
          <w:szCs w:val="28"/>
          <w:rtl w:val="true"/>
          <w:lang w:bidi="fa-IR"/>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نصف ما أبرأته منه؛ إذ لو لا تملّكها له لبطل الإبراء في النصف، فلا وجه لردّ مثل النصف </w:t>
      </w:r>
      <w:r>
        <w:rPr>
          <w:rStyle w:val="FootnoteAnchor"/>
          <w:rtl w:val="true"/>
        </w:rPr>
        <w:footnoteReference w:id="1266"/>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دلّ على استحباب تصدّق الزوجة بالصداق على الزوج قبل الدخول </w:t>
      </w:r>
      <w:r>
        <w:rPr>
          <w:rStyle w:val="FootnoteAnchor"/>
          <w:rtl w:val="true"/>
        </w:rPr>
        <w:footnoteReference w:id="1267"/>
      </w:r>
      <w:r>
        <w:rPr>
          <w:rFonts w:ascii="Amiri" w:hAnsi="Amiri" w:eastAsia="Amiri" w:cs="Amiri"/>
          <w:color w:val="111111"/>
          <w:sz w:val="28"/>
          <w:sz w:val="28"/>
          <w:szCs w:val="28"/>
          <w:rtl w:val="true"/>
          <w:lang w:bidi="ar-SA"/>
        </w:rPr>
        <w:t>، مع أنّه لا صدقة إلّا فيما يملك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يعتبر في تملّكها القبض إجماعا </w:t>
      </w:r>
      <w:r>
        <w:rPr>
          <w:rStyle w:val="FootnoteAnchor"/>
          <w:rtl w:val="true"/>
        </w:rPr>
        <w:footnoteReference w:id="1268"/>
      </w:r>
      <w:r>
        <w:rPr>
          <w:rFonts w:ascii="Amiri" w:hAnsi="Amiri" w:eastAsia="Amiri" w:cs="Amiri"/>
          <w:color w:val="111111"/>
          <w:sz w:val="28"/>
          <w:sz w:val="28"/>
          <w:szCs w:val="28"/>
          <w:rtl w:val="true"/>
          <w:lang w:bidi="ar-SA"/>
        </w:rPr>
        <w:t xml:space="preserve">و لا في تصرّفها، بل تتصرّف فيه بالبيع و نحوه قبل القبض على المشهور، خلافا للمحكي عن الشيخ </w:t>
      </w:r>
      <w:r>
        <w:rPr>
          <w:rStyle w:val="FootnoteAnchor"/>
          <w:rtl w:val="true"/>
        </w:rPr>
        <w:footnoteReference w:id="1269"/>
      </w:r>
      <w:r>
        <w:rPr>
          <w:rFonts w:ascii="Amiri" w:hAnsi="Amiri" w:eastAsia="Amiri" w:cs="Amiri"/>
          <w:color w:val="111111"/>
          <w:sz w:val="28"/>
          <w:sz w:val="28"/>
          <w:szCs w:val="28"/>
          <w:rtl w:val="true"/>
          <w:lang w:bidi="ar-SA"/>
        </w:rPr>
        <w:t xml:space="preserve">للنهي عن بيع ما لم يقبض </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لاختصاص النهي بالبيع، أو المبيع بما اشترى قبل القبض، و عدم مقاومته للقاعدة المستفادة من</w:t>
      </w:r>
    </w:p>
    <w:p>
      <w:pPr>
        <w:pStyle w:val="BookText"/>
        <w:rPr/>
      </w:pPr>
      <w:r>
        <w:rPr>
          <w:rFonts w:ascii="Amiri" w:hAnsi="Amiri" w:eastAsia="Amiri" w:cs="Amiri"/>
          <w:color w:val="111111"/>
          <w:sz w:val="28"/>
          <w:sz w:val="28"/>
          <w:szCs w:val="28"/>
          <w:rtl w:val="true"/>
          <w:lang w:bidi="ar-SA"/>
        </w:rPr>
        <w:t xml:space="preserve">الأدلّة القطعية من تسلّط الناس على أموالهم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طلّق قبل الدخول رجع بنصفه كتابا </w:t>
      </w:r>
      <w:r>
        <w:rPr>
          <w:rStyle w:val="FootnoteAnchor"/>
          <w:rtl w:val="true"/>
        </w:rPr>
        <w:footnoteReference w:id="1272"/>
      </w:r>
      <w:r>
        <w:rPr>
          <w:rFonts w:ascii="Amiri" w:hAnsi="Amiri" w:eastAsia="Amiri" w:cs="Amiri"/>
          <w:color w:val="111111"/>
          <w:sz w:val="28"/>
          <w:sz w:val="28"/>
          <w:szCs w:val="28"/>
          <w:rtl w:val="true"/>
          <w:lang w:bidi="ar-SA"/>
        </w:rPr>
        <w:t xml:space="preserve">و سنّة </w:t>
      </w:r>
      <w:r>
        <w:rPr>
          <w:rStyle w:val="FootnoteAnchor"/>
          <w:rtl w:val="true"/>
        </w:rPr>
        <w:footnoteReference w:id="1273"/>
      </w:r>
      <w:r>
        <w:rPr>
          <w:rFonts w:ascii="Amiri" w:hAnsi="Amiri" w:eastAsia="Amiri" w:cs="Amiri"/>
          <w:color w:val="111111"/>
          <w:sz w:val="28"/>
          <w:sz w:val="28"/>
          <w:szCs w:val="28"/>
          <w:rtl w:val="true"/>
          <w:lang w:bidi="ar-SA"/>
        </w:rPr>
        <w:t>و إجماعا فإن عفت المطلّقة عمّا استقرّ ملكها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الجميع و للأب و الجدّ له أي للأب العفو لكن عن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تسلّطهما على العفو؛ فلولايتهما عليها، و هل يعتبر المصلحة أو لا؟</w:t>
      </w:r>
    </w:p>
    <w:p>
      <w:pPr>
        <w:pStyle w:val="BookText"/>
        <w:rPr/>
      </w:pPr>
      <w:r>
        <w:rPr>
          <w:rFonts w:ascii="Amiri" w:hAnsi="Amiri" w:eastAsia="Amiri" w:cs="Amiri"/>
          <w:color w:val="111111"/>
          <w:sz w:val="28"/>
          <w:sz w:val="28"/>
          <w:szCs w:val="28"/>
          <w:rtl w:val="true"/>
          <w:lang w:bidi="ar-SA"/>
        </w:rPr>
        <w:t>وجهان، أحوطهما الأوّل، و أقواهما الثاني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عدم جواز العفو عن الكلّ؛ فلرواية رفاعة </w:t>
      </w:r>
      <w:r>
        <w:rPr>
          <w:rStyle w:val="FootnoteAnchor"/>
          <w:rtl w:val="true"/>
        </w:rPr>
        <w:footnoteReference w:id="1274"/>
      </w:r>
      <w:r>
        <w:rPr>
          <w:rFonts w:ascii="Amiri" w:hAnsi="Amiri" w:eastAsia="Amiri" w:cs="Amiri"/>
          <w:color w:val="111111"/>
          <w:sz w:val="28"/>
          <w:sz w:val="28"/>
          <w:szCs w:val="28"/>
          <w:rtl w:val="true"/>
          <w:lang w:bidi="ar-SA"/>
        </w:rPr>
        <w:t xml:space="preserve">، و الظاهر أنّ موردها صورة عدم المصلحة في العفو عن الكلّ، و إلّا فالظاهر جوازه كما عن </w:t>
      </w:r>
      <w:r>
        <w:rPr>
          <w:rStyle w:val="FootnoteAnchor"/>
          <w:rtl w:val="true"/>
        </w:rPr>
        <w:footnoteReference w:id="1275"/>
      </w:r>
      <w:r>
        <w:rPr>
          <w:rFonts w:ascii="IRNazanin" w:hAnsi="IRNazanin" w:eastAsia="IRNazanin"/>
          <w:color w:val="111111"/>
          <w:sz w:val="28"/>
          <w:sz w:val="28"/>
          <w:szCs w:val="28"/>
          <w:rtl w:val="true"/>
          <w:lang w:bidi="fa-IR"/>
        </w:rPr>
        <w:t xml:space="preserve">المختلف </w:t>
      </w:r>
      <w:r>
        <w:rPr>
          <w:rStyle w:val="FootnoteAnchor"/>
          <w:rtl w:val="true"/>
        </w:rPr>
        <w:footnoteReference w:id="1276"/>
      </w:r>
      <w:r>
        <w:rPr>
          <w:rFonts w:ascii="IRNazanin" w:hAnsi="IRNazanin" w:eastAsia="IRNazanin"/>
          <w:color w:val="111111"/>
          <w:sz w:val="28"/>
          <w:sz w:val="28"/>
          <w:szCs w:val="28"/>
          <w:rtl w:val="true"/>
          <w:lang w:bidi="fa-IR"/>
        </w:rPr>
        <w:t xml:space="preserve">و الجامع </w:t>
      </w:r>
      <w:r>
        <w:rPr>
          <w:rStyle w:val="FootnoteAnchor"/>
          <w:rtl w:val="true"/>
        </w:rPr>
        <w:footnoteReference w:id="1277"/>
      </w:r>
      <w:r>
        <w:rPr>
          <w:rFonts w:ascii="Amiri" w:hAnsi="Amiri" w:eastAsia="Amiri" w:cs="Amiri"/>
          <w:color w:val="111111"/>
          <w:sz w:val="28"/>
          <w:sz w:val="28"/>
          <w:szCs w:val="28"/>
          <w:rtl w:val="true"/>
          <w:lang w:bidi="ar-SA"/>
        </w:rPr>
        <w:t xml:space="preserve">، و مال إليه في الكشف </w:t>
      </w:r>
      <w:r>
        <w:rPr>
          <w:rStyle w:val="FootnoteAnchor"/>
          <w:rtl w:val="true"/>
        </w:rPr>
        <w:footnoteReference w:id="1278"/>
      </w:r>
      <w:r>
        <w:rPr>
          <w:rFonts w:ascii="Amiri" w:hAnsi="Amiri" w:eastAsia="Amiri" w:cs="Amiri"/>
          <w:color w:val="111111"/>
          <w:sz w:val="28"/>
          <w:sz w:val="28"/>
          <w:szCs w:val="28"/>
          <w:rtl w:val="true"/>
          <w:lang w:bidi="ar-SA"/>
        </w:rPr>
        <w:t xml:space="preserve">، على ما حكي </w:t>
      </w:r>
      <w:r>
        <w:rPr>
          <w:rStyle w:val="FootnoteAnchor"/>
          <w:rtl w:val="true"/>
        </w:rPr>
        <w:footnoteReference w:id="1279"/>
      </w:r>
      <w:r>
        <w:rPr>
          <w:rFonts w:ascii="Amiri" w:hAnsi="Amiri" w:eastAsia="Amiri" w:cs="Amiri"/>
          <w:color w:val="111111"/>
          <w:sz w:val="28"/>
          <w:sz w:val="28"/>
          <w:szCs w:val="28"/>
          <w:rtl w:val="true"/>
          <w:lang w:bidi="ar-SA"/>
        </w:rPr>
        <w:t xml:space="preserve">،؛ لعموم ما دلّ على جواز قيامه بمصالح المولّى عليه، بل وجوبه </w:t>
      </w:r>
      <w:r>
        <w:rPr>
          <w:rStyle w:val="FootnoteAnchor"/>
          <w:rtl w:val="true"/>
        </w:rPr>
        <w:footnoteReference w:id="1280"/>
      </w:r>
      <w:r>
        <w:rPr>
          <w:rFonts w:ascii="Amiri" w:hAnsi="Amiri" w:eastAsia="Amiri" w:cs="Amiri"/>
          <w:color w:val="111111"/>
          <w:sz w:val="28"/>
          <w:sz w:val="28"/>
          <w:szCs w:val="28"/>
          <w:rtl w:val="true"/>
          <w:lang w:bidi="ar-SA"/>
        </w:rPr>
        <w:t>، فهذا أيضا</w:t>
      </w:r>
    </w:p>
    <w:p>
      <w:pPr>
        <w:pStyle w:val="BookText"/>
        <w:rPr/>
      </w:pPr>
      <w:r>
        <w:rPr>
          <w:rFonts w:ascii="Amiri" w:hAnsi="Amiri" w:eastAsia="Amiri" w:cs="Amiri"/>
          <w:color w:val="111111"/>
          <w:sz w:val="28"/>
          <w:sz w:val="28"/>
          <w:szCs w:val="28"/>
          <w:rtl w:val="true"/>
          <w:lang w:bidi="ar-SA"/>
        </w:rPr>
        <w:t>قرينة على أنّ العفو عن البعض لا يناط بالمصلحة، إذ معها يجوز العفو عن الكلّ، هذا إن عفت الزوجة أو 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عفا الزوج فلها على وجه الاستقرار الجميع، و ليس لوليّه الذي يطلّق عنه مع جنونه المتّصل بالبلوغ أو مطلقا، العفو عن شي‌ء من حقّه؛ لعدم الدليل، و الظاهر الجواز مع المصلحة؛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كان الصداق دينا عليه، فعفت الزوجة أو وليها، أو أقبضها و تلفت في يدها، فعفى الزوج، فالعفو إبراء، و إلّا يكن شي‌ء منها بل </w:t>
      </w:r>
      <w:r>
        <w:rPr>
          <w:rStyle w:val="FootnoteAnchor"/>
          <w:rtl w:val="true"/>
        </w:rPr>
        <w:footnoteReference w:id="1281"/>
      </w:r>
      <w:r>
        <w:rPr>
          <w:rFonts w:ascii="Amiri" w:hAnsi="Amiri" w:eastAsia="Amiri" w:cs="Amiri"/>
          <w:color w:val="111111"/>
          <w:sz w:val="28"/>
          <w:sz w:val="28"/>
          <w:szCs w:val="28"/>
          <w:rtl w:val="true"/>
          <w:lang w:bidi="ar-SA"/>
        </w:rPr>
        <w:t xml:space="preserve">كانت عينا ظاهرة في يد أحدهما، فالعفو هبة لا بدّ فيها </w:t>
      </w:r>
      <w:r>
        <w:rPr>
          <w:rStyle w:val="FootnoteAnchor"/>
          <w:rtl w:val="true"/>
        </w:rPr>
        <w:footnoteReference w:id="1282"/>
      </w:r>
      <w:r>
        <w:rPr>
          <w:rFonts w:ascii="Amiri" w:hAnsi="Amiri" w:eastAsia="Amiri" w:cs="Amiri"/>
          <w:color w:val="111111"/>
          <w:sz w:val="28"/>
          <w:sz w:val="28"/>
          <w:szCs w:val="28"/>
          <w:rtl w:val="true"/>
          <w:lang w:bidi="ar-SA"/>
        </w:rPr>
        <w:t>من لفظ صريح أو ظاهر في الإيجاب، و قول أو فعل ظاهر في القبول، و قبض إن لم يكن في يد الموهوب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طلّق الزوج بعد البيع أو الرهن أو 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العتق</w:t>
      </w:r>
      <w:r>
        <w:rPr>
          <w:rFonts w:eastAsia="Amiri" w:cs="Amiri" w:ascii="Amiri" w:hAnsi="Amiri"/>
          <w:color w:val="111111"/>
          <w:sz w:val="28"/>
          <w:szCs w:val="28"/>
          <w:rtl w:val="true"/>
          <w:lang w:bidi="ar-SA"/>
        </w:rPr>
        <w:t xml:space="preserve">] </w:t>
      </w:r>
      <w:r>
        <w:rPr>
          <w:rStyle w:val="FootnoteAnchor"/>
          <w:rtl w:val="true"/>
        </w:rPr>
        <w:footnoteReference w:id="1283"/>
      </w:r>
      <w:r>
        <w:rPr>
          <w:rFonts w:ascii="IRNazanin" w:hAnsi="IRNazanin" w:eastAsia="IRNazanin"/>
          <w:color w:val="111111"/>
          <w:sz w:val="28"/>
          <w:sz w:val="28"/>
          <w:szCs w:val="28"/>
          <w:rtl w:val="true"/>
          <w:lang w:bidi="fa-IR"/>
        </w:rPr>
        <w:t xml:space="preserve">و التلف </w:t>
      </w:r>
      <w:r>
        <w:rPr>
          <w:rStyle w:val="FootnoteAnchor"/>
          <w:rtl w:val="true"/>
        </w:rPr>
        <w:footnoteReference w:id="1284"/>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w:t>
      </w:r>
      <w:r>
        <w:rPr>
          <w:rStyle w:val="FootnoteAnchor"/>
          <w:rtl w:val="true"/>
        </w:rPr>
        <w:footnoteReference w:id="1286"/>
      </w:r>
      <w:r>
        <w:rPr>
          <w:rFonts w:ascii="Amiri" w:hAnsi="Amiri" w:eastAsia="Amiri" w:cs="Amiri"/>
          <w:color w:val="111111"/>
          <w:sz w:val="28"/>
          <w:sz w:val="28"/>
          <w:szCs w:val="28"/>
          <w:rtl w:val="true"/>
          <w:lang w:bidi="ar-SA"/>
        </w:rPr>
        <w:t>لم يكن من قبلها، رجع بنصف مثله في المثلي، و بنصف القيمة</w:t>
      </w:r>
    </w:p>
    <w:p>
      <w:pPr>
        <w:pStyle w:val="BookText"/>
        <w:rPr/>
      </w:pPr>
      <w:r>
        <w:rPr>
          <w:rFonts w:ascii="Amiri" w:hAnsi="Amiri" w:eastAsia="Amiri" w:cs="Amiri"/>
          <w:color w:val="111111"/>
          <w:sz w:val="28"/>
          <w:sz w:val="28"/>
          <w:szCs w:val="28"/>
          <w:rtl w:val="true"/>
          <w:lang w:bidi="ar-SA"/>
        </w:rPr>
        <w:t>في غيره، و يلزمها أقلّ الأمرين من القيمة وقت العقد و القبض، و لو تلف البعض فله نصف الباقي و نصف بدل التالف، و لو تعيّب فله نصف القيمة، و لو نقصت قيمة السوق أو زادت فله نصف العين، و لو زادت بكبر أو سمن أو تعلّم صنعة فله نصف قيمة ما دون الزيادة، و النماء المنفصل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قبلا أو دبرا استقرّ المسمّى أجمع في ذمته و كان دينا عليه، و لا يسقط بترك المطالبة طويلا، و كذا لو مات أحدهما، و لا يستقرّ بالخلوة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أبرأته ثمّ طلّقها قبل الدخول أو خلعها به قبله رجع عليها بالنصف، و لو عوضها بشي‌ء رجع بنصف المسمّى لا العوض، و لو لم يسمّ و قدّم لها شيئا ثم دخل فهو المهر، إلّا أن تشارطه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غير السائغ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لا يتسرّى أو لا يتزوّج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الشرط خاصة، و لو شرط عدم الافتضاض لزم، فإن أذنت بعده جاز، و لو شرطا الخيار في الصداق صح، و لو شرطاه في النكاح بطل العقد، و لو شرط عدم خروجها من بلدها لزم على رأي، و لو شرط زيادة المهر مع الإخراج فأخرجها إلى بلد الشرك لم تجب إجابته و لها الزائد، و إن أخرجها إلى بلد الإسلام لزم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زوّج ابنه الصغير الموسر فالمهر على الولد، و لو كان فقيرا فالمهر على عهدة الأب يخرج من صلب التركة، سواء بلغ الولد و أيسر قبل موت الأب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دفع الأب ثمّ طلّق بعد بلوغه رجع النصف إلى الولد، و كذا لو تبرع بقضائه عن البالغ</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من وطأ بشبهة فعليه المهر، و لا مهر للزانية، فإن أكرهها الزاني فلها مهر المثل</w:t>
      </w:r>
      <w:bookmarkStart w:id="128" w:name="pg19718_239172"/>
    </w:p>
    <w:p>
      <w:pPr>
        <w:pStyle w:val="Heading4"/>
        <w:numPr>
          <w:ilvl w:val="3"/>
          <w:numId w:val="1"/>
        </w:numPr>
        <w:rPr/>
      </w:pPr>
      <w:bookmarkStart w:id="129" w:name="__RefHeading___Toc1985806_2314609296"/>
      <w:bookmarkStart w:id="130" w:name="_Toc49"/>
      <w:bookmarkEnd w:id="128"/>
      <w:bookmarkEnd w:id="129"/>
      <w:r>
        <w:rPr>
          <w:rtl w:val="true"/>
        </w:rPr>
        <w:t>مسائل النزاع</w:t>
      </w:r>
      <w:bookmarkEnd w:id="130"/>
    </w:p>
    <w:p>
      <w:pPr>
        <w:pStyle w:val="BookText"/>
        <w:rPr/>
      </w:pPr>
      <w:r>
        <w:rPr>
          <w:rFonts w:ascii="IRNazanin" w:hAnsi="IRNazanin" w:eastAsia="IRNazanin"/>
          <w:color w:val="111111"/>
          <w:sz w:val="28"/>
          <w:sz w:val="28"/>
          <w:szCs w:val="28"/>
          <w:rtl w:val="true"/>
          <w:lang w:bidi="fa-IR"/>
        </w:rPr>
        <w:t xml:space="preserve">مسائل النزاع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لو اختلفا في قدر المهر، أو وصفه، أو في أنّ المدفوع مهر أو هبة، أو في المواقعة على رأي و لا بينة قدّم قول الزوج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التسليم، أو قالت علّمني غير المهر، أو أقامت بينة بالعقد مرتين فادعى التكرار قدّم قول المرأة مع اليمين، و يلزمه في الأخير مهران على رأي، و مهر و نصف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ادعت التسمية و أنكرها فالقول قوله، و لو أنكر أصل المهر بعد الدخول فالوجه مهر المثل على رأي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أصدقتك العبد،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الأمة، تحالفا و يثبت مهر المثل مع الدخول، و لو كان دعواه إصداق أبيها فكذلك و يعتق عليه</w:t>
      </w:r>
      <w:r>
        <w:rPr>
          <w:rFonts w:eastAsia="Amiri" w:cs="Amiri" w:ascii="Amiri" w:hAnsi="Amiri"/>
          <w:color w:val="111111"/>
          <w:sz w:val="28"/>
          <w:szCs w:val="28"/>
          <w:rtl w:val="true"/>
          <w:lang w:bidi="ar-SA"/>
        </w:rPr>
        <w:t>.</w:t>
      </w:r>
      <w:bookmarkStart w:id="131" w:name="pg19718_239173"/>
    </w:p>
    <w:p>
      <w:pPr>
        <w:pStyle w:val="Heading3"/>
        <w:numPr>
          <w:ilvl w:val="2"/>
          <w:numId w:val="1"/>
        </w:numPr>
        <w:rPr/>
      </w:pPr>
      <w:bookmarkStart w:id="132" w:name="__RefHeading___Toc1985808_2314609296"/>
      <w:bookmarkStart w:id="133" w:name="_Toc50"/>
      <w:bookmarkEnd w:id="131"/>
      <w:bookmarkEnd w:id="132"/>
      <w:r>
        <w:rPr>
          <w:rtl w:val="true"/>
        </w:rPr>
        <w:t>المقصد الثّالث في المحرّمات</w:t>
      </w:r>
      <w:bookmarkEnd w:id="133"/>
    </w:p>
    <w:p>
      <w:pPr>
        <w:pStyle w:val="Heading4"/>
        <w:numPr>
          <w:ilvl w:val="3"/>
          <w:numId w:val="1"/>
        </w:numPr>
        <w:rPr/>
      </w:pPr>
      <w:bookmarkStart w:id="134" w:name="__RefHeading___Toc1985810_2314609296"/>
      <w:bookmarkStart w:id="135" w:name="_Toc51"/>
      <w:bookmarkEnd w:id="134"/>
      <w:r>
        <w:rPr>
          <w:rtl w:val="true"/>
        </w:rPr>
        <w:t>اشارة</w:t>
      </w:r>
      <w:bookmarkEnd w:id="13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مطلبان</w:t>
      </w:r>
      <w:bookmarkStart w:id="136" w:name="pg19718_239174"/>
    </w:p>
    <w:p>
      <w:pPr>
        <w:pStyle w:val="Heading4"/>
        <w:numPr>
          <w:ilvl w:val="3"/>
          <w:numId w:val="1"/>
        </w:numPr>
        <w:rPr/>
      </w:pPr>
      <w:bookmarkStart w:id="137" w:name="__RefHeading___Toc1985812_2314609296"/>
      <w:bookmarkStart w:id="138" w:name="_Toc52"/>
      <w:bookmarkEnd w:id="136"/>
      <w:bookmarkEnd w:id="137"/>
      <w:r>
        <w:rPr>
          <w:rtl w:val="true"/>
        </w:rPr>
        <w:t>المطلب الأوّل في المحرّمات بالنسب و الرضاع</w:t>
      </w:r>
      <w:bookmarkEnd w:id="138"/>
    </w:p>
    <w:p>
      <w:pPr>
        <w:pStyle w:val="Heading5"/>
        <w:numPr>
          <w:ilvl w:val="4"/>
          <w:numId w:val="1"/>
        </w:numPr>
        <w:rPr/>
      </w:pPr>
      <w:bookmarkStart w:id="139" w:name="__RefHeading___Toc1985814_2314609296"/>
      <w:bookmarkStart w:id="140" w:name="_Toc53"/>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و هي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و إن علت، و البنت و إن نزلت، و بنات الابن و إن نزلن، و الأخت، و بناتها و إن نزلن، و العمّات و إن علون، و الخالات كذلك، و بنات الأخ و إن نزلن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على النساء مثلهن من الرجال، سواء كان النسب عن نكاح صحيح، أو شبهة، أو زنى و إن انتفى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حرم بالنسب حرم مثله بالرضاع بشروط خمسة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محمّد و آله الطاهرين، و 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من جملة أسباب تحريم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الرضاع في الجملة، و الأصل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 فيما رواه الفريقان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 أيضا بعدّة طرق صحيحة، و رواه عبد اللّٰه ابن سنان، و أبو الصباح الكناني، و عبيد بن زرارة عن مولانا الصادق عليه السلام مع تخالف يسير في المتن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هذه العبارة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من جهة الرضاع نظير من يحرم من جهة النسب، لا أنّ نفس من يحرم من النسب يحرم من جهة الرضاع، كما يتراءى من ظاهر العبارة؛ و إنّما عبّر بهذا للتنبيه على اعتبار اتّحاد العنوان الحاصل بالرضاع و الحاصل بالنسب في التحريم صنفا؛ مثلا الامّ محرّمة من جهة النسب، فإذا حصل بالرضاع نفس هذا العنوان حصل</w:t>
      </w:r>
    </w:p>
    <w:p>
      <w:pPr>
        <w:pStyle w:val="BookText"/>
        <w:rPr/>
      </w:pPr>
      <w:r>
        <w:rPr>
          <w:rFonts w:ascii="Amiri" w:hAnsi="Amiri" w:eastAsia="Amiri" w:cs="Amiri"/>
          <w:color w:val="111111"/>
          <w:sz w:val="28"/>
          <w:sz w:val="28"/>
          <w:szCs w:val="28"/>
          <w:rtl w:val="true"/>
          <w:lang w:bidi="ar-SA"/>
        </w:rPr>
        <w:t>التحريم من جهة الرضاع، و لو حصل بالرضاع ما يلازمه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أمومة أخيه لأبويه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و كذلك الأخت و البنت و غيرهما ممّن يحرم نكاحه بواسطة النسب الحاصل بين شخصين، أو بين أحدهما و زوج الآخر، أو من في حكمه؛ فإنّ أمّ الزوجة محرّمة على الزوج من جهة نسب بينها و بين الزوجة يحدث باعتباره المصاهرة بعد التزويج، و كذلك الامّ الرضاعيّة للزوجة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معنى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بين النسب و الرضاع في إيجاب التحريم، و أنّ العلاقة الرضاعيّة تقوم مقام العلاقة النسبيّة، و تنزل مكانها؛ فلا يتوهّم أنّ تحريم أمّ الزوجة من جهة المصاهرة، فينبغي أن لا تحرم من جهة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هذه القضيّة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المحرّم من جهة المصاهرة لا يحرم من جهة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قياس تلك القضيّة الموجبة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الرضاع لا يقوم مقام المصاهرة و لا ينزّل منزلتها؛ فإذا أرضعت ولدك امرأة فلا تحرم عليك أمّها من حيث إنّها جدّة ولدك لأمّه الرضاعيّة، من جهة أنّ جدّه الولد لأمّه إنّما تحرم على الأب لأجل نسب بينها و بين زوجته، و لا شكّ أنّ الزوجيّة هنا منتفية، و مجرّد إرضاع ولد الرجل لا يصيّر المرضعة في حكم الزوجة، لما عرفت من أنّ الرضاع لا يقوم مقام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 الزوجة المرضعة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الذي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قامت مقام أمّها الوالدة لها؛ فقد قام الرضاع مقام النسب، لا مقام المصاهرة، لأنّ زوجيّة الزوجة ثابتة بنفسها لم يبدّل بالرضاع، و إنّما المبدل به النسب الحاصل بين الامّ و الزوجة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الكلام أنّه لمّا كانت المصاهرة عبارة عن علاقة تحدث بين كلّ من الزوجين و أقارب الآخر، توقّف وجودها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w:t>
      </w:r>
    </w:p>
    <w:p>
      <w:pPr>
        <w:pStyle w:val="BookText"/>
        <w:rPr/>
      </w:pPr>
      <w:r>
        <w:rPr>
          <w:rFonts w:ascii="Amiri" w:hAnsi="Amiri" w:eastAsia="Amiri" w:cs="Amiri"/>
          <w:color w:val="111111"/>
          <w:sz w:val="28"/>
          <w:sz w:val="28"/>
          <w:szCs w:val="28"/>
          <w:rtl w:val="true"/>
          <w:lang w:bidi="ar-SA"/>
        </w:rPr>
        <w:t>الزوجيّة بين الرجل و المرأة، و ثبوت القرابة و النسب بين شخص و بين أحدهما؛ فكما يمكن استناد التحريم إلى المصاهرة الحاصلة بين المحرّم و المحرّم عليه من مجموع ذينك الأمرين، فكذلك يمكن استناده إلى الأمر الأوّل من الأمرين،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تحرم أمّ الزوجة على الزوج من جهة زوجيّة بنتها له، و كذلك يمكن استناده إلى الأمر الثاني،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تحرم أمّ الزوجة على الزوج لأجل نسب بينها و بين زوجته، و لا يوجب ذلك عدّها في المحرّمات النسبيّة، من جهة قصرها على ما استند فيه التحريم إلى النسب الحاصل بين المحرّم و المحرّم عليه؛ قبالا للمصاهرة الحاصلة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فدخول الرضاع في المصاهرة، إمّا بقيامه مقام الأمر الأوّل من الأمرين المذكورين، مع بقاء الأمر الثاني بحاله، كالأمّ النسبيّة للأمّ الرضاعيّة للولد، النازلة منزلة الزوجة، و إمّا بقيامه مقام الأمر الثاني منهما، كالأمّ الرضاعيّة للزوجة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لتوهّم نشر التحريم بالرضاع، إلّا إذا دلّ دليل خاصّ عليه، لأنّ حاصل أدلّة النشر بالرضاع إلحاقه بالنسب، و جعل كلّ عنوان حاصل بالرضاع في حكم ذلك العنوان الحاصل بالنسب؛ و معلوم أنّه لم ينتف هنا إلّا الزوجيّة، و لم يدلّ دليل النشر على تنزيل مرضعة الولد مقام الزوجة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التحريم؛ لأنّه إذا الحق العنوان الرضاعي بالعنوان النسبي في التحريم، و أقيم الرضاع مقام النسب في إناطة التحريم به، فلا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w:t>
      </w:r>
      <w:r>
        <w:rPr>
          <w:rFonts w:eastAsia="Amiri" w:cs="Amiri" w:ascii="Amiri" w:hAnsi="Amiri"/>
          <w:color w:val="111111"/>
          <w:sz w:val="28"/>
          <w:szCs w:val="28"/>
          <w:rtl w:val="true"/>
          <w:lang w:bidi="ar-SA"/>
        </w:rPr>
        <w:t xml:space="preserve">] </w:t>
      </w:r>
      <w:r>
        <w:rPr>
          <w:rStyle w:val="FootnoteAnchor"/>
          <w:rtl w:val="true"/>
        </w:rPr>
        <w:footnoteReference w:id="1289"/>
      </w:r>
      <w:r>
        <w:rPr>
          <w:rFonts w:ascii="Amiri" w:hAnsi="Amiri" w:eastAsia="Amiri" w:cs="Amiri"/>
          <w:color w:val="111111"/>
          <w:sz w:val="28"/>
          <w:sz w:val="28"/>
          <w:szCs w:val="28"/>
          <w:rtl w:val="true"/>
          <w:lang w:bidi="ar-SA"/>
        </w:rPr>
        <w:t>تكون الامّ الرضاعيّة للزوجة بمنزلة الأمّ</w:t>
      </w:r>
    </w:p>
    <w:p>
      <w:pPr>
        <w:pStyle w:val="BookText"/>
        <w:rPr/>
      </w:pPr>
      <w:r>
        <w:rPr>
          <w:rFonts w:ascii="Amiri" w:hAnsi="Amiri" w:eastAsia="Amiri" w:cs="Amiri"/>
          <w:color w:val="111111"/>
          <w:sz w:val="28"/>
          <w:sz w:val="28"/>
          <w:szCs w:val="28"/>
          <w:rtl w:val="true"/>
          <w:lang w:bidi="ar-SA"/>
        </w:rPr>
        <w:t>النسبيّة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منشأ توهّم عدم استفادة تحريم مثل هذا من الحديث المذكور توهّم كون المراد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النسب الحاصل بين المحرّم و المحرّم عليه، على حدّ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التحريم إمّا نسب، أو رضاع، أو مصاهرة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خبط فاسد، فإنّه تقييد للمطلق من غير دليل، بل المراد منه هو مطلق النسب الموجب للتحريم سواء كان بين نفس المحرّم و المحرّم عليه، أم بين أحدهما و زوج الآخر، أو غيره، مثل المزنيّ بها و الغلام الموطوء و الملموسة و من هنا يصحّ التمسّك بهذا الحديث في تحريم مرضعة الغلام الموقب و أخته و بنته الرضاعيّتين على الموقب، و إلّا فأيّ نسب بينها و بين الموقب؟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دعوى أنّ التحريم في غير المحرّمات النسبيّة السبع ليس من جهة النسب، بل هو مستند إلى المصاهرة، فقد عرفت الحال فيها، و أنّه يجوز استناد التحريم فيه إلى نفس المصاهرة و إلى كلّ واحد من الأمرين اللّذين يتوقّف وجودها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انتشار الحرمة بالرضاع يتوقّف على شروط</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اللّبن عن وطء صحيح فلو درّ لا عن وطء أو عن وطء بالزنا، لم ينشر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bookmarkStart w:id="141" w:name="pg19718_239179"/>
    </w:p>
    <w:p>
      <w:pPr>
        <w:pStyle w:val="Heading5"/>
        <w:numPr>
          <w:ilvl w:val="4"/>
          <w:numId w:val="1"/>
        </w:numPr>
        <w:rPr/>
      </w:pPr>
      <w:bookmarkStart w:id="142" w:name="__RefHeading___Toc1985816_2314609296"/>
      <w:bookmarkStart w:id="143" w:name="_Toc54"/>
      <w:bookmarkEnd w:id="141"/>
      <w:bookmarkEnd w:id="142"/>
      <w:r>
        <w:rPr>
          <w:rtl w:val="true"/>
        </w:rPr>
        <w:t>[</w:t>
      </w:r>
      <w:r>
        <w:rPr>
          <w:rtl w:val="true"/>
        </w:rPr>
        <w:t>ما يعتبر في نشر الحرمة في الرضاع</w:t>
      </w:r>
      <w:r>
        <w:rPr>
          <w:rtl w:val="true"/>
        </w:rPr>
        <w:t>]</w:t>
      </w:r>
      <w:bookmarkEnd w:id="143"/>
    </w:p>
    <w:p>
      <w:pPr>
        <w:pStyle w:val="Heading6"/>
        <w:numPr>
          <w:ilvl w:val="5"/>
          <w:numId w:val="1"/>
        </w:numPr>
        <w:rPr/>
      </w:pPr>
      <w:bookmarkStart w:id="144" w:name="__RefHeading___Toc1985818_2314609296"/>
      <w:bookmarkStart w:id="145" w:name="_Toc55"/>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علماء الإسلام على أنّ من جملة أسباب تحريم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الرضاع في الجملة، و 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 فيما رواه الفريقان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عدّة من أصحابنا في الصحيح و غيره عن أبي عبد اللّٰه و أبي الحسن عليهما السلام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كونه سببا في التحريم يتوقّف على أمور</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1985820_2314609296"/>
      <w:bookmarkStart w:id="147" w:name="_Toc56"/>
      <w:bookmarkEnd w:id="146"/>
      <w:r>
        <w:rPr>
          <w:rtl w:val="true"/>
        </w:rPr>
        <w:t>الأوّل</w:t>
      </w:r>
      <w:r>
        <w:rPr>
          <w:rtl w:val="true"/>
        </w:rPr>
        <w:t xml:space="preserve">: </w:t>
      </w:r>
      <w:r>
        <w:rPr>
          <w:rtl w:val="true"/>
        </w:rPr>
        <w:t>أن يكون اللبن عن وطء صحيح</w:t>
      </w:r>
      <w:bookmarkEnd w:id="14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درّ لا عن وطء أو عن</w:t>
      </w:r>
    </w:p>
    <w:p>
      <w:pPr>
        <w:pStyle w:val="BookText"/>
        <w:rPr/>
      </w:pPr>
      <w:r>
        <w:rPr>
          <w:rFonts w:ascii="Amiri" w:hAnsi="Amiri" w:eastAsia="Amiri" w:cs="Amiri"/>
          <w:color w:val="111111"/>
          <w:sz w:val="28"/>
          <w:sz w:val="28"/>
          <w:szCs w:val="28"/>
          <w:rtl w:val="true"/>
          <w:lang w:bidi="ar-SA"/>
        </w:rPr>
        <w:t>وطء بالزنا، لم ينشر</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 xml:space="preserve">على المعروف بين الأصحاب، و حكى عليه الإجماع في المدارك عن جماعة </w:t>
      </w:r>
      <w:r>
        <w:rPr>
          <w:rStyle w:val="FootnoteAnchor"/>
          <w:rtl w:val="true"/>
        </w:rPr>
        <w:footnoteReference w:id="1294"/>
      </w:r>
      <w:r>
        <w:rPr>
          <w:rFonts w:ascii="Amiri" w:hAnsi="Amiri" w:eastAsia="Amiri" w:cs="Amiri"/>
          <w:color w:val="111111"/>
          <w:sz w:val="28"/>
          <w:sz w:val="28"/>
          <w:szCs w:val="28"/>
          <w:rtl w:val="true"/>
          <w:lang w:bidi="ar-SA"/>
        </w:rPr>
        <w:t xml:space="preserve">منهم جدّه في المسالك </w:t>
      </w:r>
      <w:r>
        <w:rPr>
          <w:rStyle w:val="FootnoteAnchor"/>
          <w:rtl w:val="true"/>
        </w:rPr>
        <w:footnoteReference w:id="1295"/>
      </w:r>
      <w:r>
        <w:rPr>
          <w:rFonts w:ascii="Amiri" w:hAnsi="Amiri" w:eastAsia="Amiri" w:cs="Amiri"/>
          <w:color w:val="111111"/>
          <w:sz w:val="28"/>
          <w:sz w:val="28"/>
          <w:szCs w:val="28"/>
          <w:rtl w:val="true"/>
          <w:lang w:bidi="ar-SA"/>
        </w:rPr>
        <w:t>للأصل، فإنّ إطلاقات التحريم بالرضاع منصرفة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لبن الفحل؟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أرضعت امرأتك من لبنك و لبن ولدك ولد امرأة أخرى، فهو حرام</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مثلها حسنته بابن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أرضعت امرأتك من لبن ولدك ولد امرأة أخرى</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اشتراط كون اللّبن عن الوطء أنّه لا حكم للبن الرجل، و في حكمه لبن الخنثى المشكل أمره، بناء على أنّه لو علم كون لبنه من الوطء، فلا إشكال في كونها امرأة، إلّا ما ورد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خنثى ولدت و أولدت في أيّام أمير المؤمنين، فألحقه عليه السلام بالرجال بعد عدّ أضلاعه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 في التحرير هذا الخبر من الشواذّ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حكم أيضا للبن المرأة الموطوءة الغير الحاصل من الوطء، فإنّ اللبن إنّما يحصل عن الوطء بعد العلوق و الحمل و تخلّق الولد؛ و قد استفيد جميع ذلك من الصحيحة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يعتبر انفصال الولد، أو يكفي الحمل؟ وجهان، بل قولان، اختار العلّامة أوّلهما في التحرير </w:t>
      </w:r>
      <w:r>
        <w:rPr>
          <w:rStyle w:val="FootnoteAnchor"/>
          <w:rtl w:val="true"/>
        </w:rPr>
        <w:footnoteReference w:id="1300"/>
      </w:r>
      <w:r>
        <w:rPr>
          <w:rFonts w:ascii="Amiri" w:hAnsi="Amiri" w:eastAsia="Amiri" w:cs="Amiri"/>
          <w:color w:val="111111"/>
          <w:sz w:val="28"/>
          <w:sz w:val="28"/>
          <w:szCs w:val="28"/>
          <w:rtl w:val="true"/>
          <w:lang w:bidi="ar-SA"/>
        </w:rPr>
        <w:t xml:space="preserve">و ثانيهما في القواعد </w:t>
      </w:r>
      <w:r>
        <w:rPr>
          <w:rStyle w:val="FootnoteAnchor"/>
          <w:rtl w:val="true"/>
        </w:rPr>
        <w:footnoteReference w:id="1301"/>
      </w:r>
      <w:r>
        <w:rPr>
          <w:rFonts w:ascii="Amiri" w:hAnsi="Amiri" w:eastAsia="Amiri" w:cs="Amiri"/>
          <w:color w:val="111111"/>
          <w:sz w:val="28"/>
          <w:sz w:val="28"/>
          <w:szCs w:val="28"/>
          <w:rtl w:val="true"/>
          <w:lang w:bidi="ar-SA"/>
        </w:rPr>
        <w:t>و هو الأظهر، للإطلاقات، و قول الصادق عليه السلام في صحيحة بريد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امرأة أرضعت من لبن فحلها ولد امرأة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غلام أو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الرضاع الذي قال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دلّ من الصحاح و غيرها على إناطة التحريم بكون اللبن من الفحل، كصحيحة الحلبي </w:t>
      </w:r>
      <w:r>
        <w:rPr>
          <w:rStyle w:val="FootnoteAnchor"/>
          <w:rtl w:val="true"/>
        </w:rPr>
        <w:footnoteReference w:id="1303"/>
      </w:r>
      <w:r>
        <w:rPr>
          <w:rFonts w:ascii="Amiri" w:hAnsi="Amiri" w:eastAsia="Amiri" w:cs="Amiri"/>
          <w:color w:val="111111"/>
          <w:sz w:val="28"/>
          <w:sz w:val="28"/>
          <w:szCs w:val="28"/>
          <w:rtl w:val="true"/>
          <w:lang w:bidi="ar-SA"/>
        </w:rPr>
        <w:t>و موثّقة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بأحمد بن فضّال </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أبي بصير </w:t>
      </w:r>
      <w:r>
        <w:rPr>
          <w:rStyle w:val="FootnoteAnchor"/>
          <w:rtl w:val="true"/>
        </w:rPr>
        <w:footnoteReference w:id="1305"/>
      </w:r>
      <w:r>
        <w:rPr>
          <w:rFonts w:ascii="Amiri" w:hAnsi="Amiri" w:eastAsia="Amiri" w:cs="Amiri"/>
          <w:color w:val="111111"/>
          <w:sz w:val="28"/>
          <w:sz w:val="28"/>
          <w:szCs w:val="28"/>
          <w:rtl w:val="true"/>
          <w:lang w:bidi="ar-SA"/>
        </w:rPr>
        <w:t>، و لا ينافيها قوله في صحيحة ابن سنان و حسنته المتقدّمتين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لبن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يصدق على ذلك اللبن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لبن الولد، كما يشهد به العرف</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دعوى عدم صدق الولد مضافا إلى الأب على الحمل، محلّ نظر، مع</w:t>
      </w:r>
    </w:p>
    <w:p>
      <w:pPr>
        <w:pStyle w:val="BookText"/>
        <w:rPr/>
      </w:pPr>
      <w:r>
        <w:rPr>
          <w:rFonts w:ascii="Amiri" w:hAnsi="Amiri" w:eastAsia="Amiri" w:cs="Amiri"/>
          <w:color w:val="111111"/>
          <w:sz w:val="28"/>
          <w:sz w:val="28"/>
          <w:szCs w:val="28"/>
          <w:rtl w:val="true"/>
          <w:lang w:bidi="ar-SA"/>
        </w:rPr>
        <w:t>أنّها غير قادحة فيما نحن فيه، لأنّ وجود الولد بالفعل لا يعتبر في إضافة اللبن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روايتي يونس بن يعقوب و يعقوب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درّ اللبن من غير ولادة لا يوجب النشر </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قابلتان للحمل على درّ اللبن من غير ولادة رأسا حتّى في المستقبل، بأن يكون الدرّ لا عن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ينهضان لتقييد إطلاقات الكتاب و السنّة، إلّا أن يمنع عمومها، لدعوى انصرافها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الإرضاع بعد الوضع، فيرجع في غيره إلى أصالة الإباحة،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الوطء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كون اللبن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الوطء بالنكاح الدائم، و المنقطع و ملك اليمين و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الوطء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إلحاقه في النشر بالنكاح و أخويه، كما في غالب الأحكام؛ و تردّد فيه المحقّق في الشرائع </w:t>
      </w:r>
      <w:r>
        <w:rPr>
          <w:rStyle w:val="FootnoteAnchor"/>
          <w:rtl w:val="true"/>
        </w:rPr>
        <w:footnoteReference w:id="1307"/>
      </w:r>
      <w:r>
        <w:rPr>
          <w:rFonts w:ascii="Amiri" w:hAnsi="Amiri" w:eastAsia="Amiri" w:cs="Amiri"/>
          <w:color w:val="111111"/>
          <w:sz w:val="28"/>
          <w:sz w:val="28"/>
          <w:szCs w:val="28"/>
          <w:rtl w:val="true"/>
          <w:lang w:bidi="ar-SA"/>
        </w:rPr>
        <w:t xml:space="preserve">، و عن الحلّي الجزم بعدم النشر أوّلا، ثمّ بالنشر ثانيا، ثمّ النظر و التردّد ثالثا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المسألة محلّ إشكال، من إطلاق الكتاب و السنّة، فإنّ الفحل في صحيحة بريد المتقدّمة </w:t>
      </w:r>
      <w:r>
        <w:rPr>
          <w:rStyle w:val="FootnoteAnchor"/>
          <w:rtl w:val="true"/>
        </w:rPr>
        <w:footnoteReference w:id="1309"/>
      </w:r>
      <w:r>
        <w:rPr>
          <w:rFonts w:ascii="Amiri" w:hAnsi="Amiri" w:eastAsia="Amiri" w:cs="Amiri"/>
          <w:color w:val="111111"/>
          <w:sz w:val="28"/>
          <w:sz w:val="28"/>
          <w:szCs w:val="28"/>
          <w:rtl w:val="true"/>
          <w:lang w:bidi="ar-SA"/>
        </w:rPr>
        <w:t>و غيرها أعمّ من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وطء الشبهة بمنزلة النكاح في لحوق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الأصل و انصراف الإطلاقات إلى غير هذا الفرد، و قوله في صحيحة ابن سنان و حسنته السابقتين</w:t>
      </w:r>
      <w:r>
        <w:rPr>
          <w:rFonts w:eastAsia="Amiri" w:cs="Amiri" w:ascii="Amiri" w:hAnsi="Amiri"/>
          <w:color w:val="111111"/>
          <w:sz w:val="28"/>
          <w:szCs w:val="28"/>
          <w:rtl w:val="true"/>
          <w:lang w:bidi="ar-SA"/>
        </w:rPr>
        <w:t>:</w:t>
      </w:r>
      <w:bookmarkStart w:id="148" w:name="pg19718_239183"/>
    </w:p>
    <w:p>
      <w:pPr>
        <w:pStyle w:val="BookText"/>
        <w:rPr/>
      </w:pPr>
      <w:bookmarkEnd w:id="1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أرضعت امرأتك</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بني على دعوى ورود التقييد بالمرأة مورد الغالب جرى مثله في غيره من القيود، فينسدّ باب الاستدلال على اعتبار كثير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تردّد في المدارك </w:t>
      </w:r>
      <w:r>
        <w:rPr>
          <w:rStyle w:val="FootnoteAnchor"/>
          <w:rtl w:val="true"/>
        </w:rPr>
        <w:footnoteReference w:id="1311"/>
      </w:r>
      <w:r>
        <w:rPr>
          <w:rFonts w:ascii="Amiri" w:hAnsi="Amiri" w:eastAsia="Amiri" w:cs="Amiri"/>
          <w:color w:val="111111"/>
          <w:sz w:val="28"/>
          <w:sz w:val="28"/>
          <w:szCs w:val="28"/>
          <w:rtl w:val="true"/>
          <w:lang w:bidi="ar-SA"/>
        </w:rPr>
        <w:t>و هو في محلّه، إلّا أنّ القول بالنشر لا يخلو عن قوّة، لأنّ دلالة المطلقات على الإطلاق أقوى من دلالة المقيّد على الاختصاص، مع أنّ تخصيص اللبن 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فرض استفادته من صحيحة ابن سنان و حسنته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للإجماع، للاتّفاق على النشر بالارتضاع من المملوكة و المحلّلة، فلا بدّ من حمل التقييد فيها على التمثيل بالفرد الغالب، و إن احتيج في إخراج اللبن الحاصل من الزنا عن إطلاقهما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شمول الولد فيهما لولد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دعوى الإجماع على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يكشف عمّا ذكرنا عدم تصريح أحد من فقهائنا بعدم النشر في المسألة، و لحوق وطء الشبهة بالنكاح في غالب الأحكام</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1985822_2314609296"/>
      <w:bookmarkStart w:id="150" w:name="_Toc57"/>
      <w:bookmarkEnd w:id="149"/>
      <w:r>
        <w:rPr>
          <w:rtl w:val="true"/>
        </w:rPr>
        <w:t>الثاني من الشروط</w:t>
      </w:r>
      <w:r>
        <w:rPr>
          <w:rtl w:val="true"/>
        </w:rPr>
        <w:t xml:space="preserve">: </w:t>
      </w:r>
      <w:r>
        <w:rPr>
          <w:rtl w:val="true"/>
        </w:rPr>
        <w:t>كون شرب اللبن على وجه الامتصاص من الثدي</w:t>
      </w:r>
      <w:bookmarkEnd w:id="15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ينشر الحرمة بوجور اللبن في حلق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بين معظم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الارتضاع المنوط به النشر في الأدلّة لا يتحقّق عرفا إلّا بالامتصاص، فلا يقال لمن شرب اللبن المحلوب من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ارتضع منها، بخلاف ما لو امتصّ من ثديها، و لو فرض تسليم شمول الارتضاع لغير الامتصاص، فلا مجال لإنكار انصرافه إليه فيبقى الحكم في ما عداه باقيا تحت أصالة الإباحة</w:t>
      </w:r>
      <w:r>
        <w:rPr>
          <w:rFonts w:eastAsia="Amiri" w:cs="Amiri" w:ascii="Amiri" w:hAnsi="Amiri"/>
          <w:color w:val="111111"/>
          <w:sz w:val="28"/>
          <w:szCs w:val="28"/>
          <w:rtl w:val="true"/>
          <w:lang w:bidi="ar-SA"/>
        </w:rPr>
        <w:t>.</w:t>
      </w:r>
      <w:bookmarkStart w:id="151" w:name="pg19718_239184"/>
    </w:p>
    <w:p>
      <w:pPr>
        <w:pStyle w:val="BookText"/>
        <w:rPr/>
      </w:pPr>
      <w:bookmarkEnd w:id="151"/>
      <w:r>
        <w:rPr>
          <w:rFonts w:ascii="Amiri" w:hAnsi="Amiri" w:eastAsia="Amiri" w:cs="Amiri"/>
          <w:color w:val="111111"/>
          <w:sz w:val="28"/>
          <w:sz w:val="28"/>
          <w:szCs w:val="28"/>
          <w:rtl w:val="true"/>
          <w:lang w:bidi="ar-SA"/>
        </w:rPr>
        <w:t xml:space="preserve">خلافا للمحكيّ عن ابن الجنيد، فاكتفى بالوجور </w:t>
      </w:r>
      <w:r>
        <w:rPr>
          <w:rStyle w:val="FootnoteAnchor"/>
          <w:rtl w:val="true"/>
        </w:rPr>
        <w:footnoteReference w:id="1312"/>
      </w:r>
      <w:r>
        <w:rPr>
          <w:rFonts w:ascii="Amiri" w:hAnsi="Amiri" w:eastAsia="Amiri" w:cs="Amiri"/>
          <w:color w:val="111111"/>
          <w:sz w:val="28"/>
          <w:sz w:val="28"/>
          <w:szCs w:val="28"/>
          <w:rtl w:val="true"/>
          <w:lang w:bidi="ar-SA"/>
        </w:rPr>
        <w:t>إمّا لدعوى صدق الإرضاع، و إمّا لحصول ما هو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إنبات اللحم و 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للمرسل المرويّ في الفقيه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جور الصبيّ اللبن بمنزلة الرضاع</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الكلّ نظر، لخلوّ الدعوى المذكورة عن البيّنة، كدعوى كون المناط في النشر مجرّد إنبات اللحم و شدّ العظم، و ضعف المرسلة و معارضتها برواية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ارتضع من ثدي واحد حولين كاملين</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بناء على جعل الحولين ظرفا لأصل الرضاع، لا لقدره حتّى يخالف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المشهور، إلّا أنّ الأولى مراعاة الاحتياط</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1985824_2314609296"/>
      <w:bookmarkStart w:id="153" w:name="_Toc58"/>
      <w:bookmarkEnd w:id="152"/>
      <w:r>
        <w:rPr>
          <w:rtl w:val="true"/>
        </w:rPr>
        <w:t>الثالث</w:t>
      </w:r>
      <w:r>
        <w:rPr>
          <w:rtl w:val="true"/>
        </w:rPr>
        <w:t xml:space="preserve">: </w:t>
      </w:r>
      <w:r>
        <w:rPr>
          <w:rtl w:val="true"/>
        </w:rPr>
        <w:t>حياة المرتضع منها</w:t>
      </w:r>
      <w:bookmarkEnd w:id="15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اعتداد بما يرتضعه من المرأة بعد موتها على المشهور، بل لم أعثر فيه على حكاية خلاف صريح في المسألة؛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أُمَّهٰاتُكُمُ اللّٰاتِي أَرْضَعْنَكُمْ </w:t>
      </w:r>
      <w:r>
        <w:rPr>
          <w:rStyle w:val="FootnoteAnchor"/>
          <w:rtl w:val="true"/>
        </w:rPr>
        <w:footnoteReference w:id="1315"/>
      </w:r>
      <w:r>
        <w:rPr>
          <w:rFonts w:ascii="Amiri" w:hAnsi="Amiri" w:eastAsia="Amiri" w:cs="Amiri"/>
          <w:color w:val="111111"/>
          <w:sz w:val="28"/>
          <w:sz w:val="28"/>
          <w:szCs w:val="28"/>
          <w:rtl w:val="true"/>
          <w:lang w:bidi="ar-SA"/>
        </w:rPr>
        <w:t xml:space="preserve">الظاهرة في مباشرة المرأة للإرضاع المنتفية في حقّ الميّتة، فيدخل في عموم وَ أُحِلَّ لَكُمْ مٰا وَرٰاءَ ذٰلِكُمْ </w:t>
      </w:r>
      <w:r>
        <w:rPr>
          <w:rStyle w:val="FootnoteAnchor"/>
          <w:rtl w:val="true"/>
        </w:rPr>
        <w:footnoteReference w:id="1316"/>
      </w:r>
      <w:r>
        <w:rPr>
          <w:rFonts w:ascii="Amiri" w:hAnsi="Amiri" w:eastAsia="Amiri" w:cs="Amiri"/>
          <w:color w:val="111111"/>
          <w:sz w:val="28"/>
          <w:sz w:val="28"/>
          <w:szCs w:val="28"/>
          <w:rtl w:val="true"/>
          <w:lang w:bidi="ar-SA"/>
        </w:rPr>
        <w:t xml:space="preserve">و لأصالة الإباحة إلى أن يثبت المزيل </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خرجت</w:t>
      </w:r>
    </w:p>
    <w:p>
      <w:pPr>
        <w:pStyle w:val="BookText"/>
        <w:rPr/>
      </w:pPr>
      <w:r>
        <w:rPr>
          <w:rFonts w:ascii="Amiri" w:hAnsi="Amiri" w:eastAsia="Amiri" w:cs="Amiri"/>
          <w:color w:val="111111"/>
          <w:sz w:val="28"/>
          <w:sz w:val="28"/>
          <w:szCs w:val="28"/>
          <w:rtl w:val="true"/>
          <w:lang w:bidi="ar-SA"/>
        </w:rPr>
        <w:t xml:space="preserve">بالموت عن التحاق الأحكام، فهي كالبهيمة المرضعة </w:t>
      </w:r>
      <w:r>
        <w:rPr>
          <w:rStyle w:val="FootnoteAnchor"/>
          <w:rtl w:val="true"/>
        </w:rPr>
        <w:footnoteReference w:id="1318"/>
      </w:r>
      <w:r>
        <w:rPr>
          <w:rFonts w:ascii="Amiri" w:hAnsi="Amiri" w:eastAsia="Amiri" w:cs="Amiri"/>
          <w:color w:val="111111"/>
          <w:sz w:val="28"/>
          <w:sz w:val="28"/>
          <w:szCs w:val="28"/>
          <w:rtl w:val="true"/>
          <w:lang w:bidi="ar-SA"/>
        </w:rPr>
        <w:t xml:space="preserve">، و بأنّ المتبادر من إطلاق الرضاع في الأدلّة ما إذا حصل بالارتضاع من الحيّ، فيبقى غيره داخلا في عموم أدلّة الإباحة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الجميع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ظهور الآية في مباشرة الإرضاع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يجدي، للقطع بخروج الميّتة عن حكم الآية، و لا يلزم منه دخولها في قوله وَ أُحِلَّ لَكُمْ مٰا وَرٰاءَ ذٰلِكُمْ؛ لعدم قابليّة الميّت للحكم عليه بالتحريم و لا التحليل، فإنّ الكلام في الارتضاع من الميّتة إنّما هو في حدوث الحرمة بين الرضيع و غير الميّتة ممّن يتعلّق به اللبن، فيكفي لمدّعي النشر عموم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أَخَوٰاتُكُمْ مِنَ الرَّضٰاعَةِ </w:t>
      </w:r>
      <w:r>
        <w:rPr>
          <w:rStyle w:val="FootnoteAnchor"/>
          <w:rtl w:val="true"/>
        </w:rPr>
        <w:footnoteReference w:id="1320"/>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1321"/>
      </w:r>
      <w:r>
        <w:rPr>
          <w:rFonts w:ascii="Amiri" w:hAnsi="Amiri" w:eastAsia="Amiri" w:cs="Amiri"/>
          <w:color w:val="111111"/>
          <w:sz w:val="28"/>
          <w:sz w:val="28"/>
          <w:szCs w:val="28"/>
          <w:rtl w:val="true"/>
          <w:lang w:bidi="ar-SA"/>
        </w:rPr>
        <w:t xml:space="preserve">و لا ظهور لهما في مباشرة المرأة للإرضاع؛ مع أنّ مباشرة المرأة للإرضاع، و قصدها إليه غير شرط إجماعا، كما ادّعاه في المسالك </w:t>
      </w:r>
      <w:r>
        <w:rPr>
          <w:rStyle w:val="FootnoteAnchor"/>
          <w:rtl w:val="true"/>
        </w:rPr>
        <w:footnoteReference w:id="1322"/>
      </w:r>
      <w:r>
        <w:rPr>
          <w:rFonts w:ascii="Amiri" w:hAnsi="Amiri" w:eastAsia="Amiri" w:cs="Amiri"/>
          <w:color w:val="111111"/>
          <w:sz w:val="28"/>
          <w:sz w:val="28"/>
          <w:szCs w:val="28"/>
          <w:rtl w:val="true"/>
          <w:lang w:bidi="ar-SA"/>
        </w:rPr>
        <w:t>بل لو سعى إليها الولد و هي نائمة، أو التقم ثديها و هي غافلة، تحقّق الحكم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الآية دالّة بظاهرها على اعتبار الحياة و المباشرة</w:t>
      </w:r>
    </w:p>
    <w:p>
      <w:pPr>
        <w:pStyle w:val="BookText"/>
        <w:rPr/>
      </w:pPr>
      <w:r>
        <w:rPr>
          <w:rFonts w:ascii="Amiri" w:hAnsi="Amiri" w:eastAsia="Amiri" w:cs="Amiri"/>
          <w:color w:val="111111"/>
          <w:sz w:val="28"/>
          <w:sz w:val="28"/>
          <w:szCs w:val="28"/>
          <w:rtl w:val="true"/>
          <w:lang w:bidi="ar-SA"/>
        </w:rPr>
        <w:t>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من عدم اعتبار الأخيرين لصارف عدم اعتبار الأوّل </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لأنّ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الجميع دلالة واحدة، فلا يمكن التفكيك في مدلولها؛ و لهذا لم نتمسّك بالأخبار الدالّة على الإرضاع مع سلامتها عن بعض ما يرد على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التمسّك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لو لا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خروج الميّتة عن قابليّة الحكم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أمر مسلّم و لا كلام فيه، و إنّما الكلام في نشر الحرمة بين الرضيع و أصوله و فروعه، و بين غير هذه المرأة، من الفحل و أولاده و أولاد المرأة </w:t>
      </w:r>
      <w:r>
        <w:rPr>
          <w:rStyle w:val="FootnoteAnchor"/>
          <w:rtl w:val="true"/>
        </w:rPr>
        <w:footnoteReference w:id="1324"/>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تبادر غير الارتضاع من الميّتة في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إطلاقها ممنوعة؛ فإنّا لا نجد في السبق إلى الذهن تفاوتا بين من ارتضع منه جميع الرضعات حال الحياة، و بين من ارتضع منه حال الحياة خمس عشرة رضعة إلّا جزءا واحدا فأكملها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الإطلاقات إلى غير صورة ارتضاع جميع الرضعات حال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فالأحسن في الاستدلال على اعتبار الحياة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فروض الارتضاع من الميّتة خارج عن إطلاق مثل قوله تعالى وَ أَخَوٰاتُكُمْ مِنَ الرَّضٰاعَةِ؛ لانصراف المطلق إلى غيره كما عرفت، فيدخل تحت قوله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أُحِلَّ لَكُمْ مٰا وَرٰاءَ ذٰلِكُمْ فيثبت عدم النشر في هذا الفرد بالآية، و يجب إلحاق غيره من الفروض الداخلة تحت إطلاق آية التحريم بعدم القول</w:t>
      </w:r>
      <w:bookmarkStart w:id="154" w:name="pg19718_239187"/>
    </w:p>
    <w:p>
      <w:pPr>
        <w:pStyle w:val="BookText"/>
        <w:rPr/>
      </w:pPr>
      <w:bookmarkEnd w:id="154"/>
      <w:r>
        <w:rPr>
          <w:rFonts w:ascii="IRNazanin" w:hAnsi="IRNazanin" w:eastAsia="IRNazanin"/>
          <w:color w:val="111111"/>
          <w:sz w:val="28"/>
          <w:sz w:val="28"/>
          <w:szCs w:val="28"/>
          <w:rtl w:val="true"/>
          <w:lang w:bidi="fa-IR"/>
        </w:rPr>
        <w:t>بالفصل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قلب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يثبت التحريم في الفروض الداخلة تحت إطلاق آية التحريم بها و يلحق الفرض الخارج عنه 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ممكنا، إلّا أنّ غاية الأمر وقوع التعارض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آيتي التحريم و التحليل، فيجب الرجوع إلى أدلّة الإباحة، من العمومات و الأصول المعتضدة بفتوى معظم الفحول</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1985826_2314609296"/>
      <w:bookmarkStart w:id="156" w:name="_Toc59"/>
      <w:bookmarkEnd w:id="155"/>
      <w:r>
        <w:rPr>
          <w:rtl w:val="true"/>
        </w:rPr>
        <w:t>الرابع</w:t>
      </w:r>
      <w:r>
        <w:rPr>
          <w:rtl w:val="true"/>
        </w:rPr>
        <w:t xml:space="preserve">: </w:t>
      </w:r>
      <w:r>
        <w:rPr>
          <w:rtl w:val="true"/>
        </w:rPr>
        <w:t>أن يقع مجموع الرضاع المعتبر من الرضيع في حولي رضاعه</w:t>
      </w:r>
      <w:bookmarkEnd w:id="156"/>
    </w:p>
    <w:p>
      <w:pPr>
        <w:pStyle w:val="BookText"/>
        <w:rPr/>
      </w:pPr>
      <w:r>
        <w:rPr>
          <w:rFonts w:ascii="Amiri" w:hAnsi="Amiri" w:eastAsia="Amiri" w:cs="Amiri"/>
          <w:color w:val="111111"/>
          <w:sz w:val="28"/>
          <w:sz w:val="28"/>
          <w:szCs w:val="28"/>
          <w:rtl w:val="true"/>
          <w:lang w:bidi="ar-SA"/>
        </w:rPr>
        <w:t>فلا اعتداد بما يرتضع بعد الحولين على المعروف من مذهب الأصحاب، و نقل عن التذكرة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إجماعهم عليه </w:t>
      </w:r>
      <w:r>
        <w:rPr>
          <w:rStyle w:val="FootnoteAnchor"/>
          <w:rtl w:val="true"/>
        </w:rPr>
        <w:footnoteReference w:id="1325"/>
      </w: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عنه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رواية حمّاد بن عثمان عنه عليه السلام بزيادة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الفطام؟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الحولين اللذين </w:t>
      </w:r>
      <w:r>
        <w:rPr>
          <w:rStyle w:val="FootnoteAnchor"/>
          <w:rtl w:val="true"/>
        </w:rPr>
        <w:footnoteReference w:id="1328"/>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رواية الفضل بن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قبل الحولين، قبل أن يفطم</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منصور بن حازم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المراد بالفطام في الأخبار المطلقة هو زمان الفطام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روايتا الفضل و حمّاد، فلا عبرة بنفس الفطام، حتّى أنّه لو لم يفطم الرضيع إلى أن تجاوز الحولين، ثمّ ارتضع بعدهما قبل الفطام لم يثبت التحريم، كما أنّه لو فطم قبل الحولين، ثمّ ارتضع قبلهما ثبت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ابن الجنيد المخالفة في الحكم الأوّل و ثبوت التحريم إذا وقع الرضاع بعد الحولين قبل الفطم </w:t>
      </w:r>
      <w:r>
        <w:rPr>
          <w:rStyle w:val="FootnoteAnchor"/>
          <w:rtl w:val="true"/>
        </w:rPr>
        <w:footnoteReference w:id="1332"/>
      </w:r>
      <w:r>
        <w:rPr>
          <w:rFonts w:ascii="Amiri" w:hAnsi="Amiri" w:eastAsia="Amiri" w:cs="Amiri"/>
          <w:color w:val="111111"/>
          <w:sz w:val="28"/>
          <w:sz w:val="28"/>
          <w:szCs w:val="28"/>
          <w:rtl w:val="true"/>
          <w:lang w:bidi="ar-SA"/>
        </w:rPr>
        <w:t xml:space="preserve">و لعلّه لرواية داود بن الحصين المرويّة في الفقيه </w:t>
      </w:r>
      <w:r>
        <w:rPr>
          <w:rStyle w:val="FootnoteAnchor"/>
          <w:rtl w:val="true"/>
        </w:rPr>
        <w:footnoteReference w:id="1333"/>
      </w:r>
      <w:r>
        <w:rPr>
          <w:rFonts w:ascii="Amiri" w:hAnsi="Amiri" w:eastAsia="Amiri" w:cs="Amiri"/>
          <w:color w:val="111111"/>
          <w:sz w:val="28"/>
          <w:sz w:val="28"/>
          <w:szCs w:val="28"/>
          <w:rtl w:val="true"/>
          <w:lang w:bidi="ar-SA"/>
        </w:rPr>
        <w:t xml:space="preserve">و التهذيب </w:t>
      </w:r>
      <w:r>
        <w:rPr>
          <w:rStyle w:val="FootnoteAnchor"/>
          <w:rtl w:val="true"/>
        </w:rPr>
        <w:footnoteReference w:id="1334"/>
      </w:r>
      <w:r>
        <w:rPr>
          <w:rFonts w:ascii="Amiri" w:hAnsi="Amiri" w:eastAsia="Amiri" w:cs="Amiri"/>
          <w:color w:val="111111"/>
          <w:sz w:val="28"/>
          <w:sz w:val="28"/>
          <w:szCs w:val="28"/>
          <w:rtl w:val="true"/>
          <w:lang w:bidi="ar-SA"/>
        </w:rPr>
        <w:t>المردودة فيه بالمخالفة للأحاديث كلّها، و في كلام محكيّ عن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الفتوى مسبوقة بالإجماع و ملحوقة به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يحك فيه الخلاف إلّا عن موهم ظاهر كلام العماني،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الذي يحرّم عشر رضعات قبل الفطام </w:t>
      </w:r>
      <w:r>
        <w:rPr>
          <w:rStyle w:val="FootnoteAnchor"/>
          <w:rtl w:val="true"/>
        </w:rPr>
        <w:footnoteReference w:id="1336"/>
      </w:r>
      <w:r>
        <w:rPr>
          <w:rFonts w:ascii="IRNazanin" w:hAnsi="IRNazanin" w:eastAsia="IRNazanin"/>
          <w:color w:val="111111"/>
          <w:sz w:val="28"/>
          <w:sz w:val="28"/>
          <w:szCs w:val="28"/>
          <w:rtl w:val="true"/>
          <w:lang w:bidi="fa-IR"/>
        </w:rPr>
        <w:t xml:space="preserve">، و عن المختلف </w:t>
      </w:r>
      <w:r>
        <w:rPr>
          <w:rStyle w:val="FootnoteAnchor"/>
          <w:rtl w:val="true"/>
        </w:rPr>
        <w:footnoteReference w:id="1337"/>
      </w:r>
      <w:r>
        <w:rPr>
          <w:rFonts w:ascii="Amiri" w:hAnsi="Amiri" w:eastAsia="Amiri" w:cs="Amiri"/>
          <w:color w:val="111111"/>
          <w:sz w:val="28"/>
          <w:sz w:val="28"/>
          <w:szCs w:val="28"/>
          <w:rtl w:val="true"/>
          <w:lang w:bidi="ar-SA"/>
        </w:rPr>
        <w:t>الاستدلال له برواية الفضل بن عبد الملك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قبل الحولين قبل أن يفطم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يستحقّ الفطم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و جار في عبارة العماني أيضا، فيرتفع الخلاف</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هل يعتبر في ولد المرضعة الذي يحصل اللّبن من ولادته كونه في</w:t>
      </w:r>
    </w:p>
    <w:p>
      <w:pPr>
        <w:pStyle w:val="BookText"/>
        <w:rPr/>
      </w:pPr>
      <w:r>
        <w:rPr>
          <w:rFonts w:ascii="Amiri" w:hAnsi="Amiri" w:eastAsia="Amiri" w:cs="Amiri"/>
          <w:color w:val="111111"/>
          <w:sz w:val="28"/>
          <w:sz w:val="28"/>
          <w:szCs w:val="28"/>
          <w:rtl w:val="true"/>
          <w:lang w:bidi="ar-SA"/>
        </w:rPr>
        <w:t>الحولين حين ارتضاع المرتضع من لبنه، بحيث لا يقع شي‌ء من الارتضاع بعد تجاوزه إيّاهما، أم لا؟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المحكيّ عن أبي الصلاح، و ابن زهرة و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1338"/>
      </w:r>
      <w:r>
        <w:rPr>
          <w:rFonts w:ascii="Amiri" w:hAnsi="Amiri" w:eastAsia="Amiri" w:cs="Amiri"/>
          <w:color w:val="111111"/>
          <w:sz w:val="28"/>
          <w:sz w:val="28"/>
          <w:szCs w:val="28"/>
          <w:rtl w:val="true"/>
          <w:lang w:bidi="ar-SA"/>
        </w:rPr>
        <w:t>تمسّكا بظاهر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لفطام المرتضع و ولد المرضعة، بل لم يفهم منه ابن بكير إلّا فطام ولد المرضعة، لمّا سأله ابن فضّال عن امرأة أرضعت غلاما سنتين، ثمّ أرضعت صبيّة لها أقلّ من سنتين حتّى تمّت لها سنتان </w:t>
      </w:r>
      <w:r>
        <w:rPr>
          <w:rStyle w:val="FootnoteAnchor"/>
          <w:rtl w:val="true"/>
        </w:rPr>
        <w:footnoteReference w:id="1339"/>
      </w:r>
      <w:r>
        <w:rPr>
          <w:rFonts w:ascii="Amiri" w:hAnsi="Amiri" w:eastAsia="Amiri" w:cs="Amiri"/>
          <w:color w:val="111111"/>
          <w:sz w:val="28"/>
          <w:sz w:val="28"/>
          <w:szCs w:val="28"/>
          <w:rtl w:val="true"/>
          <w:lang w:bidi="ar-SA"/>
        </w:rPr>
        <w:t>أ يفسد ذلك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 ذلك بينهما</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لأنّه رضاع بعد فطام، و إنّما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أنّه إذا تمّ للغلام سنتان، أو الجارية، فقد خرج كلّ عن حدّ اللبن، و لا يفسد بينه و بين من شرب منه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الأكثر على الثاني؛ و هو الأظهر؛ للأصل و الإطلاقات؛ و لظهور الخبر المذكور في فطام المرتضع، أو عدم ظهوره في العموم الموجب للشكّ في تقييد المطلقات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تفسير ابن بكير للخبر معارض بما فسّره به ثقة الإسلام، و الصدوق في الكافي و الفقيه؛ قال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إذا شرب لبن المرأة بعد ما تفطمه لا يحرم ذلك الرضاع التناكح </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w:t>
      </w:r>
      <w:bookmarkStart w:id="157" w:name="pg19718_239190"/>
    </w:p>
    <w:p>
      <w:pPr>
        <w:pStyle w:val="BookText"/>
        <w:rPr/>
      </w:pPr>
      <w:bookmarkEnd w:id="157"/>
      <w:r>
        <w:rPr>
          <w:rFonts w:ascii="Amiri" w:hAnsi="Amiri" w:eastAsia="Amiri" w:cs="Amiri"/>
          <w:color w:val="111111"/>
          <w:sz w:val="28"/>
          <w:sz w:val="28"/>
          <w:szCs w:val="28"/>
          <w:rtl w:val="true"/>
          <w:lang w:bidi="ar-SA"/>
        </w:rPr>
        <w:t xml:space="preserve">منه ما قاله في الفقيه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شيخنا في المسالك ناقش المحقّق في نسبة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يرد إلّا عن الصادق عليه السلام </w:t>
      </w:r>
      <w:r>
        <w:rPr>
          <w:rStyle w:val="FootnoteAnchor"/>
          <w:rtl w:val="true"/>
        </w:rPr>
        <w:footnoteReference w:id="1344"/>
      </w:r>
      <w:r>
        <w:rPr>
          <w:rFonts w:ascii="Amiri" w:hAnsi="Amiri" w:eastAsia="Amiri" w:cs="Amiri"/>
          <w:color w:val="111111"/>
          <w:sz w:val="28"/>
          <w:sz w:val="28"/>
          <w:szCs w:val="28"/>
          <w:rtl w:val="true"/>
          <w:lang w:bidi="ar-SA"/>
        </w:rPr>
        <w:t xml:space="preserve">، و لا يخفى أنّ إسناد الحديث إلى رسول اللّٰه صلّى اللّٰه عليه و آله و سلّم مشهور؛ و قد عرفت أنّ ابن بكير نسبه إليه صلّى اللّٰه عليه و آله و سلّم، و كذا رواه في الفقيه مرسلا عنه صلّى اللّٰه عليه و آله و سلّم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أصدق من ذلك ما رواه في الكافي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رضاع بعد فطام، و لا وصال في صيام، و لا يتم بعد 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فلا وجه للمناقشة المذكورة، إلّا أن يرجع إلى المناقشة في الإسناد، مع عدم ثبوت النسبة بطريق صحيح يجوّز الإسناد على وجه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المعتبر في الحولين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الأهلّة، و لو انكسر الشهر الأوّل اعتبر ثلاثة و عشرون شهرا بعد المنكسر بالأهلّة، و إكمال المنكسر بالعدد من الشهر الخامس و العشرين، كغيره من الآجال، على أظهر الاحتمالات في نظائر المسألة،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1985828_2314609296"/>
      <w:bookmarkStart w:id="159" w:name="_Toc60"/>
      <w:bookmarkEnd w:id="158"/>
      <w:r>
        <w:rPr>
          <w:rtl w:val="true"/>
        </w:rPr>
        <w:t>الخامس</w:t>
      </w:r>
      <w:r>
        <w:rPr>
          <w:rtl w:val="true"/>
        </w:rPr>
        <w:t xml:space="preserve">: </w:t>
      </w:r>
      <w:r>
        <w:rPr>
          <w:rtl w:val="true"/>
        </w:rPr>
        <w:t>أن يكون اللبن بحاله غير ممتزج بشي‌ء</w:t>
      </w:r>
      <w:bookmarkEnd w:id="15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القي في فم الصبيّ شي‌ء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كالدقيق و فتيت السكّر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كيسير من الأطعمة</w:t>
      </w:r>
      <w:bookmarkStart w:id="160" w:name="pg19718_239191"/>
    </w:p>
    <w:p>
      <w:pPr>
        <w:pStyle w:val="BookText"/>
        <w:rPr/>
      </w:pPr>
      <w:bookmarkEnd w:id="160"/>
      <w:r>
        <w:rPr>
          <w:rFonts w:ascii="Amiri" w:hAnsi="Amiri" w:eastAsia="Amiri" w:cs="Amiri"/>
          <w:color w:val="111111"/>
          <w:sz w:val="28"/>
          <w:sz w:val="28"/>
          <w:szCs w:val="28"/>
          <w:rtl w:val="true"/>
          <w:lang w:bidi="ar-SA"/>
        </w:rPr>
        <w:t>المائعة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أرضع بحيث امتزج اللبن حتّى يخرج عن كونه لبنا، لم يعتدّ به، و كذا لو جبّن اللبن؛ و الوجه في ذلك عدم صدق الإطلاقات مع الخروج عن اسم اللبن، أو عدم انصرافها إلّا إلى الخالص</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1985830_2314609296"/>
      <w:bookmarkStart w:id="162" w:name="_Toc61"/>
      <w:bookmarkEnd w:id="161"/>
      <w:r>
        <w:rPr>
          <w:rtl w:val="true"/>
        </w:rPr>
        <w:t>السادس</w:t>
      </w:r>
      <w:r>
        <w:rPr>
          <w:rtl w:val="true"/>
        </w:rPr>
        <w:t xml:space="preserve">: </w:t>
      </w:r>
      <w:r>
        <w:rPr>
          <w:rtl w:val="true"/>
        </w:rPr>
        <w:t>الكمّيّة</w:t>
      </w:r>
      <w:bookmarkEnd w:id="162"/>
    </w:p>
    <w:p>
      <w:pPr>
        <w:pStyle w:val="BookText"/>
        <w:rPr/>
      </w:pPr>
      <w:r>
        <w:rPr>
          <w:rFonts w:ascii="Amiri" w:hAnsi="Amiri" w:eastAsia="Amiri" w:cs="Amiri"/>
          <w:color w:val="111111"/>
          <w:sz w:val="28"/>
          <w:sz w:val="28"/>
          <w:szCs w:val="28"/>
          <w:rtl w:val="true"/>
          <w:lang w:bidi="ar-SA"/>
        </w:rPr>
        <w:t>أي بلوغ الرضاع حدّا خاصّا؛ فإنّه لا خلاف بين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مسمّى الرضاع و مطلقه غير كاف في النشر، و الأخبار بذلك متواترة معنى تأتي الإشارة إلى أكثرها في بيان التقديرات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يوهم ظاهر </w:t>
      </w:r>
      <w:r>
        <w:rPr>
          <w:rStyle w:val="FootnoteAnchor"/>
          <w:rtl w:val="true"/>
        </w:rPr>
        <w:footnoteReference w:id="1347"/>
      </w:r>
      <w:r>
        <w:rPr>
          <w:rFonts w:ascii="Amiri" w:hAnsi="Amiri" w:eastAsia="Amiri" w:cs="Amiri"/>
          <w:color w:val="111111"/>
          <w:sz w:val="28"/>
          <w:sz w:val="28"/>
          <w:szCs w:val="28"/>
          <w:rtl w:val="true"/>
          <w:lang w:bidi="ar-SA"/>
        </w:rPr>
        <w:t>بعض الأخبار حصول الحرمة بالمسمّى، كما سيأتي ذكره في أدلّة مذهب الإسكافي المكتفي بالرضعة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في المسألة بعض العامّة </w:t>
      </w:r>
      <w:r>
        <w:rPr>
          <w:rStyle w:val="FootnoteAnchor"/>
          <w:rtl w:val="true"/>
        </w:rPr>
        <w:footnoteReference w:id="1348"/>
      </w:r>
      <w:r>
        <w:rPr>
          <w:rFonts w:ascii="Amiri" w:hAnsi="Amiri" w:eastAsia="Amiri" w:cs="Amiri"/>
          <w:color w:val="111111"/>
          <w:sz w:val="28"/>
          <w:sz w:val="28"/>
          <w:szCs w:val="28"/>
          <w:rtl w:val="true"/>
          <w:lang w:bidi="ar-SA"/>
        </w:rPr>
        <w:t xml:space="preserve">فاكتفى بالمسمّى و قدّره بما يفطر الصائم، و لم يقنع بذلك، حتّى ادّعى إجماع أهل العلم عليه، على ما حكي في المسالك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1985832_2314609296"/>
      <w:bookmarkStart w:id="164" w:name="_Toc62"/>
      <w:bookmarkEnd w:id="163"/>
      <w:r>
        <w:rPr>
          <w:rtl w:val="true"/>
        </w:rPr>
        <w:t>[</w:t>
      </w:r>
      <w:r>
        <w:rPr>
          <w:rtl w:val="true"/>
        </w:rPr>
        <w:t>تقديرات الحد الخاص للرضاع و الاختلاف فيه</w:t>
      </w:r>
      <w:r>
        <w:rPr>
          <w:rtl w:val="true"/>
        </w:rPr>
        <w:t>]</w:t>
      </w:r>
      <w:bookmarkEnd w:id="164"/>
    </w:p>
    <w:p>
      <w:pPr>
        <w:pStyle w:val="Heading6"/>
        <w:numPr>
          <w:ilvl w:val="5"/>
          <w:numId w:val="1"/>
        </w:numPr>
        <w:rPr/>
      </w:pPr>
      <w:bookmarkStart w:id="165" w:name="__RefHeading___Toc1985834_2314609296"/>
      <w:bookmarkStart w:id="166" w:name="_Toc63"/>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ثمّ إنّ أصحابنا قدّروا المقدار الخاصّ الذي اعتبروه بثلاثة تقديرات</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1985836_2314609296"/>
      <w:bookmarkStart w:id="168" w:name="_Toc64"/>
      <w:bookmarkEnd w:id="167"/>
      <w:r>
        <w:rPr>
          <w:rtl w:val="true"/>
        </w:rPr>
        <w:t>أحدها</w:t>
      </w:r>
      <w:r>
        <w:rPr>
          <w:rtl w:val="true"/>
        </w:rPr>
        <w:t xml:space="preserve">: </w:t>
      </w:r>
      <w:r>
        <w:rPr>
          <w:rtl w:val="true"/>
        </w:rPr>
        <w:t>بالأثر، و هو ما أنبت اللحم و شدّ العظم</w:t>
      </w:r>
      <w:bookmarkEnd w:id="168"/>
    </w:p>
    <w:p>
      <w:pPr>
        <w:pStyle w:val="BookText"/>
        <w:rPr/>
      </w:pPr>
      <w:r>
        <w:rPr>
          <w:rFonts w:ascii="Amiri" w:hAnsi="Amiri" w:eastAsia="Amiri" w:cs="Amiri"/>
          <w:color w:val="111111"/>
          <w:sz w:val="28"/>
          <w:sz w:val="28"/>
          <w:szCs w:val="28"/>
          <w:rtl w:val="true"/>
          <w:lang w:bidi="ar-SA"/>
        </w:rPr>
        <w:t>و حصول النشر مع تحقّق هذا الأثر ممّا لا خلاف فيه بين علماء الإسلام،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رئاب،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 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عشر</w:t>
      </w:r>
    </w:p>
    <w:p>
      <w:pPr>
        <w:pStyle w:val="BookText"/>
        <w:rPr/>
      </w:pPr>
      <w:r>
        <w:rPr>
          <w:rFonts w:ascii="IRNazanin" w:hAnsi="IRNazanin" w:eastAsia="IRNazanin"/>
          <w:color w:val="111111"/>
          <w:sz w:val="28"/>
          <w:sz w:val="28"/>
          <w:szCs w:val="28"/>
          <w:rtl w:val="true"/>
          <w:lang w:bidi="fa-IR"/>
        </w:rPr>
        <w:t>رضعات؟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لأنّها لا تنبت اللحم و لا تشدّ العظم</w:t>
      </w:r>
      <w:r>
        <w:rPr>
          <w:rFonts w:eastAsia="IRNazanin" w:cs="IRNazanin"/>
          <w:color w:val="111111"/>
          <w:sz w:val="28"/>
          <w:szCs w:val="28"/>
          <w:rtl w:val="true"/>
          <w:lang w:bidi="fa-IR"/>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ابن أبي عمير عن زياد القندي، عن عبد اللّٰه بن سنان،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الرضعة و الرضعتان و الثلاث؟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اشتدّ عليه العظم و نبت اللحم</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هارون بن مسلم تارة عن أبي عبد اللّٰه عليه السلام </w:t>
      </w:r>
      <w:r>
        <w:rPr>
          <w:rStyle w:val="FootnoteAnchor"/>
          <w:rtl w:val="true"/>
        </w:rPr>
        <w:footnoteReference w:id="1352"/>
      </w:r>
      <w:r>
        <w:rPr>
          <w:rFonts w:ascii="Amiri" w:hAnsi="Amiri" w:eastAsia="Amiri" w:cs="Amiri"/>
          <w:color w:val="111111"/>
          <w:sz w:val="28"/>
          <w:sz w:val="28"/>
          <w:szCs w:val="28"/>
          <w:rtl w:val="true"/>
          <w:lang w:bidi="ar-SA"/>
        </w:rPr>
        <w:t>و تارة عن مسعدة بن زياد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شدّ العظم و أنبت اللحم</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 ما أنبت اللحم، و شدّ العظم</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غير واحد من الروايات وقع التقدير بإنبات اللحم و الدم، مثل صحيحة عبيد بن زرارة </w:t>
      </w:r>
      <w:r>
        <w:rPr>
          <w:rStyle w:val="FootnoteAnchor"/>
          <w:rtl w:val="true"/>
        </w:rPr>
        <w:footnoteReference w:id="1355"/>
      </w:r>
      <w:r>
        <w:rPr>
          <w:rFonts w:ascii="Amiri" w:hAnsi="Amiri" w:eastAsia="Amiri" w:cs="Amiri"/>
          <w:color w:val="111111"/>
          <w:sz w:val="28"/>
          <w:sz w:val="28"/>
          <w:szCs w:val="28"/>
          <w:rtl w:val="true"/>
          <w:lang w:bidi="ar-SA"/>
        </w:rPr>
        <w:t xml:space="preserve">و حسنة حمّاد بن عثمان بابن هاشم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تلازم التقديرين، و مع الانفكاك فالأجود ثبوت النشر بتحقّق كلّ منهما؛ لاعتبار أدلّة التقدير الثاني أيضا، إلّا أنّ الأصحاب لم يتعرّضوا لتحقّق الحكم به نفيا و إثباتا؛ و لعلّه لعدم انفكاكه عن الأوّل، فتدبّر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تحقّق 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bookmarkStart w:id="169" w:name="pg19718_239193"/>
    </w:p>
    <w:p>
      <w:pPr>
        <w:pStyle w:val="BookText"/>
        <w:rPr/>
      </w:pPr>
      <w:bookmarkEnd w:id="169"/>
      <w:r>
        <w:rPr>
          <w:rFonts w:ascii="Amiri" w:hAnsi="Amiri" w:eastAsia="Amiri" w:cs="Amiri"/>
          <w:color w:val="111111"/>
          <w:sz w:val="28"/>
          <w:sz w:val="28"/>
          <w:szCs w:val="28"/>
          <w:rtl w:val="true"/>
          <w:lang w:bidi="ar-SA"/>
        </w:rPr>
        <w:t>إنبات اللحم، و اشتداد العظم، و هو المعروف بين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بعض عبارات الشهيد قدّس سرّه الاجتزاء بأحد الأمرين </w:t>
      </w:r>
      <w:r>
        <w:rPr>
          <w:rStyle w:val="FootnoteAnchor"/>
          <w:rtl w:val="true"/>
        </w:rPr>
        <w:footnoteReference w:id="1357"/>
      </w:r>
      <w:r>
        <w:rPr>
          <w:rFonts w:ascii="Amiri" w:hAnsi="Amiri" w:eastAsia="Amiri" w:cs="Amiri"/>
          <w:color w:val="111111"/>
          <w:sz w:val="28"/>
          <w:sz w:val="28"/>
          <w:szCs w:val="28"/>
          <w:rtl w:val="true"/>
          <w:lang w:bidi="ar-SA"/>
        </w:rPr>
        <w:t xml:space="preserve">، و نسبه في المسالك إلى الشذوذ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فالتقدير بهذا الأثر و إن كان اعتباره في غاية القوّة و المتانة، بل مقتضى أدلّته الحاصرة للرضاع المحرّم فيه أنّه أصل لأخويه الآتيين، إلّا أنّه قليل الفائدة؛ لأنّ ظهوره للحسّ في موضع الحاجة أمر لا يكاد يطّلع عليه إلّا بعض أهل الخبرة، و قلّما يتّفق شهادة عدلين فيهم بذلك، و لعلّه لذا كشف عنه الشارع بأخويه، و جعلهما طريقا إليه، كما يومئ إليه صحيحة ابن رئاب المتقدّمة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0" w:name="__RefHeading___Toc1985838_2314609296"/>
      <w:bookmarkStart w:id="171" w:name="_Toc65"/>
      <w:bookmarkEnd w:id="170"/>
      <w:r>
        <w:rPr>
          <w:rtl w:val="true"/>
        </w:rPr>
        <w:t>و ثانيها</w:t>
      </w:r>
      <w:r>
        <w:rPr>
          <w:rtl w:val="true"/>
        </w:rPr>
        <w:t xml:space="preserve">: </w:t>
      </w:r>
      <w:r>
        <w:rPr>
          <w:rtl w:val="true"/>
        </w:rPr>
        <w:t>بالزمان، و قدّر بيوم و ليلة</w:t>
      </w:r>
      <w:bookmarkEnd w:id="17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المعروف بين الأصحاب، و مستندهم فيه موثّقة زياد بن سوقة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للرضاع حدّ يؤخذ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الرضاع أقلّ من رضاع يوم و ليلة، أو خمس عشرة رضعة متواليات من امرأة واحدة من لبن فحل واحد لم يفصل بينها رضعة امرأة غيرها، فلو أنّ امرأة أرضعت غلاما أو جارية عشر رضعات من لبن فحل واحد و أرضعتهما امرأة أخرى من لبن فحل آخر عشر رضعات، لم يحرم نكاحهما</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فيها سوى عمّار الذي نقل الشيخ عمل الأصحاب برواياته </w:t>
      </w:r>
      <w:r>
        <w:rPr>
          <w:rStyle w:val="FootnoteAnchor"/>
          <w:rtl w:val="true"/>
        </w:rPr>
        <w:footnoteReference w:id="1361"/>
      </w:r>
      <w:r>
        <w:rPr>
          <w:rFonts w:ascii="Amiri" w:hAnsi="Amiri" w:eastAsia="Amiri" w:cs="Amiri"/>
          <w:color w:val="111111"/>
          <w:sz w:val="28"/>
          <w:sz w:val="28"/>
          <w:szCs w:val="28"/>
          <w:rtl w:val="true"/>
          <w:lang w:bidi="ar-SA"/>
        </w:rPr>
        <w:t xml:space="preserve">مع أنّ في السند ابن محبوب الذي أجمع على تصحيح ما يصحّ عنه </w:t>
      </w:r>
      <w:r>
        <w:rPr>
          <w:rStyle w:val="FootnoteAnchor"/>
          <w:rtl w:val="true"/>
        </w:rPr>
        <w:footnoteReference w:id="1362"/>
      </w:r>
      <w:r>
        <w:rPr>
          <w:rFonts w:ascii="Amiri" w:hAnsi="Amiri" w:eastAsia="Amiri" w:cs="Amiri"/>
          <w:color w:val="111111"/>
          <w:sz w:val="28"/>
          <w:sz w:val="28"/>
          <w:szCs w:val="28"/>
          <w:rtl w:val="true"/>
          <w:lang w:bidi="ar-SA"/>
        </w:rPr>
        <w:t xml:space="preserve">مضافا إلى اعتضادها بعمل الأصحاب و موافقة الكتاب، و لا ينافيها ما دلّ على حصر الرضاع المحرّم في ما أنبت اللحم و شدّ العظم </w:t>
      </w:r>
      <w:r>
        <w:rPr>
          <w:rStyle w:val="FootnoteAnchor"/>
          <w:rtl w:val="true"/>
        </w:rPr>
        <w:footnoteReference w:id="1363"/>
      </w:r>
      <w:r>
        <w:rPr>
          <w:rFonts w:ascii="Amiri" w:hAnsi="Amiri" w:eastAsia="Amiri" w:cs="Amiri"/>
          <w:color w:val="111111"/>
          <w:sz w:val="28"/>
          <w:sz w:val="28"/>
          <w:szCs w:val="28"/>
          <w:rtl w:val="true"/>
          <w:lang w:bidi="ar-SA"/>
        </w:rPr>
        <w:t>، لفقد العلم بعدم كونه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الرواية و الفتوى اعتبار الإرضاع في اليوم و الليلة كلّما احتاج الرضيع إليه عادة، أو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يعتبر في هذا التقدير إكمال الرضعة في كلّ مرّة، بل لو رضعته رضعة ناقصة ثمّ أكملتها </w:t>
      </w:r>
      <w:r>
        <w:rPr>
          <w:rStyle w:val="FootnoteAnchor"/>
          <w:rtl w:val="true"/>
        </w:rPr>
        <w:footnoteReference w:id="1364"/>
      </w:r>
      <w:r>
        <w:rPr>
          <w:rFonts w:ascii="Amiri" w:hAnsi="Amiri" w:eastAsia="Amiri" w:cs="Amiri"/>
          <w:color w:val="111111"/>
          <w:sz w:val="28"/>
          <w:sz w:val="28"/>
          <w:szCs w:val="28"/>
          <w:rtl w:val="true"/>
          <w:lang w:bidi="ar-SA"/>
        </w:rPr>
        <w:t>مرّة أخرى لم يقدح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أطعم في الأثناء طعاما، فإن كان ممّا يغتذي به بدلا عن اللبن، فالظاهر أنّه قادح في التقدير؛ كما أنّ شرب الماء للعطش غير قادح لو وقع في الأثناء، و كذا ما يؤكل أو يسقى دواء، و يشكل فيما اعتاده من يسير من طعام بحيث لا يغنيه عمّا اعتاد شربه من اللبن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يعتبر ابتداء الرضاع في ابتداء اليوم، و انتهائه في آخر الليلة، أو العكس، أو يكفي الملفّق لو ابتدأ في أثناء أحدهما؟ وجهان، أقواهما</w:t>
      </w:r>
      <w:bookmarkStart w:id="172" w:name="pg19718_239195"/>
    </w:p>
    <w:p>
      <w:pPr>
        <w:pStyle w:val="BookText"/>
        <w:rPr/>
      </w:pPr>
      <w:bookmarkEnd w:id="172"/>
      <w:r>
        <w:rPr>
          <w:rFonts w:ascii="Amiri" w:hAnsi="Amiri" w:eastAsia="Amiri" w:cs="Amiri"/>
          <w:color w:val="111111"/>
          <w:sz w:val="28"/>
          <w:sz w:val="28"/>
          <w:szCs w:val="28"/>
          <w:rtl w:val="true"/>
          <w:lang w:bidi="ar-SA"/>
        </w:rPr>
        <w:t>الثاني، إمّا لصدق رضاع يوم و ليلة عرفا على رضاع الملفّق، و إمّا لأنّ الرضاع في الملفّق لا يكون أقلّ من رضاع يوم و ليلة، بل يكون مساويا له، فلا يدلّ الرواية على انتفاء النشر به، فيبقى داخلا تحت الإطلاقات الدالّة على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التعويل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المعتبر في رضاع هذا الزمان حال متعارف أوساط الأطفال، أو حال شخص ذلك الرضيع؟ وجهان، أقواهما الثاني؛ لظاهر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بينهما فيما إذا كان الطفل مريضا بمرض يحتاج إلى أزيد ممّا يحتاج إليه الصحيح، كغلبة القي‌ء عليه لعارض، أو عرضه ما يحتاج معه إلى الأقلّ ممّا يحتاج إليه الصحيح، كما إذا أغمي عليه في أغلب اليوم و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احتمال تأثير اللبن في إنبات لحمه و شدّ عظمه، أم لا؟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الرواية، و من دلالة بعض الأخبار السابقة على عدم النشر بما لا ينبت اللحم و لا يشدّ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الثمرة فيما لو كان بحيث يعلم عدم تحلّل </w:t>
      </w:r>
      <w:r>
        <w:rPr>
          <w:rStyle w:val="FootnoteAnchor"/>
          <w:rtl w:val="true"/>
        </w:rPr>
        <w:footnoteReference w:id="1365"/>
      </w:r>
      <w:r>
        <w:rPr>
          <w:rFonts w:ascii="Amiri" w:hAnsi="Amiri" w:eastAsia="Amiri" w:cs="Amiri"/>
          <w:color w:val="111111"/>
          <w:sz w:val="28"/>
          <w:sz w:val="28"/>
          <w:szCs w:val="28"/>
          <w:rtl w:val="true"/>
          <w:lang w:bidi="ar-SA"/>
        </w:rPr>
        <w:t>اللبن في معدته، لعدم استقراره فيها، لغلبة إسهال أو قي‌ء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فروع أخر طوينا عن ذكرها كشحا و أعرضنا عنها صفحا</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1985840_2314609296"/>
      <w:bookmarkStart w:id="174" w:name="_Toc66"/>
      <w:bookmarkEnd w:id="173"/>
      <w:r>
        <w:rPr>
          <w:rtl w:val="true"/>
        </w:rPr>
        <w:t>و ثالثها</w:t>
      </w:r>
      <w:r>
        <w:rPr>
          <w:rtl w:val="true"/>
        </w:rPr>
        <w:t xml:space="preserve">: </w:t>
      </w:r>
      <w:r>
        <w:rPr>
          <w:rtl w:val="true"/>
        </w:rPr>
        <w:t>بالعدد</w:t>
      </w:r>
      <w:bookmarkEnd w:id="17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 فيه الأصحاب بسبب اختلاف الروايات ظاهرا؛ فالمحكيّ عن ابن الجنيد الاكتفاء برضعة واحدة تملأ جوف الصبيّ،</w:t>
      </w:r>
    </w:p>
    <w:p>
      <w:pPr>
        <w:pStyle w:val="BookText"/>
        <w:rPr/>
      </w:pPr>
      <w:r>
        <w:rPr>
          <w:rFonts w:ascii="Amiri" w:hAnsi="Amiri" w:eastAsia="Amiri" w:cs="Amiri"/>
          <w:color w:val="111111"/>
          <w:sz w:val="28"/>
          <w:sz w:val="28"/>
          <w:szCs w:val="28"/>
          <w:rtl w:val="true"/>
          <w:lang w:bidi="ar-SA"/>
        </w:rPr>
        <w:t xml:space="preserve">إمّا بالمصّ، أو بالوجور </w:t>
      </w:r>
      <w:r>
        <w:rPr>
          <w:rStyle w:val="FootnoteAnchor"/>
          <w:rtl w:val="true"/>
        </w:rPr>
        <w:footnoteReference w:id="1366"/>
      </w:r>
      <w:r>
        <w:rPr>
          <w:rFonts w:ascii="Amiri" w:hAnsi="Amiri" w:eastAsia="Amiri" w:cs="Amiri"/>
          <w:color w:val="111111"/>
          <w:sz w:val="28"/>
          <w:sz w:val="28"/>
          <w:szCs w:val="28"/>
          <w:rtl w:val="true"/>
          <w:lang w:bidi="ar-SA"/>
        </w:rPr>
        <w:t>لإطلاقات الكتاب و السنّة، و خصوص قول أبي الحسن عليه السلام في مكاتبة عليّ بن مهزيار في جواب سؤاله عمّا يحرم من الرضاع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قليله و كثيره حرام</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 و مضمرة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رضع حتّى يمتلئ بطنه؛ فإنّ ذلك ينبت اللحم و الدم، و ذاك الذي يحرم</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السكوني </w:t>
      </w:r>
      <w:r>
        <w:rPr>
          <w:rStyle w:val="FootnoteAnchor"/>
          <w:rtl w:val="true"/>
        </w:rPr>
        <w:footnoteReference w:id="1369"/>
      </w:r>
      <w:r>
        <w:rPr>
          <w:rFonts w:ascii="Amiri" w:hAnsi="Amiri" w:eastAsia="Amiri" w:cs="Amiri"/>
          <w:color w:val="111111"/>
          <w:sz w:val="28"/>
          <w:sz w:val="28"/>
          <w:szCs w:val="28"/>
          <w:rtl w:val="true"/>
          <w:lang w:bidi="ar-SA"/>
        </w:rPr>
        <w:t>، و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الرضعة ما يحرم الحولان</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و 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الرضعة الواحدة كالمائة رضعة، لا تحلّ له أبدا</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انهوا نساءكم أن يرضعن يمينا و شمالا، فإنّهنّ ينسين</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 فإنّ الإرضاع يمينا و شمالا مع النسيان بعد حين إنّما يناسب عدم التحديد بأكثر من رضعة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ضعيف في الغاية؛ لاستفاضة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كاشتهار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النشر بما دون العشر، فلا مجال للتمسّك بالإطلاقات و لا بالمكاتبة </w:t>
      </w:r>
      <w:r>
        <w:rPr>
          <w:rStyle w:val="FootnoteAnchor"/>
          <w:rtl w:val="true"/>
        </w:rPr>
        <w:footnoteReference w:id="1373"/>
      </w:r>
      <w:r>
        <w:rPr>
          <w:rFonts w:ascii="Amiri" w:hAnsi="Amiri" w:eastAsia="Amiri" w:cs="Amiri"/>
          <w:color w:val="111111"/>
          <w:sz w:val="28"/>
          <w:sz w:val="28"/>
          <w:szCs w:val="28"/>
          <w:rtl w:val="true"/>
          <w:lang w:bidi="ar-SA"/>
        </w:rPr>
        <w:t xml:space="preserve">و المضمرة </w:t>
      </w:r>
      <w:r>
        <w:rPr>
          <w:rStyle w:val="FootnoteAnchor"/>
          <w:rtl w:val="true"/>
        </w:rPr>
        <w:footnoteReference w:id="1374"/>
      </w:r>
      <w:r>
        <w:rPr>
          <w:rFonts w:ascii="Amiri" w:hAnsi="Amiri" w:eastAsia="Amiri" w:cs="Amiri"/>
          <w:color w:val="111111"/>
          <w:sz w:val="28"/>
          <w:sz w:val="28"/>
          <w:szCs w:val="28"/>
          <w:rtl w:val="true"/>
          <w:lang w:bidi="ar-SA"/>
        </w:rPr>
        <w:t>لقصورهما عن المقاومة، مع موافقة ظاهرهما لفتوى بعض</w:t>
      </w:r>
    </w:p>
    <w:p>
      <w:pPr>
        <w:pStyle w:val="BookText"/>
        <w:rPr/>
      </w:pPr>
      <w:r>
        <w:rPr>
          <w:rFonts w:ascii="Amiri" w:hAnsi="Amiri" w:eastAsia="Amiri" w:cs="Amiri"/>
          <w:color w:val="111111"/>
          <w:sz w:val="28"/>
          <w:sz w:val="28"/>
          <w:szCs w:val="28"/>
          <w:rtl w:val="true"/>
          <w:lang w:bidi="ar-SA"/>
        </w:rPr>
        <w:t xml:space="preserve">العامّة </w:t>
      </w:r>
      <w:r>
        <w:rPr>
          <w:rStyle w:val="FootnoteAnchor"/>
          <w:rtl w:val="true"/>
        </w:rPr>
        <w:footnoteReference w:id="1375"/>
      </w:r>
      <w:r>
        <w:rPr>
          <w:rFonts w:ascii="Amiri" w:hAnsi="Amiri" w:eastAsia="Amiri" w:cs="Amiri"/>
          <w:color w:val="111111"/>
          <w:sz w:val="28"/>
          <w:sz w:val="28"/>
          <w:szCs w:val="28"/>
          <w:rtl w:val="true"/>
          <w:lang w:bidi="ar-SA"/>
        </w:rPr>
        <w:t>، مضافا إلى إمكان حمل المكاتبة على تحريم أصل الارتضاع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حال التمسّك بالنبويّ و العلويّين، و لذا أعرض سائر الأصحاب عن هذا القول و اتّفقوا على عدم النشر بما دون العشر و إن اختلفت فتاواهم، كالروايات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فحكي عن أكثر المتقدّمين كالمفيد </w:t>
      </w:r>
      <w:r>
        <w:rPr>
          <w:rStyle w:val="FootnoteAnchor"/>
          <w:rtl w:val="true"/>
        </w:rPr>
        <w:footnoteReference w:id="1376"/>
      </w:r>
      <w:r>
        <w:rPr>
          <w:rFonts w:ascii="Amiri" w:hAnsi="Amiri" w:eastAsia="Amiri" w:cs="Amiri"/>
          <w:color w:val="111111"/>
          <w:sz w:val="28"/>
          <w:sz w:val="28"/>
          <w:szCs w:val="28"/>
          <w:rtl w:val="true"/>
          <w:lang w:bidi="ar-SA"/>
        </w:rPr>
        <w:t xml:space="preserve">و الديلمي </w:t>
      </w:r>
      <w:r>
        <w:rPr>
          <w:rStyle w:val="FootnoteAnchor"/>
          <w:rtl w:val="true"/>
        </w:rPr>
        <w:footnoteReference w:id="1377"/>
      </w:r>
      <w:r>
        <w:rPr>
          <w:rFonts w:ascii="Amiri" w:hAnsi="Amiri" w:eastAsia="Amiri" w:cs="Amiri"/>
          <w:color w:val="111111"/>
          <w:sz w:val="28"/>
          <w:sz w:val="28"/>
          <w:szCs w:val="28"/>
          <w:rtl w:val="true"/>
          <w:lang w:bidi="ar-SA"/>
        </w:rPr>
        <w:t xml:space="preserve">و القاضي </w:t>
      </w:r>
      <w:r>
        <w:rPr>
          <w:rStyle w:val="FootnoteAnchor"/>
          <w:rtl w:val="true"/>
        </w:rPr>
        <w:footnoteReference w:id="1378"/>
      </w:r>
      <w:r>
        <w:rPr>
          <w:rFonts w:ascii="Amiri" w:hAnsi="Amiri" w:eastAsia="Amiri" w:cs="Amiri"/>
          <w:color w:val="111111"/>
          <w:sz w:val="28"/>
          <w:sz w:val="28"/>
          <w:szCs w:val="28"/>
          <w:rtl w:val="true"/>
          <w:lang w:bidi="ar-SA"/>
        </w:rPr>
        <w:t xml:space="preserve">و التقيّ </w:t>
      </w:r>
      <w:r>
        <w:rPr>
          <w:rStyle w:val="FootnoteAnchor"/>
          <w:rtl w:val="true"/>
        </w:rPr>
        <w:footnoteReference w:id="1379"/>
      </w:r>
      <w:r>
        <w:rPr>
          <w:rFonts w:ascii="Amiri" w:hAnsi="Amiri" w:eastAsia="Amiri" w:cs="Amiri"/>
          <w:color w:val="111111"/>
          <w:sz w:val="28"/>
          <w:sz w:val="28"/>
          <w:szCs w:val="28"/>
          <w:rtl w:val="true"/>
          <w:lang w:bidi="ar-SA"/>
        </w:rPr>
        <w:t xml:space="preserve">و ابن حمزة </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التحديد بالعشر؛ و تبعهم الفاضل في المختلف </w:t>
      </w:r>
      <w:r>
        <w:rPr>
          <w:rStyle w:val="FootnoteAnchor"/>
          <w:rtl w:val="true"/>
        </w:rPr>
        <w:footnoteReference w:id="1381"/>
      </w:r>
      <w:r>
        <w:rPr>
          <w:rFonts w:ascii="IRNazanin" w:hAnsi="IRNazanin" w:eastAsia="IRNazanin"/>
          <w:color w:val="111111"/>
          <w:sz w:val="28"/>
          <w:sz w:val="28"/>
          <w:szCs w:val="28"/>
          <w:rtl w:val="true"/>
          <w:lang w:bidi="fa-IR"/>
        </w:rPr>
        <w:t xml:space="preserve">و ولده </w:t>
      </w:r>
      <w:r>
        <w:rPr>
          <w:rStyle w:val="FootnoteAnchor"/>
          <w:rtl w:val="true"/>
        </w:rPr>
        <w:footnoteReference w:id="1382"/>
      </w:r>
      <w:r>
        <w:rPr>
          <w:rFonts w:ascii="Amiri" w:hAnsi="Amiri" w:eastAsia="Amiri" w:cs="Amiri"/>
          <w:color w:val="111111"/>
          <w:sz w:val="28"/>
          <w:sz w:val="28"/>
          <w:szCs w:val="28"/>
          <w:rtl w:val="true"/>
          <w:lang w:bidi="ar-SA"/>
        </w:rPr>
        <w:t xml:space="preserve">، و الشهيد في اللمعة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الشيخ </w:t>
      </w:r>
      <w:r>
        <w:rPr>
          <w:rStyle w:val="FootnoteAnchor"/>
          <w:rtl w:val="true"/>
        </w:rPr>
        <w:footnoteReference w:id="1384"/>
      </w:r>
      <w:r>
        <w:rPr>
          <w:rFonts w:ascii="Amiri" w:hAnsi="Amiri" w:eastAsia="Amiri" w:cs="Amiri"/>
          <w:color w:val="111111"/>
          <w:sz w:val="28"/>
          <w:sz w:val="28"/>
          <w:szCs w:val="28"/>
          <w:rtl w:val="true"/>
          <w:lang w:bidi="ar-SA"/>
        </w:rPr>
        <w:t xml:space="preserve">و المحقّق </w:t>
      </w:r>
      <w:r>
        <w:rPr>
          <w:rStyle w:val="FootnoteAnchor"/>
          <w:rtl w:val="true"/>
        </w:rPr>
        <w:footnoteReference w:id="1385"/>
      </w:r>
      <w:r>
        <w:rPr>
          <w:rFonts w:ascii="Amiri" w:hAnsi="Amiri" w:eastAsia="Amiri" w:cs="Amiri"/>
          <w:color w:val="111111"/>
          <w:sz w:val="28"/>
          <w:sz w:val="28"/>
          <w:szCs w:val="28"/>
          <w:rtl w:val="true"/>
          <w:lang w:bidi="ar-SA"/>
        </w:rPr>
        <w:t xml:space="preserve">و الفاضل في غير المختلف </w:t>
      </w:r>
      <w:r>
        <w:rPr>
          <w:rStyle w:val="FootnoteAnchor"/>
          <w:rtl w:val="true"/>
        </w:rPr>
        <w:footnoteReference w:id="1386"/>
      </w:r>
      <w:r>
        <w:rPr>
          <w:rFonts w:ascii="Amiri" w:hAnsi="Amiri" w:eastAsia="Amiri" w:cs="Amiri"/>
          <w:color w:val="111111"/>
          <w:sz w:val="28"/>
          <w:sz w:val="28"/>
          <w:szCs w:val="28"/>
          <w:rtl w:val="true"/>
          <w:lang w:bidi="ar-SA"/>
        </w:rPr>
        <w:t>إلى التحديد</w:t>
      </w:r>
    </w:p>
    <w:p>
      <w:pPr>
        <w:pStyle w:val="BookText"/>
        <w:rPr/>
      </w:pPr>
      <w:r>
        <w:rPr>
          <w:rFonts w:ascii="Amiri" w:hAnsi="Amiri" w:eastAsia="Amiri" w:cs="Amiri"/>
          <w:color w:val="111111"/>
          <w:sz w:val="28"/>
          <w:sz w:val="28"/>
          <w:szCs w:val="28"/>
          <w:rtl w:val="true"/>
          <w:lang w:bidi="ar-SA"/>
        </w:rPr>
        <w:t xml:space="preserve">بالخمس عشرة رضعة، و تبعهم أكثر المتأخّرين، و قد نسب هذا القول إلى الأكثر </w:t>
      </w:r>
      <w:r>
        <w:rPr>
          <w:rStyle w:val="FootnoteAnchor"/>
          <w:rtl w:val="true"/>
        </w:rPr>
        <w:footnoteReference w:id="1387"/>
      </w:r>
      <w:r>
        <w:rPr>
          <w:rFonts w:ascii="IRNazanin" w:hAnsi="IRNazanin" w:eastAsia="IRNazanin"/>
          <w:color w:val="111111"/>
          <w:sz w:val="28"/>
          <w:sz w:val="28"/>
          <w:szCs w:val="28"/>
          <w:rtl w:val="true"/>
          <w:lang w:bidi="fa-IR"/>
        </w:rPr>
        <w:t xml:space="preserve">و المشهور </w:t>
      </w:r>
      <w:r>
        <w:rPr>
          <w:rStyle w:val="FootnoteAnchor"/>
          <w:rtl w:val="true"/>
        </w:rPr>
        <w:footnoteReference w:id="1388"/>
      </w:r>
      <w:r>
        <w:rPr>
          <w:rFonts w:ascii="IRNazanin" w:hAnsi="IRNazanin" w:eastAsia="IRNazanin"/>
          <w:color w:val="111111"/>
          <w:sz w:val="28"/>
          <w:sz w:val="28"/>
          <w:szCs w:val="28"/>
          <w:rtl w:val="true"/>
          <w:lang w:bidi="fa-IR"/>
        </w:rPr>
        <w:t>بقول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فهو الأظهر، للأصل، و عدم دليل على النشر بالعشر عدا الإطلاقات من الكتاب و السنّة، و خصوص رواية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الموصوفة بالصحّة في كلام بعض </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يحرم من الرضاع إلّا المجبور </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المجبور؟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تربّي، أو ظئر تستأجر، أو أمة تشترى، ثمّ ترضع عشر رضعات يروى الصبيّ و ينام</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مفهوم موثّقة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الصادق عليه السلام عن الغلام يرضع الرضعة و الثنتين،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فعددت عليه حتّى أكملت عشر رضعات،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متفرّقة فلا</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مفهوم رواية هارون بن مسلم عن أبي عبد اللّٰه عليه السلام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شدّ العظم و أنبت اللحم، فأمّا الرضعة</w:t>
      </w:r>
    </w:p>
    <w:p>
      <w:pPr>
        <w:pStyle w:val="BookText"/>
        <w:rPr/>
      </w:pPr>
      <w:r>
        <w:rPr>
          <w:rFonts w:ascii="IRNazanin" w:hAnsi="IRNazanin" w:eastAsia="IRNazanin"/>
          <w:color w:val="111111"/>
          <w:sz w:val="28"/>
          <w:sz w:val="28"/>
          <w:szCs w:val="28"/>
          <w:rtl w:val="true"/>
          <w:lang w:bidi="fa-IR"/>
        </w:rPr>
        <w:t xml:space="preserve">و الرضعتان </w:t>
      </w:r>
      <w:r>
        <w:rPr>
          <w:rStyle w:val="FootnoteAnchor"/>
          <w:rtl w:val="true"/>
        </w:rPr>
        <w:footnoteReference w:id="1393"/>
      </w:r>
      <w:r>
        <w:rPr>
          <w:rFonts w:ascii="Amiri" w:hAnsi="Amiri" w:eastAsia="Amiri" w:cs="Amiri"/>
          <w:color w:val="111111"/>
          <w:sz w:val="28"/>
          <w:sz w:val="28"/>
          <w:szCs w:val="28"/>
          <w:rtl w:val="true"/>
          <w:lang w:bidi="ar-SA"/>
        </w:rPr>
        <w:t>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 متفرّقات، فلا بأس</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إفادتها العموم، و عدم ورودها لبيان أصل نشر الحرمة بالرضاع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بصحيحة عليّ بن رئاب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الرضاع؟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أنبت اللحم و شدّ العظم،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عشر رضعات؟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لا تنبت اللحم و لا تشدّ العظم</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 لا يحرّمن شيئا</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الرواية لا تقصر عن الصحيح؛ إذ ليس فيها إلّا عليّ بن فضّال، و الظاهر أنّ الشيخ أخذ الرواية من كتابه، حيث ابتدأ به في السند، و كتب بني فضّال ممّا أمر العسكري عليه السلام بالأخذ بها في رواية قريبة من الصحّة </w:t>
      </w:r>
      <w:r>
        <w:rPr>
          <w:rStyle w:val="FootnoteAnchor"/>
          <w:rtl w:val="true"/>
        </w:rPr>
        <w:footnoteReference w:id="1397"/>
      </w:r>
      <w:r>
        <w:rPr>
          <w:rFonts w:ascii="Amiri" w:hAnsi="Amiri" w:eastAsia="Amiri" w:cs="Amiri"/>
          <w:color w:val="111111"/>
          <w:sz w:val="28"/>
          <w:sz w:val="28"/>
          <w:szCs w:val="28"/>
          <w:rtl w:val="true"/>
          <w:lang w:bidi="ar-SA"/>
        </w:rPr>
        <w:t xml:space="preserve">مع ما ذكر في ترجمة عليّ بن فضّال من مراتب وثاقته و احتياطه في الرواية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أخرى أيضا رواها الشيخ، عن عليّ بن فضّال، عن أخويه، عن أبيهما، عن عبد اللّٰه بن بكير،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 لا تحرم</w:t>
      </w:r>
      <w:r>
        <w:rPr>
          <w:rFonts w:eastAsia="Amiri" w:cs="Amiri" w:ascii="Amiri" w:hAnsi="Amiri"/>
          <w:color w:val="111111"/>
          <w:sz w:val="28"/>
          <w:szCs w:val="28"/>
          <w:rtl w:val="true"/>
          <w:lang w:bidi="ar-SA"/>
        </w:rPr>
        <w:t xml:space="preserve">» </w:t>
      </w:r>
      <w:r>
        <w:rPr>
          <w:rStyle w:val="FootnoteAnchor"/>
          <w:rtl w:val="true"/>
        </w:rPr>
        <w:footnoteReference w:id="1399"/>
      </w:r>
      <w:r>
        <w:rPr>
          <w:rFonts w:ascii="Amiri" w:hAnsi="Amiri" w:eastAsia="Amiri" w:cs="Amiri"/>
          <w:color w:val="111111"/>
          <w:sz w:val="28"/>
          <w:sz w:val="28"/>
          <w:szCs w:val="28"/>
          <w:rtl w:val="true"/>
          <w:lang w:bidi="ar-SA"/>
        </w:rPr>
        <w:t>و هذه قريبة من سابقتها في اعتبار السند، و إن كان جميع رجالها فطحيين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تخصيص هذه الأخبار المعتبرة برواية الفضيل التي هي أخصّ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إخراج صورة تفرّق الرضعات العشر عن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بمفهوم الموثّقتين اللتين بعدها و إن أمكن، إلّا أنّ ذلك فرع سلامتها عن معارضة موثّقة زياد ابن سوقة المتقدّمة </w:t>
      </w:r>
      <w:r>
        <w:rPr>
          <w:rStyle w:val="FootnoteAnchor"/>
          <w:rtl w:val="true"/>
        </w:rPr>
        <w:footnoteReference w:id="1400"/>
      </w:r>
      <w:r>
        <w:rPr>
          <w:rFonts w:ascii="Amiri" w:hAnsi="Amiri" w:eastAsia="Amiri" w:cs="Amiri"/>
          <w:color w:val="111111"/>
          <w:sz w:val="28"/>
          <w:sz w:val="28"/>
          <w:szCs w:val="28"/>
          <w:rtl w:val="true"/>
          <w:lang w:bidi="ar-SA"/>
        </w:rPr>
        <w:t xml:space="preserve">الصريحة في نفي النشر بالعشر و لو متوالية، أو ترجيحها عليها، و هو مسلّم لو ثبت صحّة رواية الفضيل بتوثيق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حكي عن غير المفيد من مشايخ الرجال تضعيفه </w:t>
      </w:r>
      <w:r>
        <w:rPr>
          <w:rStyle w:val="FootnoteAnchor"/>
          <w:rtl w:val="true"/>
        </w:rPr>
        <w:footnoteReference w:id="1401"/>
      </w:r>
      <w:r>
        <w:rPr>
          <w:rFonts w:ascii="Amiri" w:hAnsi="Amiri" w:eastAsia="Amiri" w:cs="Amiri"/>
          <w:color w:val="111111"/>
          <w:sz w:val="28"/>
          <w:sz w:val="28"/>
          <w:szCs w:val="28"/>
          <w:rtl w:val="true"/>
          <w:lang w:bidi="ar-SA"/>
        </w:rPr>
        <w:t xml:space="preserve">، و سلامتها من موهنات أخر، مثل مخالفة حصرها للإجماع، و خلوّ الفقيه </w:t>
      </w:r>
      <w:r>
        <w:rPr>
          <w:rStyle w:val="FootnoteAnchor"/>
          <w:rtl w:val="true"/>
        </w:rPr>
        <w:footnoteReference w:id="1402"/>
      </w:r>
      <w:r>
        <w:rPr>
          <w:rFonts w:ascii="Amiri" w:hAnsi="Amiri" w:eastAsia="Amiri" w:cs="Amiri"/>
          <w:color w:val="111111"/>
          <w:sz w:val="28"/>
          <w:sz w:val="28"/>
          <w:szCs w:val="28"/>
          <w:rtl w:val="true"/>
          <w:lang w:bidi="ar-SA"/>
        </w:rPr>
        <w:t>من زيادة رواها الشيخ في ذيلها،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ترضع عشر رضعات</w:t>
      </w:r>
      <w:r>
        <w:rPr>
          <w:rFonts w:eastAsia="Amiri" w:cs="Amiri" w:ascii="Amiri" w:hAnsi="Amiri"/>
          <w:color w:val="111111"/>
          <w:sz w:val="28"/>
          <w:szCs w:val="28"/>
          <w:rtl w:val="true"/>
          <w:lang w:bidi="ar-SA"/>
        </w:rPr>
        <w:t xml:space="preserve">» </w:t>
      </w:r>
      <w:r>
        <w:rPr>
          <w:rStyle w:val="FootnoteAnchor"/>
          <w:rtl w:val="true"/>
        </w:rPr>
        <w:footnoteReference w:id="1403"/>
      </w:r>
      <w:r>
        <w:rPr>
          <w:rFonts w:ascii="Amiri" w:hAnsi="Amiri" w:eastAsia="Amiri" w:cs="Amiri"/>
          <w:color w:val="111111"/>
          <w:sz w:val="28"/>
          <w:sz w:val="28"/>
          <w:szCs w:val="28"/>
          <w:rtl w:val="true"/>
          <w:lang w:bidi="ar-SA"/>
        </w:rPr>
        <w:t xml:space="preserve">مع سبق الصدوق على الشيخ زمانا، بل و ضبطا، لأخبار كتابه، فكيف يتصوّر في حقّه أو في الكتب التي أخذ الحديث منها إهمال شطر من كلام المعصوم عليه السلام مربوط بما قبله غاية الارتباط و يحتاج إليه نهاية الاحتياج، فلا يبعد أن يكون الزيادة المذكورة من تحريفات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وقع في سند التهذيب و ليس في سند الفقيه؛ و حيث لم يثبت اعتبار الرواية سندا،</w:t>
      </w:r>
    </w:p>
    <w:p>
      <w:pPr>
        <w:pStyle w:val="BookText"/>
        <w:rPr/>
      </w:pPr>
      <w:r>
        <w:rPr>
          <w:rFonts w:ascii="Amiri" w:hAnsi="Amiri" w:eastAsia="Amiri" w:cs="Amiri"/>
          <w:color w:val="111111"/>
          <w:sz w:val="28"/>
          <w:sz w:val="28"/>
          <w:szCs w:val="28"/>
          <w:rtl w:val="true"/>
          <w:lang w:bidi="ar-SA"/>
        </w:rPr>
        <w:t xml:space="preserve">و لا سلامتها من الموهن، و المفروض أنّ أخويها أيضا لا يبلغان حدّ الصحّة، بل صرّح بضعف ثانيهما </w:t>
      </w:r>
      <w:r>
        <w:rPr>
          <w:rStyle w:val="FootnoteAnchor"/>
          <w:rtl w:val="true"/>
        </w:rPr>
        <w:footnoteReference w:id="1404"/>
      </w:r>
      <w:r>
        <w:rPr>
          <w:rFonts w:ascii="Amiri" w:hAnsi="Amiri" w:eastAsia="Amiri" w:cs="Amiri"/>
          <w:color w:val="111111"/>
          <w:sz w:val="28"/>
          <w:sz w:val="28"/>
          <w:szCs w:val="28"/>
          <w:rtl w:val="true"/>
          <w:lang w:bidi="ar-SA"/>
        </w:rPr>
        <w:t>، فترجيحها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موثّقة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إذ ليس في سند الموثّقة إلّا عمّار، و اعتبار رواياته عند الأصحاب محكيّ عن الشيخ في عدّته </w:t>
      </w:r>
      <w:r>
        <w:rPr>
          <w:rStyle w:val="FootnoteAnchor"/>
          <w:rtl w:val="true"/>
        </w:rPr>
        <w:footnoteReference w:id="1405"/>
      </w:r>
      <w:r>
        <w:rPr>
          <w:rFonts w:ascii="Amiri" w:hAnsi="Amiri" w:eastAsia="Amiri" w:cs="Amiri"/>
          <w:color w:val="111111"/>
          <w:sz w:val="28"/>
          <w:sz w:val="28"/>
          <w:szCs w:val="28"/>
          <w:rtl w:val="true"/>
          <w:lang w:bidi="ar-SA"/>
        </w:rPr>
        <w:t>مع أنّ الراوي عنه بواسطة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الذي أجمع على تصحيح ما يصحّ عنه </w:t>
      </w:r>
      <w:r>
        <w:rPr>
          <w:rStyle w:val="FootnoteAnchor"/>
          <w:rtl w:val="true"/>
        </w:rPr>
        <w:footnoteReference w:id="1406"/>
      </w:r>
      <w:r>
        <w:rPr>
          <w:rFonts w:ascii="Amiri" w:hAnsi="Amiri" w:eastAsia="Amiri" w:cs="Amiri"/>
          <w:color w:val="111111"/>
          <w:sz w:val="28"/>
          <w:sz w:val="28"/>
          <w:szCs w:val="28"/>
          <w:rtl w:val="true"/>
          <w:lang w:bidi="ar-SA"/>
        </w:rPr>
        <w:t>مع أنّ متنها أصرح دلالة، لأنّ دلالتها على نفي النشر بالعشر المتوالي بالمنطوق، و دلالة الموثقتين على ثبوته بها بالمفهوم؛ مع احتمال مفهومهما الحمل على ما إذا وقعت العشر المتوالية في يوم و ليلة، فإنّ مفهومهما بهذا الاعتبار أعمّ من منطوق موثّقة زياد، و إن كان تخصيصهما به بعيدا، كما يظهر ذلك كلّه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ترجيح تلك الثلاث على موثّقة ابن سوقة بموافقة الكتاب، فحسن إن لم نجوّز تخصيص الكتاب بالخبر الواحد و إن كان صحيحا، و إلّا فموافقة الكتاب لتلك الروايات الثلاث بعد تخصيصه بصحيحة ابن رئاب و أخويها غير حاصلة إلّا بعد ترجيح تلك الروايات المخصّصة للصحيحة و أخويها على موثّقة ابن سوقة، و هو أوّل الكلام، و يلزم الدور أيضا، كما لا يخفى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لم يثبت ترجيح تلك الأخبار على الموثّقة بوجه، فلا أقلّ من تكافئهما الموجب لسلامة الأخبار النافية للنشر بالعشر عن المخصّص،</w:t>
      </w:r>
    </w:p>
    <w:p>
      <w:pPr>
        <w:pStyle w:val="BookText"/>
        <w:rPr/>
      </w:pPr>
      <w:r>
        <w:rPr>
          <w:rFonts w:ascii="Amiri" w:hAnsi="Amiri" w:eastAsia="Amiri" w:cs="Amiri"/>
          <w:color w:val="111111"/>
          <w:sz w:val="28"/>
          <w:sz w:val="28"/>
          <w:szCs w:val="28"/>
          <w:rtl w:val="true"/>
          <w:lang w:bidi="ar-SA"/>
        </w:rPr>
        <w:t>فيجب الأخذ بعمومها المطابق لقاعدة الإباحة المستفادة من العمومات و الأصول، وفاقا لجملة ممّن تقدّم و معظم من تأخّر من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على إثبات النشر بالعشر بصحيحة عبيد بن زرارة بناء على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 عنه ابن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كبير، فربّما كان الفرح و الحزن الذي يجتمع فيه الرجال و النساء، فربّما استحيت </w:t>
      </w:r>
      <w:r>
        <w:rPr>
          <w:rStyle w:val="FootnoteAnchor"/>
          <w:rtl w:val="true"/>
        </w:rPr>
        <w:footnoteReference w:id="1407"/>
      </w:r>
      <w:r>
        <w:rPr>
          <w:rFonts w:ascii="Amiri" w:hAnsi="Amiri" w:eastAsia="Amiri" w:cs="Amiri"/>
          <w:color w:val="111111"/>
          <w:sz w:val="28"/>
          <w:sz w:val="28"/>
          <w:szCs w:val="28"/>
          <w:rtl w:val="true"/>
          <w:lang w:bidi="ar-SA"/>
        </w:rPr>
        <w:t xml:space="preserve">المرأة أن تكشف رأسها عند الرجل الذي بينها و بينه الرضاع، و ربّما استخفّ </w:t>
      </w:r>
      <w:r>
        <w:rPr>
          <w:rStyle w:val="FootnoteAnchor"/>
          <w:rtl w:val="true"/>
        </w:rPr>
        <w:footnoteReference w:id="1408"/>
      </w:r>
      <w:r>
        <w:rPr>
          <w:rFonts w:ascii="Amiri" w:hAnsi="Amiri" w:eastAsia="Amiri" w:cs="Amiri"/>
          <w:color w:val="111111"/>
          <w:sz w:val="28"/>
          <w:sz w:val="28"/>
          <w:szCs w:val="28"/>
          <w:rtl w:val="true"/>
          <w:lang w:bidi="ar-SA"/>
        </w:rPr>
        <w:t>الرجل أن ينظر إلى ذلك؛ فما الذي يحرم من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ينبت اللحم و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تحرم عشر رضعات؟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النسب فهو يحرم من الرضاع</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بأنّها لا دلالة فيها على تحريم العشر بوجه؛ إذ لم يزد المعصوم عليه السلام إلّا أن نسب القول بذلك إلى شخص مجهول، و لم يعلم رضاه بذلك، و إلّا لم يكرّر الراوي السؤال عنه، بل الظاهر عدم رضاه بهذا القول، كما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نسبته إلى 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إعراضه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هذا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أوضح الأدلّة على خلاف المطلوب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أنّه إذا ثبت عدم النشر بالعشر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القول</w:t>
      </w:r>
    </w:p>
    <w:p>
      <w:pPr>
        <w:pStyle w:val="BookText"/>
        <w:rPr/>
      </w:pPr>
      <w:r>
        <w:rPr>
          <w:rFonts w:ascii="Amiri" w:hAnsi="Amiri" w:eastAsia="Amiri" w:cs="Amiri"/>
          <w:color w:val="111111"/>
          <w:sz w:val="28"/>
          <w:sz w:val="28"/>
          <w:szCs w:val="28"/>
          <w:rtl w:val="true"/>
          <w:lang w:bidi="ar-SA"/>
        </w:rPr>
        <w:t>بالنشر بالخمس عشرة، لعدم القائل باعتبار أزيد منها من حيث العدد، و إطلاق رواية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رضعة لا تحرم</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سلامة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صورة عدم التوالي،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النشر بهذا العدد مع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الأخبار دلالة على التقدير بسنة أو سنتين، مثل ما رواه العلاء بن رزين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 ما ارتضع من ثدي واحد سنة</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 xml:space="preserve">و ما رواه زرارة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 ما ارتضعا من ثدي واحد حولين كاملين</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لكنّهما شاذّان مخالفان للإجماع، كما ادّعاه في المسالك </w:t>
      </w:r>
      <w:r>
        <w:rPr>
          <w:rStyle w:val="FootnoteAnchor"/>
          <w:rtl w:val="true"/>
        </w:rPr>
        <w:footnoteReference w:id="1413"/>
      </w:r>
      <w:r>
        <w:rPr>
          <w:rFonts w:ascii="Amiri" w:hAnsi="Amiri" w:eastAsia="Amiri" w:cs="Amiri"/>
          <w:color w:val="111111"/>
          <w:sz w:val="28"/>
          <w:sz w:val="28"/>
          <w:szCs w:val="28"/>
          <w:rtl w:val="true"/>
          <w:lang w:bidi="ar-SA"/>
        </w:rPr>
        <w:t xml:space="preserve">، و ردّ الشيخ في التهذيب الرواية الأولى بالشذوذ </w:t>
      </w:r>
      <w:r>
        <w:rPr>
          <w:rStyle w:val="FootnoteAnchor"/>
          <w:rtl w:val="true"/>
        </w:rPr>
        <w:footnoteReference w:id="1414"/>
      </w:r>
      <w:r>
        <w:rPr>
          <w:rFonts w:ascii="Amiri" w:hAnsi="Amiri" w:eastAsia="Amiri" w:cs="Amiri"/>
          <w:color w:val="111111"/>
          <w:sz w:val="28"/>
          <w:sz w:val="28"/>
          <w:szCs w:val="28"/>
          <w:rtl w:val="true"/>
          <w:lang w:bidi="ar-SA"/>
        </w:rPr>
        <w:t xml:space="preserve">، و حمل الثانية على كون الحولين ظرفا للرضاع لا قيدا لمقداره </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في مقام الجمع و عدم الطرح</w:t>
      </w:r>
      <w:r>
        <w:rPr>
          <w:rFonts w:eastAsia="Amiri" w:cs="Amiri" w:ascii="Amiri" w:hAnsi="Amiri"/>
          <w:color w:val="111111"/>
          <w:sz w:val="28"/>
          <w:szCs w:val="28"/>
          <w:rtl w:val="true"/>
          <w:lang w:bidi="ar-SA"/>
        </w:rPr>
        <w:t>.</w:t>
      </w:r>
      <w:bookmarkStart w:id="175" w:name="pg19718_239205"/>
    </w:p>
    <w:p>
      <w:pPr>
        <w:pStyle w:val="Heading5"/>
        <w:numPr>
          <w:ilvl w:val="4"/>
          <w:numId w:val="1"/>
        </w:numPr>
        <w:rPr/>
      </w:pPr>
      <w:bookmarkStart w:id="176" w:name="__RefHeading___Toc1985842_2314609296"/>
      <w:bookmarkStart w:id="177" w:name="_Toc67"/>
      <w:bookmarkEnd w:id="175"/>
      <w:bookmarkEnd w:id="176"/>
      <w:r>
        <w:rPr>
          <w:rtl w:val="true"/>
        </w:rPr>
        <w:t>[</w:t>
      </w:r>
      <w:r>
        <w:rPr>
          <w:rtl w:val="true"/>
        </w:rPr>
        <w:t>شروط الرضعات المحرمة</w:t>
      </w:r>
      <w:r>
        <w:rPr>
          <w:rtl w:val="true"/>
        </w:rPr>
        <w:t>]</w:t>
      </w:r>
      <w:bookmarkEnd w:id="177"/>
    </w:p>
    <w:p>
      <w:pPr>
        <w:pStyle w:val="Heading6"/>
        <w:numPr>
          <w:ilvl w:val="5"/>
          <w:numId w:val="1"/>
        </w:numPr>
        <w:rPr/>
      </w:pPr>
      <w:bookmarkStart w:id="178" w:name="__RefHeading___Toc1985844_2314609296"/>
      <w:bookmarkStart w:id="179" w:name="_Toc68"/>
      <w:bookmarkEnd w:id="178"/>
      <w:r>
        <w:rPr>
          <w:rtl w:val="true"/>
        </w:rPr>
        <w:t>اشارة</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يعتبر في الرضعات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يعتبر في الرضعات العشر أو الخمس عشرة المحرّمة أمور</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1985846_2314609296"/>
      <w:bookmarkStart w:id="181" w:name="_Toc69"/>
      <w:bookmarkEnd w:id="180"/>
      <w:r>
        <w:rPr>
          <w:rtl w:val="true"/>
        </w:rPr>
        <w:t>الأوّل</w:t>
      </w:r>
      <w:r>
        <w:rPr>
          <w:rtl w:val="true"/>
        </w:rPr>
        <w:t xml:space="preserve">: </w:t>
      </w:r>
      <w:r>
        <w:rPr>
          <w:rtl w:val="true"/>
        </w:rPr>
        <w:t>كمال الرضعة</w:t>
      </w:r>
      <w:bookmarkEnd w:id="181"/>
    </w:p>
    <w:p>
      <w:pPr>
        <w:pStyle w:val="BookText"/>
        <w:rPr/>
      </w:pPr>
      <w:r>
        <w:rPr>
          <w:rFonts w:ascii="Amiri" w:hAnsi="Amiri" w:eastAsia="Amiri" w:cs="Amiri"/>
          <w:color w:val="111111"/>
          <w:sz w:val="28"/>
          <w:sz w:val="28"/>
          <w:szCs w:val="28"/>
          <w:rtl w:val="true"/>
          <w:lang w:bidi="ar-SA"/>
        </w:rPr>
        <w:t>فالرضعة الناقصة لا تعدّ من العدد ما لم يكمل على وجه لا يقدح في الاتّحاد، فإذا لفظ الصبي الثدي، فإن كان أعرض عنه إعراض ميل، فهي رضعة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كالتنفس، أو السعال، أو الانتقال من ثدي، أو الالتفات إلى ملاعب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في الحال، فالمجموع 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يعد إلّا بعد مدّة، فالظاهر عدم احتساب مجموعهما من العدد، و كذا لو أخرجت الثدي من فيه كرها، فلم تلقمها إيّاه إلّا بعد مدّة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الدليل على اعتبار كمال الرضعة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الرضعة الواردة في الأخبار هي الكاملة، و المرجع في كمالها إلى العرف، لأنّه المحكّم في أمثاله</w:t>
      </w:r>
      <w:r>
        <w:rPr>
          <w:rFonts w:eastAsia="Amiri" w:cs="Amiri" w:ascii="Amiri" w:hAnsi="Amiri"/>
          <w:color w:val="111111"/>
          <w:sz w:val="28"/>
          <w:szCs w:val="28"/>
          <w:rtl w:val="true"/>
          <w:lang w:bidi="ar-SA"/>
        </w:rPr>
        <w:t>.</w:t>
      </w:r>
      <w:bookmarkStart w:id="182" w:name="pg19718_239206"/>
    </w:p>
    <w:p>
      <w:pPr>
        <w:pStyle w:val="BookText"/>
        <w:rPr/>
      </w:pPr>
      <w:bookmarkEnd w:id="182"/>
      <w:r>
        <w:rPr>
          <w:rFonts w:ascii="Amiri" w:hAnsi="Amiri" w:eastAsia="Amiri" w:cs="Amiri"/>
          <w:color w:val="111111"/>
          <w:sz w:val="28"/>
          <w:sz w:val="28"/>
          <w:szCs w:val="28"/>
          <w:rtl w:val="true"/>
          <w:lang w:bidi="ar-SA"/>
        </w:rPr>
        <w:t>و حكي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تحديده بأن يروي الولد و يصدر من قبل نفسه </w:t>
      </w:r>
      <w:r>
        <w:rPr>
          <w:rStyle w:val="FootnoteAnchor"/>
          <w:rtl w:val="true"/>
        </w:rPr>
        <w:footnoteReference w:id="1416"/>
      </w:r>
      <w:r>
        <w:rPr>
          <w:rFonts w:ascii="Amiri" w:hAnsi="Amiri" w:eastAsia="Amiri" w:cs="Amiri"/>
          <w:color w:val="111111"/>
          <w:sz w:val="28"/>
          <w:sz w:val="28"/>
          <w:szCs w:val="28"/>
          <w:rtl w:val="true"/>
          <w:lang w:bidi="ar-SA"/>
        </w:rPr>
        <w:t>، و ليس ببعيد عن التفسير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مرسلة ابن أبي عمير عن بعض أصحابه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الرضاع الذي ينبت اللحم و الدّم هو الذي يرضع حتّى يتضلّع و يتملّى و ينتهي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417"/>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 w:name="__RefHeading___Toc1985848_2314609296"/>
      <w:bookmarkStart w:id="184" w:name="_Toc70"/>
      <w:bookmarkEnd w:id="183"/>
      <w:r>
        <w:rPr>
          <w:rtl w:val="true"/>
        </w:rPr>
        <w:t>الثاني</w:t>
      </w:r>
      <w:r>
        <w:rPr>
          <w:rtl w:val="true"/>
        </w:rPr>
        <w:t xml:space="preserve">: </w:t>
      </w:r>
      <w:r>
        <w:rPr>
          <w:rtl w:val="true"/>
        </w:rPr>
        <w:t>توالي الرضعات</w:t>
      </w:r>
      <w:bookmarkEnd w:id="184"/>
    </w:p>
    <w:p>
      <w:pPr>
        <w:pStyle w:val="BookText"/>
        <w:rPr/>
      </w:pPr>
      <w:r>
        <w:rPr>
          <w:rFonts w:ascii="Amiri" w:hAnsi="Amiri" w:eastAsia="Amiri" w:cs="Amiri"/>
          <w:color w:val="111111"/>
          <w:sz w:val="28"/>
          <w:sz w:val="28"/>
          <w:szCs w:val="28"/>
          <w:rtl w:val="true"/>
          <w:lang w:bidi="ar-SA"/>
        </w:rPr>
        <w:t>بأن لا يفصل بينها رضاع امرأة أخرى، و الظاهر عدم الخلاف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موثّقة زياد ابن سوقة المتقدّمة </w:t>
      </w:r>
      <w:r>
        <w:rPr>
          <w:rStyle w:val="FootnoteAnchor"/>
          <w:rtl w:val="true"/>
        </w:rPr>
        <w:footnoteReference w:id="1420"/>
      </w:r>
      <w:r>
        <w:rPr>
          <w:rFonts w:ascii="Amiri" w:hAnsi="Amiri" w:eastAsia="Amiri" w:cs="Amiri"/>
          <w:color w:val="111111"/>
          <w:sz w:val="28"/>
          <w:sz w:val="28"/>
          <w:szCs w:val="28"/>
          <w:rtl w:val="true"/>
          <w:lang w:bidi="ar-SA"/>
        </w:rPr>
        <w:t>حيث نصّ فيها على تقييد الرضعات بأن لا يفصل بينها رضعة من امرأة أخرى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منها أنّ المعتبر في الفاصل القادح في التوالي أن يكون رضعة كاملة، فلو فصل بينها رضعة ناقصة، لم تخلّ بالتوالي؛ خلافا للمحكيّ عن القواعد </w:t>
      </w:r>
      <w:r>
        <w:rPr>
          <w:rStyle w:val="FootnoteAnchor"/>
          <w:rtl w:val="true"/>
        </w:rPr>
        <w:footnoteReference w:id="1421"/>
      </w:r>
      <w:r>
        <w:rPr>
          <w:rFonts w:ascii="Amiri" w:hAnsi="Amiri" w:eastAsia="Amiri" w:cs="Amiri"/>
          <w:color w:val="111111"/>
          <w:sz w:val="28"/>
          <w:sz w:val="28"/>
          <w:szCs w:val="28"/>
          <w:rtl w:val="true"/>
          <w:lang w:bidi="ar-SA"/>
        </w:rPr>
        <w:t xml:space="preserve">و ظاهر عبارة الشرائع </w:t>
      </w:r>
      <w:r>
        <w:rPr>
          <w:rStyle w:val="FootnoteAnchor"/>
          <w:rtl w:val="true"/>
        </w:rPr>
        <w:footnoteReference w:id="1422"/>
      </w:r>
      <w:r>
        <w:rPr>
          <w:rFonts w:ascii="Amiri" w:hAnsi="Amiri" w:eastAsia="Amiri" w:cs="Amiri"/>
          <w:color w:val="111111"/>
          <w:sz w:val="28"/>
          <w:sz w:val="28"/>
          <w:szCs w:val="28"/>
          <w:rtl w:val="true"/>
          <w:lang w:bidi="ar-SA"/>
        </w:rPr>
        <w:t>فأبطلا التوالي بفصل مطلق الرضاع؛ و لعلّه لعدم صدق التوالي المقيّد به الرضعات في رواية زياد بن سوقة عرفا إلّا مع عدم فصل مسمّى الرضاع، و إن كان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يفصل</w:t>
      </w:r>
      <w:bookmarkStart w:id="185" w:name="pg19718_239207"/>
    </w:p>
    <w:p>
      <w:pPr>
        <w:pStyle w:val="BookText"/>
        <w:rPr/>
      </w:pPr>
      <w:bookmarkEnd w:id="185"/>
      <w:r>
        <w:rPr>
          <w:rFonts w:ascii="Amiri" w:hAnsi="Amiri" w:eastAsia="Amiri" w:cs="Amiri"/>
          <w:color w:val="111111"/>
          <w:sz w:val="28"/>
          <w:sz w:val="28"/>
          <w:szCs w:val="28"/>
          <w:rtl w:val="true"/>
          <w:lang w:bidi="ar-SA"/>
        </w:rPr>
        <w:t>بينها رضعة امرأة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اعتبار عدم فصل الرضعة الكاملة، إلّا أنّ قيد التوالي المذكور قبله أخصّ منه؛ إلّا أن يقال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للتوالي، فلا يعتبر فيه أمر زائد على عدم الفصل بالرضعة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يجعل تقييد الفصل المنفي بالرضعة واردا مورد الغالب، حيث إنّ الفصل إذا اتّفق لا يكون غالبا بأقلّ من رضعة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فينبغي القطع بعدم قطع تخلّل غير الرضاع في التوالي، و ادّعى الاتّفاق عليه في الحدائق </w:t>
      </w:r>
      <w:r>
        <w:rPr>
          <w:rStyle w:val="FootnoteAnchor"/>
          <w:rtl w:val="true"/>
        </w:rPr>
        <w:footnoteReference w:id="1423"/>
      </w:r>
      <w:r>
        <w:rPr>
          <w:rFonts w:ascii="Amiri" w:hAnsi="Amiri" w:eastAsia="Amiri" w:cs="Amiri"/>
          <w:color w:val="111111"/>
          <w:sz w:val="28"/>
          <w:sz w:val="28"/>
          <w:szCs w:val="28"/>
          <w:rtl w:val="true"/>
          <w:lang w:bidi="ar-SA"/>
        </w:rPr>
        <w:t>فلو اغتذى بينها بمأكول أو مشروب فالتوالي بحاله</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1985850_2314609296"/>
      <w:bookmarkStart w:id="187" w:name="_Toc71"/>
      <w:bookmarkEnd w:id="186"/>
      <w:r>
        <w:rPr>
          <w:rtl w:val="true"/>
        </w:rPr>
        <w:t>الثالث</w:t>
      </w:r>
      <w:r>
        <w:rPr>
          <w:rtl w:val="true"/>
        </w:rPr>
        <w:t xml:space="preserve">: </w:t>
      </w:r>
      <w:r>
        <w:rPr>
          <w:rtl w:val="true"/>
        </w:rPr>
        <w:t>أن يكون كمال العدد المعتبر من امرأة واحدة</w:t>
      </w:r>
      <w:bookmarkEnd w:id="187"/>
    </w:p>
    <w:p>
      <w:pPr>
        <w:pStyle w:val="BookText"/>
        <w:rPr/>
      </w:pPr>
      <w:r>
        <w:rPr>
          <w:rFonts w:ascii="Amiri" w:hAnsi="Amiri" w:eastAsia="Amiri" w:cs="Amiri"/>
          <w:color w:val="111111"/>
          <w:sz w:val="28"/>
          <w:sz w:val="28"/>
          <w:szCs w:val="28"/>
          <w:rtl w:val="true"/>
          <w:lang w:bidi="ar-SA"/>
        </w:rPr>
        <w:t>فلو ارتضع بعضها من امرأة و أكملها من امرأة أخرى لم ينشر الحرمة، و لم تصر واحدة من المرضعتين امّا للرضيع، و لو كانتا لفحل واحد لم يصر الفحل أبا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الخلاف في اعتبار ذلك بين من اعتبر تعدّد الرضعات، و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علماءنا أجمع </w:t>
      </w:r>
      <w:r>
        <w:rPr>
          <w:rStyle w:val="FootnoteAnchor"/>
          <w:rtl w:val="true"/>
        </w:rPr>
        <w:footnoteReference w:id="1424"/>
      </w:r>
      <w:r>
        <w:rPr>
          <w:rFonts w:ascii="Amiri" w:hAnsi="Amiri" w:eastAsia="Amiri" w:cs="Amiri"/>
          <w:color w:val="111111"/>
          <w:sz w:val="28"/>
          <w:sz w:val="28"/>
          <w:szCs w:val="28"/>
          <w:rtl w:val="true"/>
          <w:lang w:bidi="ar-SA"/>
        </w:rPr>
        <w:t xml:space="preserve">، و لعلّ المراد العلماء المعتبرين لتعدّد الرضعات، و إلّا فمثل ابن الجنيد القائل بالنشر برضعة واحدة </w:t>
      </w:r>
      <w:r>
        <w:rPr>
          <w:rStyle w:val="FootnoteAnchor"/>
          <w:rtl w:val="true"/>
        </w:rPr>
        <w:footnoteReference w:id="1425"/>
      </w:r>
      <w:r>
        <w:rPr>
          <w:rFonts w:ascii="Amiri" w:hAnsi="Amiri" w:eastAsia="Amiri" w:cs="Amiri"/>
          <w:color w:val="111111"/>
          <w:sz w:val="28"/>
          <w:sz w:val="28"/>
          <w:szCs w:val="28"/>
          <w:rtl w:val="true"/>
          <w:lang w:bidi="ar-SA"/>
        </w:rPr>
        <w:t>لا يتأتّى في حقّه اعتبار هذا الشرط؛ اللّٰهمّ إلّا في مجموع الرضعتين الناقصتين المعدودتين برضعة كاملة، أو في اللبن المؤجور في حلق الصبيّ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اعتبار هذا الشرط موثّقة زياد المتقدّمة </w:t>
      </w:r>
      <w:r>
        <w:rPr>
          <w:rStyle w:val="FootnoteAnchor"/>
          <w:rtl w:val="true"/>
        </w:rPr>
        <w:footnoteReference w:id="1426"/>
      </w:r>
      <w:r>
        <w:rPr>
          <w:rFonts w:ascii="Amiri" w:hAnsi="Amiri" w:eastAsia="Amiri" w:cs="Amiri"/>
          <w:color w:val="111111"/>
          <w:sz w:val="28"/>
          <w:sz w:val="28"/>
          <w:szCs w:val="28"/>
          <w:rtl w:val="true"/>
          <w:lang w:bidi="ar-SA"/>
        </w:rPr>
        <w:t>، و يدلّ عليه</w:t>
      </w:r>
    </w:p>
    <w:p>
      <w:pPr>
        <w:pStyle w:val="BookText"/>
        <w:rPr/>
      </w:pPr>
      <w:r>
        <w:rPr>
          <w:rFonts w:ascii="Amiri" w:hAnsi="Amiri" w:eastAsia="Amiri" w:cs="Amiri"/>
          <w:color w:val="111111"/>
          <w:sz w:val="28"/>
          <w:sz w:val="28"/>
          <w:szCs w:val="28"/>
          <w:rtl w:val="true"/>
          <w:lang w:bidi="ar-SA"/>
        </w:rPr>
        <w:t>أيضا كلّ ما دلّ على تحقّق الحرمة برضاع امرأة ولد اخرى، بعد تقييد الرضاع ببلوغه خمس عشرة، فإنّ قوله عليه السلام في صحيحة بريد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امرأة أرضعت من لبن فحلها ولد امرأة أخرى من غلام أو جارية، فذلك هو الرضاع الذي قال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أدلّة اعتبار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أرضعت خمس عشر 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أدلّة اعتبار اتّحاد المرضعة، و هكذا قوله عليه السلام في صحيحة عبد اللّٰه ابن سنان و حسنته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أرضعت امرأتك من لبنك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أيضا قوله تعالى وَ أُحِلَّ لَكُمْ مٰا وَرٰاءَ ذٰلِكُمْ بعد تقييد قوله وَ أُمَّهٰاتُكُمُ اللّٰاتِي أَرْضَعْنَكُمْ </w:t>
      </w:r>
      <w:r>
        <w:rPr>
          <w:rStyle w:val="FootnoteAnchor"/>
          <w:rtl w:val="true"/>
        </w:rPr>
        <w:footnoteReference w:id="1429"/>
      </w:r>
      <w:r>
        <w:rPr>
          <w:rFonts w:ascii="Amiri" w:hAnsi="Amiri" w:eastAsia="Amiri" w:cs="Amiri"/>
          <w:color w:val="111111"/>
          <w:sz w:val="28"/>
          <w:sz w:val="28"/>
          <w:szCs w:val="28"/>
          <w:rtl w:val="true"/>
          <w:lang w:bidi="ar-SA"/>
        </w:rPr>
        <w:t>بالإرضاع خمس عشرة 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إطلاق بعض الأخبار دلالة على كفاية اتّحاد الفحل و عدم اعتبار اتّحاد المرضعة،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ان يتزوّج ابنة فحل قد رضع من لبنه</w:t>
      </w:r>
      <w:r>
        <w:rPr>
          <w:rFonts w:eastAsia="Amiri" w:cs="Amiri" w:ascii="Amiri" w:hAnsi="Amiri"/>
          <w:color w:val="111111"/>
          <w:sz w:val="28"/>
          <w:szCs w:val="28"/>
          <w:rtl w:val="true"/>
          <w:lang w:bidi="ar-SA"/>
        </w:rPr>
        <w:t xml:space="preserve">»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الحلبي و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جارية صغيرة، فأرضعتها امرأته و أمّ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فإنّ إطلاقها يشمل ما إذا وقع الرضاع المحرّم من ارتضاع المرأة و أمّ الولد كلتيهما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مضمرة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له امرأتان، فولدت كلّ</w:t>
      </w:r>
      <w:bookmarkStart w:id="188" w:name="pg19718_239209"/>
    </w:p>
    <w:p>
      <w:pPr>
        <w:pStyle w:val="BookText"/>
        <w:rPr/>
      </w:pPr>
      <w:bookmarkEnd w:id="188"/>
      <w:r>
        <w:rPr>
          <w:rFonts w:ascii="Amiri" w:hAnsi="Amiri" w:eastAsia="Amiri" w:cs="Amiri"/>
          <w:color w:val="111111"/>
          <w:sz w:val="28"/>
          <w:sz w:val="28"/>
          <w:szCs w:val="28"/>
          <w:rtl w:val="true"/>
          <w:lang w:bidi="ar-SA"/>
        </w:rPr>
        <w:t>واحدة منهما غلاما، فانطلقت إحدى امرأتيه فأرضعت جارية من عرض الناس، أ ينبغي لابنه أن يتزوّج بهذه الجارية؟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أرضعت بلبن الشيخ</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بعموم التعليل على أنّ كلّ من أرضع بلبن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حصل الرضاع المعتبر من إحدى زوجاته، أو من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أولاده، لكن هذه كلّها مطلقات يجب تقييدها بما ذكرنا، مضافا إلى إمكان منع استفادة العموم منها؛ نظرا إلى ورودها في مقام بيان حكم آخر، فتدبّر</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1985852_2314609296"/>
      <w:bookmarkStart w:id="190" w:name="_Toc72"/>
      <w:bookmarkEnd w:id="189"/>
      <w:r>
        <w:rPr>
          <w:rtl w:val="true"/>
        </w:rPr>
        <w:t>الرابع</w:t>
      </w:r>
      <w:r>
        <w:rPr>
          <w:rtl w:val="true"/>
        </w:rPr>
        <w:t xml:space="preserve">: </w:t>
      </w:r>
      <w:r>
        <w:rPr>
          <w:rtl w:val="true"/>
        </w:rPr>
        <w:t>أن يكون كمال العدد المعتبر من لبن فحل واحد</w:t>
      </w:r>
      <w:bookmarkEnd w:id="190"/>
    </w:p>
    <w:p>
      <w:pPr>
        <w:pStyle w:val="BookText"/>
        <w:rPr/>
      </w:pPr>
      <w:r>
        <w:rPr>
          <w:rFonts w:ascii="Amiri" w:hAnsi="Amiri" w:eastAsia="Amiri" w:cs="Amiri"/>
          <w:color w:val="111111"/>
          <w:sz w:val="28"/>
          <w:sz w:val="28"/>
          <w:szCs w:val="28"/>
          <w:rtl w:val="true"/>
          <w:lang w:bidi="ar-SA"/>
        </w:rPr>
        <w:t>فلو كان من لبن فحلين لم يحصل النشر، و لم يصر واحد منهما أبا للمرتضع و إن اتّحدت المرضعة، و لا تصير أيضا أمّا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يتصوّر ذلك في المرضعة، بأن ترضع الطفل من لبن فحله بعض العدد، ثمّ يطلّقها ذلك الفحل و تتزوّج بآخر و تحمل منه، ثمّ ترضع الطفل المذكور من لبن هذا الفحل تكملة الرضعات من غير أن يتخلّل بين الإرضاعين إرضاع امرأة أخرى، بأن يستقلّ الولد في المدّة الفاصلة بين الإرضاعين بالمأكول و المشروب؛ بناء على عدم إخلال فصلهما بتوالي الرضعات العدديّة، و إن أخلّ برضاع اليوم و الليلة، كما سبق</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اعتبار هذا الشرط ممّا لا خلاف فيه، و حكي عن التذكرة الإجماع عليه </w:t>
      </w:r>
      <w:r>
        <w:rPr>
          <w:rStyle w:val="FootnoteAnchor"/>
          <w:rtl w:val="true"/>
        </w:rPr>
        <w:footnoteReference w:id="1433"/>
      </w:r>
      <w:r>
        <w:rPr>
          <w:rFonts w:ascii="Amiri" w:hAnsi="Amiri" w:eastAsia="Amiri" w:cs="Amiri"/>
          <w:color w:val="111111"/>
          <w:sz w:val="28"/>
          <w:sz w:val="28"/>
          <w:szCs w:val="28"/>
          <w:rtl w:val="true"/>
          <w:lang w:bidi="ar-SA"/>
        </w:rPr>
        <w:t>، و يدلّ عليه موثّقة ابن سوقة المتقدّمة، و قوله عليه السلام في صحيحة بريد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امرأة أرضعت من لبن فحلها ولد امرأة أخرى، من</w:t>
      </w:r>
    </w:p>
    <w:p>
      <w:pPr>
        <w:pStyle w:val="BookText"/>
        <w:rPr/>
      </w:pPr>
      <w:r>
        <w:rPr>
          <w:rFonts w:ascii="Amiri" w:hAnsi="Amiri" w:eastAsia="Amiri" w:cs="Amiri"/>
          <w:color w:val="111111"/>
          <w:sz w:val="28"/>
          <w:sz w:val="28"/>
          <w:szCs w:val="28"/>
          <w:rtl w:val="true"/>
          <w:lang w:bidi="ar-SA"/>
        </w:rPr>
        <w:t>غلام أو جارية، فذلك الرضاع الذي قال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فإنّه بعد ما قيّد الإرضاع فيه بما بلغ العدد المعتبر، فيعتبر في العدد المعتبر أن يكون من فحل تلك المرأة، و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فحلها الواحد، لا جنس فحلها، كما يدلّ عليه قوله عليه السلام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امرأة أرضعت من لبن فحلين كانا لها واحدا بعد واحد، فإنّ ذلك رضاع ليس بالرضاع الذي 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هذه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و حسنته بابن هاشم في تفسير لبن الفحل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أرضعت امرأتك من لبن ولدك ولد امرأة أخرى، فهو حرام</w:t>
      </w:r>
      <w:r>
        <w:rPr>
          <w:rFonts w:eastAsia="Amiri" w:cs="Amiri" w:ascii="Amiri" w:hAnsi="Amiri"/>
          <w:color w:val="111111"/>
          <w:sz w:val="28"/>
          <w:szCs w:val="28"/>
          <w:rtl w:val="true"/>
          <w:lang w:bidi="ar-SA"/>
        </w:rPr>
        <w:t xml:space="preserve">» </w:t>
      </w:r>
      <w:r>
        <w:rPr>
          <w:rStyle w:val="FootnoteAnchor"/>
          <w:rtl w:val="true"/>
        </w:rPr>
        <w:footnoteReference w:id="1435"/>
      </w:r>
      <w:r>
        <w:rPr>
          <w:rFonts w:ascii="Amiri" w:hAnsi="Amiri" w:eastAsia="Amiri" w:cs="Amiri"/>
          <w:color w:val="111111"/>
          <w:sz w:val="28"/>
          <w:sz w:val="28"/>
          <w:szCs w:val="28"/>
          <w:rtl w:val="true"/>
          <w:lang w:bidi="ar-SA"/>
        </w:rPr>
        <w:t>و تقريب الاستدلال فيهما كالسابقة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المعتضدة بعدم الخلاف تقيّد إطلاقات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الشرط و سابقيه كما يعتبر في الرضاع المقدّر بالعدد، كذلك يعتبر في المقدّر بالزمان، إلّا أنّ معنى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تخلّل رضاع آخر، و في اليوم و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تخلّل غذاء آخر، سواء كان لبن غير المرضعة أم غذاء آخر؛ و أنّ الشرط الثالث لا يتصوّر تخلّفه في المقدّر بالزمان إلّا على فرض نادر، بأن يبقى لبن الفحل الأوّل إلى زمان حصول اللبن من الثاني، و لا يحصل من اللبن الأوّل وحده الرضاع المقدّر، بل يحصل رضاع يوم من الأوّل، و ليلة من الثاني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هذه خلاصة الكلام في شروط نشر الحرمة بالرضاع، فكلّما انتفى</w:t>
      </w:r>
    </w:p>
    <w:p>
      <w:pPr>
        <w:pStyle w:val="BookText"/>
        <w:rPr/>
      </w:pPr>
      <w:r>
        <w:rPr>
          <w:rFonts w:ascii="Amiri" w:hAnsi="Amiri" w:eastAsia="Amiri" w:cs="Amiri"/>
          <w:color w:val="111111"/>
          <w:sz w:val="28"/>
          <w:sz w:val="28"/>
          <w:szCs w:val="28"/>
          <w:rtl w:val="true"/>
          <w:lang w:bidi="ar-SA"/>
        </w:rPr>
        <w:t xml:space="preserve">بعض هذه الشروط الستّة </w:t>
      </w:r>
      <w:r>
        <w:rPr>
          <w:rStyle w:val="FootnoteAnchor"/>
          <w:rtl w:val="true"/>
        </w:rPr>
        <w:footnoteReference w:id="1436"/>
      </w:r>
      <w:r>
        <w:rPr>
          <w:rFonts w:ascii="Amiri" w:hAnsi="Amiri" w:eastAsia="Amiri" w:cs="Amiri"/>
          <w:color w:val="111111"/>
          <w:sz w:val="28"/>
          <w:sz w:val="28"/>
          <w:szCs w:val="28"/>
          <w:rtl w:val="true"/>
          <w:lang w:bidi="ar-SA"/>
        </w:rPr>
        <w:t>لم ينشر الحرمة بين المرتضع أو أحد من قبله و بين الفحل و المرضعة أو أحد من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شرط آخر اعتبره الأكثر في نشر الحرمة بين كلّ من المرتضعين من مرضعة واحدة و بين الآخر، و جعلوه منخرطا في سلك شروط الرضاع باعتبار أنّه شرط للنشر في الجملة، و هو اتّحاد الفحل الذي يرتضع المرتضعان من لبنه، فلو ارتضع أحد من امرأة من لبن فحل، و ارتضع آخر من تلك المرأة من لبن فحل آخر، لم يحرم أحد المرتضعين أو أصوله أو فروعه على الآخر، فالعبرة بالاخوّة في الرضاع الاخوّة من قبل الأب الرضاعي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عبرة بالأمّ الرضاعيّة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لو ارتضع عشرة من لبن فحل واحد، كلّ واحدة من إحدى أمّهات أولاده، صار الجميع إخوة يحرم بعضهم و فروعه على البعض الآخر و على فروعه، و هذا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خالف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هذا الشرط </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اكتفى باتّحاد واحد من المرضعة و الفحل، و ألحق الرضاع بالنسب في كفاية الاخوّة من أحد الأبوين في نشر الحرمة، تمسّكا بعموم قوله تعالى وَ أَخَوٰاتُكُمْ مِنَ الرَّضٰاعَةِ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ذلك، و خصوص رواية محمّد بن عبيدة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أصحابك في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جاءتهم الرواية عنك أنّك تحرّم من الرضاع ما يحرم من النسب فرجعوا إلى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أمير المؤمنين سألني عنها البارحة،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اشرح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أكره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حتّى أسألك عنها، ما قلت في رجل كانت له أمّهات أولاد شتّى، فأرضعت واحدة منهنّ بلبنها غلاما غريبا، أ ليس كلّ شي‌ء من ولد ذلك الرجل من أمّهات الأولاد الشتّى يحرم </w:t>
      </w:r>
      <w:r>
        <w:rPr>
          <w:rStyle w:val="FootnoteAnchor"/>
          <w:rtl w:val="true"/>
        </w:rPr>
        <w:footnoteReference w:id="1438"/>
      </w:r>
      <w:r>
        <w:rPr>
          <w:rFonts w:ascii="Amiri" w:hAnsi="Amiri" w:eastAsia="Amiri" w:cs="Amiri"/>
          <w:color w:val="111111"/>
          <w:sz w:val="28"/>
          <w:sz w:val="28"/>
          <w:szCs w:val="28"/>
          <w:rtl w:val="true"/>
          <w:lang w:bidi="ar-SA"/>
        </w:rPr>
        <w:t>على ذلك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الرضاع يحرّم من قبل الفحل و لا يحرّم من قبل الأمّهات، و إنّما الرضاع من قبل الأمّهات، و إن كان لبن الفحل أيضا يحرّم</w:t>
      </w:r>
      <w:r>
        <w:rPr>
          <w:rFonts w:eastAsia="Amiri" w:cs="Amiri" w:ascii="Amiri" w:hAnsi="Amiri"/>
          <w:color w:val="111111"/>
          <w:sz w:val="28"/>
          <w:szCs w:val="28"/>
          <w:rtl w:val="true"/>
          <w:lang w:bidi="ar-SA"/>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الأظهر ما عليه الأكثر، بل حكى الإجماع عليه عن بعض أصحابنا </w:t>
      </w:r>
      <w:r>
        <w:rPr>
          <w:rStyle w:val="FootnoteAnchor"/>
          <w:rtl w:val="true"/>
        </w:rPr>
        <w:footnoteReference w:id="1440"/>
      </w:r>
      <w:r>
        <w:rPr>
          <w:rFonts w:ascii="Amiri" w:hAnsi="Amiri" w:eastAsia="Amiri" w:cs="Amiri"/>
          <w:color w:val="111111"/>
          <w:sz w:val="28"/>
          <w:sz w:val="28"/>
          <w:szCs w:val="28"/>
          <w:rtl w:val="true"/>
          <w:lang w:bidi="ar-SA"/>
        </w:rPr>
        <w:t>غير واحد ممّن تأخّر، لضعف الرواية بعد تسليم ظهورها في المدّعى و الإغماض عن اختصاصها بأولاد المرضعة نسبا، و لا خلاف في تحريمهم على المرتضع و إن تعدّد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تقيّد إطلاقات الكتاب و السنّة بالأخبار الدالّة على اعتبار اتّحاد الفحل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يرضع من امرأة و هو غلام، أ يحلّ له أن يتزوّج أختها لأمّها من الرضاعة؟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المرأتان رضعتا من امرأة واحدة من لبن فحل واحد، فلا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المرأتان رضعتا من امرأة واحدة من لبن فحلين، فلا بأس</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عنه ابن محبوب بواسطة هشام ابن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غلام رضع من امرأة، أ يحلّ له أن يتزوّج أختها لأبيها من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رضعا جميعا من لبن فحل واحد من امرأة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فيتزوّج أختها لأمّها من الرضاعة؟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 أختها التي لم ترضعه كان فحلها غير فحل التي أرضعت الغلام، فاختلف الفحلان، فلا بأس</w:t>
      </w:r>
      <w:r>
        <w:rPr>
          <w:rFonts w:eastAsia="Amiri" w:cs="Amiri" w:ascii="Amiri" w:hAnsi="Amiri"/>
          <w:color w:val="111111"/>
          <w:sz w:val="28"/>
          <w:szCs w:val="28"/>
          <w:rtl w:val="true"/>
          <w:lang w:bidi="ar-SA"/>
        </w:rPr>
        <w:t xml:space="preserve">» </w:t>
      </w:r>
      <w:r>
        <w:rPr>
          <w:rStyle w:val="FootnoteAnchor"/>
          <w:rtl w:val="true"/>
        </w:rPr>
        <w:footnoteReference w:id="1442"/>
      </w:r>
      <w:r>
        <w:rPr>
          <w:rFonts w:ascii="Amiri" w:hAnsi="Amiri" w:eastAsia="Amiri" w:cs="Amiri"/>
          <w:color w:val="111111"/>
          <w:sz w:val="28"/>
          <w:sz w:val="28"/>
          <w:szCs w:val="28"/>
          <w:rtl w:val="true"/>
          <w:lang w:bidi="ar-SA"/>
        </w:rPr>
        <w:t>و لا يضرّ دلالتها على اعتبار اتّحاد المرضعة الذي ليس معتبرا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بريد بن معاوية المتقدّمة قريبا في الشرط الرابع من شروط الرضعات العدديّة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يردّ استدلال الطبرسي على مطلبه بقوله تعالى وَ أَخَوٰاتُكُمْ مِنَ الرَّضٰاعَةِ بمنع كون المرتضعة من امرأة بلبن فحل أختا أمّيا رضاعيّا للمرتضع من تلك المرأة بلبن فحل آخر، لكون الأخت الرضاعية أمرا شرعيّا، و كون المذكورة مندرجة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444"/>
      </w:r>
      <w:r>
        <w:rPr>
          <w:rFonts w:ascii="Amiri" w:hAnsi="Amiri" w:eastAsia="Amiri" w:cs="Amiri"/>
          <w:color w:val="111111"/>
          <w:sz w:val="28"/>
          <w:sz w:val="28"/>
          <w:szCs w:val="28"/>
          <w:rtl w:val="true"/>
          <w:lang w:bidi="ar-SA"/>
        </w:rPr>
        <w:t>محلّ النزاع، فلا بدّ من دليل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العنوانات الحاصلة بالنسب على ما يحصل من الرضاع غير متوقّف على التوقيف من الشارع بالخصوص؛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كذلك لم يثبت نشر الرضاع الحرمة في أكثر الموارد، و لم يكتف الشارع في بيان تحريم نظائر النسب الحاصلة من الرضاع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إلقاء هذا الكلام على هذا الفرض يصير من قبيل الإحالة على المجهول مع أنّه لا يرتاب المتتبّع و المتأمّل في أنّ كلّ من يسمع هذا الكلام من النبيّ أو الأئمّة صلوات اللّٰه عليه و عليهم أو من عالم، فلا يحتاج في تشخيص نظائر العنوانات النسبيّة من بين العلائق الحاصلة بالرضاع إلى بيان و توقيف؛ و يشهد بذلك ما مرّ في رواية محمّد بن عبيدة الهمداني، حيث قال للرضا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أصحابي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 حتّى جاءتهم الرواية عنك أنّك تحرّم من الرضاع ما يحرم من النسب، فرجعوا إلى قولك</w:t>
      </w:r>
      <w:r>
        <w:rPr>
          <w:rFonts w:eastAsia="Amiri" w:cs="Amiri" w:ascii="Amiri" w:hAnsi="Amiri"/>
          <w:color w:val="111111"/>
          <w:sz w:val="28"/>
          <w:szCs w:val="28"/>
          <w:rtl w:val="true"/>
          <w:lang w:bidi="ar-SA"/>
        </w:rPr>
        <w:t xml:space="preserve">» </w:t>
      </w:r>
      <w:r>
        <w:rPr>
          <w:rStyle w:val="FootnoteAnchor"/>
          <w:rtl w:val="true"/>
        </w:rPr>
        <w:footnoteReference w:id="1445"/>
      </w:r>
      <w:r>
        <w:rPr>
          <w:rFonts w:ascii="Amiri" w:hAnsi="Amiri" w:eastAsia="Amiri" w:cs="Amiri"/>
          <w:color w:val="111111"/>
          <w:sz w:val="28"/>
          <w:sz w:val="28"/>
          <w:szCs w:val="28"/>
          <w:rtl w:val="true"/>
          <w:lang w:bidi="ar-SA"/>
        </w:rPr>
        <w:t>فليت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فهموا من هذا الكلام حتّى رجعوا إلى القول بعدم اعتبار اتّحاد صاحب اللبن في الأخوة الرضاعيّة؟ و من هنا ترى الفقهاء الخاصّة و العامّة يتمسّكون بهذا الحديث من غير تأمّل في معناه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اتّحاد الفحل إنّما يعتبر في حصول الاخوّة بين المرتضعين اللذين يكونان كلاهما ولدين رضاعيّين للمرضعة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أحدهما ولدا نسبيّا لها فلا يعتبر في أخوّة ولدها الرضاعي لولدها النسبيّ اتّحاد فحلهما، فلو أرضعت ولدا حرم عليه أولادها النسبيّة كلّا، و إن كانوا من غير صاحب لبن المرتضع، لأنّ اعتبار اتّحاد الفحل أمر مخالف لإطلاق الكتاب، و الأدلّة المثبتة له مختصّة بالولدين</w:t>
      </w:r>
    </w:p>
    <w:p>
      <w:pPr>
        <w:pStyle w:val="BookText"/>
        <w:rPr/>
      </w:pPr>
      <w:r>
        <w:rPr>
          <w:rFonts w:ascii="Amiri" w:hAnsi="Amiri" w:eastAsia="Amiri" w:cs="Amiri"/>
          <w:color w:val="111111"/>
          <w:sz w:val="28"/>
          <w:sz w:val="28"/>
          <w:szCs w:val="28"/>
          <w:rtl w:val="true"/>
          <w:lang w:bidi="ar-SA"/>
        </w:rPr>
        <w:t>الرضاعيّين، كما يظهر لمن راجعها؛ مضافا إلى موثّقة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بأحمد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ارتضع الرجل من لبن امرأة حرم عليه كلّ شي‌ء من ولدها، و إن كان الولد من غير الرجل الذي كان أرضعته بلبنه</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و هي صريحة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من بعض الأخبار اعتبار اتّحاد الفحل هنا أيضا، مثل صحيحة صفوان عن أبي الحسن عليه السلام،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فأرضعت أمّي جارية بلبني؟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أختك من الرضاعة،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لأخ لي من أمّي لم ترضعها أمّي بلبنه؟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فالفحل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أخي لأبي و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 صار أبوك أباها، و أمّك أمّها</w:t>
      </w:r>
      <w:r>
        <w:rPr>
          <w:rFonts w:eastAsia="Amiri" w:cs="Amiri" w:ascii="Amiri" w:hAnsi="Amiri"/>
          <w:color w:val="111111"/>
          <w:sz w:val="28"/>
          <w:szCs w:val="28"/>
          <w:rtl w:val="true"/>
          <w:lang w:bidi="ar-SA"/>
        </w:rPr>
        <w:t xml:space="preserve">» </w:t>
      </w:r>
      <w:r>
        <w:rPr>
          <w:rStyle w:val="FootnoteAnchor"/>
          <w:rtl w:val="true"/>
        </w:rPr>
        <w:footnoteReference w:id="1447"/>
      </w:r>
      <w:r>
        <w:rPr>
          <w:rFonts w:ascii="Amiri" w:hAnsi="Amiri" w:eastAsia="Amiri" w:cs="Amiri"/>
          <w:color w:val="111111"/>
          <w:sz w:val="28"/>
          <w:sz w:val="28"/>
          <w:szCs w:val="28"/>
          <w:rtl w:val="true"/>
          <w:lang w:bidi="ar-SA"/>
        </w:rPr>
        <w:t>فإنّ استفصال الإمام عليه السلام عن اتّحاد الفحل مع تصريح السائل بكون الأخ ولد المرضعة نسبا يدلّ على تغاير حكمه مع حكم صورة تعدّد الفحل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شي‌ء، و هو أنّه قد حكي عن 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المرضعة من الرضاع، أو أختها منه أو بنات أخيها منه لا تحرمن على المرتضع </w:t>
      </w:r>
      <w:r>
        <w:rPr>
          <w:rStyle w:val="FootnoteAnchor"/>
          <w:rtl w:val="true"/>
        </w:rPr>
        <w:footnoteReference w:id="1448"/>
      </w:r>
      <w:r>
        <w:rPr>
          <w:rFonts w:ascii="Amiri" w:hAnsi="Amiri" w:eastAsia="Amiri" w:cs="Amiri"/>
          <w:color w:val="111111"/>
          <w:sz w:val="28"/>
          <w:sz w:val="28"/>
          <w:szCs w:val="28"/>
          <w:rtl w:val="true"/>
          <w:lang w:bidi="ar-SA"/>
        </w:rPr>
        <w:t xml:space="preserve">لأنّ الرضاع الحاصل بين المرضعة و المرتضع بلبن فحل، و الحاصل بينها و بين أمّها أو أختها أو أخيها بلبن فحل آخر، فلم يتّحد الفحل، فلا نشر، و مثله عن المحقّق الثاني في شرح هذه العبارة من القواعد </w:t>
      </w: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على فروض المتن عدم تحريم عمّة المرضعة أو خالتها من الرضاع على</w:t>
      </w:r>
    </w:p>
    <w:p>
      <w:pPr>
        <w:pStyle w:val="BookText"/>
        <w:rPr/>
      </w:pPr>
      <w:r>
        <w:rPr>
          <w:rFonts w:ascii="Amiri" w:hAnsi="Amiri" w:eastAsia="Amiri" w:cs="Amiri"/>
          <w:color w:val="111111"/>
          <w:sz w:val="28"/>
          <w:sz w:val="28"/>
          <w:szCs w:val="28"/>
          <w:rtl w:val="true"/>
          <w:lang w:bidi="ar-SA"/>
        </w:rPr>
        <w:t>المرتضع، ثمّ نسب التحريم إلى القيل، تمسّكا بعموم الأدلّة من الكتاب و السنّة، و أجاب عنه بأنّ ما دلّ على اعتبار اتّحاد الفحل خاصّ، فلا حجّة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ضعف هذا القول،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الدالّ على اعتبار اتّحاد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لعموم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مختصّا بالرضاع الموجب لأخوّة المرتضعين، بمعنى أنّه لا يحدث علاقة الاخوّة بين مرتضعين أجنبيين نسبا إلّا إذا اتّحد فحلهما، و لم يكن فيه إطلاق ليشمل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صحيحة الحلبي المتقدّمة </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عمدة أدلّة اعتبار اتّحاد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فيها بتحريم أخت المرضعة من الرضاع على المرتضع، و هي أحد الموارد التي حكم في القواعد و شرحه بعدم التحريم تفريعا على تعدّد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مثلها موثّقة عمّار الساباطي المتقدّمة أيضا </w:t>
      </w:r>
      <w:r>
        <w:rPr>
          <w:rStyle w:val="FootnoteAnchor"/>
          <w:rtl w:val="true"/>
        </w:rPr>
        <w:footnoteReference w:id="1451"/>
      </w:r>
      <w:r>
        <w:rPr>
          <w:rFonts w:ascii="Amiri" w:hAnsi="Amiri" w:eastAsia="Amiri" w:cs="Amiri"/>
          <w:color w:val="111111"/>
          <w:sz w:val="28"/>
          <w:sz w:val="28"/>
          <w:szCs w:val="28"/>
          <w:rtl w:val="true"/>
          <w:lang w:bidi="ar-SA"/>
        </w:rPr>
        <w:t>المعلّل فيها تحريم أخت المرضعة من الرضاع بأنّ الأختين رضعتا من امرأة واحدة بلبن فحل واحد، مع أنّه لا ريب في مغايرة فحل المرتضع لفحل أخت المرضعة، فيفهم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اتّحد الفحل بين المرأتين، و تحقّقت الاخوّة بينهما، كفى ذلك في حرمة كلّ منهما على فروع الآخر و لو من الرضاع</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ذلك، فاعلم أنّه</w:t>
      </w:r>
      <w:r>
        <w:rPr>
          <w:rFonts w:eastAsia="Amiri" w:cs="Amiri" w:ascii="Amiri" w:hAnsi="Amiri"/>
          <w:color w:val="111111"/>
          <w:sz w:val="28"/>
          <w:szCs w:val="28"/>
          <w:rtl w:val="true"/>
          <w:lang w:bidi="ar-SA"/>
        </w:rPr>
        <w:t xml:space="preserve">] </w:t>
      </w:r>
      <w:r>
        <w:rPr>
          <w:rStyle w:val="FootnoteAnchor"/>
          <w:rtl w:val="true"/>
        </w:rPr>
        <w:footnoteReference w:id="1452"/>
      </w:r>
      <w:r>
        <w:rPr>
          <w:rFonts w:ascii="IRNazanin" w:hAnsi="IRNazanin" w:eastAsia="IRNazanin"/>
          <w:color w:val="111111"/>
          <w:sz w:val="28"/>
          <w:sz w:val="28"/>
          <w:szCs w:val="28"/>
          <w:rtl w:val="true"/>
          <w:lang w:bidi="fa-IR"/>
        </w:rPr>
        <w:t>إذا حصل الرضاع المعتبر صارت</w:t>
      </w:r>
    </w:p>
    <w:p>
      <w:pPr>
        <w:pStyle w:val="BookText"/>
        <w:rPr/>
      </w:pPr>
      <w:r>
        <w:rPr>
          <w:rFonts w:ascii="Amiri" w:hAnsi="Amiri" w:eastAsia="Amiri" w:cs="Amiri"/>
          <w:color w:val="111111"/>
          <w:sz w:val="28"/>
          <w:sz w:val="28"/>
          <w:szCs w:val="28"/>
          <w:rtl w:val="true"/>
          <w:lang w:bidi="ar-SA"/>
        </w:rPr>
        <w:t>المرضعة و الفحل أبوين للمرتضع، و فروعه لهما أحفادا، و أصولهما له أجدادا و جدّات، و فروعهما إخوة و أولاد إخوة، و من في حاشية نسبهما عمومة و خئولة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القول في ذلك يحصل ببيان اثنتين و ثلاثين مسألة حاصلة من ملاحظة كلّ من المرتضع و أصوله و فروعه و من في حاشية نسبه أو رضاعه، مع كلّ من المرضعة و الفحل و أصولهما و فروعهما و من في حاشيتهما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ذكر أحكامهما لا بدّ من بيان ضابطة للتحريم في الرضاع،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1453"/>
      </w:r>
      <w:r>
        <w:rPr>
          <w:rFonts w:ascii="Amiri" w:hAnsi="Amiri" w:eastAsia="Amiri" w:cs="Amiri"/>
          <w:color w:val="111111"/>
          <w:sz w:val="28"/>
          <w:sz w:val="28"/>
          <w:szCs w:val="28"/>
          <w:rtl w:val="true"/>
          <w:lang w:bidi="ar-SA"/>
        </w:rPr>
        <w:t>أنّ كلّ عنوان قد حمل عليه الشارع التحريم من جهة علاقة نسبيّة، فهذا العنوان يحرم من جهة نظير تلك العلاقة من الرضاع و ذلك لا بمعنى أنّ كلّ شخص حرم من النسب فهو بعينه حرام من الرضاع؛ إذ لا شكّ في عدم إرادة هذا المعنى؛ لأنّ نفس المحرّم بالنسب ليس محرّما بالرضاع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في الحديث هو عنوان كلّي مشترك بين ما يحصل بالنسب و بين ما يحصل بالرضاع، تعلّق التحريم به من جهة النسب باعتبار بعض أفراده، و هو الحاصل بالنسب، و تعلّق التحريم به من جهة الرضاع باعتبار بعض أفراده و هو الحاصل بالرضاع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يصدق على عنوان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شي‌ء واحد بالوحدة النوعيّة الغير المنافية مع تكثّر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تحرم من جهة النسب، و تحرم من جهة الرضاع</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يقدح في هذا المطلب كون استعمال لفظ ذلك العنوان في الحاصل</w:t>
      </w:r>
    </w:p>
    <w:p>
      <w:pPr>
        <w:pStyle w:val="BookText"/>
        <w:rPr/>
      </w:pPr>
      <w:r>
        <w:rPr>
          <w:rFonts w:ascii="Amiri" w:hAnsi="Amiri" w:eastAsia="Amiri" w:cs="Amiri"/>
          <w:color w:val="111111"/>
          <w:sz w:val="28"/>
          <w:sz w:val="28"/>
          <w:szCs w:val="28"/>
          <w:rtl w:val="true"/>
          <w:lang w:bidi="ar-SA"/>
        </w:rPr>
        <w:t>بالرضاع استعمالا مجازيّا؛ إذ لم يقع في الكلام لفظ أحد تلك العناوين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خصوص الحاصل بعلاقة النسب،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اعتبر مثلا قدر مشترك بين الامّ الرضاعيّة و النسبيّة و أريد من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أبيت إلّا عن أنّ المراد بالموصول خصوص العنوانات النسبيّة، فلا بدّ في الكلام من تقدير، بأن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يحرم من الرضاع نظير كلّ عنوان من العنوانات النسبيّة التي تحرم من جهة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التقدير هو الذي ارتكبه جمع كثير من الفقهاء المتأخّرين في تفسير الحديث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العنوان الذي يحرم من جهة النسب ليس إلّا أحد العنوانات المتعلّق بها التحريم في لسان الشارع، كالأمّ، و البنت، و الأخت، و غيرهنّ من المحرّمات المذكورة في الكتاب </w:t>
      </w:r>
      <w:r>
        <w:rPr>
          <w:rStyle w:val="FootnoteAnchor"/>
          <w:rtl w:val="true"/>
        </w:rPr>
        <w:footnoteReference w:id="1455"/>
      </w:r>
      <w:r>
        <w:rPr>
          <w:rFonts w:ascii="Amiri" w:hAnsi="Amiri" w:eastAsia="Amiri" w:cs="Amiri"/>
          <w:color w:val="111111"/>
          <w:sz w:val="28"/>
          <w:sz w:val="28"/>
          <w:szCs w:val="28"/>
          <w:rtl w:val="true"/>
          <w:lang w:bidi="ar-SA"/>
        </w:rPr>
        <w:t xml:space="preserve">و السنّة </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العنوان المستلزم لأحد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 الأخ للأبوين المستلزمة لكونها امّا، و كأمّ السبط المستلزمة لكونها بنتا، و كأخت الأخ للأبوين المستلزمة لكونها أختا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شي‌ء منهنّ يحرم من جهة النسب، إذ لا نسب بينهنّ من حيث هذا العنوان و بين المحرّم عليه، فإنّ أمّ أخ الشخص من حيث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w:t>
      </w:r>
      <w:r>
        <w:rPr>
          <w:rStyle w:val="FootnoteAnchor"/>
          <w:rtl w:val="true"/>
        </w:rPr>
        <w:footnoteReference w:id="1457"/>
      </w:r>
      <w:r>
        <w:rPr>
          <w:rFonts w:ascii="Amiri" w:hAnsi="Amiri" w:eastAsia="Amiri" w:cs="Amiri"/>
          <w:color w:val="111111"/>
          <w:sz w:val="28"/>
          <w:sz w:val="28"/>
          <w:szCs w:val="28"/>
          <w:rtl w:val="true"/>
          <w:lang w:bidi="ar-SA"/>
        </w:rPr>
        <w:t>نسيبة له، بل نسيبة لأخيه؛ و النسب الحاصل بين الشخص و بين نسيبه لم يثبت كونه جهة للتحريم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الشاهد على ذلك أدلّة المحرّمات، فإنّ منها يستفاد جهة تحريم المحرّمات، إذ لا يستفاد من قوله تعالى حُرِّمَتْ عَلَيْكُمْ أُمَّهٰاتُكُمْ إلّا أنّ</w:t>
      </w:r>
    </w:p>
    <w:p>
      <w:pPr>
        <w:pStyle w:val="BookText"/>
        <w:rPr/>
      </w:pPr>
      <w:r>
        <w:rPr>
          <w:rFonts w:ascii="Amiri" w:hAnsi="Amiri" w:eastAsia="Amiri" w:cs="Amiri"/>
          <w:color w:val="111111"/>
          <w:sz w:val="28"/>
          <w:sz w:val="28"/>
          <w:szCs w:val="28"/>
          <w:rtl w:val="true"/>
          <w:lang w:bidi="ar-SA"/>
        </w:rPr>
        <w:t>جهة التحريم أمومة الامّ للشخص، و أمّا امومتها لأخيه أو بنوّتها لجدّيه أو أخوّتها لخاليه، فلم يستفد من دليل كونها جهة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بهذا أنّ النسب الذي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Style w:val="FootnoteAnchor"/>
          <w:rtl w:val="true"/>
        </w:rPr>
        <w:footnoteReference w:id="1458"/>
      </w:r>
      <w:r>
        <w:rPr>
          <w:rFonts w:ascii="Amiri" w:hAnsi="Amiri" w:eastAsia="Amiri" w:cs="Amiri"/>
          <w:color w:val="111111"/>
          <w:sz w:val="28"/>
          <w:sz w:val="28"/>
          <w:szCs w:val="28"/>
          <w:rtl w:val="true"/>
          <w:lang w:bidi="ar-SA"/>
        </w:rPr>
        <w:t>جهة للتحريم ليس إلّا ما يكون مبدأ لإحدى الصفات المعنونة بها المحرّمات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فإذا أرضعت امرأة أخاك فلا تحرم عليك؛ لأنّها أمّ أخيك، و لم يثبت حرمة أمّ الأخ من جهة النسب، إذ لا نسب بينك و بينها من حيث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النسب بينها و بين نسيبك، و النسب بين شخص و بين نسيبه لم يثبت كونه جهة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فساد ما ذهب إليه شرذمة من المتأخّرين </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التنزيل في الرضاع، و عدم الفرق بين أن يحصل بالرضاع أحد العناوين المذكورة في أدلّة التحريم، و بين أن يحصل به ما يستلزم أحدها؛ فكما أنّ المرتضعة بلبنك محرّمة عليك من حيث إنّه حصل بالرضاع بنوّتها لك، فكذلك مرضعة ولد بنتك حيث إنّه حصل بالرضاع امومتها لولد بنتك، و أمّ ولد البنت محرّمة نسبا لكونها بنتا، فكذلك أمّ ولد بنتك رضاعا؛ إلى غير ذلك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وجه فساد ذلك،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النبويّ إنّما حرّم بالرضاع ما حرّم من جهة النسب، و أمّ ولد البنت لم تحرم من جهة النسب،</w:t>
      </w:r>
    </w:p>
    <w:p>
      <w:pPr>
        <w:pStyle w:val="BookText"/>
        <w:rPr/>
      </w:pPr>
      <w:r>
        <w:rPr>
          <w:rFonts w:ascii="Amiri" w:hAnsi="Amiri" w:eastAsia="Amiri" w:cs="Amiri"/>
          <w:color w:val="111111"/>
          <w:sz w:val="28"/>
          <w:sz w:val="28"/>
          <w:szCs w:val="28"/>
          <w:rtl w:val="true"/>
          <w:lang w:bidi="ar-SA"/>
        </w:rPr>
        <w:t xml:space="preserve">إذ لا نسب بينها بهذا العنوان و بين الشخص، بل النسب بينها و بين نسيب الشخص، و لم يثبت كونه جهة للتحريم، فإذا لم تحرم أمّ ولد النبت من جهة النسب، فكيف تحرم من جهة الرضاع؟ مع أنّ دعوى عموم الموصول لكلّ عنوان من العناوين المذكورة في لسان الشارع و لما يستلزمه من العناوين الغير المحصورة، موجب للتكرار في مشمولات </w:t>
      </w:r>
      <w:r>
        <w:rPr>
          <w:rStyle w:val="FootnoteAnchor"/>
          <w:rtl w:val="true"/>
        </w:rPr>
        <w:footnoteReference w:id="1460"/>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صدق على أمّ ولد البنت أنّها بنت و صدق أنّ كلّ بنت محرّمة من جهة النسب، فلا مساغ لإنكار أنّ أمّ ولد البنت محرّمة من جهة النسب، فيضاف إلى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يحرم من النسب يحرم من الرضاع</w:t>
      </w:r>
      <w:r>
        <w:rPr>
          <w:rFonts w:eastAsia="Amiri" w:cs="Amiri" w:ascii="Amiri" w:hAnsi="Amiri"/>
          <w:color w:val="111111"/>
          <w:sz w:val="28"/>
          <w:szCs w:val="28"/>
          <w:rtl w:val="true"/>
          <w:lang w:bidi="ar-SA"/>
        </w:rPr>
        <w:t xml:space="preserve">» </w:t>
      </w:r>
      <w:r>
        <w:rPr>
          <w:rStyle w:val="FootnoteAnchor"/>
          <w:rtl w:val="true"/>
        </w:rPr>
        <w:footnoteReference w:id="1461"/>
      </w:r>
      <w:r>
        <w:rPr>
          <w:rFonts w:ascii="Amiri" w:hAnsi="Amiri" w:eastAsia="Amiri" w:cs="Amiri"/>
          <w:color w:val="111111"/>
          <w:sz w:val="28"/>
          <w:sz w:val="28"/>
          <w:szCs w:val="28"/>
          <w:rtl w:val="true"/>
          <w:lang w:bidi="ar-SA"/>
        </w:rPr>
        <w:t>، ينتج أنّ أمّ ولد البنت تحرم من جهة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المراد بالأمّ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ولد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هي خصوص الامّ النسبيّة، أو خصوص الرضاعيّة، أو الأعمّ، و كذلك المراد بالبنت، فالاحتمالات تسعة؛ و لا نسلّم الصغرى إلّا في احتمالين منها،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 الامّ و البنت، النسبيّتان </w:t>
      </w:r>
      <w:r>
        <w:rPr>
          <w:rStyle w:val="FootnoteAnchor"/>
          <w:rtl w:val="true"/>
        </w:rPr>
        <w:footnoteReference w:id="1462"/>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الأمّ النسبيّة، و من البنت الأعمّ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أريد الأوّل منهما، فالصغرى و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مسلّمتان</w:t>
      </w:r>
      <w:r>
        <w:rPr>
          <w:rFonts w:eastAsia="Amiri" w:cs="Amiri" w:ascii="Amiri" w:hAnsi="Amiri"/>
          <w:color w:val="111111"/>
          <w:sz w:val="28"/>
          <w:szCs w:val="28"/>
          <w:rtl w:val="true"/>
          <w:lang w:bidi="ar-SA"/>
        </w:rPr>
        <w:t xml:space="preserve">] </w:t>
      </w:r>
      <w:r>
        <w:rPr>
          <w:rStyle w:val="FootnoteAnchor"/>
          <w:rtl w:val="true"/>
        </w:rPr>
        <w:footnoteReference w:id="1463"/>
      </w:r>
      <w:r>
        <w:rPr>
          <w:rFonts w:ascii="Amiri" w:hAnsi="Amiri" w:eastAsia="Amiri" w:cs="Amiri"/>
          <w:color w:val="111111"/>
          <w:sz w:val="28"/>
          <w:sz w:val="28"/>
          <w:szCs w:val="28"/>
          <w:rtl w:val="true"/>
          <w:lang w:bidi="ar-SA"/>
        </w:rPr>
        <w:t>إلّا أنّ الحاصل منها ليس إلّا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 النسبيّة لولد البنت النسبيّة محرّمة من جهة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الأصغر في هذه الصغرى غير مندرج تحت الأوسط في</w:t>
      </w:r>
    </w:p>
    <w:p>
      <w:pPr>
        <w:pStyle w:val="BookText"/>
        <w:rPr/>
      </w:pPr>
      <w:r>
        <w:rPr>
          <w:rFonts w:ascii="Amiri" w:hAnsi="Amiri" w:eastAsia="Amiri" w:cs="Amiri"/>
          <w:color w:val="111111"/>
          <w:sz w:val="28"/>
          <w:sz w:val="28"/>
          <w:szCs w:val="28"/>
          <w:rtl w:val="true"/>
          <w:lang w:bidi="ar-SA"/>
        </w:rPr>
        <w:t>كبرى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يحرم من النسب يحرم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المراد بالموصول في الحديث هو العنوان الكلّي المشترك بين العنوان الحاصل من علاقة النسب، و الحاصل من علاقة الرضاع، لأنّه الذي يعقل أن يحكم عليه بالتحريم من كلتا الجهتين، أعني الرضاع و النسب؛ و ليس المراد به خصوص العنوان النسبي، إذ لا يعقل الحكم على نفس هذا العنوان بأنّه يحرم من جهة الرضاع إلّا أن يراد أنّه يحرم نظيره، كما ذكرناه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مرضعة ولد البنت نظيرة للأمّ النسبيّة لولد البنت ممنوع، لأنّ الأمّ النسبيّة لولد البنت كانت متّصفة بالبنتيّة، و باعتبارها ثبت لها التحريم، و مرضعة ولد البنت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نظيرة الامّ النسبيّة لولد البنت النسبيّة، الامّ النسبيّة لولد البنت 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في النسب أمّ ولد البنت المقيّدة بكونها بنتا، فنظيرها المحرّم في الرضاع أيضا أمّ ولد البنت المقيّدة بذلك القيد؛ غاية الأمر أنّ القيد المذكور في النسب من اللوازم للمقيّد، و في الرضاع ممّا قد يكون و قد لا يكون، فإذا كان فتثبت النظارة، و إلّا فلا نظارة فلا حرمة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الثاني منهما، فالمقدّمتان مسلّمتان، و يستنتج منهما أنّ الأمّ النسبيّة لولد البنت مطلقا محرّمة من جهة النسب، و لو باعتبار بعض أفرادها، و هي الأم النسبيّة لولد البنت النسبيّة فيصحّ أن يضمّ إليه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يحرم من النسب يحرم من جهة الرضاع</w:t>
      </w:r>
      <w:r>
        <w:rPr>
          <w:rFonts w:eastAsia="Amiri" w:cs="Amiri" w:ascii="Amiri" w:hAnsi="Amiri"/>
          <w:color w:val="111111"/>
          <w:sz w:val="28"/>
          <w:szCs w:val="28"/>
          <w:rtl w:val="true"/>
          <w:lang w:bidi="ar-SA"/>
        </w:rPr>
        <w:t xml:space="preserve">» </w:t>
      </w:r>
      <w:r>
        <w:rPr>
          <w:rStyle w:val="FootnoteAnchor"/>
          <w:rtl w:val="true"/>
        </w:rPr>
        <w:footnoteReference w:id="1464"/>
      </w:r>
      <w:r>
        <w:rPr>
          <w:rFonts w:ascii="Amiri" w:hAnsi="Amiri" w:eastAsia="Amiri" w:cs="Amiri"/>
          <w:color w:val="111111"/>
          <w:sz w:val="28"/>
          <w:sz w:val="28"/>
          <w:szCs w:val="28"/>
          <w:rtl w:val="true"/>
          <w:lang w:bidi="ar-SA"/>
        </w:rPr>
        <w:t>، فيصير حاصل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 النسبيّة لولد البنت مطلقا عنوان كلّي مشترك بين أمّ ولد البنت النسبيّة و أمّ</w:t>
      </w:r>
    </w:p>
    <w:p>
      <w:pPr>
        <w:pStyle w:val="BookText"/>
        <w:rPr/>
      </w:pPr>
      <w:r>
        <w:rPr>
          <w:rFonts w:ascii="Amiri" w:hAnsi="Amiri" w:eastAsia="Amiri" w:cs="Amiri"/>
          <w:color w:val="111111"/>
          <w:sz w:val="28"/>
          <w:sz w:val="28"/>
          <w:szCs w:val="28"/>
          <w:rtl w:val="true"/>
          <w:lang w:bidi="ar-SA"/>
        </w:rPr>
        <w:t>ولد البنت الرضاعيّة، و هذا العنوان الكلّي يصدق عليه أنّه يحرم من جهة الرضاع كما يحرم من جهة النسب، و حينئذ فلا يستفاد من الحديث حكم مرضعة ولد البنت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تقدر على دفع ما يورد في نظائر هذا العنوان؛ و إن كان تقرير الدفع مخالفا له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الأخ للأبوين أمّ، و كلّ أمّ محرّمة، فأمّ الأخ للأبوين 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يضمّ إلى ذلك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يحرّم من جهة النسب يحرم من جهة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أن يراد به الاحتمالات التسعة المذكورة، و على فرض إرادة ما عدا احتمالين منهما </w:t>
      </w:r>
      <w:r>
        <w:rPr>
          <w:rStyle w:val="FootnoteAnchor"/>
          <w:rtl w:val="true"/>
        </w:rPr>
        <w:footnoteReference w:id="1465"/>
      </w:r>
      <w:r>
        <w:rPr>
          <w:rFonts w:ascii="Amiri" w:hAnsi="Amiri" w:eastAsia="Amiri" w:cs="Amiri"/>
          <w:color w:val="111111"/>
          <w:sz w:val="28"/>
          <w:sz w:val="28"/>
          <w:szCs w:val="28"/>
          <w:rtl w:val="true"/>
          <w:lang w:bidi="ar-SA"/>
        </w:rPr>
        <w:t xml:space="preserve">تكون الصغرى ممنوعة، فإنّ التي يصدق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الأمّ النسبيّة للأخ النسبي، أو مرضعة الأخوين الرضاعيّين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الصغرى خصوص الأوّل، دفع بما دفع به الاحتمال الأوّل في أمّ ولد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به الأعمّ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العنوان الكلّي الملازم لصدق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النتيجة الحاصلة بعد ضمّ الحديث إليها على تحريم مرضعة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 أصل الإيراد بمنع كون الموصول للعموم، بل المتبادر منه الإشارة إلى العنوانات المعهودة المتداولة على لسان الشارع، و تعلّق التحريم بها في كلامه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المراد في الحديث ليس خصوص النسب الحاصل بين المحرّم و المحرّم عليه، حتّى يخصّ الحديث بتحريم نظائر العنوانات السبع</w:t>
      </w:r>
    </w:p>
    <w:p>
      <w:pPr>
        <w:pStyle w:val="BookText"/>
        <w:rPr/>
      </w:pPr>
      <w:r>
        <w:rPr>
          <w:rFonts w:ascii="Amiri" w:hAnsi="Amiri" w:eastAsia="Amiri" w:cs="Amiri"/>
          <w:color w:val="111111"/>
          <w:sz w:val="28"/>
          <w:sz w:val="28"/>
          <w:szCs w:val="28"/>
          <w:rtl w:val="true"/>
          <w:lang w:bidi="ar-SA"/>
        </w:rPr>
        <w:t>النسبيّة من الرضاع، بل المراد به هو الأعمّ منه و من الحاصل بين المحرّم و زوج المحرّم عليه أو ما الحق بزوجة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كالمزنيّ بها </w:t>
      </w:r>
      <w:r>
        <w:rPr>
          <w:rStyle w:val="FootnoteAnchor"/>
          <w:rtl w:val="true"/>
        </w:rPr>
        <w:footnoteReference w:id="1466"/>
      </w:r>
      <w:r>
        <w:rPr>
          <w:rFonts w:ascii="Amiri" w:hAnsi="Amiri" w:eastAsia="Amiri" w:cs="Amiri"/>
          <w:color w:val="111111"/>
          <w:sz w:val="28"/>
          <w:sz w:val="28"/>
          <w:szCs w:val="28"/>
          <w:rtl w:val="true"/>
          <w:lang w:bidi="ar-SA"/>
        </w:rPr>
        <w:t>و الموطوءة بالشبهة، أو الغلام الموطوء،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التحريم في العنوانات السبع كما أنّها متوجّهة بجهة النسب، كذلك في هذه العنوانات، مثلا قوله تعالى وَ أُمَّهٰاتُ نِسٰائِكُمْ </w:t>
      </w:r>
      <w:r>
        <w:rPr>
          <w:rStyle w:val="FootnoteAnchor"/>
          <w:rtl w:val="true"/>
        </w:rPr>
        <w:footnoteReference w:id="1467"/>
      </w:r>
      <w:r>
        <w:rPr>
          <w:rFonts w:ascii="Amiri" w:hAnsi="Amiri" w:eastAsia="Amiri" w:cs="Amiri"/>
          <w:color w:val="111111"/>
          <w:sz w:val="28"/>
          <w:sz w:val="28"/>
          <w:szCs w:val="28"/>
          <w:rtl w:val="true"/>
          <w:lang w:bidi="ar-SA"/>
        </w:rPr>
        <w:t>دالّ على تعلّق التحريم بأمّ الزوجة من حيث امومتها للزوجة، فإذا حصل نظير هذه الجهة من الرضاع حرّمت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تحريم الامّ و تحريم أمّ الزوجة في تعلّق التحريم في كلّ منهما بعنوان النسبيّ، فيحرم نظيره من الرضاع، و سيأتي زيادة توضيح لذلك إن شاء اللّٰه تعالى</w:t>
      </w:r>
      <w:r>
        <w:rPr>
          <w:rFonts w:eastAsia="Amiri" w:cs="Amiri" w:ascii="Amiri" w:hAnsi="Amiri"/>
          <w:color w:val="111111"/>
          <w:sz w:val="28"/>
          <w:szCs w:val="28"/>
          <w:rtl w:val="true"/>
          <w:lang w:bidi="ar-SA"/>
        </w:rPr>
        <w:t>.</w:t>
      </w:r>
      <w:bookmarkStart w:id="191" w:name="pg19718_239225"/>
    </w:p>
    <w:p>
      <w:pPr>
        <w:pStyle w:val="Heading5"/>
        <w:numPr>
          <w:ilvl w:val="4"/>
          <w:numId w:val="1"/>
        </w:numPr>
        <w:rPr/>
      </w:pPr>
      <w:bookmarkStart w:id="192" w:name="__RefHeading___Toc1985854_2314609296"/>
      <w:bookmarkStart w:id="193" w:name="_Toc73"/>
      <w:bookmarkEnd w:id="191"/>
      <w:bookmarkEnd w:id="192"/>
      <w:r>
        <w:rPr>
          <w:rtl w:val="true"/>
        </w:rPr>
        <w:t>[</w:t>
      </w:r>
      <w:r>
        <w:rPr>
          <w:rtl w:val="true"/>
        </w:rPr>
        <w:t>تفاصيل المسائل المتقدمة</w:t>
      </w:r>
      <w:r>
        <w:rPr>
          <w:rtl w:val="true"/>
        </w:rPr>
        <w:t>]</w:t>
      </w:r>
      <w:bookmarkEnd w:id="193"/>
    </w:p>
    <w:p>
      <w:pPr>
        <w:pStyle w:val="Heading6"/>
        <w:numPr>
          <w:ilvl w:val="5"/>
          <w:numId w:val="1"/>
        </w:numPr>
        <w:rPr/>
      </w:pPr>
      <w:bookmarkStart w:id="194" w:name="__RefHeading___Toc1985856_2314609296"/>
      <w:bookmarkStart w:id="195" w:name="_Toc74"/>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إذا عرفت هذا فلنرجع إلى بيان تفاصيل المسائل المذكورة، فنقول</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1985858_2314609296"/>
      <w:bookmarkStart w:id="197" w:name="_Toc75"/>
      <w:bookmarkEnd w:id="196"/>
      <w:r>
        <w:rPr>
          <w:rtl w:val="true"/>
        </w:rPr>
        <w:t>المسألة الاولى لا شكّ في تحريم المرتضع على المرضعة</w:t>
      </w:r>
      <w:bookmarkEnd w:id="197"/>
    </w:p>
    <w:p>
      <w:pPr>
        <w:pStyle w:val="BookText"/>
        <w:rPr/>
      </w:pPr>
      <w:r>
        <w:rPr>
          <w:rFonts w:ascii="Amiri" w:hAnsi="Amiri" w:eastAsia="Amiri" w:cs="Amiri"/>
          <w:color w:val="111111"/>
          <w:sz w:val="28"/>
          <w:sz w:val="28"/>
          <w:szCs w:val="28"/>
          <w:rtl w:val="true"/>
          <w:lang w:bidi="ar-SA"/>
        </w:rPr>
        <w:t>بالإجماع و الكتاب و السنّة؛ لأنّها امّه</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1985860_2314609296"/>
      <w:bookmarkStart w:id="199" w:name="_Toc76"/>
      <w:bookmarkEnd w:id="198"/>
      <w:r>
        <w:rPr>
          <w:rtl w:val="true"/>
        </w:rPr>
        <w:t>[</w:t>
      </w:r>
      <w:r>
        <w:rPr>
          <w:rtl w:val="true"/>
        </w:rPr>
        <w:t>المسألة</w:t>
      </w:r>
      <w:r>
        <w:rPr>
          <w:rtl w:val="true"/>
        </w:rPr>
        <w:t xml:space="preserve">] </w:t>
      </w:r>
      <w:r>
        <w:rPr>
          <w:rtl w:val="true"/>
        </w:rPr>
        <w:t>الثانية لا تحرم أصول المرتضع المذكور على المرضعة من جهة إرضاعها إيّاه</w:t>
      </w:r>
      <w:bookmarkEnd w:id="199"/>
    </w:p>
    <w:p>
      <w:pPr>
        <w:pStyle w:val="BookText"/>
        <w:rPr/>
      </w:pPr>
      <w:r>
        <w:rPr>
          <w:rFonts w:ascii="Amiri" w:hAnsi="Amiri" w:eastAsia="Amiri" w:cs="Amiri"/>
          <w:color w:val="111111"/>
          <w:sz w:val="28"/>
          <w:sz w:val="28"/>
          <w:szCs w:val="28"/>
          <w:rtl w:val="true"/>
          <w:lang w:bidi="ar-SA"/>
        </w:rPr>
        <w:t>سواء في ذلك أبوه، و أجداده لأب كانوا أم 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التحريم على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لأنّ المرضعة لم تزد على أن صارت امّا لولده، و أمّ الولد أولى بالتحليل من كلّ أحد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أجداده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لم تزد على أن صارت أمّا لولد ابنه،</w:t>
      </w:r>
      <w:bookmarkStart w:id="200" w:name="pg19718_239226"/>
    </w:p>
    <w:p>
      <w:pPr>
        <w:pStyle w:val="BookText"/>
        <w:rPr/>
      </w:pPr>
      <w:bookmarkEnd w:id="200"/>
      <w:r>
        <w:rPr>
          <w:rFonts w:ascii="Amiri" w:hAnsi="Amiri" w:eastAsia="Amiri" w:cs="Amiri"/>
          <w:color w:val="111111"/>
          <w:sz w:val="28"/>
          <w:sz w:val="28"/>
          <w:szCs w:val="28"/>
          <w:rtl w:val="true"/>
          <w:lang w:bidi="ar-SA"/>
        </w:rPr>
        <w:t>و أمّ ولد الابن إنّما تحرم على الجدّ لأنّها زوجة ابنه، و الزوجيّة للابن لا تحصل بإرضاع ولد الابن، لأنّ الزوجيّة لا تثبت بالرضاع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بتقرير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التحريم تعلّق على حليلة الابن، و لا شكّ أنّ مرضعة ولد الابن ليست حليلة للابن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أجداده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غاية ما حصل بالرضاع كون المرضعة أمّا لولد بنته، و أمّ ولد البنت إنّما تحرم إذا كانت بنتا بالنسب أو الرضاع، و هذه لم تصر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w:t>
      </w:r>
      <w:r>
        <w:rPr>
          <w:rStyle w:val="FootnoteAnchor"/>
          <w:rtl w:val="true"/>
        </w:rPr>
        <w:footnoteReference w:id="1468"/>
      </w:r>
      <w:r>
        <w:rPr>
          <w:rFonts w:ascii="Amiri" w:hAnsi="Amiri" w:eastAsia="Amiri" w:cs="Amiri"/>
          <w:color w:val="111111"/>
          <w:sz w:val="28"/>
          <w:sz w:val="28"/>
          <w:szCs w:val="28"/>
          <w:rtl w:val="true"/>
          <w:lang w:bidi="ar-SA"/>
        </w:rPr>
        <w:t>مشروحا في تفسير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إلّا على تحريم ما 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بعلاقة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العناوين المحرّمة على لسان الشارع، فيجب الرجوع في غيرها إلى أدلّة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حصل بالرضاع عنوان مستلزم في النسب لأحد العناوين المعلّق عليها التحريم غير ملازم له في الرضاع، لا يثبت له التحريم، لأنّ ذلك العنوان النسبيّ الملزوم إنّما حرم لتقيّده باللازم و إن كان هذا القيد غير منفكّ عنه، فإن حصل هذا القيد في العنوان الرضاعي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يتمّ كونه نظيرا للعنوان النسبي و كونهما تحت عنوان كلّي ينتزع من الحاصل بالنسب و الحاصل بالرضاع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الحرمة،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لم تحرم أصول المرتضع نسبا على المرضعة، لم تحرم أصوله الرضاعيّة عليها بطريق أولى</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1985862_2314609296"/>
      <w:bookmarkStart w:id="202" w:name="_Toc77"/>
      <w:bookmarkEnd w:id="201"/>
      <w:r>
        <w:rPr>
          <w:rtl w:val="true"/>
        </w:rPr>
        <w:t>[</w:t>
      </w:r>
      <w:r>
        <w:rPr>
          <w:rtl w:val="true"/>
        </w:rPr>
        <w:t>المسألة</w:t>
      </w:r>
      <w:r>
        <w:rPr>
          <w:rtl w:val="true"/>
        </w:rPr>
        <w:t xml:space="preserve">] </w:t>
      </w:r>
      <w:r>
        <w:rPr>
          <w:rtl w:val="true"/>
        </w:rPr>
        <w:t>الثالثة تحرم فروع المرتضع على المرضعة</w:t>
      </w:r>
      <w:bookmarkEnd w:id="20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 أحفادها؛ و لا فرق بين</w:t>
      </w:r>
      <w:bookmarkStart w:id="203" w:name="pg19718_239227"/>
    </w:p>
    <w:p>
      <w:pPr>
        <w:pStyle w:val="BookText"/>
        <w:rPr/>
      </w:pPr>
      <w:bookmarkEnd w:id="203"/>
      <w:r>
        <w:rPr>
          <w:rFonts w:ascii="Amiri" w:hAnsi="Amiri" w:eastAsia="Amiri" w:cs="Amiri"/>
          <w:color w:val="111111"/>
          <w:sz w:val="28"/>
          <w:sz w:val="28"/>
          <w:szCs w:val="28"/>
          <w:rtl w:val="true"/>
          <w:lang w:bidi="ar-SA"/>
        </w:rPr>
        <w:t>الفروع النسبيّة و الرضاعيّة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يأتي على قول العلّامة و المحقّق الثاني رضوان اللّٰه عليهما في القواعد </w:t>
      </w:r>
      <w:r>
        <w:rPr>
          <w:rStyle w:val="FootnoteAnchor"/>
          <w:rtl w:val="true"/>
        </w:rPr>
        <w:footnoteReference w:id="1469"/>
      </w:r>
      <w:r>
        <w:rPr>
          <w:rFonts w:ascii="IRNazanin" w:hAnsi="IRNazanin" w:eastAsia="IRNazanin"/>
          <w:color w:val="111111"/>
          <w:sz w:val="28"/>
          <w:sz w:val="28"/>
          <w:szCs w:val="28"/>
          <w:rtl w:val="true"/>
          <w:lang w:bidi="fa-IR"/>
        </w:rPr>
        <w:t xml:space="preserve">و شرحه </w:t>
      </w:r>
      <w:r>
        <w:rPr>
          <w:rStyle w:val="FootnoteAnchor"/>
          <w:rtl w:val="true"/>
        </w:rPr>
        <w:footnoteReference w:id="1470"/>
      </w:r>
      <w:r>
        <w:rPr>
          <w:rFonts w:ascii="Amiri" w:hAnsi="Amiri" w:eastAsia="Amiri" w:cs="Amiri"/>
          <w:color w:val="111111"/>
          <w:sz w:val="28"/>
          <w:sz w:val="28"/>
          <w:szCs w:val="28"/>
          <w:rtl w:val="true"/>
          <w:lang w:bidi="ar-SA"/>
        </w:rPr>
        <w:t xml:space="preserve">عدم تحريم فروع المرتضع الرضاعيّة على المرضعة، حيث حكما بأنّ مرضعة المرضعة لا تحرم على المرتضع، فإنّ المرتضع من الفروع الرضاعيّة للمرتضعة من المرضعة، و قد عرفت ضعف هذا القول و متمسّكه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4" w:name="__RefHeading___Toc1985864_2314609296"/>
      <w:bookmarkStart w:id="205" w:name="_Toc78"/>
      <w:bookmarkEnd w:id="204"/>
      <w:r>
        <w:rPr>
          <w:rtl w:val="true"/>
        </w:rPr>
        <w:t>[</w:t>
      </w:r>
      <w:r>
        <w:rPr>
          <w:rtl w:val="true"/>
        </w:rPr>
        <w:t>المسألة</w:t>
      </w:r>
      <w:r>
        <w:rPr>
          <w:rtl w:val="true"/>
        </w:rPr>
        <w:t xml:space="preserve">] </w:t>
      </w:r>
      <w:r>
        <w:rPr>
          <w:rtl w:val="true"/>
        </w:rPr>
        <w:t>الرابعة حواشي المرتضع</w:t>
      </w:r>
      <w:bookmarkEnd w:id="2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أعني من في طبقته من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يحرمون على المرضعة من جهة ارتضاع أخيهم منها؛ لأنّها لم تزد على أن صارت أمّا رضاعيّة لأخيهم، و لا دليل على تحريم أمّ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محرّمة في النسب من جهة كونها امّا أو زوجة أب، و لم يحصل شي‌ء منهما بالرضاع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الإخوة من الرضاع للمرتضع فهم أولى بعدم التحريم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يزيد في الاستدلال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أمومة الأخ غير ملازمة للأمومة، لتفارقهما في زوجة الأب و الامّ التي ليس لها إلّا ولد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لمتوهّم التحريم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 النسبيّة للأخ من الأبوين محرّمة، لأنّها لا تنفكّ عن كونها إمّا، فالامّ الرضاعيّة له أيضا محرّمة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فالأجود الاقتصار على ما ذكرناه، و أنّ الملازمة بين العنوانين في النسب و إن كانت مسلّمة، إلّا أنّ التحريم هناك من جهة أحد المتلازمين</w:t>
      </w:r>
      <w:bookmarkStart w:id="206" w:name="pg19718_239228"/>
    </w:p>
    <w:p>
      <w:pPr>
        <w:pStyle w:val="BookText"/>
        <w:rPr/>
      </w:pPr>
      <w:bookmarkEnd w:id="206"/>
      <w:r>
        <w:rPr>
          <w:rFonts w:ascii="Amiri" w:hAnsi="Amiri" w:eastAsia="Amiri" w:cs="Amiri"/>
          <w:color w:val="111111"/>
          <w:sz w:val="28"/>
          <w:sz w:val="28"/>
          <w:szCs w:val="28"/>
          <w:rtl w:val="true"/>
          <w:lang w:bidi="ar-SA"/>
        </w:rPr>
        <w:t>الغير الحاصل بسبب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حكم فروع حواشي المرتضع حكم نفس الحواشي في عدم التحريم على المرضعة، لأنّ الفرع لا يزيد على الأصل في الحرمة</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1985866_2314609296"/>
      <w:bookmarkStart w:id="208" w:name="_Toc79"/>
      <w:bookmarkEnd w:id="207"/>
      <w:r>
        <w:rPr>
          <w:rtl w:val="true"/>
        </w:rPr>
        <w:t>[</w:t>
      </w:r>
      <w:r>
        <w:rPr>
          <w:rtl w:val="true"/>
        </w:rPr>
        <w:t>المسألة</w:t>
      </w:r>
      <w:r>
        <w:rPr>
          <w:rtl w:val="true"/>
        </w:rPr>
        <w:t xml:space="preserve">] </w:t>
      </w:r>
      <w:r>
        <w:rPr>
          <w:rtl w:val="true"/>
        </w:rPr>
        <w:t>الخامسة يحرم المرتضع على أصول المرضعة من النساء و تحرم المرتضعة على أصولها من الذكور</w:t>
      </w:r>
      <w:bookmarkEnd w:id="208"/>
    </w:p>
    <w:p>
      <w:pPr>
        <w:pStyle w:val="BookText"/>
        <w:rPr/>
      </w:pPr>
      <w:r>
        <w:rPr>
          <w:rFonts w:ascii="Amiri" w:hAnsi="Amiri" w:eastAsia="Amiri" w:cs="Amiri"/>
          <w:color w:val="111111"/>
          <w:sz w:val="28"/>
          <w:sz w:val="28"/>
          <w:szCs w:val="28"/>
          <w:rtl w:val="true"/>
          <w:lang w:bidi="ar-SA"/>
        </w:rPr>
        <w:t>لأنّ المرتضع من أحفادهم، و لا فرق بين أصولها بالنسب و أصولها بالرضاع؛ و لا إشكال فيه و لا خلاف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حواشي أصول المرضعة من العمومة و الخؤولة حكم نفس الأصول في التحريم، سواء كانت من النسب أو من الرضاع</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1985868_2314609296"/>
      <w:bookmarkStart w:id="210" w:name="_Toc80"/>
      <w:bookmarkEnd w:id="209"/>
      <w:r>
        <w:rPr>
          <w:rtl w:val="true"/>
        </w:rPr>
        <w:t>[</w:t>
      </w:r>
      <w:r>
        <w:rPr>
          <w:rtl w:val="true"/>
        </w:rPr>
        <w:t>المسألة</w:t>
      </w:r>
      <w:r>
        <w:rPr>
          <w:rtl w:val="true"/>
        </w:rPr>
        <w:t xml:space="preserve">] </w:t>
      </w:r>
      <w:r>
        <w:rPr>
          <w:rtl w:val="true"/>
        </w:rPr>
        <w:t>السادسة لا تحرم أصول المرتضع على أصول المرضعة</w:t>
      </w:r>
      <w:bookmarkEnd w:id="210"/>
    </w:p>
    <w:p>
      <w:pPr>
        <w:pStyle w:val="BookText"/>
        <w:rPr/>
      </w:pPr>
      <w:r>
        <w:rPr>
          <w:rFonts w:ascii="Amiri" w:hAnsi="Amiri" w:eastAsia="Amiri" w:cs="Amiri"/>
          <w:color w:val="111111"/>
          <w:sz w:val="28"/>
          <w:sz w:val="28"/>
          <w:szCs w:val="28"/>
          <w:rtl w:val="true"/>
          <w:lang w:bidi="ar-SA"/>
        </w:rPr>
        <w:t>لما تقدّم في المسألة الثانية</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1985870_2314609296"/>
      <w:bookmarkStart w:id="212" w:name="_Toc81"/>
      <w:bookmarkEnd w:id="211"/>
      <w:r>
        <w:rPr>
          <w:rtl w:val="true"/>
        </w:rPr>
        <w:t>[</w:t>
      </w:r>
      <w:r>
        <w:rPr>
          <w:rtl w:val="true"/>
        </w:rPr>
        <w:t>المسألة</w:t>
      </w:r>
      <w:r>
        <w:rPr>
          <w:rtl w:val="true"/>
        </w:rPr>
        <w:t xml:space="preserve">] </w:t>
      </w:r>
      <w:r>
        <w:rPr>
          <w:rtl w:val="true"/>
        </w:rPr>
        <w:t>السابعة تحرم فروع المرتضع على أصول المرضعة</w:t>
      </w:r>
      <w:bookmarkEnd w:id="212"/>
    </w:p>
    <w:p>
      <w:pPr>
        <w:pStyle w:val="BookText"/>
        <w:rPr/>
      </w:pPr>
      <w:r>
        <w:rPr>
          <w:rFonts w:ascii="IRNazanin" w:hAnsi="IRNazanin" w:eastAsia="IRNazanin"/>
          <w:color w:val="111111"/>
          <w:sz w:val="28"/>
          <w:sz w:val="28"/>
          <w:szCs w:val="28"/>
          <w:rtl w:val="true"/>
          <w:lang w:bidi="fa-IR"/>
        </w:rPr>
        <w:t>لأنّهم جدودتهم</w:t>
      </w:r>
      <w:r>
        <w:rPr>
          <w:rFonts w:eastAsia="IRNazanin" w:cs="IRNazanin"/>
          <w:color w:val="111111"/>
          <w:sz w:val="28"/>
          <w:szCs w:val="28"/>
          <w:rtl w:val="true"/>
          <w:lang w:bidi="fa-IR"/>
        </w:rPr>
        <w:t>.</w:t>
      </w:r>
    </w:p>
    <w:p>
      <w:pPr>
        <w:pStyle w:val="Heading6"/>
        <w:numPr>
          <w:ilvl w:val="5"/>
          <w:numId w:val="1"/>
        </w:numPr>
        <w:rPr/>
      </w:pPr>
      <w:bookmarkStart w:id="213" w:name="__RefHeading___Toc1985872_2314609296"/>
      <w:bookmarkStart w:id="214" w:name="_Toc82"/>
      <w:bookmarkEnd w:id="213"/>
      <w:r>
        <w:rPr>
          <w:rtl w:val="true"/>
        </w:rPr>
        <w:t>[</w:t>
      </w:r>
      <w:r>
        <w:rPr>
          <w:rtl w:val="true"/>
        </w:rPr>
        <w:t>المسألة</w:t>
      </w:r>
      <w:r>
        <w:rPr>
          <w:rtl w:val="true"/>
        </w:rPr>
        <w:t xml:space="preserve">] </w:t>
      </w:r>
      <w:r>
        <w:rPr>
          <w:rtl w:val="true"/>
        </w:rPr>
        <w:t>الثامنة لا تحرم حواشي المرتضع و فروعهم على أصول المرضعة و حواشيهم</w:t>
      </w:r>
      <w:bookmarkEnd w:id="21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تقدّم في المسألة الرابعة</w:t>
      </w:r>
      <w:r>
        <w:rPr>
          <w:rFonts w:eastAsia="Amiri" w:cs="Amiri" w:ascii="Amiri" w:hAnsi="Amiri"/>
          <w:color w:val="111111"/>
          <w:sz w:val="28"/>
          <w:szCs w:val="28"/>
          <w:rtl w:val="true"/>
          <w:lang w:bidi="ar-SA"/>
        </w:rPr>
        <w:t>.</w:t>
      </w:r>
      <w:bookmarkStart w:id="215" w:name="pg19718_239229"/>
    </w:p>
    <w:p>
      <w:pPr>
        <w:pStyle w:val="Heading6"/>
        <w:numPr>
          <w:ilvl w:val="5"/>
          <w:numId w:val="1"/>
        </w:numPr>
        <w:rPr/>
      </w:pPr>
      <w:bookmarkStart w:id="216" w:name="__RefHeading___Toc1985874_2314609296"/>
      <w:bookmarkStart w:id="217" w:name="_Toc83"/>
      <w:bookmarkEnd w:id="215"/>
      <w:bookmarkEnd w:id="216"/>
      <w:r>
        <w:rPr>
          <w:rtl w:val="true"/>
        </w:rPr>
        <w:t>[</w:t>
      </w:r>
      <w:r>
        <w:rPr>
          <w:rtl w:val="true"/>
        </w:rPr>
        <w:t>المسألة</w:t>
      </w:r>
      <w:r>
        <w:rPr>
          <w:rtl w:val="true"/>
        </w:rPr>
        <w:t xml:space="preserve">] </w:t>
      </w:r>
      <w:r>
        <w:rPr>
          <w:rtl w:val="true"/>
        </w:rPr>
        <w:t>التاسعة يحرم المرتضع على فروع المرضعة نسبا</w:t>
      </w:r>
      <w:bookmarkEnd w:id="217"/>
    </w:p>
    <w:p>
      <w:pPr>
        <w:pStyle w:val="BookText"/>
        <w:rPr/>
      </w:pPr>
      <w:r>
        <w:rPr>
          <w:rFonts w:ascii="Amiri" w:hAnsi="Amiri" w:eastAsia="Amiri" w:cs="Amiri"/>
          <w:color w:val="111111"/>
          <w:sz w:val="28"/>
          <w:sz w:val="28"/>
          <w:szCs w:val="28"/>
          <w:rtl w:val="true"/>
          <w:lang w:bidi="ar-SA"/>
        </w:rPr>
        <w:t>و هم المتولّدون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نزلوا، سواء كان أبوهم فحلا للمرتضع أم لا، لثبوت الأخوة من قبل الامّ بينه و بينهم من جهة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اتّحاد الفحل هنا، بلا خلاف على الظاهر المصرّح به في كلام غير واحد </w:t>
      </w:r>
      <w:r>
        <w:rPr>
          <w:rStyle w:val="FootnoteAnchor"/>
          <w:rtl w:val="true"/>
        </w:rPr>
        <w:footnoteReference w:id="1472"/>
      </w:r>
      <w:r>
        <w:rPr>
          <w:rFonts w:ascii="Amiri" w:hAnsi="Amiri" w:eastAsia="Amiri" w:cs="Amiri"/>
          <w:color w:val="111111"/>
          <w:sz w:val="28"/>
          <w:sz w:val="28"/>
          <w:szCs w:val="28"/>
          <w:rtl w:val="true"/>
          <w:lang w:bidi="ar-SA"/>
        </w:rPr>
        <w:t>، لإطلاق الكتاب و السنّة؛ مضافا إلى خصوص موثّقة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رضع </w:t>
      </w:r>
      <w:r>
        <w:rPr>
          <w:rStyle w:val="FootnoteAnchor"/>
          <w:rtl w:val="true"/>
        </w:rPr>
        <w:footnoteReference w:id="1473"/>
      </w:r>
      <w:r>
        <w:rPr>
          <w:rFonts w:ascii="Amiri" w:hAnsi="Amiri" w:eastAsia="Amiri" w:cs="Amiri"/>
          <w:color w:val="111111"/>
          <w:sz w:val="28"/>
          <w:sz w:val="28"/>
          <w:szCs w:val="28"/>
          <w:rtl w:val="true"/>
          <w:lang w:bidi="ar-SA"/>
        </w:rPr>
        <w:t>الرجل من لبن امرأة حرم عليه كلّ شي‌ء من ولدها، و إن كان الولد من غير الرجل الذي كانت أرضعته بلبنه</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يؤيّدها رواية محمّد بن عبيدة الهمداني المتقدّمة </w:t>
      </w:r>
      <w:r>
        <w:rPr>
          <w:rStyle w:val="FootnoteAnchor"/>
          <w:rtl w:val="true"/>
        </w:rPr>
        <w:footnoteReference w:id="1475"/>
      </w:r>
      <w:r>
        <w:rPr>
          <w:rFonts w:ascii="Amiri" w:hAnsi="Amiri" w:eastAsia="Amiri" w:cs="Amiri"/>
          <w:color w:val="111111"/>
          <w:sz w:val="28"/>
          <w:sz w:val="28"/>
          <w:szCs w:val="28"/>
          <w:rtl w:val="true"/>
          <w:lang w:bidi="ar-SA"/>
        </w:rPr>
        <w:t>في استدلال الطبرسي قدّس سرّه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فروع المرضعة من حيث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أولادها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فيشترط في تحريم المرتضع عليهم اتّحاد الفحل على المشهور، خلافا للطبرسي قدّس اللّٰه روحه و قد مرّ ضعفه، لورود الخبر الصحيح و ما في حكمه على خلافه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bookmarkStart w:id="218" w:name="pg19718_239230"/>
    </w:p>
    <w:p>
      <w:pPr>
        <w:pStyle w:val="Heading6"/>
        <w:numPr>
          <w:ilvl w:val="5"/>
          <w:numId w:val="1"/>
        </w:numPr>
        <w:rPr/>
      </w:pPr>
      <w:bookmarkStart w:id="219" w:name="__RefHeading___Toc1985876_2314609296"/>
      <w:bookmarkStart w:id="220" w:name="_Toc84"/>
      <w:bookmarkEnd w:id="218"/>
      <w:bookmarkEnd w:id="219"/>
      <w:r>
        <w:rPr>
          <w:rtl w:val="true"/>
        </w:rPr>
        <w:t>[</w:t>
      </w:r>
      <w:r>
        <w:rPr>
          <w:rtl w:val="true"/>
        </w:rPr>
        <w:t>المسألة</w:t>
      </w:r>
      <w:r>
        <w:rPr>
          <w:rtl w:val="true"/>
        </w:rPr>
        <w:t xml:space="preserve">] </w:t>
      </w:r>
      <w:r>
        <w:rPr>
          <w:rtl w:val="true"/>
        </w:rPr>
        <w:t>العاشرة تحرم أصول المرتضع على فروع المرضعة من النسب</w:t>
      </w:r>
      <w:bookmarkEnd w:id="220"/>
    </w:p>
    <w:p>
      <w:pPr>
        <w:pStyle w:val="BookText"/>
        <w:rPr/>
      </w:pPr>
      <w:r>
        <w:rPr>
          <w:rFonts w:ascii="Amiri" w:hAnsi="Amiri" w:eastAsia="Amiri" w:cs="Amiri"/>
          <w:color w:val="111111"/>
          <w:sz w:val="28"/>
          <w:sz w:val="28"/>
          <w:szCs w:val="28"/>
          <w:rtl w:val="true"/>
          <w:lang w:bidi="ar-SA"/>
        </w:rPr>
        <w:t>على الأظهر و إن كانت القاعدة لا تقتضي ذلك؛ نظرا إلى أنّ فروع المرضعة لا تزيد على أن تكون إخوة لولد أصول المرتضع، و أخ الولد أو أخته لا دليل على تحريمه من حيث اخوّة لولد، و إنّما يحرم حيث يحرم إمّا من حيث كونه ولدا، و إمّا من حيث كونه ولدا لأحد الزوجين؛ و لذا حكي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التحريم </w:t>
      </w:r>
      <w:r>
        <w:rPr>
          <w:rStyle w:val="FootnoteAnchor"/>
          <w:rtl w:val="true"/>
        </w:rPr>
        <w:footnoteReference w:id="1477"/>
      </w:r>
      <w:r>
        <w:rPr>
          <w:rFonts w:ascii="Amiri" w:hAnsi="Amiri" w:eastAsia="Amiri" w:cs="Amiri"/>
          <w:color w:val="111111"/>
          <w:sz w:val="28"/>
          <w:sz w:val="28"/>
          <w:szCs w:val="28"/>
          <w:rtl w:val="true"/>
          <w:lang w:bidi="ar-SA"/>
        </w:rPr>
        <w:t>، إلّا أنّه قد دلّ غير واحد من الأخبار المعتبرة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رواه في التهذيب عن أيّوب بن نوح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شعيب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بعض ولدي، هل يجوز أن أتزوّج بعض ولدها؟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w:t>
      </w:r>
      <w:r>
        <w:rPr>
          <w:rStyle w:val="FootnoteAnchor"/>
          <w:rtl w:val="true"/>
        </w:rPr>
        <w:footnoteReference w:id="1478"/>
      </w:r>
      <w:r>
        <w:rPr>
          <w:rFonts w:ascii="Amiri" w:hAnsi="Amiri" w:eastAsia="Amiri" w:cs="Amiri"/>
          <w:color w:val="111111"/>
          <w:sz w:val="28"/>
          <w:sz w:val="28"/>
          <w:szCs w:val="28"/>
          <w:rtl w:val="true"/>
          <w:lang w:bidi="ar-SA"/>
        </w:rPr>
        <w:t>لأنّ ولدها صارت بمنزلة ولدك</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ما رواه الكليني قدّس سرّه عن محمّد بن يحيى، عن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ولد الرجل، هل يحلّ لذلك الرجل أن يتزوّج ابنة هذه المرضعة أم لا؟ فوقّع عليه السلام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أنّه قد يتفرّع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أرضعت ولدا جدّته لأمّه بلبن جدّه أو غيره، حرمت امّه على أبيه، لأنّ امّه من أولاد المرضعة، فتحرم على أصول المرتضع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تحريم الجدّة المرضعة على جدّه من غير جهة صيرورتها امّا لولد بنته، فقد تقدّم في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فروع المرضعة نسبا، و أمّا فروعها بالرضاع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تحريمهم على أصول المرتضع،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الخبرين المتقدّمين </w:t>
      </w:r>
      <w:r>
        <w:rPr>
          <w:rStyle w:val="FootnoteAnchor"/>
          <w:rtl w:val="true"/>
        </w:rPr>
        <w:footnoteReference w:id="1482"/>
      </w:r>
      <w:r>
        <w:rPr>
          <w:rFonts w:ascii="Amiri" w:hAnsi="Amiri" w:eastAsia="Amiri" w:cs="Amiri"/>
          <w:color w:val="111111"/>
          <w:sz w:val="28"/>
          <w:sz w:val="28"/>
          <w:szCs w:val="28"/>
          <w:rtl w:val="true"/>
          <w:lang w:bidi="ar-SA"/>
        </w:rPr>
        <w:t>ظاهران في خصوص النسبيّ، فيبقى حكم الرضاعي بأقسامه تحت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ثبت التحريم في الولد النسبيّ للمرضعة، ثبت في الولد الرضاعي لها؛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حكم بتحريم ولد المرضعة على أب المرتضع لا من حيث هو ولدها حتّى يحرم ولدها الرضاعي أيضا، بل لأجل كونها بمنزلة ولد أب المرتضع نسبا، و هذا المعنى غير معلوم في ولدها الرضاعي؛ فتأمّل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هذا الكلام لا يصحّ في ولدها الرضاعي الذي ارتضع بلبن فحل غير فحل المرتضع الذي يكون الكلام في أصوله، لعدم الاخوّة بين ذلك الولد و بين المرتضع على قول غير الطبرسي؛ و من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ولد المرضعة بمنزلة ولد أب المرتضع فرع الاخوّة الرضاعيّة للمرتضع</w:t>
      </w:r>
      <w:bookmarkStart w:id="221" w:name="pg19718_239232"/>
    </w:p>
    <w:p>
      <w:pPr>
        <w:pStyle w:val="BookText"/>
        <w:rPr/>
      </w:pPr>
      <w:bookmarkEnd w:id="221"/>
      <w:r>
        <w:rPr>
          <w:rFonts w:ascii="Amiri" w:hAnsi="Amiri" w:eastAsia="Amiri" w:cs="Amiri"/>
          <w:color w:val="111111"/>
          <w:sz w:val="28"/>
          <w:sz w:val="28"/>
          <w:szCs w:val="28"/>
          <w:rtl w:val="true"/>
          <w:lang w:bidi="ar-SA"/>
        </w:rPr>
        <w:t>المفقودة مع تعدّد الفحل؛ و إنّما يصحّ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اتّحاد الفحل و حدوث الاخوّة بين ذلك الولد و بين المرتضع، و حينئذ فيكون هذا الولد من أولاد الفحل رضاعا؛ و سيأتي الكلام فيه في مسألة تحريم أصول المرتضع على فروع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الخبرين المذكورين </w:t>
      </w:r>
      <w:r>
        <w:rPr>
          <w:rStyle w:val="FootnoteAnchor"/>
          <w:rtl w:val="true"/>
        </w:rPr>
        <w:footnoteReference w:id="1483"/>
      </w:r>
      <w:r>
        <w:rPr>
          <w:rFonts w:ascii="Amiri" w:hAnsi="Amiri" w:eastAsia="Amiri" w:cs="Amiri"/>
          <w:color w:val="111111"/>
          <w:sz w:val="28"/>
          <w:sz w:val="28"/>
          <w:szCs w:val="28"/>
          <w:rtl w:val="true"/>
          <w:lang w:bidi="ar-SA"/>
        </w:rPr>
        <w:t>و إنّ دلّا على تحريم أولاد المرضعة نسبا على أب المرتضع، لكن الظاهر تحريمهم على أمّ المرتضع أيضا، لأنّ كونهم بمنزلة ولد أبيه يستلزم كونهم بمنزلة ولد امّه، و لذا استفيد من تحريم البنات على الآباء تحريم الأبناء على الأمّهات</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1985878_2314609296"/>
      <w:bookmarkStart w:id="223" w:name="_Toc85"/>
      <w:bookmarkEnd w:id="222"/>
      <w:r>
        <w:rPr>
          <w:rtl w:val="true"/>
        </w:rPr>
        <w:t>[</w:t>
      </w:r>
      <w:r>
        <w:rPr>
          <w:rtl w:val="true"/>
        </w:rPr>
        <w:t>المسألة</w:t>
      </w:r>
      <w:r>
        <w:rPr>
          <w:rtl w:val="true"/>
        </w:rPr>
        <w:t xml:space="preserve">] </w:t>
      </w:r>
      <w:r>
        <w:rPr>
          <w:rtl w:val="true"/>
        </w:rPr>
        <w:t>الحادية عشرة فروع المرتضع و إن نزلوا نسبا أو رضاعا يحرمون على فروع المرضعة في المرتبة الأولى</w:t>
      </w:r>
      <w:bookmarkEnd w:id="223"/>
    </w:p>
    <w:p>
      <w:pPr>
        <w:pStyle w:val="BookText"/>
        <w:rPr/>
      </w:pPr>
      <w:r>
        <w:rPr>
          <w:rFonts w:ascii="Amiri" w:hAnsi="Amiri" w:eastAsia="Amiri" w:cs="Amiri"/>
          <w:color w:val="111111"/>
          <w:sz w:val="28"/>
          <w:sz w:val="28"/>
          <w:szCs w:val="28"/>
          <w:rtl w:val="true"/>
          <w:lang w:bidi="ar-SA"/>
        </w:rPr>
        <w:t>لأنّهم خئولة لفروع المرتضع؛ و لا فرق بين فروع المرضعة نسبا و فروعها رضاعا مع نشر الرضاع بينهم و بين نفس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فروع المرضعة في غير المرتبة الاولى فلا يحرمون على فروع المرتضع مطلقا، لأنّهم أولاد خئولة لهم</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1985880_2314609296"/>
      <w:bookmarkStart w:id="225" w:name="_Toc86"/>
      <w:bookmarkEnd w:id="224"/>
      <w:r>
        <w:rPr>
          <w:rtl w:val="true"/>
        </w:rPr>
        <w:t>[</w:t>
      </w:r>
      <w:r>
        <w:rPr>
          <w:rtl w:val="true"/>
        </w:rPr>
        <w:t>المسألة</w:t>
      </w:r>
      <w:r>
        <w:rPr>
          <w:rtl w:val="true"/>
        </w:rPr>
        <w:t xml:space="preserve">] </w:t>
      </w:r>
      <w:r>
        <w:rPr>
          <w:rtl w:val="true"/>
        </w:rPr>
        <w:t>الثانية عشرة من في حاشية نسب المرتضع أو رضاعه</w:t>
      </w:r>
      <w:r>
        <w:rPr>
          <w:rtl w:val="true"/>
        </w:rPr>
        <w:t xml:space="preserve">- </w:t>
      </w:r>
      <w:r>
        <w:rPr>
          <w:rtl w:val="true"/>
        </w:rPr>
        <w:t>أعني إخوته أو أخواته النسبيّة أو الرضاعيّة</w:t>
      </w:r>
      <w:r>
        <w:rPr>
          <w:rtl w:val="true"/>
        </w:rPr>
        <w:t xml:space="preserve">- </w:t>
      </w:r>
      <w:r>
        <w:rPr>
          <w:rtl w:val="true"/>
        </w:rPr>
        <w:t>لا يحرمون لأجل ارتضاع أخيهم على فروع المرضعة الرضاعيّة</w:t>
      </w:r>
      <w:bookmarkEnd w:id="22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إشكال و لا خلاف، لأنّهم لم يزيدوا على أن صاروا إخوة</w:t>
      </w:r>
    </w:p>
    <w:p>
      <w:pPr>
        <w:pStyle w:val="BookText"/>
        <w:rPr/>
      </w:pPr>
      <w:r>
        <w:rPr>
          <w:rFonts w:ascii="Amiri" w:hAnsi="Amiri" w:eastAsia="Amiri" w:cs="Amiri"/>
          <w:color w:val="111111"/>
          <w:sz w:val="28"/>
          <w:sz w:val="28"/>
          <w:szCs w:val="28"/>
          <w:rtl w:val="true"/>
          <w:lang w:bidi="ar-SA"/>
        </w:rPr>
        <w:t>لأخي أولئك الحواشي، أو أولادا لأمّ أخيهم، و لم يتعلّق التحريم في الشريعة بأحد 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فروع المرضعة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المتولّدون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عليهم حواشي المرتضع الرضاعيّة،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تحريم حواشي المرتضع من النسب على فروع المرضعة النسبيّة فاختلف فيه، فالأشهر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التحريم لما ذكر، و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بالتحريم </w:t>
      </w:r>
      <w:r>
        <w:rPr>
          <w:rStyle w:val="FootnoteAnchor"/>
          <w:rtl w:val="true"/>
        </w:rPr>
        <w:footnoteReference w:id="1485"/>
      </w:r>
      <w:r>
        <w:rPr>
          <w:rFonts w:ascii="Amiri" w:hAnsi="Amiri" w:eastAsia="Amiri" w:cs="Amiri"/>
          <w:color w:val="111111"/>
          <w:sz w:val="28"/>
          <w:sz w:val="28"/>
          <w:szCs w:val="28"/>
          <w:rtl w:val="true"/>
          <w:lang w:bidi="ar-SA"/>
        </w:rPr>
        <w:t>، لأنّ فروع المرضعة إذا صاروا بمنزلة ولد أبوي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ما تقدّم في 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صاروا إخوة لأولادهما الذين هم حواشي المرتضع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استلزام صيرورتهم أولادا للأبوين صيرورتهم إخوة لأولادهما، إذ لا مستند له إلّا تلازم عنواني النبوّة للأبوين مع الاخوّة للإخوة، و هو مسلّم إذا حدثت بالرضاع نفس البنوّة للأبوين، كما إذا ارتضع شخص بلبنهما، فإن بنوّته لهما تستلزم اخوّته لأولادهما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حدث به شي‌ء آخر حكم الشارع بكونه بمنزلة البنوّة للأبوين في أحكامها الشرعيّة، فلا يلزم ثبوت الاخوّة للإخوة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الحاصل بارتضاع ولد الأبوين من امرأة ذات أولاد ليس إلّا كون أولادهما إخوة للمرتضع؛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في</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بمجرّد هذا العنوان لا يحرم هؤلاء الأولاد على أبوي المرتضع و لا على إخوته، لكن لمّا دلّ الدليل على كون الأولاد بمنزلة أولاد الأبوين في جميع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 جملتها تحريمهم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به، لكن لا يستلزم ذلك كونهم </w:t>
      </w:r>
      <w:r>
        <w:rPr>
          <w:rStyle w:val="FootnoteAnchor"/>
          <w:rtl w:val="true"/>
        </w:rPr>
        <w:footnoteReference w:id="1486"/>
      </w:r>
      <w:r>
        <w:rPr>
          <w:rFonts w:ascii="Amiri" w:hAnsi="Amiri" w:eastAsia="Amiri" w:cs="Amiri"/>
          <w:color w:val="111111"/>
          <w:sz w:val="28"/>
          <w:sz w:val="28"/>
          <w:szCs w:val="28"/>
          <w:rtl w:val="true"/>
          <w:lang w:bidi="ar-SA"/>
        </w:rPr>
        <w:t>بمنزلة الإخوة لأولادهما حتّى يحرموا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ليس من الأحكام الشرعيّة لأولاد الأبوين تحريم بعضهم على بعض، فإنّ التحريم في آية المحرّمات </w:t>
      </w:r>
      <w:r>
        <w:rPr>
          <w:rStyle w:val="FootnoteAnchor"/>
          <w:rtl w:val="true"/>
        </w:rPr>
        <w:footnoteReference w:id="1487"/>
      </w:r>
      <w:r>
        <w:rPr>
          <w:rFonts w:ascii="Amiri" w:hAnsi="Amiri" w:eastAsia="Amiri" w:cs="Amiri"/>
          <w:color w:val="111111"/>
          <w:sz w:val="28"/>
          <w:sz w:val="28"/>
          <w:szCs w:val="28"/>
          <w:rtl w:val="true"/>
          <w:lang w:bidi="ar-SA"/>
        </w:rPr>
        <w:t>إنّما علّق على عنوان الأخ و الأخت، لا على ولد الأبوين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ظهر ما في استدلال صاحب الكفاية على التحريم بأنّ كونهم بمنزلة الولد يقتضي أن يثبت لهم جميع الأحكام الثابتة للولد من حيث الولديّة، و من جملة أحكامه تحريم أولاد الأب عليه </w:t>
      </w:r>
      <w:r>
        <w:rPr>
          <w:rStyle w:val="FootnoteAnchor"/>
          <w:rtl w:val="true"/>
        </w:rPr>
        <w:footnoteReference w:id="1488"/>
      </w:r>
      <w:r>
        <w:rPr>
          <w:rFonts w:ascii="Amiri" w:hAnsi="Amiri" w:eastAsia="Amiri" w:cs="Amiri"/>
          <w:color w:val="111111"/>
          <w:sz w:val="28"/>
          <w:sz w:val="28"/>
          <w:szCs w:val="28"/>
          <w:rtl w:val="true"/>
          <w:lang w:bidi="ar-SA"/>
        </w:rPr>
        <w:t>إذ لا يخفى أنّ تحريم أولاد الأب على الولد ليس من حيث الولديّة للأب، بل من حيث اخوّته للأولاد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الاخوّة التي نيطت بها الحرمة في آية المحرّمات ليس مفهومها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كون الشخصين ولدا لواحد، فكونهم أولادا لأبيه أو لأمّه عين كونهم إخوة له، لا أنّه عنوان آخر ملازم 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لذلك تعليل تحريم المرتضعة من لبن ولد على أخيه من</w:t>
      </w:r>
      <w:bookmarkStart w:id="226" w:name="pg19718_239235"/>
    </w:p>
    <w:p>
      <w:pPr>
        <w:pStyle w:val="BookText"/>
        <w:rPr/>
      </w:pPr>
      <w:bookmarkEnd w:id="226"/>
      <w:r>
        <w:rPr>
          <w:rFonts w:ascii="Amiri" w:hAnsi="Amiri" w:eastAsia="Amiri" w:cs="Amiri"/>
          <w:color w:val="111111"/>
          <w:sz w:val="28"/>
          <w:sz w:val="28"/>
          <w:szCs w:val="28"/>
          <w:rtl w:val="true"/>
          <w:lang w:bidi="ar-SA"/>
        </w:rPr>
        <w:t>أبيه في صحيحة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بصيرورة أبيه أبا لها و امّه أمّا لها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هذا إلّا لأنّه إذا ثبتت أبوّة الرجل لشخص و أمومة المرأة له ثبتت اخوّة أولادهما له، فيحرمون عليه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بالتحريم في المسألة لا يخلو عن قوّة، وفاقا للمحكيّ عن الشيخ </w:t>
      </w:r>
      <w:r>
        <w:rPr>
          <w:rStyle w:val="FootnoteAnchor"/>
          <w:rtl w:val="true"/>
        </w:rPr>
        <w:footnoteReference w:id="1490"/>
      </w:r>
      <w:r>
        <w:rPr>
          <w:rFonts w:ascii="Amiri" w:hAnsi="Amiri" w:eastAsia="Amiri" w:cs="Amiri"/>
          <w:color w:val="111111"/>
          <w:sz w:val="28"/>
          <w:sz w:val="28"/>
          <w:szCs w:val="28"/>
          <w:rtl w:val="true"/>
          <w:lang w:bidi="ar-SA"/>
        </w:rPr>
        <w:t xml:space="preserve">و بعض المتأخّرين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7" w:name="__RefHeading___Toc1985882_2314609296"/>
      <w:bookmarkStart w:id="228" w:name="_Toc87"/>
      <w:bookmarkEnd w:id="227"/>
      <w:r>
        <w:rPr>
          <w:rtl w:val="true"/>
        </w:rPr>
        <w:t>[</w:t>
      </w:r>
      <w:r>
        <w:rPr>
          <w:rtl w:val="true"/>
        </w:rPr>
        <w:t>المسألة</w:t>
      </w:r>
      <w:r>
        <w:rPr>
          <w:rtl w:val="true"/>
        </w:rPr>
        <w:t xml:space="preserve">] </w:t>
      </w:r>
      <w:r>
        <w:rPr>
          <w:rtl w:val="true"/>
        </w:rPr>
        <w:t>الثالثة عشر يحرم المرتضع على من في حاشية نسب المرضعة</w:t>
      </w:r>
      <w:bookmarkEnd w:id="2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أعني إخوتها و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في حاشية رضاعها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إخوتها و أخواتها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 لا خلاف</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تحريم إخوتها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 لتحريم إخوتها من النسب بالأولويّة و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المرويّة في الكافي و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يرضع من امرأة و هو غلام، أ يحلّ له أن يتزوّج أختها لأمّها من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المرأتان رضعتا من امرأة واحدة من لبن فحل واحد فلا يحلّ، و إن كانت المرأتان رضعتا من امرأة واحدة من لبن</w:t>
      </w:r>
      <w:bookmarkStart w:id="229" w:name="pg19718_239236"/>
    </w:p>
    <w:p>
      <w:pPr>
        <w:pStyle w:val="BookText"/>
        <w:rPr/>
      </w:pPr>
      <w:bookmarkEnd w:id="229"/>
      <w:r>
        <w:rPr>
          <w:rFonts w:ascii="Amiri" w:hAnsi="Amiri" w:eastAsia="Amiri" w:cs="Amiri"/>
          <w:color w:val="111111"/>
          <w:sz w:val="28"/>
          <w:sz w:val="28"/>
          <w:szCs w:val="28"/>
          <w:rtl w:val="true"/>
          <w:lang w:bidi="ar-SA"/>
        </w:rPr>
        <w:t>فحلين فلا بأس</w:t>
      </w:r>
      <w:r>
        <w:rPr>
          <w:rFonts w:eastAsia="Amiri" w:cs="Amiri" w:ascii="Amiri" w:hAnsi="Amiri"/>
          <w:color w:val="111111"/>
          <w:sz w:val="28"/>
          <w:szCs w:val="28"/>
          <w:rtl w:val="true"/>
          <w:lang w:bidi="ar-SA"/>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موثّقة عمّار المتقدّمة معها </w:t>
      </w:r>
      <w:r>
        <w:rPr>
          <w:rStyle w:val="FootnoteAnchor"/>
          <w:rtl w:val="true"/>
        </w:rPr>
        <w:footnoteReference w:id="1493"/>
      </w:r>
      <w:r>
        <w:rPr>
          <w:rFonts w:ascii="Amiri" w:hAnsi="Amiri" w:eastAsia="Amiri" w:cs="Amiri"/>
          <w:color w:val="111111"/>
          <w:sz w:val="28"/>
          <w:sz w:val="28"/>
          <w:szCs w:val="28"/>
          <w:rtl w:val="true"/>
          <w:lang w:bidi="ar-SA"/>
        </w:rPr>
        <w:t>في أدلّة القول المشهور باعتبار اتّحاد الفحل في مقابل الطبرسي قدّس سرّه،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 أولئك الحواشي فروعهم، فيحرم المرتضع عليهم</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1985884_2314609296"/>
      <w:bookmarkStart w:id="231" w:name="_Toc88"/>
      <w:bookmarkEnd w:id="230"/>
      <w:r>
        <w:rPr>
          <w:rtl w:val="true"/>
        </w:rPr>
        <w:t>[</w:t>
      </w:r>
      <w:r>
        <w:rPr>
          <w:rtl w:val="true"/>
        </w:rPr>
        <w:t>المسألة</w:t>
      </w:r>
      <w:r>
        <w:rPr>
          <w:rtl w:val="true"/>
        </w:rPr>
        <w:t xml:space="preserve">] </w:t>
      </w:r>
      <w:r>
        <w:rPr>
          <w:rtl w:val="true"/>
        </w:rPr>
        <w:t>الرابعة عشر لا تحرم أصول المرتضع على من في حاشية نسب المرضعة</w:t>
      </w:r>
      <w:bookmarkEnd w:id="231"/>
    </w:p>
    <w:p>
      <w:pPr>
        <w:pStyle w:val="BookText"/>
        <w:rPr/>
      </w:pPr>
      <w:r>
        <w:rPr>
          <w:rFonts w:ascii="Amiri" w:hAnsi="Amiri" w:eastAsia="Amiri" w:cs="Amiri"/>
          <w:color w:val="111111"/>
          <w:sz w:val="28"/>
          <w:sz w:val="28"/>
          <w:szCs w:val="28"/>
          <w:rtl w:val="true"/>
          <w:lang w:bidi="ar-SA"/>
        </w:rPr>
        <w:t>فيجوز لآباء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في أخوات المرضعة، و لإخوتها التزويج في أمّهات المرتضع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يتوهّم في الأوّل كون المرضعة في حكم الزوجة فلا يجوز العقد على أختها؛ لعدم ثبوت الزوجيّة بالرضاع، و لا في الثاني كون أمّ المرتضع امّا لولد أخت إخوة المرضعة و أمّ ولد الأخت محرّمة لكونها أختا؛ لما مرّ من أنّ الحرمة إنّما تعلّقت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ولد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تلازم العنوانان في النسب</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1985886_2314609296"/>
      <w:bookmarkStart w:id="233" w:name="_Toc89"/>
      <w:bookmarkEnd w:id="232"/>
      <w:r>
        <w:rPr>
          <w:rtl w:val="true"/>
        </w:rPr>
        <w:t>[</w:t>
      </w:r>
      <w:r>
        <w:rPr>
          <w:rtl w:val="true"/>
        </w:rPr>
        <w:t>المسألة</w:t>
      </w:r>
      <w:r>
        <w:rPr>
          <w:rtl w:val="true"/>
        </w:rPr>
        <w:t xml:space="preserve">] </w:t>
      </w:r>
      <w:r>
        <w:rPr>
          <w:rtl w:val="true"/>
        </w:rPr>
        <w:t>الخامسة عشر تحرم فروع المرتضع على حواشي نسب المرضعة و رضاعها</w:t>
      </w:r>
      <w:bookmarkEnd w:id="23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لكونهم خئولة لأبيهم بلا إشكال و لا خلاف، و لا يحرمون على فروع أولئك الحواشي</w:t>
      </w:r>
      <w:r>
        <w:rPr>
          <w:rFonts w:eastAsia="Amiri" w:cs="Amiri" w:ascii="Amiri" w:hAnsi="Amiri"/>
          <w:color w:val="111111"/>
          <w:sz w:val="28"/>
          <w:szCs w:val="28"/>
          <w:rtl w:val="true"/>
          <w:lang w:bidi="ar-SA"/>
        </w:rPr>
        <w:t>.</w:t>
      </w:r>
      <w:bookmarkStart w:id="234" w:name="pg19718_239237"/>
    </w:p>
    <w:p>
      <w:pPr>
        <w:pStyle w:val="Heading6"/>
        <w:numPr>
          <w:ilvl w:val="5"/>
          <w:numId w:val="1"/>
        </w:numPr>
        <w:rPr/>
      </w:pPr>
      <w:bookmarkStart w:id="235" w:name="__RefHeading___Toc1985888_2314609296"/>
      <w:bookmarkStart w:id="236" w:name="_Toc90"/>
      <w:bookmarkEnd w:id="234"/>
      <w:bookmarkEnd w:id="235"/>
      <w:r>
        <w:rPr>
          <w:rtl w:val="true"/>
        </w:rPr>
        <w:t>[</w:t>
      </w:r>
      <w:r>
        <w:rPr>
          <w:rtl w:val="true"/>
        </w:rPr>
        <w:t>المسألة</w:t>
      </w:r>
      <w:r>
        <w:rPr>
          <w:rtl w:val="true"/>
        </w:rPr>
        <w:t xml:space="preserve">] </w:t>
      </w:r>
      <w:r>
        <w:rPr>
          <w:rtl w:val="true"/>
        </w:rPr>
        <w:t>السادسة عشر لا يحرم من في حاشية نسب المرتضع على من في حاشية نسب المرضعة</w:t>
      </w:r>
      <w:bookmarkEnd w:id="236"/>
    </w:p>
    <w:p>
      <w:pPr>
        <w:pStyle w:val="BookText"/>
        <w:rPr/>
      </w:pPr>
      <w:r>
        <w:rPr>
          <w:rFonts w:ascii="Amiri" w:hAnsi="Amiri" w:eastAsia="Amiri" w:cs="Amiri"/>
          <w:color w:val="111111"/>
          <w:sz w:val="28"/>
          <w:sz w:val="28"/>
          <w:szCs w:val="28"/>
          <w:rtl w:val="true"/>
          <w:lang w:bidi="ar-SA"/>
        </w:rPr>
        <w:t>فيجوز لإخوة المرتضع التزويج في أخوات المرضعة، و لإخوة المرضعة التزويج في أخوات المرتضع؛ لما مرّ في 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تحريم حواشي المرتضع على نفس المرضعة، فعدم تحريمهم على حواشيها أولى، و المستند في الكلّ عدم الدليل، إذ لم يحدث بينهم بالرضاع عنوان من العناوين المتعلّقة بها التحريم في النسب</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1985890_2314609296"/>
      <w:bookmarkStart w:id="238" w:name="_Toc91"/>
      <w:bookmarkEnd w:id="237"/>
      <w:r>
        <w:rPr>
          <w:rtl w:val="true"/>
        </w:rPr>
        <w:t>[</w:t>
      </w:r>
      <w:r>
        <w:rPr>
          <w:rtl w:val="true"/>
        </w:rPr>
        <w:t>المسألة</w:t>
      </w:r>
      <w:r>
        <w:rPr>
          <w:rtl w:val="true"/>
        </w:rPr>
        <w:t xml:space="preserve">] </w:t>
      </w:r>
      <w:r>
        <w:rPr>
          <w:rtl w:val="true"/>
        </w:rPr>
        <w:t>السابعة عشر يحرم المرتضع لو كانت أنثى على الفحل</w:t>
      </w:r>
      <w:bookmarkEnd w:id="238"/>
    </w:p>
    <w:p>
      <w:pPr>
        <w:pStyle w:val="BookText"/>
        <w:rPr/>
      </w:pPr>
      <w:r>
        <w:rPr>
          <w:rFonts w:ascii="IRNazanin" w:hAnsi="IRNazanin" w:eastAsia="IRNazanin"/>
          <w:color w:val="111111"/>
          <w:sz w:val="28"/>
          <w:sz w:val="28"/>
          <w:szCs w:val="28"/>
          <w:rtl w:val="true"/>
          <w:lang w:bidi="fa-IR"/>
        </w:rPr>
        <w:t>إجماعا؛ لأنّها بنته من الرضاع</w:t>
      </w:r>
      <w:r>
        <w:rPr>
          <w:rFonts w:eastAsia="IRNazanin" w:cs="IRNazanin"/>
          <w:color w:val="111111"/>
          <w:sz w:val="28"/>
          <w:szCs w:val="28"/>
          <w:rtl w:val="true"/>
          <w:lang w:bidi="fa-IR"/>
        </w:rPr>
        <w:t>.</w:t>
      </w:r>
    </w:p>
    <w:p>
      <w:pPr>
        <w:pStyle w:val="Heading6"/>
        <w:numPr>
          <w:ilvl w:val="5"/>
          <w:numId w:val="1"/>
        </w:numPr>
        <w:rPr/>
      </w:pPr>
      <w:bookmarkStart w:id="239" w:name="__RefHeading___Toc1985892_2314609296"/>
      <w:bookmarkStart w:id="240" w:name="_Toc92"/>
      <w:bookmarkEnd w:id="239"/>
      <w:r>
        <w:rPr>
          <w:rtl w:val="true"/>
        </w:rPr>
        <w:t>[</w:t>
      </w:r>
      <w:r>
        <w:rPr>
          <w:rtl w:val="true"/>
        </w:rPr>
        <w:t>المسألة</w:t>
      </w:r>
      <w:r>
        <w:rPr>
          <w:rtl w:val="true"/>
        </w:rPr>
        <w:t xml:space="preserve">] </w:t>
      </w:r>
      <w:r>
        <w:rPr>
          <w:rtl w:val="true"/>
        </w:rPr>
        <w:t>الثامنة عشر لا تحرم أصول المرتضع الإناث</w:t>
      </w:r>
      <w:r>
        <w:rPr>
          <w:rtl w:val="true"/>
        </w:rPr>
        <w:t xml:space="preserve">- </w:t>
      </w:r>
      <w:r>
        <w:rPr>
          <w:rtl w:val="true"/>
        </w:rPr>
        <w:t>أعني أمّهاته، و إن علون</w:t>
      </w:r>
      <w:r>
        <w:rPr>
          <w:rtl w:val="true"/>
        </w:rPr>
        <w:t xml:space="preserve">- </w:t>
      </w:r>
      <w:r>
        <w:rPr>
          <w:rtl w:val="true"/>
        </w:rPr>
        <w:t>على الفحل</w:t>
      </w:r>
      <w:bookmarkEnd w:id="240"/>
    </w:p>
    <w:p>
      <w:pPr>
        <w:pStyle w:val="BookText"/>
        <w:rPr/>
      </w:pPr>
      <w:r>
        <w:rPr>
          <w:rFonts w:ascii="Amiri" w:hAnsi="Amiri" w:eastAsia="Amiri" w:cs="Amiri"/>
          <w:color w:val="111111"/>
          <w:sz w:val="28"/>
          <w:sz w:val="28"/>
          <w:szCs w:val="28"/>
          <w:rtl w:val="true"/>
          <w:lang w:bidi="ar-SA"/>
        </w:rPr>
        <w:t>أمّا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على الأشهر؛ لأنّ غاية ما حصل بالرضاع كونهنّ جدّات لولده، و جدّات الولد لا يحرمن على الأب إلّا من جهة كونهنّ جدّات لنفس الأب، أو أمّهات أزواجه، و لم يحصل بالرضاع شي‌ء من العنوانين في المقام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نسب إلى ابن إدريس تحريم جدّة المرتضع على الفحل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bookmarkStart w:id="241" w:name="pg19718_239238"/>
    </w:p>
    <w:p>
      <w:pPr>
        <w:pStyle w:val="BookText"/>
        <w:rPr/>
      </w:pPr>
      <w:bookmarkEnd w:id="241"/>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لم تحرم أصول المرتضع على الفحل، لم تحرم فروع تلك الأصول عليه؛ فعمّة المرتضع و خالته لا تحرمان على الفحل، لأنّ الفرع لا يزيد على الأصل</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1985894_2314609296"/>
      <w:bookmarkStart w:id="243" w:name="_Toc93"/>
      <w:bookmarkEnd w:id="242"/>
      <w:r>
        <w:rPr>
          <w:rtl w:val="true"/>
        </w:rPr>
        <w:t>[</w:t>
      </w:r>
      <w:r>
        <w:rPr>
          <w:rtl w:val="true"/>
        </w:rPr>
        <w:t>المسألة</w:t>
      </w:r>
      <w:r>
        <w:rPr>
          <w:rtl w:val="true"/>
        </w:rPr>
        <w:t xml:space="preserve">] </w:t>
      </w:r>
      <w:r>
        <w:rPr>
          <w:rtl w:val="true"/>
        </w:rPr>
        <w:t>التاسعة عشر تحرم فروع المرتضع و إن نزلوا على الفحل</w:t>
      </w:r>
      <w:bookmarkEnd w:id="243"/>
    </w:p>
    <w:p>
      <w:pPr>
        <w:pStyle w:val="BookText"/>
        <w:rPr/>
      </w:pPr>
      <w:r>
        <w:rPr>
          <w:rFonts w:ascii="Amiri" w:hAnsi="Amiri" w:eastAsia="Amiri" w:cs="Amiri"/>
          <w:color w:val="111111"/>
          <w:sz w:val="28"/>
          <w:sz w:val="28"/>
          <w:szCs w:val="28"/>
          <w:rtl w:val="true"/>
          <w:lang w:bidi="ar-SA"/>
        </w:rPr>
        <w:t>لكونهم بمنزلة أحفاده، من غير فرق بين فروعه الرضاعيّة و النسبيّة، بلا خلاف و لا إشكال في ذلك</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1985896_2314609296"/>
      <w:bookmarkStart w:id="245" w:name="_Toc94"/>
      <w:bookmarkEnd w:id="244"/>
      <w:r>
        <w:rPr>
          <w:rtl w:val="true"/>
        </w:rPr>
        <w:t>[</w:t>
      </w:r>
      <w:r>
        <w:rPr>
          <w:rtl w:val="true"/>
        </w:rPr>
        <w:t>المسألة</w:t>
      </w:r>
      <w:r>
        <w:rPr>
          <w:rtl w:val="true"/>
        </w:rPr>
        <w:t xml:space="preserve">] </w:t>
      </w:r>
      <w:r>
        <w:rPr>
          <w:rtl w:val="true"/>
        </w:rPr>
        <w:t>العشرون لا تحرم من في حاشية نسب المرتضع</w:t>
      </w:r>
      <w:r>
        <w:rPr>
          <w:rtl w:val="true"/>
        </w:rPr>
        <w:t xml:space="preserve">- </w:t>
      </w:r>
      <w:r>
        <w:rPr>
          <w:rtl w:val="true"/>
        </w:rPr>
        <w:t>أعني أخواته</w:t>
      </w:r>
      <w:r>
        <w:rPr>
          <w:rtl w:val="true"/>
        </w:rPr>
        <w:t xml:space="preserve">- </w:t>
      </w:r>
      <w:r>
        <w:rPr>
          <w:rtl w:val="true"/>
        </w:rPr>
        <w:t>على الفحل</w:t>
      </w:r>
      <w:bookmarkEnd w:id="245"/>
    </w:p>
    <w:p>
      <w:pPr>
        <w:pStyle w:val="BookText"/>
        <w:rPr/>
      </w:pPr>
      <w:r>
        <w:rPr>
          <w:rFonts w:ascii="Amiri" w:hAnsi="Amiri" w:eastAsia="Amiri" w:cs="Amiri"/>
          <w:color w:val="111111"/>
          <w:sz w:val="28"/>
          <w:sz w:val="28"/>
          <w:szCs w:val="28"/>
          <w:rtl w:val="true"/>
          <w:lang w:bidi="ar-SA"/>
        </w:rPr>
        <w:t xml:space="preserve">على الأشهر، لعدم الدليل على التحريم، عدا ما يتخيّل من كونها أخوات لولده، و لا يخفى أنّ التحريم لم يتعلّق بهذا العنوان، و إنّما تعلّق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لا ينفكّ أحدهما عن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الشيخ في الخلاف و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أخت المرتضع على الفحل </w:t>
      </w:r>
      <w:r>
        <w:rPr>
          <w:rStyle w:val="FootnoteAnchor"/>
          <w:rtl w:val="true"/>
        </w:rPr>
        <w:footnoteReference w:id="1495"/>
      </w:r>
      <w:r>
        <w:rPr>
          <w:rFonts w:ascii="Amiri" w:hAnsi="Amiri" w:eastAsia="Amiri" w:cs="Amiri"/>
          <w:color w:val="111111"/>
          <w:sz w:val="28"/>
          <w:sz w:val="28"/>
          <w:szCs w:val="28"/>
          <w:rtl w:val="true"/>
          <w:lang w:bidi="ar-SA"/>
        </w:rPr>
        <w:t>، و هو ضعيف</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1985898_2314609296"/>
      <w:bookmarkStart w:id="247" w:name="_Toc95"/>
      <w:bookmarkEnd w:id="246"/>
      <w:r>
        <w:rPr>
          <w:rtl w:val="true"/>
        </w:rPr>
        <w:t>[</w:t>
      </w:r>
      <w:r>
        <w:rPr>
          <w:rtl w:val="true"/>
        </w:rPr>
        <w:t>المسألة</w:t>
      </w:r>
      <w:r>
        <w:rPr>
          <w:rtl w:val="true"/>
        </w:rPr>
        <w:t xml:space="preserve">] </w:t>
      </w:r>
      <w:r>
        <w:rPr>
          <w:rtl w:val="true"/>
        </w:rPr>
        <w:t>الحادية و العشرون يحرم المرتضع على أصول الفحل</w:t>
      </w:r>
      <w:bookmarkEnd w:id="24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لكونهم جدودة له بلا خلاف</w:t>
      </w:r>
      <w:bookmarkStart w:id="248" w:name="pg19718_239239"/>
    </w:p>
    <w:p>
      <w:pPr>
        <w:pStyle w:val="Heading6"/>
        <w:numPr>
          <w:ilvl w:val="5"/>
          <w:numId w:val="1"/>
        </w:numPr>
        <w:rPr/>
      </w:pPr>
      <w:bookmarkStart w:id="249" w:name="__RefHeading___Toc1985900_2314609296"/>
      <w:bookmarkStart w:id="250" w:name="_Toc96"/>
      <w:bookmarkEnd w:id="248"/>
      <w:bookmarkEnd w:id="249"/>
      <w:r>
        <w:rPr>
          <w:rtl w:val="true"/>
        </w:rPr>
        <w:t>[</w:t>
      </w:r>
      <w:r>
        <w:rPr>
          <w:rtl w:val="true"/>
        </w:rPr>
        <w:t>المسألة</w:t>
      </w:r>
      <w:r>
        <w:rPr>
          <w:rtl w:val="true"/>
        </w:rPr>
        <w:t xml:space="preserve">] </w:t>
      </w:r>
      <w:r>
        <w:rPr>
          <w:rtl w:val="true"/>
        </w:rPr>
        <w:t>الثانية و العشرون لا تحرم أصول المرتضع على أصول الفحل</w:t>
      </w:r>
      <w:bookmarkEnd w:id="250"/>
    </w:p>
    <w:p>
      <w:pPr>
        <w:pStyle w:val="BookText"/>
        <w:rPr/>
      </w:pPr>
      <w:r>
        <w:rPr>
          <w:rFonts w:ascii="Amiri" w:hAnsi="Amiri" w:eastAsia="Amiri" w:cs="Amiri"/>
          <w:color w:val="111111"/>
          <w:sz w:val="28"/>
          <w:sz w:val="28"/>
          <w:szCs w:val="28"/>
          <w:rtl w:val="true"/>
          <w:lang w:bidi="ar-SA"/>
        </w:rPr>
        <w:t>فيجوز لآباء المرتضع أن يتزوّجوا في أمّهات الفحل، و كذا لآباء الفحل أن يتزوّجوا في أمّهات المرتضع، لعدم الدليل إلّا بتخيّل كون أمّهات الفحل بمنزلة جدّات المرتضع، فيحرم على أبيه و على بعض أجداده؛ و كذا أمّهات المرتضع بالنسبة إلى آباء الفحل</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1985902_2314609296"/>
      <w:bookmarkStart w:id="252" w:name="_Toc97"/>
      <w:bookmarkEnd w:id="251"/>
      <w:r>
        <w:rPr>
          <w:rtl w:val="true"/>
        </w:rPr>
        <w:t>[</w:t>
      </w:r>
      <w:r>
        <w:rPr>
          <w:rtl w:val="true"/>
        </w:rPr>
        <w:t>المسألة</w:t>
      </w:r>
      <w:r>
        <w:rPr>
          <w:rtl w:val="true"/>
        </w:rPr>
        <w:t xml:space="preserve">] </w:t>
      </w:r>
      <w:r>
        <w:rPr>
          <w:rtl w:val="true"/>
        </w:rPr>
        <w:t>الثالثة و العشرون تحرم فروع المرتضع على أصول الفحل</w:t>
      </w:r>
      <w:bookmarkEnd w:id="252"/>
    </w:p>
    <w:p>
      <w:pPr>
        <w:pStyle w:val="BookText"/>
        <w:rPr/>
      </w:pPr>
      <w:r>
        <w:rPr>
          <w:rFonts w:ascii="Amiri" w:hAnsi="Amiri" w:eastAsia="Amiri" w:cs="Amiri"/>
          <w:color w:val="111111"/>
          <w:sz w:val="28"/>
          <w:sz w:val="28"/>
          <w:szCs w:val="28"/>
          <w:rtl w:val="true"/>
          <w:lang w:bidi="ar-SA"/>
        </w:rPr>
        <w:t>لأنّهم جدودة له؛ و قد مرّ تحريمهم على الفحل، لكونهم أحفادا له؛ فيحرمون على آبائه أيضا، لأنّ المحرّم على شخص لأجل النسب محرّم على آبائه أيضا، فكذلك في الرضاع</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1985904_2314609296"/>
      <w:bookmarkStart w:id="254" w:name="_Toc98"/>
      <w:bookmarkEnd w:id="253"/>
      <w:r>
        <w:rPr>
          <w:rtl w:val="true"/>
        </w:rPr>
        <w:t>[</w:t>
      </w:r>
      <w:r>
        <w:rPr>
          <w:rtl w:val="true"/>
        </w:rPr>
        <w:t>المسألة</w:t>
      </w:r>
      <w:r>
        <w:rPr>
          <w:rtl w:val="true"/>
        </w:rPr>
        <w:t xml:space="preserve">] </w:t>
      </w:r>
      <w:r>
        <w:rPr>
          <w:rtl w:val="true"/>
        </w:rPr>
        <w:t>الرابعة و العشرون لا يحرم من في حاشية نسب المرتضع على أصول الفحل</w:t>
      </w:r>
      <w:bookmarkEnd w:id="254"/>
    </w:p>
    <w:p>
      <w:pPr>
        <w:pStyle w:val="BookText"/>
        <w:rPr/>
      </w:pPr>
      <w:r>
        <w:rPr>
          <w:rFonts w:ascii="Amiri" w:hAnsi="Amiri" w:eastAsia="Amiri" w:cs="Amiri"/>
          <w:color w:val="111111"/>
          <w:sz w:val="28"/>
          <w:sz w:val="28"/>
          <w:szCs w:val="28"/>
          <w:rtl w:val="true"/>
          <w:lang w:bidi="ar-SA"/>
        </w:rPr>
        <w:t>لما تقدّم من عدم حرمتهم على نفس الفحل، و يجري هنا الخلاف المنسوب إلى ابن إدريس في تلك المسألة</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1985906_2314609296"/>
      <w:bookmarkStart w:id="256" w:name="_Toc99"/>
      <w:bookmarkEnd w:id="255"/>
      <w:r>
        <w:rPr>
          <w:rtl w:val="true"/>
        </w:rPr>
        <w:t>[</w:t>
      </w:r>
      <w:r>
        <w:rPr>
          <w:rtl w:val="true"/>
        </w:rPr>
        <w:t>المسألة</w:t>
      </w:r>
      <w:r>
        <w:rPr>
          <w:rtl w:val="true"/>
        </w:rPr>
        <w:t xml:space="preserve">] </w:t>
      </w:r>
      <w:r>
        <w:rPr>
          <w:rtl w:val="true"/>
        </w:rPr>
        <w:t>الخامسة و العشرون يحرم المرتضع على فروع الفحل نسبا و رضاعا و إن نزلوا</w:t>
      </w:r>
      <w:bookmarkEnd w:id="25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 إخوة</w:t>
      </w:r>
      <w:bookmarkStart w:id="257" w:name="pg19718_239240"/>
    </w:p>
    <w:p>
      <w:pPr>
        <w:pStyle w:val="BookText"/>
        <w:rPr/>
      </w:pPr>
      <w:bookmarkEnd w:id="257"/>
      <w:r>
        <w:rPr>
          <w:rFonts w:ascii="Amiri" w:hAnsi="Amiri" w:eastAsia="Amiri" w:cs="Amiri"/>
          <w:color w:val="111111"/>
          <w:sz w:val="28"/>
          <w:sz w:val="28"/>
          <w:szCs w:val="28"/>
          <w:rtl w:val="true"/>
          <w:lang w:bidi="ar-SA"/>
        </w:rPr>
        <w:t xml:space="preserve">أو أولاد إخوة بلا خلاف في ذلك، و يدلّ عليه بعد الإجماع أخبار كثيرة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في الفروع بين كونهم من مرضعة المرتضع أو من غيرها، فلو كان لرجل عشر نساء و كان له من كلّ منها بنت و ابن من الولادة، و أرضعت كلّ واحدة منهنّ غلاما و جارية بلبن ذلك الفحل، حرم الذكور العشرون على البنات العشرين</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1985908_2314609296"/>
      <w:bookmarkStart w:id="259" w:name="_Toc100"/>
      <w:bookmarkEnd w:id="258"/>
      <w:r>
        <w:rPr>
          <w:rtl w:val="true"/>
        </w:rPr>
        <w:t>[</w:t>
      </w:r>
      <w:r>
        <w:rPr>
          <w:rtl w:val="true"/>
        </w:rPr>
        <w:t>المسألة</w:t>
      </w:r>
      <w:r>
        <w:rPr>
          <w:rtl w:val="true"/>
        </w:rPr>
        <w:t xml:space="preserve">] </w:t>
      </w:r>
      <w:r>
        <w:rPr>
          <w:rtl w:val="true"/>
        </w:rPr>
        <w:t>السادسة و العشرون تحرم أصول المرتضع على فروع الفحل</w:t>
      </w:r>
      <w:bookmarkEnd w:id="2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أعني المتولّدين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تقتضه القاعدة، من جهة أنّ فروع الفحل لم يزيدوا على أن صاروا إخوة لولد أصول المرتضع، و لا دليل على تحريم إخوة الولد من حيث هم إخوة الولد؛ و لهذا قيل هنا بعدم التحريم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الأظهر التحريم؛ لصحيحة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عيسى ابن جعفر بن عيسى أبا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أرضعت لي صبيّا، هل يحلّ لي أن أتزوّج ابنة زوجها؟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يؤتى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امرأته من قبل لبن الفحل، هذا هو لبن</w:t>
      </w:r>
      <w:bookmarkStart w:id="260" w:name="pg19718_239241"/>
    </w:p>
    <w:p>
      <w:pPr>
        <w:pStyle w:val="BookText"/>
        <w:rPr/>
      </w:pPr>
      <w:bookmarkEnd w:id="260"/>
      <w:r>
        <w:rPr>
          <w:rFonts w:ascii="Amiri" w:hAnsi="Amiri" w:eastAsia="Amiri" w:cs="Amiri"/>
          <w:color w:val="111111"/>
          <w:sz w:val="28"/>
          <w:sz w:val="28"/>
          <w:szCs w:val="28"/>
          <w:rtl w:val="true"/>
          <w:lang w:bidi="ar-SA"/>
        </w:rPr>
        <w:t>الفحل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ليست ابنة المرأة التي أرضعت لي، هي ابنة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 عشرا متفرّقات ما حلّ لك شي‌ء منهنّ، و كنّ في موضع بناتك</w:t>
      </w:r>
      <w:r>
        <w:rPr>
          <w:rFonts w:eastAsia="Amiri" w:cs="Amiri" w:ascii="Amiri" w:hAnsi="Amiri"/>
          <w:color w:val="111111"/>
          <w:sz w:val="28"/>
          <w:szCs w:val="28"/>
          <w:rtl w:val="true"/>
          <w:lang w:bidi="ar-SA"/>
        </w:rPr>
        <w:t xml:space="preserve">»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الرواية و إن اختصّت بتحريم ولد الفحل على أب المرتضع، إلّا أنّ تحريمهم على امّه أيضا ثابت بالإجماع المركّب ظاهرا؛ مع أنّ كونهم بمنزلة بنات أب المرتضع يستلزم كونهم بمنزلة بنات </w:t>
      </w:r>
      <w:r>
        <w:rPr>
          <w:rStyle w:val="FootnoteAnchor"/>
          <w:rtl w:val="true"/>
        </w:rPr>
        <w:footnoteReference w:id="1498"/>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بفروع الفحل نسبا، و يلحق بهم فروعه رضاعا، و لعلّه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حرم ولد الفحل نسبا على أصول المرتضع حرم ولده رضاعا، و لأنّ منشأ صيرورتهم أولادا لأصول المرتضع اخوّته لولدهم، و لا فرق بين الاخوّة النسبيّة و الرضاعيّة</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1985910_2314609296"/>
      <w:bookmarkStart w:id="262" w:name="_Toc101"/>
      <w:bookmarkEnd w:id="261"/>
      <w:r>
        <w:rPr>
          <w:rtl w:val="true"/>
        </w:rPr>
        <w:t>[</w:t>
      </w:r>
      <w:r>
        <w:rPr>
          <w:rtl w:val="true"/>
        </w:rPr>
        <w:t>المسألة</w:t>
      </w:r>
      <w:r>
        <w:rPr>
          <w:rtl w:val="true"/>
        </w:rPr>
        <w:t xml:space="preserve">] </w:t>
      </w:r>
      <w:r>
        <w:rPr>
          <w:rtl w:val="true"/>
        </w:rPr>
        <w:t>السابعة و العشرون يحرم فروع المرتضع نسبا و رضاعا و إن نزلوا على فروع الفحل نسبا و رضاعا في المرتبة الأولى</w:t>
      </w:r>
      <w:bookmarkEnd w:id="262"/>
    </w:p>
    <w:p>
      <w:pPr>
        <w:pStyle w:val="BookText"/>
        <w:rPr/>
      </w:pPr>
      <w:r>
        <w:rPr>
          <w:rFonts w:ascii="Amiri" w:hAnsi="Amiri" w:eastAsia="Amiri" w:cs="Amiri"/>
          <w:color w:val="111111"/>
          <w:sz w:val="28"/>
          <w:sz w:val="28"/>
          <w:szCs w:val="28"/>
          <w:rtl w:val="true"/>
          <w:lang w:bidi="ar-SA"/>
        </w:rPr>
        <w:t>لأنّهم عمومة لفروع المرتضع، و أمّا فروع الفحل في غير المرتبة الاولى فلا يحرمون على فروع المرتضع</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63" w:name="__RefHeading___Toc1985912_2314609296"/>
      <w:bookmarkStart w:id="264" w:name="_Toc102"/>
      <w:bookmarkEnd w:id="263"/>
      <w:r>
        <w:rPr>
          <w:rtl w:val="true"/>
        </w:rPr>
        <w:t>[</w:t>
      </w:r>
      <w:r>
        <w:rPr>
          <w:rtl w:val="true"/>
        </w:rPr>
        <w:t>المسألة</w:t>
      </w:r>
      <w:r>
        <w:rPr>
          <w:rtl w:val="true"/>
        </w:rPr>
        <w:t xml:space="preserve">] </w:t>
      </w:r>
      <w:r>
        <w:rPr>
          <w:rtl w:val="true"/>
        </w:rPr>
        <w:t>الثامنة و العشرون لا يحرم من في حاشية نسب المرتضع</w:t>
      </w:r>
      <w:r>
        <w:rPr>
          <w:rtl w:val="true"/>
        </w:rPr>
        <w:t xml:space="preserve">- </w:t>
      </w:r>
      <w:r>
        <w:rPr>
          <w:rtl w:val="true"/>
        </w:rPr>
        <w:t>و هم إخوته و أخوته</w:t>
      </w:r>
      <w:r>
        <w:rPr>
          <w:rtl w:val="true"/>
        </w:rPr>
        <w:t xml:space="preserve">- </w:t>
      </w:r>
      <w:r>
        <w:rPr>
          <w:rtl w:val="true"/>
        </w:rPr>
        <w:t>على فروع الفحل</w:t>
      </w:r>
      <w:bookmarkStart w:id="265" w:name="pg19718_239242"/>
      <w:bookmarkEnd w:id="264"/>
    </w:p>
    <w:p>
      <w:pPr>
        <w:pStyle w:val="BookText"/>
        <w:rPr/>
      </w:pPr>
      <w:bookmarkEnd w:id="265"/>
      <w:r>
        <w:rPr>
          <w:rFonts w:ascii="Amiri" w:hAnsi="Amiri" w:eastAsia="Amiri" w:cs="Amiri"/>
          <w:color w:val="111111"/>
          <w:sz w:val="28"/>
          <w:sz w:val="28"/>
          <w:szCs w:val="28"/>
          <w:rtl w:val="true"/>
          <w:lang w:bidi="ar-SA"/>
        </w:rPr>
        <w:t xml:space="preserve">لأنّهم لم يزيدوا على أن صاروا بالرضاع إخوة لأخي أولئك، و اخوّة الأخ ليست موجبة للتحريم؛ إذ قد يتزوّج أخ الرجل لأبيه أخته من امّه، و لو قيّد بالأخ من الأبوين فلا يوجب التحريم، و إنّما يحرم إخوة الأخ للأبوين من جهة كونهم إخوة، و لم يحصل بالرضاع هذا العنوان؛ فالحاصل بالرضاع غير موجب للتحريم، و الموجب للتحريم غير حاصل، خلافا للشيخ </w:t>
      </w:r>
      <w:r>
        <w:rPr>
          <w:rStyle w:val="FootnoteAnchor"/>
          <w:rtl w:val="true"/>
        </w:rPr>
        <w:footnoteReference w:id="1499"/>
      </w:r>
      <w:r>
        <w:rPr>
          <w:rFonts w:ascii="Amiri" w:hAnsi="Amiri" w:eastAsia="Amiri" w:cs="Amiri"/>
          <w:color w:val="111111"/>
          <w:sz w:val="28"/>
          <w:sz w:val="28"/>
          <w:szCs w:val="28"/>
          <w:rtl w:val="true"/>
          <w:lang w:bidi="ar-SA"/>
        </w:rPr>
        <w:t xml:space="preserve">و جماعة </w:t>
      </w:r>
      <w:r>
        <w:rPr>
          <w:rStyle w:val="FootnoteAnchor"/>
          <w:rtl w:val="true"/>
        </w:rPr>
        <w:footnoteReference w:id="1500"/>
      </w:r>
      <w:r>
        <w:rPr>
          <w:rFonts w:ascii="Amiri" w:hAnsi="Amiri" w:eastAsia="Amiri" w:cs="Amiri"/>
          <w:color w:val="111111"/>
          <w:sz w:val="28"/>
          <w:sz w:val="28"/>
          <w:szCs w:val="28"/>
          <w:rtl w:val="true"/>
          <w:lang w:bidi="ar-SA"/>
        </w:rPr>
        <w:t>فحكموا بالتحريم، لأنّ صيرورة الفروع بمنزلة الأولاد لأصول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صحيحة ابن مهزيار المتقدّمة </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كونهم إخوة لإخوة المرتضع، فيحرمون عليهم، و قد سبق في المسألة الثانية عشرة أنّ هذا القول لا يخلو عن قوّة</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1985914_2314609296"/>
      <w:bookmarkStart w:id="267" w:name="_Toc103"/>
      <w:bookmarkEnd w:id="266"/>
      <w:r>
        <w:rPr>
          <w:rtl w:val="true"/>
        </w:rPr>
        <w:t>[</w:t>
      </w:r>
      <w:r>
        <w:rPr>
          <w:rtl w:val="true"/>
        </w:rPr>
        <w:t>المسألة</w:t>
      </w:r>
      <w:r>
        <w:rPr>
          <w:rtl w:val="true"/>
        </w:rPr>
        <w:t xml:space="preserve">] </w:t>
      </w:r>
      <w:r>
        <w:rPr>
          <w:rtl w:val="true"/>
        </w:rPr>
        <w:t>التاسعة و العشرون يحرم المرتضع على من في حاشية نسب الفحل أو رضاعه</w:t>
      </w:r>
      <w:bookmarkEnd w:id="267"/>
    </w:p>
    <w:p>
      <w:pPr>
        <w:pStyle w:val="BookText"/>
        <w:rPr/>
      </w:pPr>
      <w:r>
        <w:rPr>
          <w:rFonts w:ascii="Amiri" w:hAnsi="Amiri" w:eastAsia="Amiri" w:cs="Amiri"/>
          <w:color w:val="111111"/>
          <w:sz w:val="28"/>
          <w:sz w:val="28"/>
          <w:szCs w:val="28"/>
          <w:rtl w:val="true"/>
          <w:lang w:bidi="ar-SA"/>
        </w:rPr>
        <w:t>لأنّهم عمومة له؛ و هذا ممّا لا إشكال فيه و لا خلاف</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1985916_2314609296"/>
      <w:bookmarkStart w:id="269" w:name="_Toc104"/>
      <w:bookmarkEnd w:id="268"/>
      <w:r>
        <w:rPr>
          <w:rtl w:val="true"/>
        </w:rPr>
        <w:t>[</w:t>
      </w:r>
      <w:r>
        <w:rPr>
          <w:rtl w:val="true"/>
        </w:rPr>
        <w:t>المسألة</w:t>
      </w:r>
      <w:r>
        <w:rPr>
          <w:rtl w:val="true"/>
        </w:rPr>
        <w:t xml:space="preserve">] </w:t>
      </w:r>
      <w:r>
        <w:rPr>
          <w:rtl w:val="true"/>
        </w:rPr>
        <w:t>الثلاثون لا تحرم أصول المرتضع على من في حاشية نسب الفحل</w:t>
      </w:r>
      <w:bookmarkEnd w:id="26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لم يحدث بينهم بالرضاع رابطة من الروابط المحرّمة</w:t>
      </w:r>
      <w:r>
        <w:rPr>
          <w:rFonts w:eastAsia="Amiri" w:cs="Amiri" w:ascii="Amiri" w:hAnsi="Amiri"/>
          <w:color w:val="111111"/>
          <w:sz w:val="28"/>
          <w:szCs w:val="28"/>
          <w:rtl w:val="true"/>
          <w:lang w:bidi="ar-SA"/>
        </w:rPr>
        <w:t>.</w:t>
      </w:r>
      <w:bookmarkStart w:id="270" w:name="pg19718_239243"/>
    </w:p>
    <w:p>
      <w:pPr>
        <w:pStyle w:val="Heading6"/>
        <w:numPr>
          <w:ilvl w:val="5"/>
          <w:numId w:val="1"/>
        </w:numPr>
        <w:rPr/>
      </w:pPr>
      <w:bookmarkStart w:id="271" w:name="__RefHeading___Toc1985918_2314609296"/>
      <w:bookmarkStart w:id="272" w:name="_Toc105"/>
      <w:bookmarkEnd w:id="270"/>
      <w:bookmarkEnd w:id="271"/>
      <w:r>
        <w:rPr>
          <w:rtl w:val="true"/>
        </w:rPr>
        <w:t>[</w:t>
      </w:r>
      <w:r>
        <w:rPr>
          <w:rtl w:val="true"/>
        </w:rPr>
        <w:t>المسألة</w:t>
      </w:r>
      <w:r>
        <w:rPr>
          <w:rtl w:val="true"/>
        </w:rPr>
        <w:t xml:space="preserve">] </w:t>
      </w:r>
      <w:r>
        <w:rPr>
          <w:rtl w:val="true"/>
        </w:rPr>
        <w:t>الحادية و الثلاثون يحرم فروع المرتضع نسبا و رضاعا و إن نزلوا على من في حاشية نسب الفحل نسبا أو رضاعا</w:t>
      </w:r>
      <w:bookmarkEnd w:id="272"/>
    </w:p>
    <w:p>
      <w:pPr>
        <w:pStyle w:val="BookText"/>
        <w:rPr/>
      </w:pPr>
      <w:r>
        <w:rPr>
          <w:rFonts w:ascii="Amiri" w:hAnsi="Amiri" w:eastAsia="Amiri" w:cs="Amiri"/>
          <w:color w:val="111111"/>
          <w:sz w:val="28"/>
          <w:sz w:val="28"/>
          <w:szCs w:val="28"/>
          <w:rtl w:val="true"/>
          <w:lang w:bidi="ar-SA"/>
        </w:rPr>
        <w:t>لأنّهم عمومة لأبيهم، و يحلّ لهم فروع أولئك الحواشي</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1985920_2314609296"/>
      <w:bookmarkStart w:id="274" w:name="_Toc106"/>
      <w:bookmarkEnd w:id="273"/>
      <w:r>
        <w:rPr>
          <w:rtl w:val="true"/>
        </w:rPr>
        <w:t>[</w:t>
      </w:r>
      <w:r>
        <w:rPr>
          <w:rtl w:val="true"/>
        </w:rPr>
        <w:t>المسألة</w:t>
      </w:r>
      <w:r>
        <w:rPr>
          <w:rtl w:val="true"/>
        </w:rPr>
        <w:t xml:space="preserve">] </w:t>
      </w:r>
      <w:r>
        <w:rPr>
          <w:rtl w:val="true"/>
        </w:rPr>
        <w:t>الثانية و الثلاثون لا يحرم من في حاشية نسب المرتضع على من في حاشية نسب الفحل</w:t>
      </w:r>
      <w:bookmarkEnd w:id="27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حواشي المرتضع لا تحرم على نفس الفحل، فأولى بأن لا تحرم على حواشيه، و يجي‌ء على القول المنسوب إلى ابن إدريس رحمه اللّٰه في تحريم أخت المرتضع على الفحل </w:t>
      </w:r>
      <w:r>
        <w:rPr>
          <w:rStyle w:val="FootnoteAnchor"/>
          <w:rtl w:val="true"/>
        </w:rPr>
        <w:footnoteReference w:id="1502"/>
      </w:r>
      <w:r>
        <w:rPr>
          <w:rFonts w:ascii="Amiri" w:hAnsi="Amiri" w:eastAsia="Amiri" w:cs="Amiri"/>
          <w:color w:val="111111"/>
          <w:sz w:val="28"/>
          <w:sz w:val="28"/>
          <w:szCs w:val="28"/>
          <w:rtl w:val="true"/>
          <w:lang w:bidi="ar-SA"/>
        </w:rPr>
        <w:t>تحريمها على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دليل عليه</w:t>
      </w:r>
      <w:r>
        <w:rPr>
          <w:rFonts w:eastAsia="Amiri" w:cs="Amiri" w:ascii="Amiri" w:hAnsi="Amiri"/>
          <w:color w:val="111111"/>
          <w:sz w:val="28"/>
          <w:szCs w:val="28"/>
          <w:rtl w:val="true"/>
          <w:lang w:bidi="ar-SA"/>
        </w:rPr>
        <w:t>.</w:t>
      </w:r>
      <w:bookmarkStart w:id="275" w:name="pg19718_239245"/>
    </w:p>
    <w:p>
      <w:pPr>
        <w:pStyle w:val="Heading5"/>
        <w:numPr>
          <w:ilvl w:val="4"/>
          <w:numId w:val="1"/>
        </w:numPr>
        <w:rPr/>
      </w:pPr>
      <w:bookmarkStart w:id="276" w:name="__RefHeading___Toc1985922_2314609296"/>
      <w:bookmarkStart w:id="277" w:name="_Toc107"/>
      <w:bookmarkEnd w:id="275"/>
      <w:bookmarkEnd w:id="276"/>
      <w:r>
        <w:rPr>
          <w:rtl w:val="true"/>
        </w:rPr>
        <w:t>و ينبغي التنبيه على أمور</w:t>
      </w:r>
      <w:r>
        <w:rPr>
          <w:rtl w:val="true"/>
        </w:rPr>
        <w:t>:</w:t>
      </w:r>
      <w:bookmarkEnd w:id="277"/>
    </w:p>
    <w:p>
      <w:pPr>
        <w:pStyle w:val="Heading6"/>
        <w:numPr>
          <w:ilvl w:val="5"/>
          <w:numId w:val="1"/>
        </w:numPr>
        <w:rPr/>
      </w:pPr>
      <w:bookmarkStart w:id="278" w:name="__RefHeading___Toc1985924_2314609296"/>
      <w:bookmarkStart w:id="279" w:name="_Toc108"/>
      <w:bookmarkEnd w:id="278"/>
      <w:r>
        <w:rPr>
          <w:rtl w:val="true"/>
        </w:rPr>
        <w:t>[</w:t>
      </w:r>
      <w:r>
        <w:rPr>
          <w:rtl w:val="true"/>
        </w:rPr>
        <w:t>الأول الرابطة النسبية المحرمة على نحوين</w:t>
      </w:r>
      <w:r>
        <w:rPr>
          <w:rtl w:val="true"/>
        </w:rPr>
        <w:t>]</w:t>
      </w:r>
      <w:bookmarkEnd w:id="27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عرفت أنّ الضابط في حصول الحرمة بالرضاع ملاحظة الرابطة النسبيّة التي علّق عليها التحريم، فإن حصل بالرضاع نظيرها تثبت الحرمة، و إلّا فلا، إلّا ما خرج بالدليل، كما عرفت في المسألة العاشرة و السادسة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عبرة بأن يحصل بالرضاع رابطة مغايرة للرابطة المعلّق عليها التحريم، مقارنة معها في الوجود دائما أو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خروج المسألتين السابقتين أو نحوهما عن هذه الضابطة لا يعطي ضابطة كلّيّة لتحريم كلّ عنوان ملازم في النسب لعنوانات التحريم، بل يقتصر على مورده؛ إذ التعدّي قياس لا نقول به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أنّه لا فرق في الرابطة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يكون نظيرها الحاصل بالرضاع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التحريم المعلّق عليها لأجل وجودها بين نفس المحرّم و المحرّم عليه، و يسمّى بالمحرّم 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المحرّمات السبع</w:t>
      </w:r>
    </w:p>
    <w:p>
      <w:pPr>
        <w:pStyle w:val="BookText"/>
        <w:rPr/>
      </w:pPr>
      <w:r>
        <w:rPr>
          <w:rFonts w:ascii="Amiri" w:hAnsi="Amiri" w:eastAsia="Amiri" w:cs="Amiri"/>
          <w:color w:val="111111"/>
          <w:sz w:val="28"/>
          <w:sz w:val="28"/>
          <w:szCs w:val="28"/>
          <w:rtl w:val="true"/>
          <w:lang w:bidi="ar-SA"/>
        </w:rPr>
        <w:t>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يكون التحريم لأجل وجودها بين المحرّم و زوج المحرّم عليه أو من في حكمه، و يسمّى بالمحرّم لأجل المصاهرة، و هي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علاقة تحدث بين كلّ من الزوجين و أقرباء الآخر، كأمّ الزوجة مثلا؛ فإنّ التحريم علّق على أمومة الزوجة، و هي رابطة نسبيّة بين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زوجة المحرّم عليه، و كأمّ المزني بها، و الموطوءة بالشبهة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تسمية الأوّل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لأجل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لأجل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ملاحظة العلاقة الكائنة بين نفس المحرّم و المحرّم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قد تكون نفس الرابطة النسبيّة المعلّق عليها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المحرّمات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أمرا حاصلا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المحرّمات بالمصاهرة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التحريم في الكلّ معلّق على الرابطة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المحرّمات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المحرّمات بالمصاهرة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تحريم أمّ الزوجة لم يعلّق في الكتاب و السنّة على علاقة المصاهرة التي بينها و بين الزوج، و إنّما علّق على الرابطة النسبيّة التي بينها و بين زوجة الزوج، و هي الأمومة، و كذا غيرها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فساد ما ربّما يسبق إلى الوهم من أنّ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1503"/>
      </w:r>
      <w:r>
        <w:rPr>
          <w:rFonts w:ascii="Amiri" w:hAnsi="Amiri" w:eastAsia="Amiri" w:cs="Amiri"/>
          <w:color w:val="111111"/>
          <w:sz w:val="28"/>
          <w:sz w:val="28"/>
          <w:szCs w:val="28"/>
          <w:rtl w:val="true"/>
          <w:lang w:bidi="ar-SA"/>
        </w:rPr>
        <w:t>إنّما يدلّ على تحريم نظائر المحرّمات السبع الحاصلة بالرضاع، و لا يدلّ على تحريم نظائر المحرّمات بالمصاهرة إذا حصلت بالرضاع، كمرضعة الزوجة و رضيعتها و نحوهما؛ لأنّ هؤلاء لا يحرمن من النسب حتّى يحرم نظائرها من الرضاع، و إنّما يحرمن أجل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الفساد مضافا إلى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العلاقة الحاصلة بين كلّ من الزوجين و أقرباء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ممّا علّق عليها التحريم، و إنّما علّق على الرابطة النسبيّة التي هي منشأ لانتزاعها، فتحرم أمّ الزوجة على الزوج أيضا من جهة النسب، لا النسب الحاصل بين المحرّم و المحرّم عليه، بل النسب الحاصل بين المحرّم و زوجة المحرّم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ما يوقع في هذا الوهم توهّم أنّ المراد بالنسب في الحديث خصوص النسب الحاصل بين المحرّم و المحرّم عليه، نظير ما اصطلحوا عليه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التحريم إمّا نسب و إمّا 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يجعلون المصاهرة قسيما للنسب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لا داعي إلى تقييد النسب في الحديث بهذا الفرد الخاصّ، بل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يحرم على شخص من جهة نسب حاصل بينهما أو من جهة نسب حاصل بين أحدهما و زوج الآخر أو من في حكمه، فيحرم نظيره من جهة الرضاع الحاصل بينهما أو بين أحدهما و زوج الآخر أو من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معناه بعبارة أضبط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رابطة نسبيّة ثبت من جهتها تحريم شخص على آخر، فيثبت التحريم أيضا من جهة نظيرها الحاصل بالرضاع، فإذا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أمّهات الأزواج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التحريم تعلّق بالنساء المتّصفات بالأمومة للزوجات، و هي رابطة نسبيّة علّق عليها التحريم، فإذا حصل نظيرها بالرضاع يحصل الحرمة، للحديث المذكور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يصدق على أمّ الرجل أنّها محرّمة عليه من جهة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جهة الرابطة النسبيّة؛ حيث إنّها حرمت عليه بعنوان كونها أمّا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يصدق على أمّ زوجته أنّها محرّمة عليه من جهة النسب؛</w:t>
      </w:r>
      <w:bookmarkStart w:id="280" w:name="pg19718_239248"/>
    </w:p>
    <w:p>
      <w:pPr>
        <w:pStyle w:val="BookText"/>
        <w:rPr/>
      </w:pPr>
      <w:bookmarkEnd w:id="280"/>
      <w:r>
        <w:rPr>
          <w:rFonts w:ascii="Amiri" w:hAnsi="Amiri" w:eastAsia="Amiri" w:cs="Amiri"/>
          <w:color w:val="111111"/>
          <w:sz w:val="28"/>
          <w:sz w:val="28"/>
          <w:szCs w:val="28"/>
          <w:rtl w:val="true"/>
          <w:lang w:bidi="ar-SA"/>
        </w:rPr>
        <w:t xml:space="preserve">حيث إنّها حرمت عليه من جهة كونها امّا لزوجته، فالموضوع في كلّ من الحكمين معنون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في الأوّل بين المحرّم و المحرّم عليه، و في الثاني بين المحرّم و زوج المحرّم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تراهم يتمسّكون في تحريم مرضعة الغلام الموقب و رضيعتها على الموقب بالحديث المذكور، و إلّا فأيّ نسب بين المرضعة و الموقب؟</w:t>
      </w:r>
    </w:p>
    <w:p>
      <w:pPr>
        <w:pStyle w:val="BookText"/>
        <w:rPr/>
      </w:pPr>
      <w:r>
        <w:rPr>
          <w:rFonts w:ascii="Amiri" w:hAnsi="Amiri" w:eastAsia="Amiri" w:cs="Amiri"/>
          <w:color w:val="111111"/>
          <w:sz w:val="28"/>
          <w:sz w:val="28"/>
          <w:szCs w:val="28"/>
          <w:rtl w:val="true"/>
          <w:lang w:bidi="ar-SA"/>
        </w:rPr>
        <w:t xml:space="preserve">و ممّا ذكرنا ظهر ما في استشكال صاحب الكفاية الحكم بإلحاق الرضاع بالنسب في الرابطة النسبيّة الموجودة بين أحد الزوجين و أقرباء الآخر الموجدة لعلاقة المصاهرة بين الزوجين في ثبوت أحكام المصاهرة بالنسبة إلى أحد الزوجين و بعض ذوي الروابط الرضاعيّة للآخر، و أنّه إن كان الإجماع على ذلك فهو، و إلّا ففي دلالة الحديث المشهور على ذلك إشكال </w:t>
      </w: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أنّه لا إشكال في المسألة أصلا بحمد اللّٰه سبحانه</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1985926_2314609296"/>
      <w:bookmarkStart w:id="282" w:name="_Toc109"/>
      <w:bookmarkEnd w:id="281"/>
      <w:r>
        <w:rPr>
          <w:rtl w:val="true"/>
        </w:rPr>
        <w:t>[</w:t>
      </w:r>
      <w:r>
        <w:rPr>
          <w:rtl w:val="true"/>
        </w:rPr>
        <w:t>الثاني تحريم الرضاع للنكاح ابتداء و استدامة</w:t>
      </w:r>
      <w:r>
        <w:rPr>
          <w:rtl w:val="true"/>
        </w:rPr>
        <w:t>]</w:t>
      </w:r>
      <w:bookmarkEnd w:id="28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الرضاع كما يؤثّر في ابتداء النكاح يؤثّر في استدامته، فكلّ رضاع يمنع من النكاح إذا سبقه، يبطله إذا لحقه، بلا خلاف فيه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إطلاق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بعض الأخبار الواردة في بعض فروع المسألة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تزوّج جارية فأرضعتها امرأته فسد نكاحه</w:t>
      </w:r>
      <w:r>
        <w:rPr>
          <w:rFonts w:eastAsia="Amiri" w:cs="Amiri" w:ascii="Amiri" w:hAnsi="Amiri"/>
          <w:color w:val="111111"/>
          <w:sz w:val="28"/>
          <w:szCs w:val="28"/>
          <w:rtl w:val="true"/>
          <w:lang w:bidi="ar-SA"/>
        </w:rPr>
        <w:t xml:space="preserve">» </w:t>
      </w:r>
      <w:r>
        <w:rPr>
          <w:rStyle w:val="FootnoteAnchor"/>
          <w:rtl w:val="true"/>
        </w:rPr>
        <w:footnoteReference w:id="1505"/>
      </w:r>
      <w:r>
        <w:rPr>
          <w:rFonts w:ascii="Amiri" w:hAnsi="Amiri" w:eastAsia="Amiri" w:cs="Amiri"/>
          <w:color w:val="111111"/>
          <w:sz w:val="28"/>
          <w:sz w:val="28"/>
          <w:szCs w:val="28"/>
          <w:rtl w:val="true"/>
          <w:lang w:bidi="ar-SA"/>
        </w:rPr>
        <w:t xml:space="preserve">، و رواها في الفقيه بسند صحيح عن أبي جعفر عليه السلام </w:t>
      </w:r>
      <w:r>
        <w:rPr>
          <w:rStyle w:val="FootnoteAnchor"/>
          <w:rtl w:val="true"/>
        </w:rPr>
        <w:footnoteReference w:id="1506"/>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حسنته</w:t>
      </w:r>
    </w:p>
    <w:p>
      <w:pPr>
        <w:pStyle w:val="BookText"/>
        <w:rPr/>
      </w:pPr>
      <w:r>
        <w:rPr>
          <w:rFonts w:ascii="Amiri" w:hAnsi="Amiri" w:eastAsia="Amiri" w:cs="Amiri"/>
          <w:color w:val="111111"/>
          <w:sz w:val="28"/>
          <w:sz w:val="28"/>
          <w:szCs w:val="28"/>
          <w:rtl w:val="true"/>
          <w:lang w:bidi="ar-SA"/>
        </w:rPr>
        <w:t xml:space="preserve">الأخرى عنه عليه السلام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يترتّب على ذلك أنّه إذا تزوّج برضيعة فأرضعتها بعض نساء آبائه و إن علوا أو أولاده و إن نزلوا، أو إخوته بلبنهم، أو أخواته، حرمت عليه، و كذا لو أرضعتها زوجته الكبيرة بلبنه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الأخبار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تحرم الكبيرة أيضا مؤبّدا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أرضعتها بلبن غيره، فإن دخل بالكبيرة حرمتا أيضا، و إن لم يدخل بها حرمت الكبيرة مؤبّدا، و حرمت الصغيرة جمعا، بمعنى جواز تجديد العقد عليها بعد بطلان النكاح الأوّل، و الوجه في بطلان نكاحهما عدم جواز الحكم بصحّة نكاحهما، و لا بصحّة نكاح أحدهما؛ لأنّه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 في الحكم صاحب الكفاية من حيث احتمال القرعة </w:t>
      </w:r>
      <w:r>
        <w:rPr>
          <w:rStyle w:val="FootnoteAnchor"/>
          <w:rtl w:val="true"/>
        </w:rPr>
        <w:footnoteReference w:id="1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أرضعت زوجته الصغيرة إحدى الكبيرتين بلبنه، ثمّ أرضعتها الأخرى، حرمن جمع</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حكي عن الإسكافي </w:t>
      </w:r>
      <w:r>
        <w:rPr>
          <w:rStyle w:val="FootnoteAnchor"/>
          <w:rtl w:val="true"/>
        </w:rPr>
        <w:footnoteReference w:id="1509"/>
      </w:r>
      <w:r>
        <w:rPr>
          <w:rFonts w:ascii="Amiri" w:hAnsi="Amiri" w:eastAsia="Amiri" w:cs="Amiri"/>
          <w:color w:val="111111"/>
          <w:sz w:val="28"/>
          <w:sz w:val="28"/>
          <w:szCs w:val="28"/>
          <w:rtl w:val="true"/>
          <w:lang w:bidi="ar-SA"/>
        </w:rPr>
        <w:t xml:space="preserve">و الشيخ </w:t>
      </w: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تحرم المرتضعة و اولى المرضعتين؛ و 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الزوجة المحرّمة هي من زوّج ابنته </w:t>
      </w:r>
      <w:r>
        <w:rPr>
          <w:rStyle w:val="FootnoteAnchor"/>
          <w:rtl w:val="true"/>
        </w:rPr>
        <w:footnoteReference w:id="1511"/>
      </w:r>
      <w:r>
        <w:rPr>
          <w:rFonts w:ascii="IRNazanin" w:hAnsi="IRNazanin" w:eastAsia="IRNazanin"/>
          <w:color w:val="111111"/>
          <w:sz w:val="28"/>
          <w:sz w:val="28"/>
          <w:szCs w:val="28"/>
          <w:rtl w:val="true"/>
          <w:lang w:bidi="fa-IR"/>
        </w:rPr>
        <w:t>، بأن</w:t>
      </w:r>
    </w:p>
    <w:p>
      <w:pPr>
        <w:pStyle w:val="BookText"/>
        <w:rPr/>
      </w:pPr>
      <w:r>
        <w:rPr>
          <w:rFonts w:ascii="Amiri" w:hAnsi="Amiri" w:eastAsia="Amiri" w:cs="Amiri"/>
          <w:color w:val="111111"/>
          <w:sz w:val="28"/>
          <w:sz w:val="28"/>
          <w:szCs w:val="28"/>
          <w:rtl w:val="true"/>
          <w:lang w:bidi="ar-SA"/>
        </w:rPr>
        <w:t xml:space="preserve">تتّصف بنته </w:t>
      </w:r>
      <w:r>
        <w:rPr>
          <w:rStyle w:val="FootnoteAnchor"/>
          <w:rtl w:val="true"/>
        </w:rPr>
        <w:footnoteReference w:id="1512"/>
      </w:r>
      <w:r>
        <w:rPr>
          <w:rFonts w:ascii="Amiri" w:hAnsi="Amiri" w:eastAsia="Amiri" w:cs="Amiri"/>
          <w:color w:val="111111"/>
          <w:sz w:val="28"/>
          <w:sz w:val="28"/>
          <w:szCs w:val="28"/>
          <w:rtl w:val="true"/>
          <w:lang w:bidi="ar-SA"/>
        </w:rPr>
        <w:t xml:space="preserve">بالزوجيّة، بمعنى تصادق عنواني البنتيّة و الزوجيّة في زمان من الأزمنة، حتّى يصدق على أمّها في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ليس كذلك؛ لأنّ المرضعة الثانية إنّما صارت امّا بعد ما انفسخ عقد الصغيرة، فحصلت صفة النبتيّة للصغيرة بعد زمان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رواه في الكافي بسند ضعيف بصالح بن أبي حمّاد، عن عليّ ابن مهزيار، رواه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تزوّج بجارية صغيرة، فأرضعتها امرأته، ثمّ أرضعتها امرأة له اخرى، فقال ابن شبرمة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عليه الجارية و امرأتاه،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ابن شبرمة، حرمت عليه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التي أرضعتها أوّلا، فأمّا الأخيرة فلم تحرم عليه؛ لأنّها أرضعت ابنتها</w:t>
      </w:r>
      <w:r>
        <w:rPr>
          <w:rFonts w:eastAsia="Amiri" w:cs="Amiri" w:ascii="Amiri" w:hAnsi="Amiri"/>
          <w:color w:val="111111"/>
          <w:sz w:val="28"/>
          <w:szCs w:val="28"/>
          <w:rtl w:val="true"/>
          <w:lang w:bidi="ar-SA"/>
        </w:rPr>
        <w:t xml:space="preserve">» </w:t>
      </w:r>
      <w:r>
        <w:rPr>
          <w:rStyle w:val="FootnoteAnchor"/>
          <w:rtl w:val="true"/>
        </w:rPr>
        <w:footnoteReference w:id="1513"/>
      </w:r>
      <w:r>
        <w:rPr>
          <w:rFonts w:ascii="Amiri" w:hAnsi="Amiri" w:eastAsia="Amiri" w:cs="Amiri"/>
          <w:color w:val="111111"/>
          <w:sz w:val="28"/>
          <w:sz w:val="28"/>
          <w:szCs w:val="28"/>
          <w:rtl w:val="true"/>
          <w:lang w:bidi="ar-SA"/>
        </w:rPr>
        <w:t>و لا يبعد العمل بها؛ لموافقتها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كلّما حكم بفساد نكاح الصغيرة بالرضاع، فإن كان الرضاع بسبب مختصّ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سعت إلى الكبيرة و هي نائمة، و ارتضعت الرضاع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في الشرائع و التحرير و المسالك بسقوط مهرها </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عدم السقوط؛ لأنّ المهر ثبت بالعقد، و لا دليل على سقوطه بفعل الصغيرة الذي حصل منها من غير قصد و تمييز</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بسبب مختصّ بالكبيرة، بأن تولّت إرضاعها، و كان لها مهر مسمّى، غرمه الزوج،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 نصفه، كالطلاق، و هو محكيّ عن الشيخ </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 xml:space="preserve">و جماعة </w:t>
      </w:r>
      <w:r>
        <w:rPr>
          <w:rStyle w:val="FootnoteAnchor"/>
          <w:rtl w:val="true"/>
        </w:rPr>
        <w:footnoteReference w:id="1516"/>
      </w:r>
      <w:r>
        <w:rPr>
          <w:rFonts w:ascii="Amiri" w:hAnsi="Amiri" w:eastAsia="Amiri" w:cs="Amiri"/>
          <w:color w:val="111111"/>
          <w:sz w:val="28"/>
          <w:sz w:val="28"/>
          <w:szCs w:val="28"/>
          <w:rtl w:val="true"/>
          <w:lang w:bidi="ar-SA"/>
        </w:rPr>
        <w:t>، و لا دليل عليه؛ بناء على ملك الزوجة لكمال المهر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رجوع الزوج الغارم إلى المرضعة إشكال، و لا يبعد عدم الرجوع فيما إذا كان الإرضاع واجبا عليها، لفقد من يرضعها بما يسدّ رمقها؛ لأنّه حينئذ مأمور به، فلا يتعقّبه ضرر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الأقوى عدم الرجوع؛ لعدم الدليل، و نظائره كثيرة، كما لو قتلت الزوجة، أو ارتدّت بعد الدخول، أو أرضعت من ينفسخ نكاحهما بإرضاعه، فإنّ المهر ثابت في جميع الصور على الزوج، و لا يرجع بعد غرامته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الزوج بما يغرمه و إن لم نقل بضمان البضع، فإنّ مقتضى ضمانه الرجوع إلى مهر المثل أو نحوه، لا ما يغرمه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الرجوع في الأمثلة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تصرّف في البضع، و هو و المهر عوض له</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و لهذا يغرم الشهود إذا رجعوا عن شهادتهم بطلاق الزوج الأوّل للمرأة المهر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يؤيّدها ما رواه في الفقيه بسند ضعيف عن داود بن الحصين، عن عمر بن حنظلة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لآخر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اخطب لي فلانة، فما فعلت شيئا ممّا قاولت من صداق أو ضمنت من شي‌ء أو شرطت، فذلك لي رضي و هو لازم لي، و لم يشهد على ذلك، فذهب فخطب له و بذل عنه الصداق، و غير ذلك ممّا طالبوه و سألوه، فلمّا رجع إليه أنكر</w:t>
      </w:r>
      <w:bookmarkStart w:id="283" w:name="pg19718_239252"/>
    </w:p>
    <w:p>
      <w:pPr>
        <w:pStyle w:val="BookText"/>
        <w:rPr/>
      </w:pPr>
      <w:bookmarkEnd w:id="283"/>
      <w:r>
        <w:rPr>
          <w:rFonts w:ascii="Amiri" w:hAnsi="Amiri" w:eastAsia="Amiri" w:cs="Amiri"/>
          <w:color w:val="111111"/>
          <w:sz w:val="28"/>
          <w:sz w:val="28"/>
          <w:szCs w:val="28"/>
          <w:rtl w:val="true"/>
          <w:lang w:bidi="ar-SA"/>
        </w:rPr>
        <w:t>ذلك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 لها نصف الصداق عنه؛ و ذلك أنّه هو الذي ضيّع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يشهد عليه بذلك الذي قال</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بعموم التعليل على أنّ التضييع سبب للغرامة، و قد حصل في ما نحن فيه من المرضعة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4" w:name="__RefHeading___Toc1985928_2314609296"/>
      <w:bookmarkStart w:id="285" w:name="_Toc110"/>
      <w:bookmarkEnd w:id="284"/>
      <w:r>
        <w:rPr>
          <w:rtl w:val="true"/>
        </w:rPr>
        <w:t>[</w:t>
      </w:r>
      <w:r>
        <w:rPr>
          <w:rtl w:val="true"/>
        </w:rPr>
        <w:t>الثالث توهم جماعة التحريم في بعض الصور</w:t>
      </w:r>
      <w:r>
        <w:rPr>
          <w:rtl w:val="true"/>
        </w:rPr>
        <w:t>]</w:t>
      </w:r>
      <w:bookmarkEnd w:id="28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قد حكى شيخنا المحقّق الثاني في رسالته الرضاعيّة عن بعض الطلبة القول بنشر الحرمة بالرضاع في صور كثيرة، و نسب ذلك إلى اشتباههم، و ذكر أنّه لا مستند لهم في ذلك، و زعموا أنّ ذلك من فتاوى شيخنا الشهيد رحمه اللّٰه، و ليس لهم إسناد يتّصل بشيخنا في هذه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اختلف أصحابنا في ثلاث مسائل قد يتوهّم منها القاصر عن درجة الاستنباط أن يكون دليلا لشي‌ء من هذه المسائل، أو شاهدا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المسائل المتصوّرة في هذا الباب كثيرة لا تنحصر، و الذي سنح لنا الآن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من المسائل الثلاث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ثمّ ذكر الصور، ثمّ عقّبها بذكر المسائل الثلاث التي ذكر أنّه اختلف فيها بين الأصحاب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المتوهّم قد استند في دعوى النشر إلى عموم المنزلة في الرضاع المشهور في الألسنة، و حاصل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حصل بالرضاع عنوان مصادق للعنوان الذي تعلّق به التحريم في النسب حكم بتحريمه و إن لم يحصل بالرضاع نفس ذلك العنوان المنوط به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أرضعت امرأتك ولد ابنتك، فقد صارت المرضعة أمّا لولد بنتك؛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ولد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عنوان مصادق في النسب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فإذا حصل هذا العنوان بإرضاع امرأتك ولد ابنتك تحقّق التحريم، و بطلان نكاح الجدّ و المرضعة، و إن لم يتحقّق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الرضاع، و هكذا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 أنا أذكر المسائل الثلاث التي ذكر المحقّق أنّها ممّا تعرّض لها الأصحاب و اختلفوا فيها، ثمّ أذكر غيرها من الصور التي ذكر أنّ القول بالتحريم فيها توهّم، و أنّه ليس به قائل معروف بين الأصحاب، و أنّ نسبته إلى الشهيد رحمه اللّٰه غير ثابتة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bookmarkStart w:id="286" w:name="pg19718_239255"/>
    </w:p>
    <w:p>
      <w:pPr>
        <w:pStyle w:val="Heading5"/>
        <w:numPr>
          <w:ilvl w:val="4"/>
          <w:numId w:val="1"/>
        </w:numPr>
        <w:rPr/>
      </w:pPr>
      <w:bookmarkStart w:id="287" w:name="__RefHeading___Toc1985930_2314609296"/>
      <w:bookmarkStart w:id="288" w:name="_Toc111"/>
      <w:bookmarkEnd w:id="286"/>
      <w:bookmarkEnd w:id="287"/>
      <w:r>
        <w:rPr>
          <w:rtl w:val="true"/>
        </w:rPr>
        <w:t>[</w:t>
      </w:r>
      <w:r>
        <w:rPr>
          <w:rtl w:val="true"/>
        </w:rPr>
        <w:t>المسائل المختلف فيها</w:t>
      </w:r>
      <w:r>
        <w:rPr>
          <w:rtl w:val="true"/>
        </w:rPr>
        <w:t>]</w:t>
      </w:r>
      <w:bookmarkEnd w:id="288"/>
    </w:p>
    <w:p>
      <w:pPr>
        <w:pStyle w:val="Heading6"/>
        <w:numPr>
          <w:ilvl w:val="5"/>
          <w:numId w:val="1"/>
        </w:numPr>
        <w:rPr/>
      </w:pPr>
      <w:bookmarkStart w:id="289" w:name="__RefHeading___Toc1985932_2314609296"/>
      <w:bookmarkStart w:id="290" w:name="_Toc112"/>
      <w:bookmarkEnd w:id="289"/>
      <w:r>
        <w:rPr>
          <w:rtl w:val="true"/>
        </w:rPr>
        <w:t>[</w:t>
      </w:r>
      <w:r>
        <w:rPr>
          <w:rtl w:val="true"/>
        </w:rPr>
        <w:t>الأولى هل تحرم جدات المرتضع على الفحل</w:t>
      </w:r>
      <w:r>
        <w:rPr>
          <w:rtl w:val="true"/>
        </w:rPr>
        <w:t>]</w:t>
      </w:r>
      <w:bookmarkEnd w:id="290"/>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المسائل المختلف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جدّات المرتضع على صاحب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فيها الأصحاب على قولين، و قريب منه أمّ المرضعة و جدّاتها بالنسبة إلى أب المرتضع، و قد تقدّم في المسألة الثامنة عشرة نسبة القول بتحريم جدّات المرتضع على الفحل إلى ابن إدريس رحمه اللّٰه </w:t>
      </w:r>
      <w:r>
        <w:rPr>
          <w:rStyle w:val="FootnoteAnchor"/>
          <w:rtl w:val="true"/>
        </w:rPr>
        <w:footnoteReference w:id="1524"/>
      </w:r>
      <w:r>
        <w:rPr>
          <w:rFonts w:ascii="Amiri" w:hAnsi="Amiri" w:eastAsia="Amiri" w:cs="Amiri"/>
          <w:color w:val="111111"/>
          <w:sz w:val="28"/>
          <w:sz w:val="28"/>
          <w:szCs w:val="28"/>
          <w:rtl w:val="true"/>
          <w:lang w:bidi="ar-SA"/>
        </w:rPr>
        <w:t xml:space="preserve">، و عزي هذا القول إلى جماعة من الأصحاب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في تلك المسألة أنّه لا وجه للتحريم، عدا توهّم صيرورة جدّات المرتضع جدّات لولد الفحل، و جدّة الولد محرّمة؛ لكونها أمّا أمّا أو أمّ زوجة، و كلتاهما محرّمتان؛ و مثل هذا جار في أمّ المرضعة و جدّاتها بالنسبة</w:t>
      </w:r>
      <w:bookmarkStart w:id="291" w:name="pg19718_239256"/>
    </w:p>
    <w:p>
      <w:pPr>
        <w:pStyle w:val="BookText"/>
        <w:rPr/>
      </w:pPr>
      <w:bookmarkEnd w:id="291"/>
      <w:r>
        <w:rPr>
          <w:rFonts w:ascii="Amiri" w:hAnsi="Amiri" w:eastAsia="Amiri" w:cs="Amiri"/>
          <w:color w:val="111111"/>
          <w:sz w:val="28"/>
          <w:sz w:val="28"/>
          <w:szCs w:val="28"/>
          <w:rtl w:val="true"/>
          <w:lang w:bidi="ar-SA"/>
        </w:rPr>
        <w:t>إلى أب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هذا الاستدلال إلى دعوى عموم المنزلة في الرضاع التي ذكرنا تفسيره قريبا، و أثبتنا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الثانية من المسائل المتقدّمة</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1985934_2314609296"/>
      <w:bookmarkStart w:id="293" w:name="_Toc113"/>
      <w:bookmarkEnd w:id="292"/>
      <w:r>
        <w:rPr>
          <w:rtl w:val="true"/>
        </w:rPr>
        <w:t>[</w:t>
      </w:r>
      <w:r>
        <w:rPr>
          <w:rtl w:val="true"/>
        </w:rPr>
        <w:t>الثانية هل تحل أخوات المرتضع للفحل مع اتحاده؟</w:t>
      </w:r>
      <w:r>
        <w:rPr>
          <w:rtl w:val="true"/>
        </w:rPr>
        <w:t>]</w:t>
      </w:r>
      <w:bookmarkEnd w:id="293"/>
    </w:p>
    <w:p>
      <w:pPr>
        <w:pStyle w:val="BookText"/>
        <w:rPr/>
      </w:pPr>
      <w:r>
        <w:rPr>
          <w:rFonts w:ascii="Amiri" w:hAnsi="Amiri" w:eastAsia="Amiri" w:cs="Amiri"/>
          <w:color w:val="111111"/>
          <w:sz w:val="28"/>
          <w:sz w:val="28"/>
          <w:szCs w:val="28"/>
          <w:rtl w:val="true"/>
          <w:lang w:bidi="ar-SA"/>
        </w:rPr>
        <w:t>و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أخوات المرتضع نسبا و رضاعا بشرط اتّحاد الفحل هل يحللن للفحل أم لا؟</w:t>
      </w:r>
    </w:p>
    <w:p>
      <w:pPr>
        <w:pStyle w:val="BookText"/>
        <w:rPr/>
      </w:pPr>
      <w:r>
        <w:rPr>
          <w:rFonts w:ascii="Amiri" w:hAnsi="Amiri" w:eastAsia="Amiri" w:cs="Amiri"/>
          <w:color w:val="111111"/>
          <w:sz w:val="28"/>
          <w:sz w:val="28"/>
          <w:szCs w:val="28"/>
          <w:rtl w:val="true"/>
          <w:lang w:bidi="ar-SA"/>
        </w:rPr>
        <w:t xml:space="preserve">و قد حكي عن الشيخ و ابن إدريس القول بالتحريم </w:t>
      </w:r>
      <w:r>
        <w:rPr>
          <w:rStyle w:val="FootnoteAnchor"/>
          <w:rtl w:val="true"/>
        </w:rPr>
        <w:footnoteReference w:id="1526"/>
      </w:r>
      <w:r>
        <w:rPr>
          <w:rFonts w:ascii="Amiri" w:hAnsi="Amiri" w:eastAsia="Amiri" w:cs="Amiri"/>
          <w:color w:val="111111"/>
          <w:sz w:val="28"/>
          <w:sz w:val="28"/>
          <w:szCs w:val="28"/>
          <w:rtl w:val="true"/>
          <w:lang w:bidi="ar-SA"/>
        </w:rPr>
        <w:t xml:space="preserve">و لعلّه لأنّهن بمنزلة ولده، كما أنّ أولاد الفحل بمنزلة ولد أب المرتضع، لصحيحة عليّ بن مهزيار المتقدّمة </w:t>
      </w:r>
      <w:r>
        <w:rPr>
          <w:rStyle w:val="FootnoteAnchor"/>
          <w:rtl w:val="true"/>
        </w:rPr>
        <w:footnoteReference w:id="1527"/>
      </w:r>
      <w:r>
        <w:rPr>
          <w:rFonts w:ascii="Amiri" w:hAnsi="Amiri" w:eastAsia="Amiri" w:cs="Amiri"/>
          <w:color w:val="111111"/>
          <w:sz w:val="28"/>
          <w:sz w:val="28"/>
          <w:szCs w:val="28"/>
          <w:rtl w:val="true"/>
          <w:lang w:bidi="ar-SA"/>
        </w:rPr>
        <w:t>، و قد عرفت في المسألة العشرين من المسائل المتقدّمة ضعف هذا القول، لأنّ الحكم بكون أولاد الفحل و المرضعة بمنزلة ولد أب المرتضع لا يقتضي الحكم بكون أولاد أبوي المرتضع بمنزلة أولاد الفحل، بل غاية ما حصل من ارتضاع أخيهم بلبنه هو كون أخيهم بمنزلة ولده، فهم إخوة ولده، و أخ الولد لا يحرم إلّا إذا كان ولدا</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1985936_2314609296"/>
      <w:bookmarkStart w:id="295" w:name="_Toc114"/>
      <w:bookmarkEnd w:id="294"/>
      <w:r>
        <w:rPr>
          <w:rtl w:val="true"/>
        </w:rPr>
        <w:t>[</w:t>
      </w:r>
      <w:r>
        <w:rPr>
          <w:rtl w:val="true"/>
        </w:rPr>
        <w:t>الثالثة هل يحرم أولاد صاحب اللبن و أولاد المرضعة ولادة على أب المرتضع؟</w:t>
      </w:r>
      <w:r>
        <w:rPr>
          <w:rtl w:val="true"/>
        </w:rPr>
        <w:t>]</w:t>
      </w:r>
      <w:bookmarkEnd w:id="295"/>
    </w:p>
    <w:p>
      <w:pPr>
        <w:pStyle w:val="BookText"/>
        <w:rPr/>
      </w:pPr>
      <w:r>
        <w:rPr>
          <w:rFonts w:ascii="Amiri" w:hAnsi="Amiri" w:eastAsia="Amiri" w:cs="Amiri"/>
          <w:color w:val="111111"/>
          <w:sz w:val="28"/>
          <w:sz w:val="28"/>
          <w:szCs w:val="28"/>
          <w:rtl w:val="true"/>
          <w:lang w:bidi="ar-SA"/>
        </w:rPr>
        <w:t>و 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صاحب اللبن ولادة و رضاعا و أولاد المرضعة ولادة هل تحرم على أب المرتضع؟</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في المسألة العاشرة و السادسة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الأصحّ التحريم، للأخبار المتقدّمة في المسألتين، و إن كانت القاعدة لا تقتضي التحريم، نظرا إلى أنّه لم يحصل بالرضاع إلّا أخوّة أولاد صاحب اللبن و المرضعة للمرتضع، فهم إخوة ولد لأب المرتضع،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إلّا إذا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إمّا من النسب و إمّا من الرضاع، لكن الأخبار</w:t>
      </w:r>
    </w:p>
    <w:p>
      <w:pPr>
        <w:pStyle w:val="BookText"/>
        <w:rPr/>
      </w:pPr>
      <w:r>
        <w:rPr>
          <w:rFonts w:ascii="Amiri" w:hAnsi="Amiri" w:eastAsia="Amiri" w:cs="Amiri"/>
          <w:color w:val="111111"/>
          <w:sz w:val="28"/>
          <w:sz w:val="28"/>
          <w:szCs w:val="28"/>
          <w:rtl w:val="true"/>
          <w:lang w:bidi="ar-SA"/>
        </w:rPr>
        <w:t>المتقدّمة قد دلّت على أنّهم بمنزلة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المسائل الخلافيّة التي ذكرها المحقّق في الرسالة، و صرّح في غير الأخيرة بعدم التحريم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مسألة رابعة اختلف فيها، و هي مسألة تحليل أولاد صاحب اللبن نسبا و رضاعا، أو أولاد المرضعة نسبا على إخوة المرتضع الذين لم يرتضعوا بلبن ذلك الفحل</w:t>
      </w:r>
      <w:r>
        <w:rPr>
          <w:rFonts w:eastAsia="Amiri" w:cs="Amiri" w:ascii="Amiri" w:hAnsi="Amiri"/>
          <w:color w:val="111111"/>
          <w:sz w:val="28"/>
          <w:szCs w:val="28"/>
          <w:rtl w:val="true"/>
          <w:lang w:bidi="ar-SA"/>
        </w:rPr>
        <w:t>.</w:t>
      </w:r>
      <w:bookmarkStart w:id="296" w:name="pg19718_239259"/>
    </w:p>
    <w:p>
      <w:pPr>
        <w:pStyle w:val="Heading5"/>
        <w:numPr>
          <w:ilvl w:val="4"/>
          <w:numId w:val="1"/>
        </w:numPr>
        <w:rPr/>
      </w:pPr>
      <w:bookmarkStart w:id="297" w:name="__RefHeading___Toc1985938_2314609296"/>
      <w:bookmarkStart w:id="298" w:name="_Toc115"/>
      <w:bookmarkEnd w:id="296"/>
      <w:bookmarkEnd w:id="297"/>
      <w:r>
        <w:rPr>
          <w:rtl w:val="true"/>
        </w:rPr>
        <w:t>[</w:t>
      </w:r>
      <w:r>
        <w:rPr>
          <w:rtl w:val="true"/>
        </w:rPr>
        <w:t>المسائل التي نسب القول بالتحريم فيها إلى الوهم</w:t>
      </w:r>
      <w:r>
        <w:rPr>
          <w:rtl w:val="true"/>
        </w:rPr>
        <w:t>]</w:t>
      </w:r>
      <w:bookmarkEnd w:id="298"/>
    </w:p>
    <w:p>
      <w:pPr>
        <w:pStyle w:val="Heading6"/>
        <w:numPr>
          <w:ilvl w:val="5"/>
          <w:numId w:val="1"/>
        </w:numPr>
        <w:rPr/>
      </w:pPr>
      <w:bookmarkStart w:id="299" w:name="__RefHeading___Toc1985940_2314609296"/>
      <w:bookmarkStart w:id="300" w:name="_Toc116"/>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و أمّا المسائل التي ذكرها و نسب القول بالتحريم فيها إلى الوهم، فهي ثلاث عشرة مسألة</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1985942_2314609296"/>
      <w:bookmarkStart w:id="302" w:name="_Toc117"/>
      <w:bookmarkEnd w:id="301"/>
      <w:r>
        <w:rPr>
          <w:rtl w:val="true"/>
        </w:rPr>
        <w:t>[</w:t>
      </w:r>
      <w:r>
        <w:rPr>
          <w:rtl w:val="true"/>
        </w:rPr>
        <w:t>الأولى إرضاع الزوجة بلبن فحلها إخوتها أو أخواتها</w:t>
      </w:r>
      <w:r>
        <w:rPr>
          <w:rtl w:val="true"/>
        </w:rPr>
        <w:t>]</w:t>
      </w:r>
      <w:bookmarkEnd w:id="302"/>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المرأة بلبن فحلها الذي هي في نكاحه حين الإرضاع أخاها أو أختها لأبويها،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موجب لتحريم المرضعة على زوجها، من جهة أنّ المرتضع صار ولدا للفحل و لأختها المرضعة، فهي أخت ولد الفحل، و أخت الولد محرّمة من النسب، فكذا من الرضاع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يصير أبا رضاعيّا لأخ الزوجة أو أختها، و كما أنّ أباهما النسبي محرّم عليها، فكذا الرضاعي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أنّه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شيخنا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المسألة العشرين</w:t>
      </w:r>
      <w:bookmarkStart w:id="303" w:name="pg19718_239260"/>
    </w:p>
    <w:p>
      <w:pPr>
        <w:pStyle w:val="BookText"/>
        <w:rPr/>
      </w:pPr>
      <w:bookmarkEnd w:id="303"/>
      <w:r>
        <w:rPr>
          <w:rFonts w:ascii="Amiri" w:hAnsi="Amiri" w:eastAsia="Amiri" w:cs="Amiri"/>
          <w:color w:val="111111"/>
          <w:sz w:val="28"/>
          <w:sz w:val="28"/>
          <w:szCs w:val="28"/>
          <w:rtl w:val="true"/>
          <w:lang w:bidi="ar-SA"/>
        </w:rPr>
        <w:t>من المسائل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تحريم من في حاشية نسب المرتضع على الفحل، و أنّ الخلاف هنا محكيّ عن الشيخ و ابن إدريس </w:t>
      </w:r>
      <w:r>
        <w:rPr>
          <w:rStyle w:val="FootnoteAnchor"/>
          <w:rtl w:val="true"/>
        </w:rPr>
        <w:footnoteReference w:id="1529"/>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على شيخنا المحقّق أنّ هذه المسألة هي ثانية المسائل التي ذكر فيها الخلاف بين الأصحاب، فإنّ تحريم المرضعة في الفرض المذكور على زوجها مبنيّ على تحريم أخوات المرتضع على الفحل، و هي عين المسألة الثانية من الثلاث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توهّم التحريم ناشئا عن غير ما ذكر في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صيرورة المرضعة أمّا لأخ الزوجة من أمّها، و هي محرّمة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كونها بهذا الاعتبار مسألة خارجة عن المسائل الثلاث</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1985944_2314609296"/>
      <w:bookmarkStart w:id="305" w:name="_Toc118"/>
      <w:bookmarkEnd w:id="304"/>
      <w:r>
        <w:rPr>
          <w:rtl w:val="true"/>
        </w:rPr>
        <w:t>[</w:t>
      </w:r>
      <w:r>
        <w:rPr>
          <w:rtl w:val="true"/>
        </w:rPr>
        <w:t>الثانية إرضاع الزوجة ولد أخيها أو ولد إخوتها</w:t>
      </w:r>
      <w:r>
        <w:rPr>
          <w:rtl w:val="true"/>
        </w:rPr>
        <w:t>]</w:t>
      </w:r>
      <w:bookmarkEnd w:id="305"/>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الزوجة المذكورة ولد أخيها</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1985946_2314609296"/>
      <w:bookmarkStart w:id="307" w:name="_Toc119"/>
      <w:bookmarkEnd w:id="306"/>
      <w:r>
        <w:rPr>
          <w:rtl w:val="true"/>
        </w:rPr>
        <w:t>[</w:t>
      </w:r>
      <w:r>
        <w:rPr>
          <w:rtl w:val="true"/>
        </w:rPr>
        <w:t>الثالثة توهم الحرمة في المسألتين</w:t>
      </w:r>
      <w:r>
        <w:rPr>
          <w:rtl w:val="true"/>
        </w:rPr>
        <w:t>]</w:t>
      </w:r>
      <w:bookmarkEnd w:id="307"/>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ولد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يتوهّم التحريم في هاتين المسألتين من جهة صيرورة المرضعة عمّة أو خالة الولد الفحل من الرضاع، و عمّة الولد محرّمة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خالته محرّمة جمعا؛ و لأنّ الفحل في المسألة الأولى أب رضاعيّ لولد أخ المرضعة، فكما أنّ الأب النسبيّ لولد أخيها محرّم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أخوها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الأب الرضاعي 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أيضا فساد التوهّمين، لأنّ عمّة الولد إنّما تحرم لكونها أختا، فإذا تحقّق بالرضاع علاقة الأختيّة تحقّق التحريم؛ و قد عرفت ذلك في المسألة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الأب النسبيّ لولد الأخ، فإنّه لا يحرم إلّا لأجل</w:t>
      </w:r>
      <w:bookmarkStart w:id="308" w:name="pg19718_239261"/>
    </w:p>
    <w:p>
      <w:pPr>
        <w:pStyle w:val="BookText"/>
        <w:rPr/>
      </w:pPr>
      <w:bookmarkEnd w:id="308"/>
      <w:r>
        <w:rPr>
          <w:rFonts w:ascii="Amiri" w:hAnsi="Amiri" w:eastAsia="Amiri" w:cs="Amiri"/>
          <w:color w:val="111111"/>
          <w:sz w:val="28"/>
          <w:sz w:val="28"/>
          <w:szCs w:val="28"/>
          <w:rtl w:val="true"/>
          <w:lang w:bidi="ar-SA"/>
        </w:rPr>
        <w:t>عنوان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خاله الولد فتحريمها على الأب ممّا لا يتفوّه به أحد؛ إذ لم يحصل الجمع بين الأختين الذي هو مناط تحريم خالة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يصدق على المرضعة أنّها أمّ للمرتضع و خالته، و الجمع بين الأختين محرّم هو أن يكون للشخص امرأتان يصدق على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أمّ لولده، و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خالة لولده، لا أن تكون له امرأة واحدة يصدق عليها أنّها أمّ ولده و خالته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حكي عن السيّد الداماد الجزم بالتحريم في هذه الصورة </w:t>
      </w:r>
      <w:r>
        <w:rPr>
          <w:rStyle w:val="FootnoteAnchor"/>
          <w:rtl w:val="true"/>
        </w:rPr>
        <w:footnoteReference w:id="1530"/>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1985948_2314609296"/>
      <w:bookmarkStart w:id="310" w:name="_Toc120"/>
      <w:bookmarkEnd w:id="309"/>
      <w:r>
        <w:rPr>
          <w:rtl w:val="true"/>
        </w:rPr>
        <w:t>[</w:t>
      </w:r>
      <w:r>
        <w:rPr>
          <w:rtl w:val="true"/>
        </w:rPr>
        <w:t>الرابعة في إرضاع الزوجة ولد ولدها و إرضاع إحدى الزوجتين ولد الأخرى</w:t>
      </w:r>
      <w:r>
        <w:rPr>
          <w:rtl w:val="true"/>
        </w:rPr>
        <w:t>]</w:t>
      </w:r>
      <w:bookmarkEnd w:id="310"/>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الزوجة المذكورة ولد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كان أو بنتا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لو أرضعت إحدى زوجتيه ولد ولد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هنا بتحريم المرضعة في الفرض الأوّل و ضرّتها في الثاني على زوجهما، من جهة صيرورتها جدّة ولدها، و جدّة الولد محرّمة على الأب؛ لأنّها إمّا أمّ و إمّا أمّ زوجة، و كلتاهما محرّمتان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في هذه أيضا عدم التحريم، كما نبّهنا عليه في المسألة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أصول المرتضع لا يحرمن على الفحل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المسألة أولى المسائل الثلاث الخلافيّة التي ذكرها شيخنا المحقّق </w:t>
      </w:r>
      <w:r>
        <w:rPr>
          <w:rStyle w:val="FootnoteAnchor"/>
          <w:rtl w:val="true"/>
        </w:rPr>
        <w:footnoteReference w:id="1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تحريم جدّات المرتضع على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يستند التحريم في هذه المسألة مع كون المرتضع ولد بنت للفحل إلى صيرورة المرضعة أمّا لولد</w:t>
      </w:r>
      <w:bookmarkStart w:id="311" w:name="pg19718_239262"/>
    </w:p>
    <w:p>
      <w:pPr>
        <w:pStyle w:val="BookText"/>
        <w:rPr/>
      </w:pPr>
      <w:bookmarkEnd w:id="311"/>
      <w:r>
        <w:rPr>
          <w:rFonts w:ascii="Amiri" w:hAnsi="Amiri" w:eastAsia="Amiri" w:cs="Amiri"/>
          <w:color w:val="111111"/>
          <w:sz w:val="28"/>
          <w:sz w:val="28"/>
          <w:szCs w:val="28"/>
          <w:rtl w:val="true"/>
          <w:lang w:bidi="ar-SA"/>
        </w:rPr>
        <w:t xml:space="preserve">بنته،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ولد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النسب محرّمة، لكونها بنتا، فكذا تحرم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مرّ في المسألة الثانية</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1985950_2314609296"/>
      <w:bookmarkStart w:id="313" w:name="_Toc121"/>
      <w:bookmarkEnd w:id="312"/>
      <w:r>
        <w:rPr>
          <w:rtl w:val="true"/>
        </w:rPr>
        <w:t>[</w:t>
      </w:r>
      <w:r>
        <w:rPr>
          <w:rtl w:val="true"/>
        </w:rPr>
        <w:t>الخامسة و السادسة إرضاع الزوجة عمّها أو عمّتها أو خالها أو خالتها</w:t>
      </w:r>
      <w:r>
        <w:rPr>
          <w:rtl w:val="true"/>
        </w:rPr>
        <w:t>]</w:t>
      </w:r>
      <w:bookmarkEnd w:id="313"/>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الزوجة المذكورة عمّها أو عمّتها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خالها أو خالتها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الزوجة تصير بالإرضاع امّا لعمّها أو لعمّتها أو خالها أو خالتها، و أمّ عمّ الزوجة أو عمّتها أو خالها أو خالتها محرّمة على الزوج؛ لأنّها جدّة الزوجة لأبيها أو لأمّها، أو أنّ الزوج يصير بإرضاع زوجته لهؤلاء أبا لهم من الرضاع، و هذه الزوجة تحرم على أبيهم من النسب، لأنّه جدّها؛ فتحرم على أبيهم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الجواب عن الوجهين بما مرّ مرارا، فإنّ أمّ عمومة الزوجة و خئولتها إنّما حرمت على الزوج من جهة الدخول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يحصل هذا العنوان للمرضعة؛ و كذا تحريم المرأة على أبي عمومتها أو خئولتها لأجل كونه جدّا لها، و لم يحصل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للفحل بالرضاع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هذه المسألة من فروع المسألة الأولى، لأنّ أخوات المرتضع إذا حرمت على الفحل من جهة كونهنّ كالأولاد له، حرمت عليه أولادهنّ، و هذه المرضعة تصير من أولاده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تلك المسألة من المسائل الخلافيّة، فلا وجه لعدّ هذه المسألة مسألة أخرى غير المسألة الأولى؛ كما لا وجه لعدّ كلتيهما خارجة عن المسائل الخلافيّة</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1985952_2314609296"/>
      <w:bookmarkStart w:id="315" w:name="_Toc122"/>
      <w:bookmarkEnd w:id="314"/>
      <w:r>
        <w:rPr>
          <w:rtl w:val="true"/>
        </w:rPr>
        <w:t>[</w:t>
      </w:r>
      <w:r>
        <w:rPr>
          <w:rtl w:val="true"/>
        </w:rPr>
        <w:t>السابعة و الثامنة إرضاع الزوجة ولد عمّها أو عمّتها أو ولد خالها أو خالتها</w:t>
      </w:r>
      <w:r>
        <w:rPr>
          <w:rtl w:val="true"/>
        </w:rPr>
        <w:t>]</w:t>
      </w:r>
      <w:bookmarkEnd w:id="315"/>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الزوجة المذكورة ولد عمّها أو عمّتها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ولد خالها أو خالتها</w:t>
      </w:r>
      <w:bookmarkStart w:id="316" w:name="pg19718_239263"/>
    </w:p>
    <w:p>
      <w:pPr>
        <w:pStyle w:val="BookText"/>
        <w:rPr/>
      </w:pPr>
      <w:bookmarkEnd w:id="316"/>
      <w:r>
        <w:rPr>
          <w:rFonts w:ascii="Amiri" w:hAnsi="Amiri" w:eastAsia="Amiri" w:cs="Amiri"/>
          <w:color w:val="111111"/>
          <w:sz w:val="28"/>
          <w:sz w:val="28"/>
          <w:szCs w:val="28"/>
          <w:rtl w:val="true"/>
          <w:lang w:bidi="ar-SA"/>
        </w:rPr>
        <w:t>فيقال في صورة إرضاع ولد العمّ أو 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الفحل يصير أبا لهذا الولد، فيحرم على المرضعة، لأنّه إمّا أبو ولد عمّها، أو أبو ولد خالها، و كلاهما محرّمان عليها، لأنّ الأوّل عمّها و الثاني خالها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إرضاع الزوجة ولد خالتها أو عمّتها، فلم أعثر فيه على ما يوجب توهّم التحريم فيه، إلّا إذا قلنا بحرمة الجمع بين المرأة و ابنة أخيها أو أختها مطلقا حتّى مع إذنها، و حينئذ فيجري فيه التوهّم الذي جرى في المسألة الثالثة من إرضاع الزوجة ولد أختها،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بعض من جزم بالنشر في صورة إرضاع ولد العمّ و الخال بعدم النشر في إرضاع ولد العمّة و الخالة </w:t>
      </w:r>
      <w:r>
        <w:rPr>
          <w:rStyle w:val="FootnoteAnchor"/>
          <w:rtl w:val="true"/>
        </w:rPr>
        <w:footnoteReference w:id="1532"/>
      </w:r>
      <w:r>
        <w:rPr>
          <w:rFonts w:ascii="Amiri" w:hAnsi="Amiri" w:eastAsia="Amiri" w:cs="Amiri"/>
          <w:color w:val="111111"/>
          <w:sz w:val="28"/>
          <w:sz w:val="28"/>
          <w:szCs w:val="28"/>
          <w:rtl w:val="true"/>
          <w:lang w:bidi="ar-SA"/>
        </w:rPr>
        <w:t>، و يظهر الكلام في فساد توهّم الحرمة هنا ممّا مرّ مرارا</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1985954_2314609296"/>
      <w:bookmarkStart w:id="318" w:name="_Toc123"/>
      <w:bookmarkEnd w:id="317"/>
      <w:r>
        <w:rPr>
          <w:rtl w:val="true"/>
        </w:rPr>
        <w:t>[</w:t>
      </w:r>
      <w:r>
        <w:rPr>
          <w:rtl w:val="true"/>
        </w:rPr>
        <w:t>التاسعة إرضاع الزوجة أخ الزوج أو أخته</w:t>
      </w:r>
      <w:r>
        <w:rPr>
          <w:rtl w:val="true"/>
        </w:rPr>
        <w:t>]</w:t>
      </w:r>
      <w:bookmarkEnd w:id="318"/>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الزوجة المذكورة أخا الزوج أو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المرضعة صارت أمّ أخيه لأبويه أو أخته كذلك، و هي محرّمة، لكونها 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حرمة أمّ الأخ للأبوين في النسب لعلاقة الأمومة بينهما، و نظيرها لم يحصل بالرضاع، و إنّما حصل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أمومة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يتعلّق التحريم بالنسب به</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1985956_2314609296"/>
      <w:bookmarkStart w:id="320" w:name="_Toc124"/>
      <w:bookmarkEnd w:id="319"/>
      <w:r>
        <w:rPr>
          <w:rtl w:val="true"/>
        </w:rPr>
        <w:t>[</w:t>
      </w:r>
      <w:r>
        <w:rPr>
          <w:rtl w:val="true"/>
        </w:rPr>
        <w:t>العاشرة إرضاع الزوجة ولد ولد الزوج</w:t>
      </w:r>
      <w:r>
        <w:rPr>
          <w:rtl w:val="true"/>
        </w:rPr>
        <w:t>]</w:t>
      </w:r>
      <w:bookmarkEnd w:id="320"/>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ولد ولد الزوج</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صارت امّا لولد ولده، و أم ولد الولد محرّمة؛ لكونها إمّا بنتا، و إمّا زوجة ابن</w:t>
      </w:r>
      <w:r>
        <w:rPr>
          <w:rFonts w:eastAsia="Amiri" w:cs="Amiri" w:ascii="Amiri" w:hAnsi="Amiri"/>
          <w:color w:val="111111"/>
          <w:sz w:val="28"/>
          <w:szCs w:val="28"/>
          <w:rtl w:val="true"/>
          <w:lang w:bidi="ar-SA"/>
        </w:rPr>
        <w:t>.</w:t>
      </w:r>
      <w:bookmarkStart w:id="321" w:name="pg19718_239264"/>
    </w:p>
    <w:p>
      <w:pPr>
        <w:pStyle w:val="BookText"/>
        <w:rPr/>
      </w:pPr>
      <w:bookmarkEnd w:id="321"/>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شيئا من عنواني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بالرضاع، مع أنّ حصول زوجيّة الابن لا يجدي، لأنّ الزوجيّة لا تثبت بالرضاع إجماعا</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1985958_2314609296"/>
      <w:bookmarkStart w:id="323" w:name="_Toc125"/>
      <w:bookmarkEnd w:id="322"/>
      <w:r>
        <w:rPr>
          <w:rtl w:val="true"/>
        </w:rPr>
        <w:t>[</w:t>
      </w:r>
      <w:r>
        <w:rPr>
          <w:rtl w:val="true"/>
        </w:rPr>
        <w:t>الحادية عشرة إرضاع الزوجة ولد أخ الزوجة أو ولد أخته</w:t>
      </w:r>
      <w:r>
        <w:rPr>
          <w:rtl w:val="true"/>
        </w:rPr>
        <w:t>]</w:t>
      </w:r>
      <w:bookmarkEnd w:id="323"/>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ولد أخيه أو ولد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أنّه ليس في إرضاع ولد الأخ ما يوجب التوهّم، لأنّ المرضعة لم تزد على أن صارت امّا لولد أخي زوجها </w:t>
      </w:r>
      <w:r>
        <w:rPr>
          <w:rStyle w:val="FootnoteAnchor"/>
          <w:rtl w:val="true"/>
        </w:rPr>
        <w:footnoteReference w:id="15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ولد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حراما على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يقال في فرض إرضاع ولد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ولد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محرّمة؛ لكونها أختا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ولد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محرّمة إلّا لعنوان الاخوّة </w:t>
      </w:r>
      <w:r>
        <w:rPr>
          <w:rStyle w:val="FootnoteAnchor"/>
          <w:rtl w:val="true"/>
        </w:rPr>
        <w:footnoteReference w:id="1534"/>
      </w:r>
      <w:r>
        <w:rPr>
          <w:rFonts w:ascii="Amiri" w:hAnsi="Amiri" w:eastAsia="Amiri" w:cs="Amiri"/>
          <w:color w:val="111111"/>
          <w:sz w:val="28"/>
          <w:sz w:val="28"/>
          <w:szCs w:val="28"/>
          <w:rtl w:val="true"/>
          <w:lang w:bidi="ar-SA"/>
        </w:rPr>
        <w:t>الغير الحاصلة بالرضاع</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1985960_2314609296"/>
      <w:bookmarkStart w:id="325" w:name="_Toc126"/>
      <w:bookmarkEnd w:id="324"/>
      <w:r>
        <w:rPr>
          <w:rtl w:val="true"/>
        </w:rPr>
        <w:t>[</w:t>
      </w:r>
      <w:r>
        <w:rPr>
          <w:rtl w:val="true"/>
        </w:rPr>
        <w:t>الثانية عشرة و الثالثة عشر إرضاع الزوجة عمّ الزوج أو عمّته أو خاله أو خالته</w:t>
      </w:r>
      <w:r>
        <w:rPr>
          <w:rtl w:val="true"/>
        </w:rPr>
        <w:t>]</w:t>
      </w:r>
      <w:bookmarkEnd w:id="325"/>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عمّ الزوج أو 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خال الزوج أو خالته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المرضعة حيث إنّها صارت امّا لعمومة الزوج أو خئولته، حرمت عليه لكونها جدّة 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غير مرّة،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من أدلّة إلحاق الرضاع بالنسب إلّا أنّ الرضاع فرع النسب، فكلّ علاقة حصلت</w:t>
      </w:r>
    </w:p>
    <w:p>
      <w:pPr>
        <w:pStyle w:val="BookText"/>
        <w:rPr/>
      </w:pPr>
      <w:r>
        <w:rPr>
          <w:rFonts w:ascii="Amiri" w:hAnsi="Amiri" w:eastAsia="Amiri" w:cs="Amiri"/>
          <w:color w:val="111111"/>
          <w:sz w:val="28"/>
          <w:sz w:val="28"/>
          <w:szCs w:val="28"/>
          <w:rtl w:val="true"/>
          <w:lang w:bidi="ar-SA"/>
        </w:rPr>
        <w:t xml:space="preserve">بالرضاع إنّما توجب الحرمة إذا كان نظيرها الحاصل بالنسب موجبا </w:t>
      </w:r>
      <w:r>
        <w:rPr>
          <w:rStyle w:val="FootnoteAnchor"/>
          <w:rtl w:val="true"/>
        </w:rPr>
        <w:footnoteReference w:id="1535"/>
      </w:r>
      <w:r>
        <w:rPr>
          <w:rFonts w:ascii="Amiri" w:hAnsi="Amiri" w:eastAsia="Amiri" w:cs="Amiri"/>
          <w:color w:val="111111"/>
          <w:sz w:val="28"/>
          <w:sz w:val="28"/>
          <w:szCs w:val="28"/>
          <w:rtl w:val="true"/>
          <w:lang w:bidi="ar-SA"/>
        </w:rPr>
        <w:t>للحرمة، إذ لا يعقل أن تثبت الحرمة لأجل علاقة رضاعيّة لو فرض حصولها من النسب لم توجب التحريم، لأنّ هذا مناف لفرعيّة الرضاع و أصالة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بالرضاع إلّا علاقة الأمومة بين المرضعة و عمومة الزوج أو خئولته، و نظيرها الحاصل بالنسب ليس موجبا للتحريم، لأنّ الأمّ النسبيّة للعمومة و الخؤولة لا تحرم على الشخص من حيث امومتها لعمومته أو خئولته، بل من حيث علاقة جدودتها له، فلا يحكم بالحرمة في الرضاع إلّا إذا حصلت هذه العلاقة، لا علاقة مستلزمة لها لا دخل لها في التحريم و لو حصلت من جهة النسب </w:t>
      </w:r>
      <w:r>
        <w:rPr>
          <w:rStyle w:val="FootnoteAnchor"/>
          <w:rtl w:val="true"/>
        </w:rPr>
        <w:footnoteReference w:id="1536"/>
      </w:r>
      <w:r>
        <w:rPr>
          <w:rFonts w:ascii="Amiri" w:hAnsi="Amiri" w:eastAsia="Amiri" w:cs="Amiri"/>
          <w:color w:val="111111"/>
          <w:sz w:val="28"/>
          <w:sz w:val="28"/>
          <w:szCs w:val="28"/>
          <w:rtl w:val="true"/>
          <w:lang w:bidi="ar-SA"/>
        </w:rPr>
        <w:t>كما مرّ مرارا، فراجع</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w:t>
      </w:r>
      <w:r>
        <w:rPr>
          <w:rFonts w:eastAsia="Amiri" w:cs="Amiri" w:ascii="Amiri" w:hAnsi="Amiri"/>
          <w:color w:val="111111"/>
          <w:sz w:val="28"/>
          <w:szCs w:val="28"/>
          <w:rtl w:val="true"/>
          <w:lang w:bidi="ar-SA"/>
        </w:rPr>
        <w:t>.</w:t>
      </w:r>
      <w:bookmarkStart w:id="326" w:name="pg19718_239267"/>
    </w:p>
    <w:p>
      <w:pPr>
        <w:pStyle w:val="Heading4"/>
        <w:numPr>
          <w:ilvl w:val="3"/>
          <w:numId w:val="1"/>
        </w:numPr>
        <w:rPr/>
      </w:pPr>
      <w:bookmarkStart w:id="327" w:name="__RefHeading___Toc1985962_2314609296"/>
      <w:bookmarkStart w:id="328" w:name="_Toc127"/>
      <w:bookmarkEnd w:id="326"/>
      <w:bookmarkEnd w:id="327"/>
      <w:r>
        <w:rPr>
          <w:rtl w:val="true"/>
        </w:rPr>
        <w:t>[</w:t>
      </w:r>
      <w:r>
        <w:rPr>
          <w:rtl w:val="true"/>
        </w:rPr>
        <w:t>المطلب الثاني في باقي أسباب التحريم</w:t>
      </w:r>
      <w:bookmarkEnd w:id="328"/>
    </w:p>
    <w:p>
      <w:pPr>
        <w:pStyle w:val="Heading5"/>
        <w:numPr>
          <w:ilvl w:val="4"/>
          <w:numId w:val="1"/>
        </w:numPr>
        <w:rPr/>
      </w:pPr>
      <w:bookmarkStart w:id="329" w:name="__RefHeading___Toc1985964_2314609296"/>
      <w:bookmarkStart w:id="330" w:name="_Toc128"/>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و فيه أبواب</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1985966_2314609296"/>
      <w:bookmarkStart w:id="332" w:name="_Toc129"/>
      <w:bookmarkEnd w:id="331"/>
      <w:r>
        <w:rPr>
          <w:rtl w:val="true"/>
        </w:rPr>
        <w:t>[</w:t>
      </w:r>
      <w:r>
        <w:rPr>
          <w:rtl w:val="true"/>
        </w:rPr>
        <w:t>الباب الأوّل</w:t>
      </w:r>
      <w:r>
        <w:rPr>
          <w:rtl w:val="true"/>
        </w:rPr>
        <w:t xml:space="preserve">]: </w:t>
      </w:r>
      <w:r>
        <w:rPr>
          <w:rtl w:val="true"/>
        </w:rPr>
        <w:t>في المصاهرة</w:t>
      </w:r>
      <w:bookmarkEnd w:id="332"/>
    </w:p>
    <w:p>
      <w:pPr>
        <w:pStyle w:val="Heading6"/>
        <w:numPr>
          <w:ilvl w:val="5"/>
          <w:numId w:val="1"/>
        </w:numPr>
        <w:rPr/>
      </w:pPr>
      <w:bookmarkStart w:id="333" w:name="__RefHeading___Toc1985968_2314609296"/>
      <w:bookmarkStart w:id="334" w:name="_Toc130"/>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المصاهرة و هي علاقة تحدث بين كلّ من الزوجين و أقرباء الآخر توجب حرمة النكاح</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عقد على امرأة حرم عليه أمّها و إن علت تحريما مؤبّدا و إن </w:t>
      </w:r>
      <w:r>
        <w:rPr>
          <w:rStyle w:val="FootnoteAnchor"/>
          <w:rtl w:val="true"/>
        </w:rPr>
        <w:footnoteReference w:id="1538"/>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بالمعقودة على المشهور، بل عن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كاد يكون إجماعا </w:t>
      </w:r>
      <w:r>
        <w:rPr>
          <w:rStyle w:val="FootnoteAnchor"/>
          <w:rtl w:val="true"/>
        </w:rPr>
        <w:footnoteReference w:id="1539"/>
      </w:r>
      <w:r>
        <w:rPr>
          <w:rFonts w:ascii="Amiri" w:hAnsi="Amiri" w:eastAsia="Amiri" w:cs="Amiri"/>
          <w:color w:val="111111"/>
          <w:sz w:val="28"/>
          <w:sz w:val="28"/>
          <w:szCs w:val="28"/>
          <w:rtl w:val="true"/>
          <w:lang w:bidi="ar-SA"/>
        </w:rPr>
        <w:t xml:space="preserve">و في الرياض </w:t>
      </w:r>
      <w:r>
        <w:rPr>
          <w:rStyle w:val="FootnoteAnchor"/>
          <w:rtl w:val="true"/>
        </w:rPr>
        <w:footnoteReference w:id="1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 الناصريّات </w:t>
      </w:r>
      <w:r>
        <w:rPr>
          <w:rStyle w:val="FootnoteAnchor"/>
          <w:rtl w:val="true"/>
        </w:rPr>
        <w:footnoteReference w:id="1541"/>
      </w:r>
      <w:r>
        <w:rPr>
          <w:rFonts w:ascii="Amiri" w:hAnsi="Amiri" w:eastAsia="Amiri" w:cs="Amiri"/>
          <w:color w:val="111111"/>
          <w:sz w:val="28"/>
          <w:sz w:val="28"/>
          <w:szCs w:val="28"/>
          <w:rtl w:val="true"/>
          <w:lang w:bidi="ar-SA"/>
        </w:rPr>
        <w:t xml:space="preserve">و الغنية </w:t>
      </w:r>
      <w:r>
        <w:rPr>
          <w:rStyle w:val="FootnoteAnchor"/>
          <w:rtl w:val="true"/>
        </w:rPr>
        <w:footnoteReference w:id="1542"/>
      </w:r>
      <w:r>
        <w:rPr>
          <w:rFonts w:ascii="Amiri" w:hAnsi="Amiri" w:eastAsia="Amiri" w:cs="Amiri"/>
          <w:color w:val="111111"/>
          <w:sz w:val="28"/>
          <w:sz w:val="28"/>
          <w:szCs w:val="28"/>
          <w:rtl w:val="true"/>
          <w:lang w:bidi="ar-SA"/>
        </w:rPr>
        <w:t xml:space="preserve">دعوى الإجماع عليه، لعموم قوله تعالى وَ أُمَّهٰاتُ نِسٰائِكُمْ </w:t>
      </w:r>
      <w:r>
        <w:rPr>
          <w:rStyle w:val="FootnoteAnchor"/>
          <w:rtl w:val="true"/>
        </w:rPr>
        <w:footnoteReference w:id="1543"/>
      </w:r>
      <w:r>
        <w:rPr>
          <w:rFonts w:ascii="Amiri" w:hAnsi="Amiri" w:eastAsia="Amiri" w:cs="Amiri"/>
          <w:color w:val="111111"/>
          <w:sz w:val="28"/>
          <w:sz w:val="28"/>
          <w:szCs w:val="28"/>
          <w:rtl w:val="true"/>
          <w:lang w:bidi="ar-SA"/>
        </w:rPr>
        <w:t>السليم عن معارضة ما يصلح</w:t>
      </w:r>
    </w:p>
    <w:p>
      <w:pPr>
        <w:pStyle w:val="BookText"/>
        <w:rPr/>
      </w:pPr>
      <w:r>
        <w:rPr>
          <w:rFonts w:ascii="Amiri" w:hAnsi="Amiri" w:eastAsia="Amiri" w:cs="Amiri"/>
          <w:color w:val="111111"/>
          <w:sz w:val="28"/>
          <w:sz w:val="28"/>
          <w:szCs w:val="28"/>
          <w:rtl w:val="true"/>
          <w:lang w:bidi="ar-SA"/>
        </w:rPr>
        <w:t>لتخصيصه، عدا ما يتراءى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كون القيد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نِسٰائِكُمُ اللّٰاتِي دَخَلْتُمْ بِهِنَّ راجعا إلى هذه الجملة، كما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فيسقط ذلك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يتوهّم من الاتّكال على بعض الروايات </w:t>
      </w:r>
      <w:r>
        <w:rPr>
          <w:rStyle w:val="FootnoteAnchor"/>
          <w:rtl w:val="true"/>
        </w:rPr>
        <w:footnoteReference w:id="1544"/>
      </w:r>
      <w:r>
        <w:rPr>
          <w:rFonts w:ascii="Amiri" w:hAnsi="Amiri" w:eastAsia="Amiri" w:cs="Amiri"/>
          <w:color w:val="111111"/>
          <w:sz w:val="28"/>
          <w:sz w:val="28"/>
          <w:szCs w:val="28"/>
          <w:rtl w:val="true"/>
          <w:lang w:bidi="ar-SA"/>
        </w:rPr>
        <w:t>في تخصيص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شي‌ء منهما لا يقدح في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القيد الراجع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إرجاعه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معنيين، لأنّها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ابتدائيّة، و بالنسبة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و هو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استعملت في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مطلق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مرجوحا مخالفا لظهورها في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فلا تصلح مخصّصة، لمعارضتها بأكثر منها و أشهر و أقوى</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تفسير العيّاشي عن أبي حمزة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تزوّج امرأة و طلّقها قبل أن يدخل بها، أ تحلّ له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في ذلك أمير المؤمنين عليه السلام لا بأس به، إنّ اللّٰه يقوله وَ رَبٰائِبُكُمُ اللّٰاتِي فِي حُجُورِكُمْ مِنْ نِسٰائِكُمُ اللّٰاتِي دَخَلْتُمْ بِهِنَّ فَإِنْ لَمْ تَكُونُوا دَخَلْتُمْ بِهِنَّ فَلٰا جُنٰاحَ عَلَيْكُمْ </w:t>
      </w:r>
      <w:r>
        <w:rPr>
          <w:rStyle w:val="FootnoteAnchor"/>
          <w:rtl w:val="true"/>
        </w:rPr>
        <w:footnoteReference w:id="1545"/>
      </w:r>
      <w:r>
        <w:rPr>
          <w:rFonts w:ascii="Amiri" w:hAnsi="Amiri" w:eastAsia="Amiri" w:cs="Amiri"/>
          <w:color w:val="111111"/>
          <w:sz w:val="28"/>
          <w:sz w:val="28"/>
          <w:szCs w:val="28"/>
          <w:rtl w:val="true"/>
          <w:lang w:bidi="ar-SA"/>
        </w:rPr>
        <w:t>و لكنّه لو تزوّج الابنة ثمّ طلّقها قبل أن يدخل بها لم تحلّ له أمّها،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هما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هذه مثل هذه، إنّ اللّٰه عزّ و جلّ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يستثن في هذه كما اشترط في تلك، هذه هنا مبهمة ليس فيها شرط، و تلك فيها شرط</w:t>
      </w:r>
      <w:r>
        <w:rPr>
          <w:rFonts w:eastAsia="Amiri" w:cs="Amiri" w:ascii="Amiri" w:hAnsi="Amiri"/>
          <w:color w:val="111111"/>
          <w:sz w:val="28"/>
          <w:szCs w:val="28"/>
          <w:rtl w:val="true"/>
          <w:lang w:bidi="ar-SA"/>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استنهض بعض المعاصرين </w:t>
      </w:r>
      <w:r>
        <w:rPr>
          <w:rStyle w:val="FootnoteAnchor"/>
          <w:rtl w:val="true"/>
        </w:rPr>
        <w:footnoteReference w:id="1547"/>
      </w:r>
      <w:r>
        <w:rPr>
          <w:rFonts w:ascii="Amiri" w:hAnsi="Amiri" w:eastAsia="Amiri" w:cs="Amiri"/>
          <w:color w:val="111111"/>
          <w:sz w:val="28"/>
          <w:sz w:val="28"/>
          <w:szCs w:val="28"/>
          <w:rtl w:val="true"/>
          <w:lang w:bidi="ar-SA"/>
        </w:rPr>
        <w:t>بهذه الرواية على رجوع القيد الواقع عقيب الجمل المتعدّدة على رجوعه إلى الأخيرة؛ نظرا إلى استدلال المعصوم بإطلاق غير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لجواز كون الوجه في إطلاقه عدم صلاحيّة رجوع القيد إليه،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النزاع في المسألة الأصوليّة فيما إذا صلح القيد لغير الأخيرة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فالمحكيّ عن العماني من اشتراط الدخول في المعقودة في تحريم أمّها </w:t>
      </w:r>
      <w:r>
        <w:rPr>
          <w:rStyle w:val="FootnoteAnchor"/>
          <w:rtl w:val="true"/>
        </w:rPr>
        <w:footnoteReference w:id="1548"/>
      </w:r>
      <w:r>
        <w:rPr>
          <w:rFonts w:ascii="Amiri" w:hAnsi="Amiri" w:eastAsia="Amiri" w:cs="Amiri"/>
          <w:color w:val="111111"/>
          <w:sz w:val="28"/>
          <w:sz w:val="28"/>
          <w:szCs w:val="28"/>
          <w:rtl w:val="true"/>
          <w:lang w:bidi="ar-SA"/>
        </w:rPr>
        <w:t>ضعيف جدّا و إن صحّت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تحرم أيضا بالعقد عليها بناتها و إن نزلن لكن مع عدم الدخول إنّما تحرم جمعا بمعنى تحريم الجمع بينها و بينهنّ لا عينا، فإن دخل بالأمّ حرمن مؤبّدا لقوله تعالى وَ رَبٰائِبُكُمُ اللّٰاتِي فِي حُجُورِكُمْ و يدلّ عليه الروايات المستفيضة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تحرم المعقود عليها و إن لم يدخل بها على أب العاقد و إن علا لعموم وَ حَلٰائِلُ أَبْنٰائِكُمُ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ابنه و إن نزل و يدلّ عليه صحيحة محمّد بن مسلم،</w:t>
      </w:r>
      <w:bookmarkStart w:id="335" w:name="pg19718_239270"/>
    </w:p>
    <w:p>
      <w:pPr>
        <w:pStyle w:val="BookText"/>
        <w:rPr/>
      </w:pPr>
      <w:bookmarkEnd w:id="335"/>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الاستدلال على حرمة أزواج النبيّ صلّى اللّٰه عليه و آله و سلّم على الحسن و الحسين عليهما السلام بقوله تعالى وَ لٰا تَنْكِحُوا مٰا نَكَحَ آبٰاؤُكُمْ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يصلح للرجل أن ينكح امرأة جدّه</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6" w:name="__RefHeading___Toc1985970_2314609296"/>
      <w:bookmarkStart w:id="337" w:name="_Toc131"/>
      <w:bookmarkEnd w:id="336"/>
      <w:r>
        <w:rPr>
          <w:rtl w:val="true"/>
        </w:rPr>
        <w:t>[</w:t>
      </w:r>
      <w:r>
        <w:rPr>
          <w:rtl w:val="true"/>
        </w:rPr>
        <w:t>فيما لو وطأ أحدهما زوجة الآخر لشبهة</w:t>
      </w:r>
      <w:r>
        <w:rPr>
          <w:rtl w:val="true"/>
        </w:rPr>
        <w:t>]</w:t>
      </w:r>
      <w:bookmarkEnd w:id="337"/>
    </w:p>
    <w:p>
      <w:pPr>
        <w:pStyle w:val="BookText"/>
        <w:rPr/>
      </w:pPr>
      <w:r>
        <w:rPr>
          <w:rFonts w:ascii="Amiri" w:hAnsi="Amiri" w:eastAsia="Amiri" w:cs="Amiri"/>
          <w:color w:val="111111"/>
          <w:sz w:val="28"/>
          <w:sz w:val="28"/>
          <w:szCs w:val="28"/>
          <w:rtl w:val="true"/>
          <w:lang w:bidi="ar-SA"/>
        </w:rPr>
        <w:t xml:space="preserve">و لو وطأ أحدهما زوجة الآخر لشبهة لم تحرم الموطوءة على الزوج </w:t>
      </w:r>
      <w:r>
        <w:rPr>
          <w:rStyle w:val="FootnoteAnchor"/>
          <w:rtl w:val="true"/>
        </w:rPr>
        <w:footnoteReference w:id="1551"/>
      </w:r>
      <w:r>
        <w:rPr>
          <w:rFonts w:ascii="Amiri" w:hAnsi="Amiri" w:eastAsia="Amiri" w:cs="Amiri"/>
          <w:color w:val="111111"/>
          <w:sz w:val="28"/>
          <w:sz w:val="28"/>
          <w:szCs w:val="28"/>
          <w:rtl w:val="true"/>
          <w:lang w:bidi="ar-SA"/>
        </w:rPr>
        <w:t>لأصالة بقاء الحلّ، و فحوى ما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الحرام لا يحرّم الحلال، </w:t>
      </w:r>
      <w:r>
        <w:rPr>
          <w:rStyle w:val="FootnoteAnchor"/>
          <w:rtl w:val="true"/>
        </w:rPr>
        <w:footnoteReference w:id="1552"/>
      </w:r>
      <w:r>
        <w:rPr>
          <w:rFonts w:ascii="Amiri" w:hAnsi="Amiri" w:eastAsia="Amiri" w:cs="Amiri"/>
          <w:color w:val="111111"/>
          <w:sz w:val="28"/>
          <w:sz w:val="28"/>
          <w:szCs w:val="28"/>
          <w:rtl w:val="true"/>
          <w:lang w:bidi="ar-SA"/>
        </w:rPr>
        <w:t xml:space="preserve">و للرواية </w:t>
      </w:r>
      <w:r>
        <w:rPr>
          <w:rStyle w:val="FootnoteAnchor"/>
          <w:rtl w:val="true"/>
        </w:rPr>
        <w:footnoteReference w:id="1553"/>
      </w:r>
      <w:r>
        <w:rPr>
          <w:rFonts w:ascii="Amiri" w:hAnsi="Amiri" w:eastAsia="Amiri" w:cs="Amiri"/>
          <w:color w:val="111111"/>
          <w:sz w:val="28"/>
          <w:sz w:val="28"/>
          <w:szCs w:val="28"/>
          <w:rtl w:val="true"/>
          <w:lang w:bidi="ar-SA"/>
        </w:rPr>
        <w:t xml:space="preserve">في من عقد على أمّ زوجته و وطأها بشبهة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الابن زوجته إذا وطأها أبوه بشبهة، لعموم قوله تعالى وَ لٰا تَنْكِحُوا مٰا نَكَحَ آبٰاؤُكُمْ مِنَ النِّسٰاءِ </w:t>
      </w:r>
      <w:r>
        <w:rPr>
          <w:rStyle w:val="FootnoteAnchor"/>
          <w:rtl w:val="true"/>
        </w:rPr>
        <w:footnoteReference w:id="1555"/>
      </w:r>
      <w:r>
        <w:rPr>
          <w:rFonts w:ascii="Amiri" w:hAnsi="Amiri" w:eastAsia="Amiri" w:cs="Amiri"/>
          <w:color w:val="111111"/>
          <w:sz w:val="28"/>
          <w:sz w:val="28"/>
          <w:szCs w:val="28"/>
          <w:rtl w:val="true"/>
          <w:lang w:bidi="ar-SA"/>
        </w:rPr>
        <w:t xml:space="preserve">بناء على أنّ النكاح هو الوطء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8" w:name="__RefHeading___Toc1985972_2314609296"/>
      <w:bookmarkStart w:id="339" w:name="_Toc132"/>
      <w:bookmarkEnd w:id="338"/>
      <w:r>
        <w:rPr>
          <w:rtl w:val="true"/>
        </w:rPr>
        <w:t>[</w:t>
      </w:r>
      <w:r>
        <w:rPr>
          <w:rtl w:val="true"/>
        </w:rPr>
        <w:t>لا تحرم الزانية على أبي الزاني و ابنه</w:t>
      </w:r>
      <w:r>
        <w:rPr>
          <w:rtl w:val="true"/>
        </w:rPr>
        <w:t>]</w:t>
      </w:r>
      <w:bookmarkEnd w:id="33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تحرم الزانية على أب الزاني و ابنه </w:t>
      </w:r>
      <w:r>
        <w:rPr>
          <w:rStyle w:val="FootnoteAnchor"/>
          <w:rtl w:val="true"/>
        </w:rPr>
        <w:footnoteReference w:id="1557"/>
      </w:r>
      <w:r>
        <w:rPr>
          <w:rFonts w:ascii="Amiri" w:hAnsi="Amiri" w:eastAsia="Amiri" w:cs="Amiri"/>
          <w:color w:val="111111"/>
          <w:sz w:val="28"/>
          <w:sz w:val="28"/>
          <w:szCs w:val="28"/>
          <w:rtl w:val="true"/>
          <w:lang w:bidi="ar-SA"/>
        </w:rPr>
        <w:t xml:space="preserve">مطلقا على رأي نسب إلى الأكثر </w:t>
      </w:r>
      <w:r>
        <w:rPr>
          <w:rStyle w:val="FootnoteAnchor"/>
          <w:rtl w:val="true"/>
        </w:rPr>
        <w:footnoteReference w:id="1558"/>
      </w:r>
      <w:r>
        <w:rPr>
          <w:rFonts w:ascii="Amiri" w:hAnsi="Amiri" w:eastAsia="Amiri" w:cs="Amiri"/>
          <w:color w:val="111111"/>
          <w:sz w:val="28"/>
          <w:sz w:val="28"/>
          <w:szCs w:val="28"/>
          <w:rtl w:val="true"/>
          <w:lang w:bidi="ar-SA"/>
        </w:rPr>
        <w:t>لاستصحاب صحّة العقد عليها قبل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يعارضه استصحاب حرمة الوطء و النظر قبل العقد، لأنّا إذا أثبتنا صحّة العقد</w:t>
      </w:r>
    </w:p>
    <w:p>
      <w:pPr>
        <w:pStyle w:val="BookText"/>
        <w:rPr/>
      </w:pPr>
      <w:r>
        <w:rPr>
          <w:rFonts w:ascii="IRNazanin" w:hAnsi="IRNazanin" w:eastAsia="IRNazanin"/>
          <w:color w:val="111111"/>
          <w:sz w:val="28"/>
          <w:sz w:val="28"/>
          <w:szCs w:val="28"/>
          <w:rtl w:val="true"/>
          <w:lang w:bidi="fa-IR"/>
        </w:rPr>
        <w:t>بالاستصحاب لزمها ترتّب الآثار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لعموم قوله تعالى وَ أُحِلَّ لَكُمْ مٰا وَرٰاءَ ذٰلِكُمْ </w:t>
      </w:r>
      <w:r>
        <w:rPr>
          <w:rStyle w:val="FootnoteAnchor"/>
          <w:rtl w:val="true"/>
        </w:rPr>
        <w:footnoteReference w:id="1559"/>
      </w:r>
      <w:r>
        <w:rPr>
          <w:rFonts w:ascii="Amiri" w:hAnsi="Amiri" w:eastAsia="Amiri" w:cs="Amiri"/>
          <w:color w:val="111111"/>
          <w:sz w:val="28"/>
          <w:sz w:val="28"/>
          <w:szCs w:val="28"/>
          <w:rtl w:val="true"/>
          <w:lang w:bidi="ar-SA"/>
        </w:rPr>
        <w:t xml:space="preserve">و لما دلّ من الروايات على عدم تحريم أمّ المزنيّ بها و بنتها على الزاني </w:t>
      </w:r>
      <w:r>
        <w:rPr>
          <w:rStyle w:val="FootnoteAnchor"/>
          <w:rtl w:val="true"/>
        </w:rPr>
        <w:footnoteReference w:id="1560"/>
      </w:r>
      <w:r>
        <w:rPr>
          <w:rFonts w:ascii="Amiri" w:hAnsi="Amiri" w:eastAsia="Amiri" w:cs="Amiri"/>
          <w:color w:val="111111"/>
          <w:sz w:val="28"/>
          <w:sz w:val="28"/>
          <w:szCs w:val="28"/>
          <w:rtl w:val="true"/>
          <w:lang w:bidi="ar-SA"/>
        </w:rPr>
        <w:t>بناء على عدم الفرق في الحكم بين أصول الزاني و المزنيّ بها و فروعهما في نشر الحرمة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الأكثر، فتحرم </w:t>
      </w:r>
      <w:r>
        <w:rPr>
          <w:rStyle w:val="FootnoteAnchor"/>
          <w:rtl w:val="true"/>
        </w:rPr>
        <w:footnoteReference w:id="1561"/>
      </w:r>
      <w:r>
        <w:rPr>
          <w:rFonts w:ascii="Amiri" w:hAnsi="Amiri" w:eastAsia="Amiri" w:cs="Amiri"/>
          <w:color w:val="111111"/>
          <w:sz w:val="28"/>
          <w:sz w:val="28"/>
          <w:szCs w:val="28"/>
          <w:rtl w:val="true"/>
          <w:lang w:bidi="ar-SA"/>
        </w:rPr>
        <w:t xml:space="preserve">لرواية ابن أبي عمير عن أبي بصير </w:t>
      </w:r>
      <w:r>
        <w:rPr>
          <w:rStyle w:val="FootnoteAnchor"/>
          <w:rtl w:val="true"/>
        </w:rPr>
        <w:footnoteReference w:id="1562"/>
      </w:r>
      <w:r>
        <w:rPr>
          <w:rFonts w:ascii="Amiri" w:hAnsi="Amiri" w:eastAsia="Amiri" w:cs="Amiri"/>
          <w:color w:val="111111"/>
          <w:sz w:val="28"/>
          <w:sz w:val="28"/>
          <w:szCs w:val="28"/>
          <w:rtl w:val="true"/>
          <w:lang w:bidi="ar-SA"/>
        </w:rPr>
        <w:t xml:space="preserve">و رواية عليّ بن جعفر </w:t>
      </w:r>
      <w:r>
        <w:rPr>
          <w:rStyle w:val="FootnoteAnchor"/>
          <w:rtl w:val="true"/>
        </w:rPr>
        <w:footnoteReference w:id="1563"/>
      </w:r>
      <w:r>
        <w:rPr>
          <w:rFonts w:ascii="Amiri" w:hAnsi="Amiri" w:eastAsia="Amiri" w:cs="Amiri"/>
          <w:color w:val="111111"/>
          <w:sz w:val="28"/>
          <w:sz w:val="28"/>
          <w:szCs w:val="28"/>
          <w:rtl w:val="true"/>
          <w:lang w:bidi="ar-SA"/>
        </w:rPr>
        <w:t xml:space="preserve">، عن أخيه عليهما السلام و موثّقة عمّار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تحرم أمّ المزنيّ بها و لا بنتها و إن تقدّم لما مرّ من الأصل و العموم، مضافا إلى رواية هشام بن المثنّى </w:t>
      </w:r>
      <w:r>
        <w:rPr>
          <w:rStyle w:val="FootnoteAnchor"/>
          <w:rtl w:val="true"/>
        </w:rPr>
        <w:footnoteReference w:id="1565"/>
      </w:r>
      <w:r>
        <w:rPr>
          <w:rFonts w:ascii="Amiri" w:hAnsi="Amiri" w:eastAsia="Amiri" w:cs="Amiri"/>
          <w:color w:val="111111"/>
          <w:sz w:val="28"/>
          <w:sz w:val="28"/>
          <w:szCs w:val="28"/>
          <w:rtl w:val="true"/>
          <w:lang w:bidi="ar-SA"/>
        </w:rPr>
        <w:t xml:space="preserve">و حنان بن سدير </w:t>
      </w:r>
      <w:r>
        <w:rPr>
          <w:rStyle w:val="FootnoteAnchor"/>
          <w:rtl w:val="true"/>
        </w:rPr>
        <w:footnoteReference w:id="1566"/>
      </w:r>
      <w:r>
        <w:rPr>
          <w:rFonts w:ascii="Amiri" w:hAnsi="Amiri" w:eastAsia="Amiri" w:cs="Amiri"/>
          <w:color w:val="111111"/>
          <w:sz w:val="28"/>
          <w:sz w:val="28"/>
          <w:szCs w:val="28"/>
          <w:rtl w:val="true"/>
          <w:lang w:bidi="ar-SA"/>
        </w:rPr>
        <w:t xml:space="preserve">و رواية سعيد بن يسار </w:t>
      </w:r>
      <w:r>
        <w:rPr>
          <w:rStyle w:val="FootnoteAnchor"/>
          <w:rtl w:val="true"/>
        </w:rPr>
        <w:footnoteReference w:id="1567"/>
      </w:r>
      <w:r>
        <w:rPr>
          <w:rFonts w:ascii="Amiri" w:hAnsi="Amiri" w:eastAsia="Amiri" w:cs="Amiri"/>
          <w:color w:val="111111"/>
          <w:sz w:val="28"/>
          <w:sz w:val="28"/>
          <w:szCs w:val="28"/>
          <w:rtl w:val="true"/>
          <w:lang w:bidi="ar-SA"/>
        </w:rPr>
        <w:t xml:space="preserve">و مرسلة ابن رباط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الأوليان تقبلان الحمل على ما إذا وقع الفجور بعد العقد، بخلاف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لكنّهما معارضتان بغيرهما ممّا دلّ على التحريم، كصحاح محمّد بن مسلم </w:t>
      </w:r>
      <w:r>
        <w:rPr>
          <w:rStyle w:val="FootnoteAnchor"/>
          <w:rtl w:val="true"/>
        </w:rPr>
        <w:footnoteReference w:id="1569"/>
      </w:r>
      <w:r>
        <w:rPr>
          <w:rFonts w:ascii="Amiri" w:hAnsi="Amiri" w:eastAsia="Amiri" w:cs="Amiri"/>
          <w:color w:val="111111"/>
          <w:sz w:val="28"/>
          <w:sz w:val="28"/>
          <w:szCs w:val="28"/>
          <w:rtl w:val="true"/>
          <w:lang w:bidi="ar-SA"/>
        </w:rPr>
        <w:t xml:space="preserve">و عيص بن القاسم </w:t>
      </w:r>
      <w:r>
        <w:rPr>
          <w:rStyle w:val="FootnoteAnchor"/>
          <w:rtl w:val="true"/>
        </w:rPr>
        <w:footnoteReference w:id="1570"/>
      </w:r>
      <w:r>
        <w:rPr>
          <w:rFonts w:ascii="IRNazanin" w:hAnsi="IRNazanin" w:eastAsia="IRNazanin"/>
          <w:color w:val="111111"/>
          <w:sz w:val="28"/>
          <w:sz w:val="28"/>
          <w:szCs w:val="28"/>
          <w:rtl w:val="true"/>
          <w:lang w:bidi="fa-IR"/>
        </w:rPr>
        <w:t xml:space="preserve">و منصور بن حازم </w:t>
      </w:r>
      <w:r>
        <w:rPr>
          <w:rStyle w:val="FootnoteAnchor"/>
          <w:rtl w:val="true"/>
        </w:rPr>
        <w:footnoteReference w:id="1571"/>
      </w:r>
      <w:r>
        <w:rPr>
          <w:rFonts w:ascii="Amiri" w:hAnsi="Amiri" w:eastAsia="Amiri" w:cs="Amiri"/>
          <w:color w:val="111111"/>
          <w:sz w:val="28"/>
          <w:sz w:val="28"/>
          <w:szCs w:val="28"/>
          <w:rtl w:val="true"/>
          <w:lang w:bidi="ar-SA"/>
        </w:rPr>
        <w:t xml:space="preserve">فلا بأس بحملهما على ما إذا لم يحصل الزنى، و يراد بلفظ الفجور فيهما مثل اللمس و القبلة و نحوهما، على ما ذكره الشيخ في التهذيب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استثنى من قال بعدم تحريم بنت المزنيّ بها صورتين، أشار إليهما المصنّف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يزني بعمّته أو خالته، فإنّ بنتيهما تحرمان أبدا بلا خلاف و لكنّ النصّ مختصّ بالخالة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الخلاف المتقدّم فيما إن سبق الزنى على العقد، و إن لم يسبق على الوطء و إلّا يسبق على العقد و إن سبق على الوطء فلا يحرّم إجماعا، للأخبار المستفيضة الدالّة على أنّه لا يحرّم الحرام الحلال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بعض الروايات اشتراط عدم التحليل بتأخّر الزنا عن الوطء كرواية أبي الصباح </w:t>
      </w:r>
      <w:r>
        <w:rPr>
          <w:rStyle w:val="FootnoteAnchor"/>
          <w:rtl w:val="true"/>
        </w:rPr>
        <w:footnoteReference w:id="1575"/>
      </w:r>
      <w:r>
        <w:rPr>
          <w:rFonts w:ascii="Amiri" w:hAnsi="Amiri" w:eastAsia="Amiri" w:cs="Amiri"/>
          <w:color w:val="111111"/>
          <w:sz w:val="28"/>
          <w:sz w:val="28"/>
          <w:szCs w:val="28"/>
          <w:rtl w:val="true"/>
          <w:lang w:bidi="ar-SA"/>
        </w:rPr>
        <w:t>و مفهوم الحصر في رواية</w:t>
      </w:r>
      <w:bookmarkStart w:id="340" w:name="pg19718_239273"/>
    </w:p>
    <w:p>
      <w:pPr>
        <w:pStyle w:val="BookText"/>
        <w:rPr/>
      </w:pPr>
      <w:bookmarkEnd w:id="340"/>
      <w:r>
        <w:rPr>
          <w:rFonts w:ascii="Amiri" w:hAnsi="Amiri" w:eastAsia="Amiri" w:cs="Amiri"/>
          <w:color w:val="111111"/>
          <w:sz w:val="28"/>
          <w:sz w:val="28"/>
          <w:szCs w:val="28"/>
          <w:rtl w:val="true"/>
          <w:lang w:bidi="ar-SA"/>
        </w:rPr>
        <w:t xml:space="preserve">عمّار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1" w:name="__RefHeading___Toc1985974_2314609296"/>
      <w:bookmarkStart w:id="342" w:name="_Toc133"/>
      <w:bookmarkEnd w:id="341"/>
      <w:r>
        <w:rPr>
          <w:rtl w:val="true"/>
        </w:rPr>
        <w:t>[</w:t>
      </w:r>
      <w:r>
        <w:rPr>
          <w:rtl w:val="true"/>
        </w:rPr>
        <w:t>هل الوطء بالشبهة ينشر الحرمة؟</w:t>
      </w:r>
      <w:r>
        <w:rPr>
          <w:rtl w:val="true"/>
        </w:rPr>
        <w:t>]</w:t>
      </w:r>
      <w:bookmarkEnd w:id="342"/>
    </w:p>
    <w:p>
      <w:pPr>
        <w:pStyle w:val="BookText"/>
        <w:rPr/>
      </w:pPr>
      <w:r>
        <w:rPr>
          <w:rFonts w:ascii="Amiri" w:hAnsi="Amiri" w:eastAsia="Amiri" w:cs="Amiri"/>
          <w:color w:val="111111"/>
          <w:sz w:val="28"/>
          <w:sz w:val="28"/>
          <w:szCs w:val="28"/>
          <w:rtl w:val="true"/>
          <w:lang w:bidi="ar-SA"/>
        </w:rPr>
        <w:t xml:space="preserve">و كذا لا يحرم لأجل الوطء بالشبهة </w:t>
      </w:r>
      <w:r>
        <w:rPr>
          <w:rStyle w:val="FootnoteAnchor"/>
          <w:rtl w:val="true"/>
        </w:rPr>
        <w:footnoteReference w:id="1577"/>
      </w:r>
      <w:r>
        <w:rPr>
          <w:rFonts w:ascii="Amiri" w:hAnsi="Amiri" w:eastAsia="Amiri" w:cs="Amiri"/>
          <w:color w:val="111111"/>
          <w:sz w:val="28"/>
          <w:sz w:val="28"/>
          <w:szCs w:val="28"/>
          <w:rtl w:val="true"/>
          <w:lang w:bidi="ar-SA"/>
        </w:rPr>
        <w:t xml:space="preserve">تزويج الموطوءة على أب الواطئ و ابنه، و لا على الواطئ أمّها و بنتها على رأي المصنّف و جماعة قدّس اللّٰه أسرارهم </w:t>
      </w:r>
      <w:r>
        <w:rPr>
          <w:rStyle w:val="FootnoteAnchor"/>
          <w:rtl w:val="true"/>
        </w:rPr>
        <w:footnoteReference w:id="1578"/>
      </w:r>
      <w:r>
        <w:rPr>
          <w:rFonts w:ascii="Amiri" w:hAnsi="Amiri" w:eastAsia="Amiri" w:cs="Amiri"/>
          <w:color w:val="111111"/>
          <w:sz w:val="28"/>
          <w:sz w:val="28"/>
          <w:szCs w:val="28"/>
          <w:rtl w:val="true"/>
          <w:lang w:bidi="ar-SA"/>
        </w:rPr>
        <w:t xml:space="preserve">و إن لحق به النسب للأصل، و عموم وَ أُحِلَّ لَكُمْ مٰا وَرٰاءَ ذٰلِكُمْ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من قال بالنشر في الزنى فالقول به هنا أولى</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1985976_2314609296"/>
      <w:bookmarkStart w:id="344" w:name="_Toc134"/>
      <w:bookmarkEnd w:id="343"/>
      <w:r>
        <w:rPr>
          <w:rtl w:val="true"/>
        </w:rPr>
        <w:t>[</w:t>
      </w:r>
      <w:r>
        <w:rPr>
          <w:rtl w:val="true"/>
        </w:rPr>
        <w:t>النظر إلى ما يحرم على غير المالك النظر إليه هل ينشر الحرمة؟</w:t>
      </w:r>
      <w:r>
        <w:rPr>
          <w:rtl w:val="true"/>
        </w:rPr>
        <w:t>]</w:t>
      </w:r>
      <w:bookmarkEnd w:id="344"/>
    </w:p>
    <w:p>
      <w:pPr>
        <w:pStyle w:val="BookText"/>
        <w:rPr/>
      </w:pPr>
      <w:r>
        <w:rPr>
          <w:rFonts w:ascii="Amiri" w:hAnsi="Amiri" w:eastAsia="Amiri" w:cs="Amiri"/>
          <w:color w:val="111111"/>
          <w:sz w:val="28"/>
          <w:sz w:val="28"/>
          <w:szCs w:val="28"/>
          <w:rtl w:val="true"/>
          <w:lang w:bidi="ar-SA"/>
        </w:rPr>
        <w:t xml:space="preserve">و النظر إلى ما يحرم على غير المالك للنظر لأجل الملك أو العقد أو التحليل النظر إليه و كذا لمسه لا ينشر الحرمة، و إن كان الناظر أبا أو ابنا على رأي المصنّف، و شيخه المحقّق قدّس سرّهما </w:t>
      </w:r>
      <w:r>
        <w:rPr>
          <w:rStyle w:val="FootnoteAnchor"/>
          <w:rtl w:val="true"/>
        </w:rPr>
        <w:footnoteReference w:id="1580"/>
      </w:r>
      <w:r>
        <w:rPr>
          <w:rFonts w:ascii="Amiri" w:hAnsi="Amiri" w:eastAsia="Amiri" w:cs="Amiri"/>
          <w:color w:val="111111"/>
          <w:sz w:val="28"/>
          <w:sz w:val="28"/>
          <w:szCs w:val="28"/>
          <w:rtl w:val="true"/>
          <w:lang w:bidi="ar-SA"/>
        </w:rPr>
        <w:t xml:space="preserve">للأصل، و العموم، و خصوص رواية عليّ بن يقطين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الشيخ و أتباعه </w:t>
      </w:r>
      <w:r>
        <w:rPr>
          <w:rStyle w:val="FootnoteAnchor"/>
          <w:rtl w:val="true"/>
        </w:rPr>
        <w:footnoteReference w:id="1582"/>
      </w:r>
      <w:r>
        <w:rPr>
          <w:rFonts w:ascii="Amiri" w:hAnsi="Amiri" w:eastAsia="Amiri" w:cs="Amiri"/>
          <w:color w:val="111111"/>
          <w:sz w:val="28"/>
          <w:sz w:val="28"/>
          <w:szCs w:val="28"/>
          <w:rtl w:val="true"/>
          <w:lang w:bidi="ar-SA"/>
        </w:rPr>
        <w:t xml:space="preserve">النشر إلى الأب؛ و الابن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حَلٰائِلُ أَبْنٰائِكُمُ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لصحيحة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جرّدها فنظر إليها بشهوة حرمت على أبيه و ابنه</w:t>
      </w:r>
      <w:r>
        <w:rPr>
          <w:rFonts w:eastAsia="Amiri" w:cs="Amiri" w:ascii="Amiri" w:hAnsi="Amiri"/>
          <w:color w:val="111111"/>
          <w:sz w:val="28"/>
          <w:szCs w:val="28"/>
          <w:rtl w:val="true"/>
          <w:lang w:bidi="ar-SA"/>
        </w:rPr>
        <w:t xml:space="preserve">» </w:t>
      </w:r>
      <w:r>
        <w:rPr>
          <w:rStyle w:val="FootnoteAnchor"/>
          <w:rtl w:val="true"/>
        </w:rPr>
        <w:footnoteReference w:id="1583"/>
      </w:r>
      <w:r>
        <w:rPr>
          <w:rFonts w:ascii="Amiri" w:hAnsi="Amiri" w:eastAsia="Amiri" w:cs="Amiri"/>
          <w:color w:val="111111"/>
          <w:sz w:val="28"/>
          <w:sz w:val="28"/>
          <w:szCs w:val="28"/>
          <w:rtl w:val="true"/>
          <w:lang w:bidi="ar-SA"/>
        </w:rPr>
        <w:t xml:space="preserve">و نحوها المحكيّة عن الفقيه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المفيد تخصيص الحرمة بمنظورة الأب </w:t>
      </w:r>
      <w:r>
        <w:rPr>
          <w:rStyle w:val="FootnoteAnchor"/>
          <w:rtl w:val="true"/>
        </w:rPr>
        <w:footnoteReference w:id="1585"/>
      </w:r>
      <w:r>
        <w:rPr>
          <w:rFonts w:ascii="Amiri" w:hAnsi="Amiri" w:eastAsia="Amiri" w:cs="Amiri"/>
          <w:color w:val="111111"/>
          <w:sz w:val="28"/>
          <w:sz w:val="28"/>
          <w:szCs w:val="28"/>
          <w:rtl w:val="true"/>
          <w:lang w:bidi="ar-SA"/>
        </w:rPr>
        <w:t>لصحيحة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جرّد الرجل الجارية و وضع يده عليها فلا تحلّ لابنه</w:t>
      </w:r>
      <w:r>
        <w:rPr>
          <w:rFonts w:eastAsia="Amiri" w:cs="Amiri" w:ascii="Amiri" w:hAnsi="Amiri"/>
          <w:color w:val="111111"/>
          <w:sz w:val="28"/>
          <w:szCs w:val="28"/>
          <w:rtl w:val="true"/>
          <w:lang w:bidi="ar-SA"/>
        </w:rPr>
        <w:t xml:space="preserve">» </w:t>
      </w:r>
      <w:r>
        <w:rPr>
          <w:rStyle w:val="FootnoteAnchor"/>
          <w:rtl w:val="true"/>
        </w:rPr>
        <w:footnoteReference w:id="1586"/>
      </w:r>
      <w:r>
        <w:rPr>
          <w:rFonts w:ascii="Amiri" w:hAnsi="Amiri" w:eastAsia="Amiri" w:cs="Amiri"/>
          <w:color w:val="111111"/>
          <w:sz w:val="28"/>
          <w:sz w:val="28"/>
          <w:szCs w:val="28"/>
          <w:rtl w:val="true"/>
          <w:lang w:bidi="ar-SA"/>
        </w:rPr>
        <w:t>و لا يخفى قصورها عن إفادة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الإسكافي </w:t>
      </w:r>
      <w:r>
        <w:rPr>
          <w:rStyle w:val="FootnoteAnchor"/>
          <w:rtl w:val="true"/>
        </w:rPr>
        <w:footnoteReference w:id="1587"/>
      </w:r>
      <w:r>
        <w:rPr>
          <w:rFonts w:ascii="Amiri" w:hAnsi="Amiri" w:eastAsia="Amiri" w:cs="Amiri"/>
          <w:color w:val="111111"/>
          <w:sz w:val="28"/>
          <w:sz w:val="28"/>
          <w:szCs w:val="28"/>
          <w:rtl w:val="true"/>
          <w:lang w:bidi="ar-SA"/>
        </w:rPr>
        <w:t xml:space="preserve">و الشيخ في الخلاف </w:t>
      </w:r>
      <w:r>
        <w:rPr>
          <w:rStyle w:val="FootnoteAnchor"/>
          <w:rtl w:val="true"/>
        </w:rPr>
        <w:footnoteReference w:id="1588"/>
      </w:r>
      <w:r>
        <w:rPr>
          <w:rFonts w:ascii="Amiri" w:hAnsi="Amiri" w:eastAsia="Amiri" w:cs="Amiri"/>
          <w:color w:val="111111"/>
          <w:sz w:val="28"/>
          <w:sz w:val="28"/>
          <w:szCs w:val="28"/>
          <w:rtl w:val="true"/>
          <w:lang w:bidi="ar-SA"/>
        </w:rPr>
        <w:t>تحريم أمّ المنظورة و الملموسة و بنتها على الفاعل؛ لعموم النبويّين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اللّٰه إلى من نظر إلى فرج امرأة و بنتها</w:t>
      </w:r>
      <w:r>
        <w:rPr>
          <w:rFonts w:eastAsia="Amiri" w:cs="Amiri" w:ascii="Amiri" w:hAnsi="Amiri"/>
          <w:color w:val="111111"/>
          <w:sz w:val="28"/>
          <w:szCs w:val="28"/>
          <w:rtl w:val="true"/>
          <w:lang w:bidi="ar-SA"/>
        </w:rPr>
        <w:t xml:space="preserve">» </w:t>
      </w:r>
      <w:r>
        <w:rPr>
          <w:rStyle w:val="FootnoteAnchor"/>
          <w:rtl w:val="true"/>
        </w:rPr>
        <w:footnoteReference w:id="1589"/>
      </w: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كشف قناع امرأة حرمت عليه أمّها و بنتها</w:t>
      </w:r>
      <w:r>
        <w:rPr>
          <w:rFonts w:eastAsia="Amiri" w:cs="Amiri" w:ascii="Amiri" w:hAnsi="Amiri"/>
          <w:color w:val="111111"/>
          <w:sz w:val="28"/>
          <w:szCs w:val="28"/>
          <w:rtl w:val="true"/>
          <w:lang w:bidi="ar-SA"/>
        </w:rPr>
        <w:t xml:space="preserve">» </w:t>
      </w:r>
      <w:r>
        <w:rPr>
          <w:rStyle w:val="FootnoteAnchor"/>
          <w:rtl w:val="true"/>
        </w:rPr>
        <w:footnoteReference w:id="1590"/>
      </w:r>
      <w:r>
        <w:rPr>
          <w:rFonts w:ascii="Amiri" w:hAnsi="Amiri" w:eastAsia="Amiri" w:cs="Amiri"/>
          <w:color w:val="111111"/>
          <w:sz w:val="28"/>
          <w:sz w:val="28"/>
          <w:szCs w:val="28"/>
          <w:rtl w:val="true"/>
          <w:lang w:bidi="ar-SA"/>
        </w:rPr>
        <w:t xml:space="preserve">و الصحيحة تدلّ على أنّه إذا رأى من المعقودة ما يحرم على غيره حرمت عليه بنتها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الكلّ ضعيف سندا أو إفادة </w:t>
      </w:r>
      <w:r>
        <w:rPr>
          <w:rStyle w:val="FootnoteAnchor"/>
          <w:rtl w:val="true"/>
        </w:rPr>
        <w:footnoteReference w:id="1592"/>
      </w:r>
      <w:r>
        <w:rPr>
          <w:rFonts w:ascii="Amiri" w:hAnsi="Amiri" w:eastAsia="Amiri" w:cs="Amiri"/>
          <w:color w:val="111111"/>
          <w:sz w:val="28"/>
          <w:sz w:val="28"/>
          <w:szCs w:val="28"/>
          <w:rtl w:val="true"/>
          <w:lang w:bidi="ar-SA"/>
        </w:rPr>
        <w:t>و القول الثاني لا يخلو عن قوّة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الرضاع في جميع ذلك الّذي ذكرنا من موارد الوفاق و الخلاف كالنسب بلا خلاف ظاهرا،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w:t>
      </w:r>
      <w:bookmarkStart w:id="345" w:name="pg19718_239275"/>
    </w:p>
    <w:p>
      <w:pPr>
        <w:pStyle w:val="BookText"/>
        <w:rPr/>
      </w:pPr>
      <w:bookmarkEnd w:id="345"/>
      <w:r>
        <w:rPr>
          <w:rFonts w:ascii="IRNazanin" w:hAnsi="IRNazanin" w:eastAsia="IRNazanin"/>
          <w:color w:val="111111"/>
          <w:sz w:val="28"/>
          <w:sz w:val="28"/>
          <w:szCs w:val="28"/>
          <w:rtl w:val="true"/>
          <w:lang w:bidi="fa-IR"/>
        </w:rPr>
        <w:t>من النسب</w:t>
      </w:r>
      <w:r>
        <w:rPr>
          <w:rFonts w:eastAsia="IRNazanin" w:cs="IRNazanin"/>
          <w:color w:val="111111"/>
          <w:sz w:val="28"/>
          <w:szCs w:val="28"/>
          <w:rtl w:val="true"/>
          <w:lang w:bidi="fa-IR"/>
        </w:rPr>
        <w:t xml:space="preserve">» </w:t>
      </w:r>
      <w:r>
        <w:rPr>
          <w:rStyle w:val="FootnoteAnchor"/>
          <w:rtl w:val="true"/>
        </w:rPr>
        <w:footnoteReference w:id="1593"/>
      </w:r>
      <w:r>
        <w:rPr>
          <w:rFonts w:ascii="Amiri" w:hAnsi="Amiri" w:eastAsia="Amiri" w:cs="Amiri"/>
          <w:color w:val="111111"/>
          <w:sz w:val="28"/>
          <w:sz w:val="28"/>
          <w:szCs w:val="28"/>
          <w:rtl w:val="true"/>
          <w:lang w:bidi="ar-SA"/>
        </w:rPr>
        <w:t xml:space="preserve">لأنّ معناه أنّ العلاقة </w:t>
      </w:r>
      <w:r>
        <w:rPr>
          <w:rStyle w:val="FootnoteAnchor"/>
          <w:rtl w:val="true"/>
        </w:rPr>
        <w:footnoteReference w:id="1594"/>
      </w:r>
      <w:r>
        <w:rPr>
          <w:rFonts w:ascii="Amiri" w:hAnsi="Amiri" w:eastAsia="Amiri" w:cs="Amiri"/>
          <w:color w:val="111111"/>
          <w:sz w:val="28"/>
          <w:sz w:val="28"/>
          <w:szCs w:val="28"/>
          <w:rtl w:val="true"/>
          <w:lang w:bidi="ar-SA"/>
        </w:rPr>
        <w:t>الحاصلة بسبب الرضاع كالحاصلة بالنسب؛ و كما أنّ العلاقة النسبيّة الثابتة بين الزوجة و أمّها أوجبت حرمة الأمّ على الزوج، فكذلك الرضاعيّة الحاصلة بين الزوجة و بين مرضعتها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العلاقة الحاصلة من الرضاع بمنزلة نظيرها الثابت بالنسب، فمرضعة الزوجة أم، و بناتها أخوات، و كذا مرضعة الزوج و أصولها، فلا يقال إنّ حرمة هؤلاء النسوة بالمصاهرة لا توجب حرمتها في الرضاع، لأنّ الرضاع إنّما حرم منه </w:t>
      </w:r>
      <w:r>
        <w:rPr>
          <w:rStyle w:val="FootnoteAnchor"/>
          <w:rtl w:val="true"/>
        </w:rPr>
        <w:footnoteReference w:id="1595"/>
      </w:r>
      <w:r>
        <w:rPr>
          <w:rFonts w:ascii="Amiri" w:hAnsi="Amiri" w:eastAsia="Amiri" w:cs="Amiri"/>
          <w:color w:val="111111"/>
          <w:sz w:val="28"/>
          <w:sz w:val="28"/>
          <w:szCs w:val="28"/>
          <w:rtl w:val="true"/>
          <w:lang w:bidi="ar-SA"/>
        </w:rPr>
        <w:t>ما حرم من النسب لا من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المصاهرة في الرضاع أمّ المرتضع بالنسبة إلى الفحل، حيث إنّه إذا صار المرتضع ولدا له، فأمّه بمنزلة زوجته، و جدّته بمنزلة أمّ الزوجة؛ فربما يتوهّم تحريمها عليه من هذه الجهة، و هو غلط، فإنّ المصاهرة لا تحصل بالرضاع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التحريم هنا من جهة عموم المنزلة،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جدّه الولد النسبي محرّمة، فكذلك جدّة الولد الرضاعي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باب الرضاع</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1985978_2314609296"/>
      <w:bookmarkStart w:id="347" w:name="_Toc135"/>
      <w:bookmarkEnd w:id="346"/>
      <w:r>
        <w:rPr>
          <w:rtl w:val="true"/>
        </w:rPr>
        <w:t>[</w:t>
      </w:r>
      <w:r>
        <w:rPr>
          <w:rtl w:val="true"/>
        </w:rPr>
        <w:t>في حكم الجمع بين الأختين</w:t>
      </w:r>
      <w:r>
        <w:rPr>
          <w:rtl w:val="true"/>
        </w:rPr>
        <w:t>]</w:t>
      </w:r>
      <w:bookmarkEnd w:id="34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تحرم أخت الزوجة جمعا بالكتاب </w:t>
      </w:r>
      <w:r>
        <w:rPr>
          <w:rStyle w:val="FootnoteAnchor"/>
          <w:rtl w:val="true"/>
        </w:rPr>
        <w:footnoteReference w:id="1596"/>
      </w:r>
      <w:r>
        <w:rPr>
          <w:rFonts w:ascii="Amiri" w:hAnsi="Amiri" w:eastAsia="Amiri" w:cs="Amiri"/>
          <w:color w:val="111111"/>
          <w:sz w:val="28"/>
          <w:sz w:val="28"/>
          <w:szCs w:val="28"/>
          <w:rtl w:val="true"/>
          <w:lang w:bidi="ar-SA"/>
        </w:rPr>
        <w:t xml:space="preserve">و السنّة </w:t>
      </w:r>
      <w:r>
        <w:rPr>
          <w:rStyle w:val="FootnoteAnchor"/>
          <w:rtl w:val="true"/>
        </w:rPr>
        <w:footnoteReference w:id="1597"/>
      </w:r>
      <w:r>
        <w:rPr>
          <w:rFonts w:ascii="IRNazanin" w:hAnsi="IRNazanin" w:eastAsia="IRNazanin"/>
          <w:color w:val="111111"/>
          <w:sz w:val="28"/>
          <w:sz w:val="28"/>
          <w:szCs w:val="28"/>
          <w:rtl w:val="true"/>
          <w:lang w:bidi="fa-IR"/>
        </w:rPr>
        <w:t xml:space="preserve">و الإجماع </w:t>
      </w:r>
      <w:r>
        <w:rPr>
          <w:rStyle w:val="FootnoteAnchor"/>
          <w:rtl w:val="true"/>
        </w:rPr>
        <w:footnoteReference w:id="1598"/>
      </w:r>
      <w:r>
        <w:rPr>
          <w:rFonts w:ascii="Amiri" w:hAnsi="Amiri" w:eastAsia="Amiri" w:cs="Amiri"/>
          <w:color w:val="111111"/>
          <w:sz w:val="28"/>
          <w:sz w:val="28"/>
          <w:szCs w:val="28"/>
          <w:rtl w:val="true"/>
          <w:lang w:bidi="ar-SA"/>
        </w:rPr>
        <w:t>من غير فرق بين الدائمة و المنقطعة؛ و كذا 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تحرم مع بقاء علاقة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بجواز الرجوع في المطلّقة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على بنت أختها و أخيها، إلّا أن تجيز الخالة أو العمّة و يدلّ عليه الأخبار المستفيضة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القديمين، فجوّزاه مطلقا </w:t>
      </w:r>
      <w:r>
        <w:rPr>
          <w:rStyle w:val="FootnoteAnchor"/>
          <w:rtl w:val="true"/>
        </w:rPr>
        <w:footnoteReference w:id="1600"/>
      </w:r>
      <w:r>
        <w:rPr>
          <w:rFonts w:ascii="Amiri" w:hAnsi="Amiri" w:eastAsia="Amiri" w:cs="Amiri"/>
          <w:color w:val="111111"/>
          <w:sz w:val="28"/>
          <w:sz w:val="28"/>
          <w:szCs w:val="28"/>
          <w:rtl w:val="true"/>
          <w:lang w:bidi="ar-SA"/>
        </w:rPr>
        <w:t xml:space="preserve">لبعض الروايات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للمحكيّ عن الصدوق، فمنعه مطلقا و لو مع الإذن </w:t>
      </w:r>
      <w:r>
        <w:rPr>
          <w:rStyle w:val="FootnoteAnchor"/>
          <w:rtl w:val="true"/>
        </w:rPr>
        <w:footnoteReference w:id="1602"/>
      </w:r>
      <w:r>
        <w:rPr>
          <w:rFonts w:ascii="IRNazanin" w:hAnsi="IRNazanin" w:eastAsia="IRNazanin"/>
          <w:color w:val="111111"/>
          <w:sz w:val="28"/>
          <w:sz w:val="28"/>
          <w:szCs w:val="28"/>
          <w:rtl w:val="true"/>
          <w:lang w:bidi="fa-IR"/>
        </w:rPr>
        <w:t xml:space="preserve">لبعض آخر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ضعيفان، لتقييد أولاهما بما دلّ على اختصاص الجواز بصورة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فإن عصى في موضع و فعل بطل النكاح على رأي المحقّق قدّس سرّه </w:t>
      </w:r>
      <w:r>
        <w:rPr>
          <w:rStyle w:val="FootnoteAnchor"/>
          <w:rtl w:val="true"/>
        </w:rPr>
        <w:footnoteReference w:id="1604"/>
      </w:r>
      <w:r>
        <w:rPr>
          <w:rFonts w:ascii="Amiri" w:hAnsi="Amiri" w:eastAsia="Amiri" w:cs="Amiri"/>
          <w:color w:val="111111"/>
          <w:sz w:val="28"/>
          <w:sz w:val="28"/>
          <w:szCs w:val="28"/>
          <w:rtl w:val="true"/>
          <w:lang w:bidi="ar-SA"/>
        </w:rPr>
        <w:t xml:space="preserve">و وقف على الإجازة على رأي كثير من المتأخّرين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البطلان منجّزا، فهو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 لرواية عليّ بن جعفر </w:t>
      </w:r>
      <w:r>
        <w:rPr>
          <w:rStyle w:val="FootnoteAnchor"/>
          <w:rtl w:val="true"/>
        </w:rPr>
        <w:footnoteReference w:id="1606"/>
      </w:r>
      <w:r>
        <w:rPr>
          <w:rFonts w:ascii="Amiri" w:hAnsi="Amiri" w:eastAsia="Amiri" w:cs="Amiri"/>
          <w:color w:val="111111"/>
          <w:sz w:val="28"/>
          <w:sz w:val="28"/>
          <w:szCs w:val="28"/>
          <w:rtl w:val="true"/>
          <w:lang w:bidi="ar-SA"/>
        </w:rPr>
        <w:t>الدالّة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للنهي عنه في الأخبار المقتضي للفساد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إمّا لأنّ الصحّة في مثل هذا العقد المنهيّ عنه تحتاج إلى دليل خاصّ غير قوله تعالى أَوْفُوا بِالْعُقُودِ </w:t>
      </w:r>
      <w:r>
        <w:rPr>
          <w:rStyle w:val="FootnoteAnchor"/>
          <w:rtl w:val="true"/>
        </w:rPr>
        <w:footnoteReference w:id="1608"/>
      </w:r>
      <w:r>
        <w:rPr>
          <w:rFonts w:ascii="Amiri" w:hAnsi="Amiri" w:eastAsia="Amiri" w:cs="Amiri"/>
          <w:color w:val="111111"/>
          <w:sz w:val="28"/>
          <w:sz w:val="28"/>
          <w:szCs w:val="28"/>
          <w:rtl w:val="true"/>
          <w:lang w:bidi="ar-SA"/>
        </w:rPr>
        <w:t xml:space="preserve">وَ أُحِلَّ لَكُمْ مٰا وَرٰاءَ ذٰلِكُمْ </w:t>
      </w:r>
      <w:r>
        <w:rPr>
          <w:rStyle w:val="FootnoteAnchor"/>
          <w:rtl w:val="true"/>
        </w:rPr>
        <w:footnoteReference w:id="1609"/>
      </w:r>
      <w:r>
        <w:rPr>
          <w:rFonts w:ascii="Amiri" w:hAnsi="Amiri" w:eastAsia="Amiri" w:cs="Amiri"/>
          <w:color w:val="111111"/>
          <w:sz w:val="28"/>
          <w:sz w:val="28"/>
          <w:szCs w:val="28"/>
          <w:rtl w:val="true"/>
          <w:lang w:bidi="ar-SA"/>
        </w:rPr>
        <w:t>لعدم ثبوت وجوب الوفاء و الحلّية مع الحكم بالحرمة؛ أمّا الحكم بالحليّة فواضح، و أمّا وجوب الوفاء، فلأنّ ما كان ابتداؤه و إحداثه مبغوضا يكون البقاء عليه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لما يستفاد من الروايات الدالّة على صحّة نكاح العبد بدون إذن مولاه و وقوفه على الإجازة المعلّلة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يعص اللّٰه و إنّما عصى سيّده</w:t>
      </w:r>
      <w:r>
        <w:rPr>
          <w:rFonts w:eastAsia="Amiri" w:cs="Amiri" w:ascii="Amiri" w:hAnsi="Amiri"/>
          <w:color w:val="111111"/>
          <w:sz w:val="28"/>
          <w:szCs w:val="28"/>
          <w:rtl w:val="true"/>
          <w:lang w:bidi="ar-SA"/>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ليس كإتيان ما حرّم اللّٰه عليه من النكاح في عدّة و أشباهه</w:t>
      </w:r>
      <w:r>
        <w:rPr>
          <w:rFonts w:eastAsia="Amiri" w:cs="Amiri" w:ascii="Amiri" w:hAnsi="Amiri"/>
          <w:color w:val="111111"/>
          <w:sz w:val="28"/>
          <w:szCs w:val="28"/>
          <w:rtl w:val="true"/>
          <w:lang w:bidi="ar-SA"/>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الوقوف على الإجازة، فلعموم أَوْفُوا بِالْعُقُودِ مع ضعف رواية عليّ بن جعفر، و منع دلالة النهي على الفساد، و لعدم منافاة الحرمة قبل الرضى لوجوب الوفاء، إلّا إذا ادّعي أنّ النهي هنا لعدم قابليّة المعقود عليها للعقد كسائر المحرّمات في النكاح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تحريم الأصول و الفروع، و تحريم بيع الخمر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ثابت، بل لا يبعد أن يكون النهي هنا</w:t>
      </w:r>
    </w:p>
    <w:p>
      <w:pPr>
        <w:pStyle w:val="BookText"/>
        <w:rPr/>
      </w:pPr>
      <w:r>
        <w:rPr>
          <w:rFonts w:ascii="Amiri" w:hAnsi="Amiri" w:eastAsia="Amiri" w:cs="Amiri"/>
          <w:color w:val="111111"/>
          <w:sz w:val="28"/>
          <w:sz w:val="28"/>
          <w:szCs w:val="28"/>
          <w:rtl w:val="true"/>
          <w:lang w:bidi="ar-SA"/>
        </w:rPr>
        <w:t>لعارض و هو رضى العمّة و الخالة، و هذا العارض يندفع بالإذن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حكاية الأخبار الواردة في وقوف نكاح المملوك على الإجازة معلّلا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يعص اللّٰه و إنّما عصى سيّده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به معصية اللّٰه سبحانه في نكاح النساء المحرّمات عليه، لا مطلق المعصية، لتحقّقها في نكاح المملوك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هنا قول ثالث </w:t>
      </w:r>
      <w:r>
        <w:rPr>
          <w:rStyle w:val="FootnoteAnchor"/>
          <w:rtl w:val="true"/>
        </w:rPr>
        <w:footnoteReference w:id="1612"/>
      </w:r>
      <w:r>
        <w:rPr>
          <w:rFonts w:ascii="Amiri" w:hAnsi="Amiri" w:eastAsia="Amiri" w:cs="Amiri"/>
          <w:color w:val="111111"/>
          <w:sz w:val="28"/>
          <w:sz w:val="28"/>
          <w:szCs w:val="28"/>
          <w:rtl w:val="true"/>
          <w:lang w:bidi="ar-SA"/>
        </w:rPr>
        <w:t>و هو تخيّر العمّة و الخالة بين فسخ عقد أنفسهما و فسخ عقد البنت و إمضائهما، لوقوع كليهما صحيحين؛ أمّا عقد العمّة و الخالة فواضح، و أمّا عقد البنت فلأنّه عقد صدر من أهله في محلّه؛ فإذا وقع كلاهما صحيحا و كان الجمع بين العقدين موقوفا على رضاهما، تخيّرتا بين الرضى بالجمع و رفعه بفسخ أيّ عقد شاءتا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لأنّ العقد الأوّل وقع لازما و الأصل يقتضي بقاءه، و رفع الجمع يحصل بفسخ العقد الطارئ و لا يعلم قابليّة العقد الأوّل للفسخ حتّى يرفع الجمع به، فيبقى على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قول رابع محكيّ عن الحلّي، و هو بطلان العقد اللاحق و تزلزل العقد السابق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ضعيف، إذ مع بطلان اللاحق و صيرورته كالعدم لا وجه لتزلزل العقد السابق</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القولان الأوّلان مترتّبان في القوّة و ثانيهما أقوى، و الأخيران</w:t>
      </w:r>
    </w:p>
    <w:p>
      <w:pPr>
        <w:pStyle w:val="BookText"/>
        <w:rPr/>
      </w:pPr>
      <w:r>
        <w:rPr>
          <w:rFonts w:ascii="Amiri" w:hAnsi="Amiri" w:eastAsia="Amiri" w:cs="Amiri"/>
          <w:color w:val="111111"/>
          <w:sz w:val="28"/>
          <w:sz w:val="28"/>
          <w:szCs w:val="28"/>
          <w:rtl w:val="true"/>
          <w:lang w:bidi="ar-SA"/>
        </w:rPr>
        <w:t>مترتّبان في الضعف كذلك، و الاحتياط غير 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إدخال العمة و الخالة على بنت أختهما و أخيهما و إن كرهت المدخول عليها</w:t>
      </w:r>
      <w:r>
        <w:rPr>
          <w:rFonts w:eastAsia="Amiri" w:cs="Amiri" w:ascii="Amiri" w:hAnsi="Amiri"/>
          <w:color w:val="111111"/>
          <w:sz w:val="28"/>
          <w:szCs w:val="28"/>
          <w:rtl w:val="true"/>
          <w:lang w:bidi="ar-SA"/>
        </w:rPr>
        <w:t xml:space="preserve">] </w:t>
      </w:r>
      <w:r>
        <w:rPr>
          <w:rStyle w:val="FootnoteAnchor"/>
          <w:rtl w:val="true"/>
        </w:rPr>
        <w:footnoteReference w:id="1614"/>
      </w:r>
      <w:r>
        <w:rPr>
          <w:rFonts w:ascii="Amiri" w:hAnsi="Amiri" w:eastAsia="Amiri" w:cs="Amiri"/>
          <w:color w:val="111111"/>
          <w:sz w:val="28"/>
          <w:sz w:val="28"/>
          <w:szCs w:val="28"/>
          <w:rtl w:val="true"/>
          <w:lang w:bidi="ar-SA"/>
        </w:rPr>
        <w:t>و لو تزوّج الأختين فإن ترتّبا صحّ السابق لوجود المقتضي و عدم المانع، و بطلان اللّاحق لحرمة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w:t>
      </w:r>
      <w:r>
        <w:rPr>
          <w:rStyle w:val="FootnoteAnchor"/>
          <w:rtl w:val="true"/>
        </w:rPr>
        <w:footnoteReference w:id="1615"/>
      </w:r>
      <w:r>
        <w:rPr>
          <w:rFonts w:ascii="Amiri" w:hAnsi="Amiri" w:eastAsia="Amiri" w:cs="Amiri"/>
          <w:color w:val="111111"/>
          <w:sz w:val="28"/>
          <w:sz w:val="28"/>
          <w:szCs w:val="28"/>
          <w:rtl w:val="true"/>
          <w:lang w:bidi="ar-SA"/>
        </w:rPr>
        <w:t>اقترنا مع تعدّد العقد أو اتّحد العقد عليهما بطل الكلّ، لأنّ صحّة الكلّ ممتنعة شرعا، و صحّة أحدهما ترجيح من غير مرجّح؛ كما إذا عقد على المرأة و أمّها أو بنتها في عقد واحد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الشيخ و أتباعه </w:t>
      </w:r>
      <w:r>
        <w:rPr>
          <w:rStyle w:val="FootnoteAnchor"/>
          <w:rtl w:val="true"/>
        </w:rPr>
        <w:footnoteReference w:id="1616"/>
      </w:r>
      <w:r>
        <w:rPr>
          <w:rFonts w:ascii="Amiri" w:hAnsi="Amiri" w:eastAsia="Amiri" w:cs="Amiri"/>
          <w:color w:val="111111"/>
          <w:sz w:val="28"/>
          <w:sz w:val="28"/>
          <w:szCs w:val="28"/>
          <w:rtl w:val="true"/>
          <w:lang w:bidi="ar-SA"/>
        </w:rPr>
        <w:t xml:space="preserve">، فيتخيّر في إمساك إحداهما، لرواية جميل المرميّة بالإرسال و الضعف </w:t>
      </w:r>
      <w:r>
        <w:rPr>
          <w:rStyle w:val="FootnoteAnchor"/>
          <w:rtl w:val="true"/>
        </w:rPr>
        <w:footnoteReference w:id="1617"/>
      </w:r>
      <w:r>
        <w:rPr>
          <w:rFonts w:ascii="Amiri" w:hAnsi="Amiri" w:eastAsia="Amiri" w:cs="Amiri"/>
          <w:color w:val="111111"/>
          <w:sz w:val="28"/>
          <w:sz w:val="28"/>
          <w:szCs w:val="28"/>
          <w:rtl w:val="true"/>
          <w:lang w:bidi="ar-SA"/>
        </w:rPr>
        <w:t xml:space="preserve">على رواية التهذيب </w:t>
      </w:r>
      <w:r>
        <w:rPr>
          <w:rStyle w:val="FootnoteAnchor"/>
          <w:rtl w:val="true"/>
        </w:rPr>
        <w:footnoteReference w:id="1618"/>
      </w:r>
      <w:r>
        <w:rPr>
          <w:rFonts w:ascii="Amiri" w:hAnsi="Amiri" w:eastAsia="Amiri" w:cs="Amiri"/>
          <w:color w:val="111111"/>
          <w:sz w:val="28"/>
          <w:sz w:val="28"/>
          <w:szCs w:val="28"/>
          <w:rtl w:val="true"/>
          <w:lang w:bidi="ar-SA"/>
        </w:rPr>
        <w:t xml:space="preserve">و الكافي </w:t>
      </w:r>
      <w:r>
        <w:rPr>
          <w:rStyle w:val="FootnoteAnchor"/>
          <w:rtl w:val="true"/>
        </w:rPr>
        <w:footnoteReference w:id="1619"/>
      </w:r>
      <w:r>
        <w:rPr>
          <w:rFonts w:ascii="Amiri" w:hAnsi="Amiri" w:eastAsia="Amiri" w:cs="Amiri"/>
          <w:color w:val="111111"/>
          <w:sz w:val="28"/>
          <w:sz w:val="28"/>
          <w:szCs w:val="28"/>
          <w:rtl w:val="true"/>
          <w:lang w:bidi="ar-SA"/>
        </w:rPr>
        <w:t xml:space="preserve">و الموصوفة بالصحة على رواية الفقيه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bookmarkStart w:id="348" w:name="pg19718_239280"/>
    </w:p>
    <w:p>
      <w:pPr>
        <w:pStyle w:val="BookText"/>
        <w:rPr/>
      </w:pPr>
      <w:bookmarkEnd w:id="348"/>
      <w:r>
        <w:rPr>
          <w:rFonts w:ascii="Amiri" w:hAnsi="Amiri" w:eastAsia="Amiri" w:cs="Amiri"/>
          <w:color w:val="111111"/>
          <w:sz w:val="28"/>
          <w:sz w:val="28"/>
          <w:szCs w:val="28"/>
          <w:rtl w:val="true"/>
          <w:lang w:bidi="ar-SA"/>
        </w:rPr>
        <w:t>و لو تزوّج أخت الأمة الموطوءة بالملك حرمت المملوكة ما دامت الثانية زوجة أو في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صحّة التزويج؛ فلعموم وَ أُحِلَّ لَكُمْ مٰا وَرٰاءَ ذٰلِكُمْ </w:t>
      </w:r>
      <w:r>
        <w:rPr>
          <w:rStyle w:val="FootnoteAnchor"/>
          <w:rtl w:val="true"/>
        </w:rPr>
        <w:footnoteReference w:id="1621"/>
      </w:r>
      <w:r>
        <w:rPr>
          <w:rFonts w:ascii="Amiri" w:hAnsi="Amiri" w:eastAsia="Amiri" w:cs="Amiri"/>
          <w:color w:val="111111"/>
          <w:sz w:val="28"/>
          <w:sz w:val="28"/>
          <w:szCs w:val="28"/>
          <w:rtl w:val="true"/>
          <w:lang w:bidi="ar-SA"/>
        </w:rPr>
        <w:t>، و لأنّ الجمع بين الأختين مطلقا ليس بمحرّم، و لهذا يجوز الجمع بينهما في الملك، و أمّا أنّه إذا حصل التزويج حرم وطء المملوكة دون المتزوّجة؛ فلأنّ الوطء بالنكاح أقوى من الوطء بالملك اليمين، لكثرة ما يتعلّق به من الأحكام الّتي لا تتعلّق بالوطء الملك؛ مع أنّ الغرض الأصلي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 دون الوطء، و من المتزوّجة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و لهذا يجوز تملّك الأختين و لا يجوز تزويجهما، فترجّح المتزوّجة في جواز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التعليل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يجوز الجمع بين الأختين في الوطء بملك اليمين، كما لا يجوز الجمع في النكاح</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1985980_2314609296"/>
      <w:bookmarkStart w:id="350" w:name="_Toc136"/>
      <w:bookmarkEnd w:id="349"/>
      <w:r>
        <w:rPr>
          <w:rtl w:val="true"/>
        </w:rPr>
        <w:t>[</w:t>
      </w:r>
      <w:r>
        <w:rPr>
          <w:rtl w:val="true"/>
        </w:rPr>
        <w:t>لو وطأ الأختين بالملك حرمت الثانية</w:t>
      </w:r>
      <w:r>
        <w:rPr>
          <w:rtl w:val="true"/>
        </w:rPr>
        <w:t>]</w:t>
      </w:r>
      <w:bookmarkEnd w:id="350"/>
    </w:p>
    <w:p>
      <w:pPr>
        <w:pStyle w:val="BookText"/>
        <w:rPr/>
      </w:pPr>
      <w:r>
        <w:rPr>
          <w:rFonts w:ascii="Amiri" w:hAnsi="Amiri" w:eastAsia="Amiri" w:cs="Amiri"/>
          <w:color w:val="111111"/>
          <w:sz w:val="28"/>
          <w:sz w:val="28"/>
          <w:szCs w:val="28"/>
          <w:rtl w:val="true"/>
          <w:lang w:bidi="ar-SA"/>
        </w:rPr>
        <w:t xml:space="preserve">فعلى هذا لو وطأ الأختين بالملك؛ حرمت الثانية على رأي </w:t>
      </w:r>
      <w:r>
        <w:rPr>
          <w:rStyle w:val="FootnoteAnchor"/>
          <w:rtl w:val="true"/>
        </w:rPr>
        <w:footnoteReference w:id="1622"/>
      </w:r>
      <w:r>
        <w:rPr>
          <w:rFonts w:ascii="Amiri" w:hAnsi="Amiri" w:eastAsia="Amiri" w:cs="Amiri"/>
          <w:color w:val="111111"/>
          <w:sz w:val="28"/>
          <w:sz w:val="28"/>
          <w:szCs w:val="28"/>
          <w:rtl w:val="true"/>
          <w:lang w:bidi="ar-SA"/>
        </w:rPr>
        <w:t>أي تبقى على حرمة الوطء كما كانت كذلك قبل وطئها بعد وطء الاولى، سواء أبقاها على ملكه أو أخرجها، و سواء كان عالما أو جاهلا، إلّا أن يخرج الاولى عن ملكه فتحلّ الثانية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حرمة الثانية و حلّية الاولى؛ فلاستصحابهما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الحرام لا يحرّم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حلّيتها بإخراج الأولى عن الملك؛ فلعدم صدق الجمع حينئذ، فلا مقتضى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أقوال أخر، أقواها دليلا ما تضمّنته حسنة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أختين وطأ المالك إحداهما ثمّ وطأ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وطأ الأخرى فقد حرمت الاولى حتّى تموت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باعها أ تحلّ له الاولى؟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يبيعها لحاجة و لا يخطر على قلبه من الأخرى شي‌ء فلا أرى بذلك بأسا، و إن كان إنّما يبيعها ليرجع إلى الاولى، فلا، و لا كرامة</w:t>
      </w:r>
      <w:r>
        <w:rPr>
          <w:rFonts w:eastAsia="Amiri" w:cs="Amiri" w:ascii="Amiri" w:hAnsi="Amiri"/>
          <w:color w:val="111111"/>
          <w:sz w:val="28"/>
          <w:szCs w:val="28"/>
          <w:rtl w:val="true"/>
          <w:lang w:bidi="ar-SA"/>
        </w:rPr>
        <w:t xml:space="preserve">»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رواية الكناني </w:t>
      </w:r>
      <w:r>
        <w:rPr>
          <w:rStyle w:val="FootnoteAnchor"/>
          <w:rtl w:val="true"/>
        </w:rPr>
        <w:footnoteReference w:id="1624"/>
      </w:r>
      <w:r>
        <w:rPr>
          <w:rFonts w:ascii="Amiri" w:hAnsi="Amiri" w:eastAsia="Amiri" w:cs="Amiri"/>
          <w:color w:val="111111"/>
          <w:sz w:val="28"/>
          <w:sz w:val="28"/>
          <w:szCs w:val="28"/>
          <w:rtl w:val="true"/>
          <w:lang w:bidi="ar-SA"/>
        </w:rPr>
        <w:t xml:space="preserve">إلّا أنّ فيها سقطا لا يخلّ بالمقصود، فإنّ الظاهر اتّحاد متنها مع متن رواية الحلبي؛ و ظاهرهما و إن عمّ صورة الجهل، إلّا أنّ في بعض الأخبار تخصيص ذلك بصورة العلم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يجوز للرجل أن يعقد على أمته إجماعا </w:t>
      </w:r>
      <w:r>
        <w:rPr>
          <w:rStyle w:val="FootnoteAnchor"/>
          <w:rtl w:val="true"/>
        </w:rPr>
        <w:footnoteReference w:id="1626"/>
      </w:r>
      <w:r>
        <w:rPr>
          <w:rFonts w:ascii="Amiri" w:hAnsi="Amiri" w:eastAsia="Amiri" w:cs="Amiri"/>
          <w:color w:val="111111"/>
          <w:sz w:val="28"/>
          <w:sz w:val="28"/>
          <w:szCs w:val="28"/>
          <w:rtl w:val="true"/>
          <w:lang w:bidi="ar-SA"/>
        </w:rPr>
        <w:t>و للتفصيل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Style w:val="FootnoteAnchor"/>
          <w:rtl w:val="true"/>
        </w:rPr>
        <w:footnoteReference w:id="1627"/>
      </w:r>
      <w:r>
        <w:rPr>
          <w:rFonts w:ascii="Amiri" w:hAnsi="Amiri" w:eastAsia="Amiri" w:cs="Amiri"/>
          <w:color w:val="111111"/>
          <w:sz w:val="28"/>
          <w:sz w:val="28"/>
          <w:szCs w:val="28"/>
          <w:rtl w:val="true"/>
          <w:lang w:bidi="ar-SA"/>
        </w:rPr>
        <w:t>و معنى عدم الجواز هنا اللغويّة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للحرّة أي يحرم عليها أن تنكح عبدها إجماعا أيضا </w:t>
      </w:r>
      <w:r>
        <w:rPr>
          <w:rStyle w:val="FootnoteAnchor"/>
          <w:rtl w:val="true"/>
        </w:rPr>
        <w:footnoteReference w:id="1628"/>
      </w:r>
      <w:r>
        <w:rPr>
          <w:rFonts w:ascii="Amiri" w:hAnsi="Amiri" w:eastAsia="Amiri" w:cs="Amiri"/>
          <w:color w:val="111111"/>
          <w:sz w:val="28"/>
          <w:sz w:val="28"/>
          <w:szCs w:val="28"/>
          <w:rtl w:val="true"/>
          <w:lang w:bidi="ar-SA"/>
        </w:rPr>
        <w:t xml:space="preserve">و قد حدّ أمير المؤمنين عليه السلام امرأة أمكنت نفسها من عبدها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bookmarkStart w:id="351" w:name="pg19718_239282"/>
    </w:p>
    <w:p>
      <w:pPr>
        <w:pStyle w:val="Heading5"/>
        <w:numPr>
          <w:ilvl w:val="4"/>
          <w:numId w:val="1"/>
        </w:numPr>
        <w:rPr/>
      </w:pPr>
      <w:bookmarkStart w:id="352" w:name="__RefHeading___Toc1985982_2314609296"/>
      <w:bookmarkStart w:id="353" w:name="_Toc137"/>
      <w:bookmarkEnd w:id="351"/>
      <w:bookmarkEnd w:id="352"/>
      <w:r>
        <w:rPr>
          <w:rtl w:val="true"/>
        </w:rPr>
        <w:t>الباب الثاني</w:t>
      </w:r>
      <w:r>
        <w:rPr>
          <w:rtl w:val="true"/>
        </w:rPr>
        <w:t xml:space="preserve">: </w:t>
      </w:r>
      <w:r>
        <w:rPr>
          <w:rtl w:val="true"/>
        </w:rPr>
        <w:t>في الكفر</w:t>
      </w:r>
      <w:bookmarkEnd w:id="353"/>
    </w:p>
    <w:p>
      <w:pPr>
        <w:pStyle w:val="Heading6"/>
        <w:numPr>
          <w:ilvl w:val="5"/>
          <w:numId w:val="1"/>
        </w:numPr>
        <w:rPr/>
      </w:pPr>
      <w:bookmarkStart w:id="354" w:name="__RefHeading___Toc1985984_2314609296"/>
      <w:bookmarkStart w:id="355" w:name="_Toc138"/>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و فيه بحثان</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1985986_2314609296"/>
      <w:bookmarkStart w:id="357" w:name="_Toc139"/>
      <w:bookmarkEnd w:id="356"/>
      <w:r>
        <w:rPr>
          <w:rtl w:val="true"/>
        </w:rPr>
        <w:t>[</w:t>
      </w:r>
      <w:r>
        <w:rPr>
          <w:rtl w:val="true"/>
        </w:rPr>
        <w:t>البحث الأول في من يجوز للمسلم نكاحه</w:t>
      </w:r>
      <w:r>
        <w:rPr>
          <w:rtl w:val="true"/>
        </w:rPr>
        <w:t>]</w:t>
      </w:r>
      <w:bookmarkEnd w:id="357"/>
    </w:p>
    <w:p>
      <w:pPr>
        <w:pStyle w:val="Heading6"/>
        <w:numPr>
          <w:ilvl w:val="5"/>
          <w:numId w:val="1"/>
        </w:numPr>
        <w:rPr/>
      </w:pPr>
      <w:bookmarkStart w:id="358" w:name="__RefHeading___Toc1985988_2314609296"/>
      <w:bookmarkStart w:id="359" w:name="_Toc140"/>
      <w:bookmarkEnd w:id="358"/>
      <w:r>
        <w:rPr>
          <w:rtl w:val="true"/>
        </w:rPr>
        <w:t>[</w:t>
      </w:r>
      <w:r>
        <w:rPr>
          <w:rtl w:val="true"/>
        </w:rPr>
        <w:t>الأوّل يحرم على المسلم نكاح غير الكتابيّة دائما و متعة و ملك يمين</w:t>
      </w:r>
      <w:r>
        <w:rPr>
          <w:rtl w:val="true"/>
        </w:rPr>
        <w:t>]</w:t>
      </w:r>
      <w:bookmarkEnd w:id="359"/>
    </w:p>
    <w:p>
      <w:pPr>
        <w:pStyle w:val="BookText"/>
        <w:rPr/>
      </w:pPr>
      <w:r>
        <w:rPr>
          <w:rFonts w:ascii="Amiri" w:hAnsi="Amiri" w:eastAsia="Amiri" w:cs="Amiri"/>
          <w:color w:val="111111"/>
          <w:sz w:val="28"/>
          <w:sz w:val="28"/>
          <w:szCs w:val="28"/>
          <w:rtl w:val="true"/>
          <w:lang w:bidi="ar-SA"/>
        </w:rPr>
        <w:t xml:space="preserve">الأوّل </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المسلم نكاح غير الكتابيّة من النساء الكوافر دائما و متعة و ملك يمين بلا خلاف، كما صرّح به غير واحد </w:t>
      </w:r>
      <w:r>
        <w:rPr>
          <w:rStyle w:val="FootnoteAnchor"/>
          <w:rtl w:val="true"/>
        </w:rPr>
        <w:footnoteReference w:id="1631"/>
      </w:r>
      <w:r>
        <w:rPr>
          <w:rFonts w:ascii="Amiri" w:hAnsi="Amiri" w:eastAsia="Amiri" w:cs="Amiri"/>
          <w:color w:val="111111"/>
          <w:sz w:val="28"/>
          <w:sz w:val="28"/>
          <w:szCs w:val="28"/>
          <w:rtl w:val="true"/>
          <w:lang w:bidi="ar-SA"/>
        </w:rPr>
        <w:t xml:space="preserve">و إجماعا كما ادّعاه آخرون </w:t>
      </w:r>
      <w:r>
        <w:rPr>
          <w:rStyle w:val="FootnoteAnchor"/>
          <w:rtl w:val="true"/>
        </w:rPr>
        <w:footnoteReference w:id="1632"/>
      </w:r>
      <w:r>
        <w:rPr>
          <w:rFonts w:ascii="Amiri" w:hAnsi="Amiri" w:eastAsia="Amiri" w:cs="Amiri"/>
          <w:color w:val="111111"/>
          <w:sz w:val="28"/>
          <w:sz w:val="28"/>
          <w:szCs w:val="28"/>
          <w:rtl w:val="true"/>
          <w:lang w:bidi="ar-SA"/>
        </w:rPr>
        <w:t xml:space="preserve">للكتاب </w:t>
      </w:r>
      <w:r>
        <w:rPr>
          <w:rStyle w:val="FootnoteAnchor"/>
          <w:rtl w:val="true"/>
        </w:rPr>
        <w:footnoteReference w:id="1633"/>
      </w:r>
      <w:r>
        <w:rPr>
          <w:rFonts w:ascii="Amiri" w:hAnsi="Amiri" w:eastAsia="Amiri" w:cs="Amiri"/>
          <w:color w:val="111111"/>
          <w:sz w:val="28"/>
          <w:sz w:val="28"/>
          <w:szCs w:val="28"/>
          <w:rtl w:val="true"/>
          <w:lang w:bidi="ar-SA"/>
        </w:rPr>
        <w:t xml:space="preserve">و السنّة المستفيضة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أي في الكتابيّة قولان؛ من حيث حرمة مطلق النكاح أو خصوص الدوام، و إلّا فقد حكي في المسألة أقوال ستّة </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w:t>
      </w:r>
    </w:p>
    <w:p>
      <w:pPr>
        <w:pStyle w:val="BookText"/>
        <w:rPr/>
      </w:pPr>
      <w:r>
        <w:rPr>
          <w:rFonts w:ascii="Amiri" w:hAnsi="Amiri" w:eastAsia="Amiri" w:cs="Amiri"/>
          <w:color w:val="111111"/>
          <w:sz w:val="28"/>
          <w:sz w:val="28"/>
          <w:szCs w:val="28"/>
          <w:rtl w:val="true"/>
          <w:lang w:bidi="ar-SA"/>
        </w:rPr>
        <w:t>أن يكون القولان المذكوران أشهرا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الأشهر منهما و أقربهما عند المصنّف و جماعة قدّس سرّهم حرمة الدائم و جواز المنقطع و ملك اليمين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حرمة الدائم، فلقوله تعالى وَ لٰا تَنْكِحُوا الْمُشْرِكٰاتِ </w:t>
      </w:r>
      <w:r>
        <w:rPr>
          <w:rStyle w:val="FootnoteAnchor"/>
          <w:rtl w:val="true"/>
        </w:rPr>
        <w:footnoteReference w:id="1637"/>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تُمْسِكُوا بِعِصَمِ الْكَوٰافِرِ </w:t>
      </w:r>
      <w:r>
        <w:rPr>
          <w:rStyle w:val="FootnoteAnchor"/>
          <w:rtl w:val="true"/>
        </w:rPr>
        <w:footnoteReference w:id="1638"/>
      </w:r>
      <w:r>
        <w:rPr>
          <w:rFonts w:ascii="Amiri" w:hAnsi="Amiri" w:eastAsia="Amiri" w:cs="Amiri"/>
          <w:color w:val="111111"/>
          <w:sz w:val="28"/>
          <w:sz w:val="28"/>
          <w:szCs w:val="28"/>
          <w:rtl w:val="true"/>
          <w:lang w:bidi="ar-SA"/>
        </w:rPr>
        <w:t xml:space="preserve">مضافا إلى بعض الروايات، كرواية الحسن بن الجهم </w:t>
      </w:r>
      <w:r>
        <w:rPr>
          <w:rStyle w:val="FootnoteAnchor"/>
          <w:rtl w:val="true"/>
        </w:rPr>
        <w:footnoteReference w:id="1639"/>
      </w:r>
      <w:r>
        <w:rPr>
          <w:rFonts w:ascii="Amiri" w:hAnsi="Amiri" w:eastAsia="Amiri" w:cs="Amiri"/>
          <w:color w:val="111111"/>
          <w:sz w:val="28"/>
          <w:sz w:val="28"/>
          <w:szCs w:val="28"/>
          <w:rtl w:val="true"/>
          <w:lang w:bidi="ar-SA"/>
        </w:rPr>
        <w:t xml:space="preserve">و المحكيّ من نوادر الراوندي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جواز المنقطع، فلبعض الروايات المصرّحة بالجواز </w:t>
      </w:r>
      <w:r>
        <w:rPr>
          <w:rStyle w:val="FootnoteAnchor"/>
          <w:rtl w:val="true"/>
        </w:rPr>
        <w:footnoteReference w:id="1641"/>
      </w:r>
      <w:r>
        <w:rPr>
          <w:rFonts w:ascii="Amiri" w:hAnsi="Amiri" w:eastAsia="Amiri" w:cs="Amiri"/>
          <w:color w:val="111111"/>
          <w:sz w:val="28"/>
          <w:sz w:val="28"/>
          <w:szCs w:val="28"/>
          <w:rtl w:val="true"/>
          <w:lang w:bidi="ar-SA"/>
        </w:rPr>
        <w:t>المنجبر 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بحكاية الإجماع عن غير واحد </w:t>
      </w:r>
      <w:r>
        <w:rPr>
          <w:rStyle w:val="FootnoteAnchor"/>
          <w:rtl w:val="true"/>
        </w:rPr>
        <w:footnoteReference w:id="1642"/>
      </w:r>
      <w:r>
        <w:rPr>
          <w:rFonts w:ascii="Amiri" w:hAnsi="Amiri" w:eastAsia="Amiri" w:cs="Amiri"/>
          <w:color w:val="111111"/>
          <w:sz w:val="28"/>
          <w:sz w:val="28"/>
          <w:szCs w:val="28"/>
          <w:rtl w:val="true"/>
          <w:lang w:bidi="ar-SA"/>
        </w:rPr>
        <w:t>مضافا إلى ما دلّ على جواز النكاح بملك اليمين كآية أَوْ مٰا مَلَكَتْ أَيْمٰانُهُمْ</w:t>
      </w:r>
      <w:r>
        <w:rPr>
          <w:rFonts w:eastAsia="Amiri" w:cs="Amiri" w:ascii="Amiri" w:hAnsi="Amiri"/>
          <w:color w:val="111111"/>
          <w:sz w:val="28"/>
          <w:szCs w:val="28"/>
          <w:rtl w:val="true"/>
          <w:lang w:bidi="ar-SA"/>
        </w:rPr>
        <w:t xml:space="preserve">* </w:t>
      </w:r>
      <w:r>
        <w:rPr>
          <w:rStyle w:val="FootnoteAnchor"/>
          <w:rtl w:val="true"/>
        </w:rPr>
        <w:footnoteReference w:id="1643"/>
      </w:r>
      <w:r>
        <w:rPr>
          <w:rFonts w:ascii="Amiri" w:hAnsi="Amiri" w:eastAsia="Amiri" w:cs="Amiri"/>
          <w:color w:val="111111"/>
          <w:sz w:val="28"/>
          <w:sz w:val="28"/>
          <w:szCs w:val="28"/>
          <w:rtl w:val="true"/>
          <w:lang w:bidi="ar-SA"/>
        </w:rPr>
        <w:t xml:space="preserve">و خصوص الصحيحة في المجوسيّة إذا كانت أمة </w:t>
      </w:r>
      <w:r>
        <w:rPr>
          <w:rStyle w:val="FootnoteAnchor"/>
          <w:rtl w:val="true"/>
        </w:rPr>
        <w:footnoteReference w:id="1644"/>
      </w:r>
      <w:r>
        <w:rPr>
          <w:rFonts w:ascii="Amiri" w:hAnsi="Amiri" w:eastAsia="Amiri" w:cs="Amiri"/>
          <w:color w:val="111111"/>
          <w:sz w:val="28"/>
          <w:sz w:val="28"/>
          <w:szCs w:val="28"/>
          <w:rtl w:val="true"/>
          <w:lang w:bidi="ar-SA"/>
        </w:rPr>
        <w:t>بعد ما استفيد من غير واحدة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المتمتّعة بمنزلة الأمة</w:t>
      </w:r>
      <w:r>
        <w:rPr>
          <w:rFonts w:eastAsia="Amiri" w:cs="Amiri" w:ascii="Amiri" w:hAnsi="Amiri"/>
          <w:color w:val="111111"/>
          <w:sz w:val="28"/>
          <w:szCs w:val="28"/>
          <w:rtl w:val="true"/>
          <w:lang w:bidi="ar-SA"/>
        </w:rPr>
        <w:t xml:space="preserve">» </w:t>
      </w:r>
      <w:r>
        <w:rPr>
          <w:rStyle w:val="FootnoteAnchor"/>
          <w:rtl w:val="true"/>
        </w:rPr>
        <w:footnoteReference w:id="1645"/>
      </w:r>
      <w:r>
        <w:rPr>
          <w:rFonts w:ascii="Amiri" w:hAnsi="Amiri" w:eastAsia="Amiri" w:cs="Amiri"/>
          <w:color w:val="111111"/>
          <w:sz w:val="28"/>
          <w:sz w:val="28"/>
          <w:szCs w:val="28"/>
          <w:rtl w:val="true"/>
          <w:lang w:bidi="ar-SA"/>
        </w:rPr>
        <w:t xml:space="preserve">كلّ ذلك مضافا إلى عموم قوله وَ أُحِلَّ لَكُمْ مٰا وَرٰاءَ ذٰلِكُمْ </w:t>
      </w:r>
      <w:r>
        <w:rPr>
          <w:rStyle w:val="FootnoteAnchor"/>
          <w:rtl w:val="true"/>
        </w:rPr>
        <w:footnoteReference w:id="1646"/>
      </w:r>
      <w:r>
        <w:rPr>
          <w:rFonts w:ascii="Amiri" w:hAnsi="Amiri" w:eastAsia="Amiri" w:cs="Amiri"/>
          <w:color w:val="111111"/>
          <w:sz w:val="28"/>
          <w:sz w:val="28"/>
          <w:szCs w:val="28"/>
          <w:rtl w:val="true"/>
          <w:lang w:bidi="ar-SA"/>
        </w:rPr>
        <w:t>خرج منها نكاحهنّ دواما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مقابل الأصل </w:t>
      </w:r>
      <w:r>
        <w:rPr>
          <w:rStyle w:val="FootnoteAnchor"/>
          <w:rtl w:val="true"/>
        </w:rPr>
        <w:footnoteReference w:id="1647"/>
      </w:r>
      <w:r>
        <w:rPr>
          <w:rFonts w:ascii="Amiri" w:hAnsi="Amiri" w:eastAsia="Amiri" w:cs="Amiri"/>
          <w:color w:val="111111"/>
          <w:sz w:val="28"/>
          <w:sz w:val="28"/>
          <w:szCs w:val="28"/>
          <w:rtl w:val="true"/>
          <w:lang w:bidi="ar-SA"/>
        </w:rPr>
        <w:t>المذكور عدا إطلاق الآيتين السابقتين و الروايات، و تخصيصها بما ذكرنا طريق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فالقول بالمنع مطلقا </w:t>
      </w:r>
      <w:r>
        <w:rPr>
          <w:rStyle w:val="FootnoteAnchor"/>
          <w:rtl w:val="true"/>
        </w:rPr>
        <w:footnoteReference w:id="1648"/>
      </w:r>
      <w:r>
        <w:rPr>
          <w:rFonts w:ascii="Amiri" w:hAnsi="Amiri" w:eastAsia="Amiri" w:cs="Amiri"/>
          <w:color w:val="111111"/>
          <w:sz w:val="28"/>
          <w:sz w:val="28"/>
          <w:szCs w:val="28"/>
          <w:rtl w:val="true"/>
          <w:lang w:bidi="ar-SA"/>
        </w:rPr>
        <w:t>ضعيف؛ و 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بالجواز مطلقا </w:t>
      </w:r>
      <w:r>
        <w:rPr>
          <w:rStyle w:val="FootnoteAnchor"/>
          <w:rtl w:val="true"/>
        </w:rPr>
        <w:footnoteReference w:id="1649"/>
      </w:r>
      <w:r>
        <w:rPr>
          <w:rFonts w:ascii="Amiri" w:hAnsi="Amiri" w:eastAsia="Amiri" w:cs="Amiri"/>
          <w:color w:val="111111"/>
          <w:sz w:val="28"/>
          <w:sz w:val="28"/>
          <w:szCs w:val="28"/>
          <w:rtl w:val="true"/>
          <w:lang w:bidi="ar-SA"/>
        </w:rPr>
        <w:t xml:space="preserve">لعموم وَ الْمُحْصَنٰاتُ مِنَ الَّذِينَ أُوتُوا الْكِتٰابَ </w:t>
      </w:r>
      <w:r>
        <w:rPr>
          <w:rStyle w:val="FootnoteAnchor"/>
          <w:rtl w:val="true"/>
        </w:rPr>
        <w:footnoteReference w:id="1650"/>
      </w:r>
      <w:r>
        <w:rPr>
          <w:rFonts w:ascii="Amiri" w:hAnsi="Amiri" w:eastAsia="Amiri" w:cs="Amiri"/>
          <w:color w:val="111111"/>
          <w:sz w:val="28"/>
          <w:sz w:val="28"/>
          <w:szCs w:val="28"/>
          <w:rtl w:val="true"/>
          <w:lang w:bidi="ar-SA"/>
        </w:rPr>
        <w:t xml:space="preserve">و عموم بعض الأخبار الصحيحة </w:t>
      </w:r>
      <w:r>
        <w:rPr>
          <w:rStyle w:val="FootnoteAnchor"/>
          <w:rtl w:val="true"/>
        </w:rPr>
        <w:footnoteReference w:id="1651"/>
      </w:r>
      <w:r>
        <w:rPr>
          <w:rFonts w:ascii="Amiri" w:hAnsi="Amiri" w:eastAsia="Amiri" w:cs="Amiri"/>
          <w:color w:val="111111"/>
          <w:sz w:val="28"/>
          <w:sz w:val="28"/>
          <w:szCs w:val="28"/>
          <w:rtl w:val="true"/>
          <w:lang w:bidi="ar-SA"/>
        </w:rPr>
        <w:t xml:space="preserve">و بعض الروايات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نسخت بقوله تعالى وَ لٰا تُمْسِكُوا بِعِصَمِ الْكَوٰافِرِ </w:t>
      </w:r>
      <w:r>
        <w:rPr>
          <w:rStyle w:val="FootnoteAnchor"/>
          <w:rtl w:val="true"/>
        </w:rPr>
        <w:footnoteReference w:id="1653"/>
      </w:r>
      <w:r>
        <w:rPr>
          <w:rFonts w:ascii="Amiri" w:hAnsi="Amiri" w:eastAsia="Amiri" w:cs="Amiri"/>
          <w:color w:val="111111"/>
          <w:sz w:val="28"/>
          <w:sz w:val="28"/>
          <w:szCs w:val="28"/>
          <w:rtl w:val="true"/>
          <w:lang w:bidi="ar-SA"/>
        </w:rPr>
        <w:t xml:space="preserve">كما في بعض الروايات </w:t>
      </w:r>
      <w:r>
        <w:rPr>
          <w:rStyle w:val="FootnoteAnchor"/>
          <w:rtl w:val="true"/>
        </w:rPr>
        <w:footnoteReference w:id="1654"/>
      </w:r>
      <w:r>
        <w:rPr>
          <w:rFonts w:ascii="Amiri" w:hAnsi="Amiri" w:eastAsia="Amiri" w:cs="Amiri"/>
          <w:color w:val="111111"/>
          <w:sz w:val="28"/>
          <w:sz w:val="28"/>
          <w:szCs w:val="28"/>
          <w:rtl w:val="true"/>
          <w:lang w:bidi="ar-SA"/>
        </w:rPr>
        <w:t xml:space="preserve">و بقوله تعالى وَ لٰا تَنْكِحُوا الْمُشْرِكٰاتِ </w:t>
      </w:r>
      <w:r>
        <w:rPr>
          <w:rStyle w:val="FootnoteAnchor"/>
          <w:rtl w:val="true"/>
        </w:rPr>
        <w:footnoteReference w:id="1655"/>
      </w:r>
      <w:r>
        <w:rPr>
          <w:rFonts w:ascii="Amiri" w:hAnsi="Amiri" w:eastAsia="Amiri" w:cs="Amiri"/>
          <w:color w:val="111111"/>
          <w:sz w:val="28"/>
          <w:sz w:val="28"/>
          <w:szCs w:val="28"/>
          <w:rtl w:val="true"/>
          <w:lang w:bidi="ar-SA"/>
        </w:rPr>
        <w:t>كما يظهر من بعض</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1656"/>
      </w:r>
      <w:r>
        <w:rPr>
          <w:rFonts w:ascii="Amiri" w:hAnsi="Amiri" w:eastAsia="Amiri" w:cs="Amiri"/>
          <w:color w:val="111111"/>
          <w:sz w:val="28"/>
          <w:sz w:val="28"/>
          <w:szCs w:val="28"/>
          <w:rtl w:val="true"/>
          <w:lang w:bidi="ar-SA"/>
        </w:rPr>
        <w:t xml:space="preserve">و الأخبار مقيّدة بالمتعة، مع موافقة عمومها لمذهب العامّة </w:t>
      </w:r>
      <w:r>
        <w:rPr>
          <w:rStyle w:val="FootnoteAnchor"/>
          <w:rtl w:val="true"/>
        </w:rPr>
        <w:footnoteReference w:id="1657"/>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المجوسيّة كالكتابيّة إمّا لما ورد من ثبوت كتاب لهم و نبيّ، فقتلوا نبيّهم و حرقوا كتابهم </w:t>
      </w:r>
      <w:r>
        <w:rPr>
          <w:rStyle w:val="FootnoteAnchor"/>
          <w:rtl w:val="true"/>
        </w:rPr>
        <w:footnoteReference w:id="1658"/>
      </w:r>
      <w:r>
        <w:rPr>
          <w:rFonts w:ascii="Amiri" w:hAnsi="Amiri" w:eastAsia="Amiri" w:cs="Amiri"/>
          <w:color w:val="111111"/>
          <w:sz w:val="28"/>
          <w:sz w:val="28"/>
          <w:szCs w:val="28"/>
          <w:rtl w:val="true"/>
          <w:lang w:bidi="ar-SA"/>
        </w:rPr>
        <w:t>و إمّا 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 xml:space="preserve">» </w:t>
      </w:r>
      <w:r>
        <w:rPr>
          <w:rStyle w:val="FootnoteAnchor"/>
          <w:rtl w:val="true"/>
        </w:rPr>
        <w:footnoteReference w:id="1659"/>
      </w:r>
      <w:r>
        <w:rPr>
          <w:rFonts w:ascii="Amiri" w:hAnsi="Amiri" w:eastAsia="Amiri" w:cs="Amiri"/>
          <w:color w:val="111111"/>
          <w:sz w:val="28"/>
          <w:sz w:val="28"/>
          <w:szCs w:val="28"/>
          <w:rtl w:val="true"/>
          <w:lang w:bidi="ar-SA"/>
        </w:rPr>
        <w:t xml:space="preserve">و إمّا لما ورد بالخصوص من جواز التمتّع بالمجوسيّة </w:t>
      </w:r>
      <w:r>
        <w:rPr>
          <w:rStyle w:val="FootnoteAnchor"/>
          <w:rtl w:val="true"/>
        </w:rPr>
        <w:footnoteReference w:id="1660"/>
      </w:r>
      <w:r>
        <w:rPr>
          <w:rFonts w:ascii="Amiri" w:hAnsi="Amiri" w:eastAsia="Amiri" w:cs="Amiri"/>
          <w:color w:val="111111"/>
          <w:sz w:val="28"/>
          <w:sz w:val="28"/>
          <w:szCs w:val="28"/>
          <w:rtl w:val="true"/>
          <w:lang w:bidi="ar-SA"/>
        </w:rPr>
        <w:t xml:space="preserve">مؤيّدا بما في مصحّحة محمّد بن مسلم من جواز نكاح المجوسيّة بملك اليمين </w:t>
      </w:r>
      <w:r>
        <w:rPr>
          <w:rStyle w:val="FootnoteAnchor"/>
          <w:rtl w:val="true"/>
        </w:rPr>
        <w:footnoteReference w:id="1661"/>
      </w:r>
      <w:r>
        <w:rPr>
          <w:rFonts w:ascii="Amiri" w:hAnsi="Amiri" w:eastAsia="Amiri" w:cs="Amiri"/>
          <w:color w:val="111111"/>
          <w:sz w:val="28"/>
          <w:sz w:val="28"/>
          <w:szCs w:val="28"/>
          <w:rtl w:val="true"/>
          <w:lang w:bidi="ar-SA"/>
        </w:rPr>
        <w:t>بعد ضمّ كون المنقطعة بمنزلة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الصابئون،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النصارى </w:t>
      </w:r>
      <w:r>
        <w:rPr>
          <w:rStyle w:val="FootnoteAnchor"/>
          <w:rtl w:val="true"/>
        </w:rPr>
        <w:footnoteReference w:id="1662"/>
      </w:r>
      <w:r>
        <w:rPr>
          <w:rFonts w:ascii="Amiri" w:hAnsi="Amiri" w:eastAsia="Amiri" w:cs="Amiri"/>
          <w:color w:val="111111"/>
          <w:sz w:val="28"/>
          <w:sz w:val="28"/>
          <w:szCs w:val="28"/>
          <w:rtl w:val="true"/>
          <w:lang w:bidi="ar-SA"/>
        </w:rPr>
        <w:t xml:space="preserve">كما أنّ السامرة طائفة إن كانوا ملحدة الاولى منهم عند النصارى، و الثانية عند اليهود، فكالوثنيّ لخروجهما حينئذ عن كلتا الملّتين،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يشاركانهما في الحكم</w:t>
      </w:r>
      <w:r>
        <w:rPr>
          <w:rFonts w:eastAsia="Amiri" w:cs="Amiri" w:ascii="Amiri" w:hAnsi="Amiri"/>
          <w:color w:val="111111"/>
          <w:sz w:val="28"/>
          <w:szCs w:val="28"/>
          <w:rtl w:val="true"/>
          <w:lang w:bidi="ar-SA"/>
        </w:rPr>
        <w:t xml:space="preserve">] </w:t>
      </w:r>
      <w:r>
        <w:rPr>
          <w:rStyle w:val="FootnoteAnchor"/>
          <w:rtl w:val="true"/>
        </w:rPr>
        <w:footnoteReference w:id="1663"/>
      </w:r>
      <w:r>
        <w:rPr>
          <w:rFonts w:ascii="Amiri" w:hAnsi="Amiri" w:eastAsia="Amiri" w:cs="Amiri"/>
          <w:color w:val="111111"/>
          <w:sz w:val="28"/>
          <w:sz w:val="28"/>
          <w:szCs w:val="28"/>
          <w:rtl w:val="true"/>
          <w:lang w:bidi="ar-SA"/>
        </w:rPr>
        <w:t>للاختلاف في أصول الملّة، و إن كانوا مبتدعة متوافقة معهم في أصل الملّة فكالكتابيّ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مجمع البحرين،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للصابئة دين</w:t>
      </w:r>
    </w:p>
    <w:p>
      <w:pPr>
        <w:pStyle w:val="BookText"/>
        <w:rPr/>
      </w:pPr>
      <w:r>
        <w:rPr>
          <w:rFonts w:ascii="Amiri" w:hAnsi="Amiri" w:eastAsia="Amiri" w:cs="Amiri"/>
          <w:color w:val="111111"/>
          <w:sz w:val="28"/>
          <w:sz w:val="28"/>
          <w:szCs w:val="28"/>
          <w:rtl w:val="true"/>
          <w:lang w:bidi="ar-SA"/>
        </w:rPr>
        <w:t>و لا كتاب</w:t>
      </w:r>
      <w:r>
        <w:rPr>
          <w:rFonts w:eastAsia="Amiri" w:cs="Amiri" w:ascii="Amiri" w:hAnsi="Amiri"/>
          <w:color w:val="111111"/>
          <w:sz w:val="28"/>
          <w:szCs w:val="28"/>
          <w:rtl w:val="true"/>
          <w:lang w:bidi="ar-SA"/>
        </w:rPr>
        <w:t xml:space="preserve">» </w:t>
      </w:r>
      <w:r>
        <w:rPr>
          <w:rStyle w:val="FootnoteAnchor"/>
          <w:rtl w:val="true"/>
        </w:rPr>
        <w:footnoteReference w:id="1664"/>
      </w:r>
      <w:r>
        <w:rPr>
          <w:rFonts w:ascii="Amiri" w:hAnsi="Amiri" w:eastAsia="Amiri" w:cs="Amiri"/>
          <w:color w:val="111111"/>
          <w:sz w:val="28"/>
          <w:sz w:val="28"/>
          <w:szCs w:val="28"/>
          <w:rtl w:val="true"/>
          <w:lang w:bidi="ar-SA"/>
        </w:rPr>
        <w:t>و مقتضاه أنّهم غير كتابيّين؛ و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بذلك </w:t>
      </w:r>
      <w:r>
        <w:rPr>
          <w:rStyle w:val="FootnoteAnchor"/>
          <w:rtl w:val="true"/>
        </w:rPr>
        <w:footnoteReference w:id="1665"/>
      </w:r>
      <w:r>
        <w:rPr>
          <w:rFonts w:ascii="Amiri" w:hAnsi="Amiri" w:eastAsia="Amiri" w:cs="Amiri"/>
          <w:color w:val="111111"/>
          <w:sz w:val="28"/>
          <w:sz w:val="28"/>
          <w:szCs w:val="28"/>
          <w:rtl w:val="true"/>
          <w:lang w:bidi="ar-SA"/>
        </w:rPr>
        <w:t>و عن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يدّعون أنّهم على دين صابئ بن شيث بن آدم </w:t>
      </w:r>
      <w:r>
        <w:rPr>
          <w:rStyle w:val="FootnoteAnchor"/>
          <w:rtl w:val="true"/>
        </w:rPr>
        <w:footnoteReference w:id="1666"/>
      </w:r>
      <w:r>
        <w:rPr>
          <w:rFonts w:ascii="Amiri" w:hAnsi="Amiri" w:eastAsia="Amiri" w:cs="Amiri"/>
          <w:color w:val="111111"/>
          <w:sz w:val="28"/>
          <w:sz w:val="28"/>
          <w:szCs w:val="28"/>
          <w:rtl w:val="true"/>
          <w:lang w:bidi="ar-SA"/>
        </w:rPr>
        <w:t>، و عن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من أهل الكتاب </w:t>
      </w:r>
      <w:r>
        <w:rPr>
          <w:rStyle w:val="FootnoteAnchor"/>
          <w:rtl w:val="true"/>
        </w:rPr>
        <w:footnoteReference w:id="1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المحقّق الثاني 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الصابئة فرقتان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توافق النصارى في أصول الدين، و الأخرى تخالفهم و يعبدون الكواكب السبعة، و تسند الآثار إليها، و تنفي الصانع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 المفيد </w:t>
      </w:r>
      <w:r>
        <w:rPr>
          <w:rStyle w:val="FootnoteAnchor"/>
          <w:rtl w:val="true"/>
        </w:rPr>
        <w:footnoteReference w:id="1668"/>
      </w:r>
      <w:r>
        <w:rPr>
          <w:rFonts w:ascii="Amiri" w:hAnsi="Amiri" w:eastAsia="Amiri" w:cs="Amiri"/>
          <w:color w:val="111111"/>
          <w:sz w:val="28"/>
          <w:sz w:val="28"/>
          <w:szCs w:val="28"/>
          <w:rtl w:val="true"/>
          <w:lang w:bidi="ar-SA"/>
        </w:rPr>
        <w:t>قريب من هذا،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جمهور الصابئين يوحّدون الصانع في الأزل، و منهم من يجعل معه هيولى في القدم صنع منها العالم، فكانت عندهم الأصل؛ و يعتقدون في الفلك و ما فيه الحياة و النطق، و أنّها المدبّر لما في هذا العالم الدائر عليه؛ و عظّموا الكواكب و عبدوها من دون اللّٰه، و سمّاها بعضهم ملائكة و بعضهم آلهة، و بنوا لها بيوتا للعبادات </w:t>
      </w:r>
      <w:r>
        <w:rPr>
          <w:rStyle w:val="FootnoteAnchor"/>
          <w:rtl w:val="true"/>
        </w:rPr>
        <w:footnoteReference w:id="166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الصابئون قوم لا مجوس و لا يهود و لا نصارى</w:t>
      </w:r>
    </w:p>
    <w:p>
      <w:pPr>
        <w:pStyle w:val="BookText"/>
        <w:rPr/>
      </w:pPr>
      <w:r>
        <w:rPr>
          <w:rFonts w:ascii="Amiri" w:hAnsi="Amiri" w:eastAsia="Amiri" w:cs="Amiri"/>
          <w:color w:val="111111"/>
          <w:sz w:val="28"/>
          <w:sz w:val="28"/>
          <w:szCs w:val="28"/>
          <w:rtl w:val="true"/>
          <w:lang w:bidi="ar-SA"/>
        </w:rPr>
        <w:t xml:space="preserve">و لا مسلمون، و لكنّهم يعبدون الكواكب و النّجوم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التبيان و المجمع للطوسي و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عندنا أخذ الجزية من الصابئة، لأنّهم ليسوا من أهل الكتاب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فجواز النكاح منهم في غاية الإشكال، إذ لم يخرج من عموم أدلّة التحريم إلّا اليهود و النصارى و المجوس، و كونهم منهم يحتاج إلى دليل؛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دخولهم فيهم يوجب الشكّ في شمول العموم لهم، فيبقى على 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الخارجين عن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يقابل الصابئة، فالصابئة لو كانت منهم فرضا نشكّ في شمول الخاصّ لهم، فيبقى تحت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الكتابي بين الذمّيّ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القائم بشرائط الذمة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الناقض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الأدلة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إشكال، لانصراف اليهود و النصارى إلى الذمّيّ؛ و اللّٰه العالم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أسلم زوج المرأة الكتابيّة و المجوسيّة بقي على نكاحه و إن لم يدخل بغير خلاف بين العلماء حتّى المانعين من نكاح الكتابي ابتداء، كما يظهر من غير واحد </w:t>
      </w:r>
      <w:r>
        <w:rPr>
          <w:rStyle w:val="FootnoteAnchor"/>
          <w:rtl w:val="true"/>
        </w:rPr>
        <w:footnoteReference w:id="1673"/>
      </w:r>
      <w:r>
        <w:rPr>
          <w:rFonts w:ascii="Amiri" w:hAnsi="Amiri" w:eastAsia="Amiri" w:cs="Amiri"/>
          <w:color w:val="111111"/>
          <w:sz w:val="28"/>
          <w:sz w:val="28"/>
          <w:szCs w:val="28"/>
          <w:rtl w:val="true"/>
          <w:lang w:bidi="ar-SA"/>
        </w:rPr>
        <w:t>و يدلّ عليه ما سيأتي في من أسلم على</w:t>
      </w:r>
      <w:bookmarkStart w:id="360" w:name="pg19718_239288"/>
    </w:p>
    <w:p>
      <w:pPr>
        <w:pStyle w:val="BookText"/>
        <w:rPr/>
      </w:pPr>
      <w:bookmarkEnd w:id="360"/>
      <w:r>
        <w:rPr>
          <w:rFonts w:ascii="Amiri" w:hAnsi="Amiri" w:eastAsia="Amiri" w:cs="Amiri"/>
          <w:color w:val="111111"/>
          <w:sz w:val="28"/>
          <w:sz w:val="28"/>
          <w:szCs w:val="28"/>
          <w:rtl w:val="true"/>
          <w:lang w:bidi="ar-SA"/>
        </w:rPr>
        <w:t>أكثر من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w:t>
      </w:r>
      <w:r>
        <w:rPr>
          <w:rStyle w:val="FootnoteAnchor"/>
          <w:rtl w:val="true"/>
        </w:rPr>
        <w:footnoteReference w:id="1674"/>
      </w:r>
      <w:r>
        <w:rPr>
          <w:rFonts w:ascii="Amiri" w:hAnsi="Amiri" w:eastAsia="Amiri" w:cs="Amiri"/>
          <w:color w:val="111111"/>
          <w:sz w:val="28"/>
          <w:sz w:val="28"/>
          <w:szCs w:val="28"/>
          <w:rtl w:val="true"/>
          <w:lang w:bidi="ar-SA"/>
        </w:rPr>
        <w:t>أسلمت المرأة دونه أي دون الرجل، فإن كان إسلامها</w:t>
      </w:r>
    </w:p>
    <w:p>
      <w:pPr>
        <w:pStyle w:val="Heading6"/>
        <w:numPr>
          <w:ilvl w:val="5"/>
          <w:numId w:val="1"/>
        </w:numPr>
        <w:rPr/>
      </w:pPr>
      <w:bookmarkStart w:id="361" w:name="__RefHeading___Toc1985990_2314609296"/>
      <w:bookmarkStart w:id="362" w:name="_Toc141"/>
      <w:bookmarkEnd w:id="361"/>
      <w:r>
        <w:rPr>
          <w:rtl w:val="true"/>
        </w:rPr>
        <w:t>[</w:t>
      </w:r>
      <w:r>
        <w:rPr>
          <w:rtl w:val="true"/>
        </w:rPr>
        <w:t>إذا ارتد المسلم بعد الدخول عن غير فطرة</w:t>
      </w:r>
      <w:r>
        <w:rPr>
          <w:rtl w:val="true"/>
        </w:rPr>
        <w:t>]</w:t>
      </w:r>
      <w:bookmarkEnd w:id="362"/>
    </w:p>
    <w:p>
      <w:pPr>
        <w:pStyle w:val="BookText"/>
        <w:rPr/>
      </w:pPr>
      <w:r>
        <w:rPr>
          <w:rFonts w:ascii="Amiri" w:hAnsi="Amiri" w:eastAsia="Amiri" w:cs="Amiri"/>
          <w:color w:val="111111"/>
          <w:sz w:val="28"/>
          <w:sz w:val="28"/>
          <w:szCs w:val="28"/>
          <w:rtl w:val="true"/>
          <w:lang w:bidi="ar-SA"/>
        </w:rPr>
        <w:t xml:space="preserve">قبل الدخول انفسخ النكاح </w:t>
      </w:r>
      <w:r>
        <w:rPr>
          <w:rStyle w:val="FootnoteAnchor"/>
          <w:rtl w:val="true"/>
        </w:rPr>
        <w:footnoteReference w:id="1675"/>
      </w:r>
      <w:r>
        <w:rPr>
          <w:rFonts w:ascii="Amiri" w:hAnsi="Amiri" w:eastAsia="Amiri" w:cs="Amiri"/>
          <w:color w:val="111111"/>
          <w:sz w:val="28"/>
          <w:sz w:val="28"/>
          <w:szCs w:val="28"/>
          <w:rtl w:val="true"/>
          <w:lang w:bidi="ar-SA"/>
        </w:rPr>
        <w:t xml:space="preserve">لحرمة نكاح الكافر على المسلمة وَ لَنْ يَجْعَلَ اللّٰهُ لِلْكٰافِرِينَ عَلَى الْمُؤْمِنِينَ سَبِيلًا </w:t>
      </w:r>
      <w:r>
        <w:rPr>
          <w:rStyle w:val="FootnoteAnchor"/>
          <w:rtl w:val="true"/>
        </w:rPr>
        <w:footnoteReference w:id="1676"/>
      </w:r>
      <w:r>
        <w:rPr>
          <w:rFonts w:ascii="Amiri" w:hAnsi="Amiri" w:eastAsia="Amiri" w:cs="Amiri"/>
          <w:color w:val="111111"/>
          <w:sz w:val="28"/>
          <w:sz w:val="28"/>
          <w:szCs w:val="28"/>
          <w:rtl w:val="true"/>
          <w:lang w:bidi="ar-SA"/>
        </w:rPr>
        <w:t>و لا عدّة عليها هنا حتّى يتوقّف الانفساخ على بقائه على الكفر حتّى تنقضي العدّة، كما فيما بعد الدخول و لا مهر لها أيضا، لأنّ الحدث جاء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الظاهر أنّه المعروف من مذهب الأصحاب، كما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 نصرانيّ تزوّج نصرانيّة فأسلمت قبل أن يدخل بها؟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انقطعت عصمتها و لا مهر لها و لا عدّة عليها منه</w:t>
      </w:r>
      <w:r>
        <w:rPr>
          <w:rFonts w:eastAsia="Amiri" w:cs="Amiri" w:ascii="Amiri" w:hAnsi="Amiri"/>
          <w:color w:val="111111"/>
          <w:sz w:val="28"/>
          <w:szCs w:val="28"/>
          <w:rtl w:val="true"/>
          <w:lang w:bidi="ar-SA"/>
        </w:rPr>
        <w:t xml:space="preserve">» </w:t>
      </w:r>
      <w:r>
        <w:rPr>
          <w:rStyle w:val="FootnoteAnchor"/>
          <w:rtl w:val="true"/>
        </w:rPr>
        <w:footnoteReference w:id="1677"/>
      </w:r>
      <w:r>
        <w:rPr>
          <w:rFonts w:ascii="Amiri" w:hAnsi="Amiri" w:eastAsia="Amiri" w:cs="Amiri"/>
          <w:color w:val="111111"/>
          <w:sz w:val="28"/>
          <w:sz w:val="28"/>
          <w:szCs w:val="28"/>
          <w:rtl w:val="true"/>
          <w:lang w:bidi="ar-SA"/>
        </w:rPr>
        <w:t xml:space="preserve">و في رواية السكوني وجوب نصف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الإسلام لم يزدها إلّا عزّا</w:t>
      </w:r>
      <w:r>
        <w:rPr>
          <w:rFonts w:eastAsia="Amiri" w:cs="Amiri" w:ascii="Amiri" w:hAnsi="Amiri"/>
          <w:color w:val="111111"/>
          <w:sz w:val="28"/>
          <w:szCs w:val="28"/>
          <w:rtl w:val="true"/>
          <w:lang w:bidi="ar-SA"/>
        </w:rPr>
        <w:t xml:space="preserve">» </w:t>
      </w:r>
      <w:r>
        <w:rPr>
          <w:rStyle w:val="FootnoteAnchor"/>
          <w:rtl w:val="true"/>
        </w:rPr>
        <w:footnoteReference w:id="1678"/>
      </w:r>
      <w:r>
        <w:rPr>
          <w:rFonts w:ascii="Amiri" w:hAnsi="Amiri" w:eastAsia="Amiri" w:cs="Amiri"/>
          <w:color w:val="111111"/>
          <w:sz w:val="28"/>
          <w:sz w:val="28"/>
          <w:szCs w:val="28"/>
          <w:rtl w:val="true"/>
          <w:lang w:bidi="ar-SA"/>
        </w:rPr>
        <w:t>، و 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إسلامها بعده أي بعد الدخول تنتظر العدّة عدة الطلاق فإن أسلم فالزوجيّة باقية، و إلّا بطلت من حين إسلامها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المهر</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الحكم في غير الزوج الكتابيّ و المجوسيّ ممّا لا خلاف فيه ظاهرا، كما يظهر من جماعة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الكتابيّ و المجوسيّ، فحكمه أيضا كذلك عند المشهور، بل عن الشيخ في الخلاف دعوى الوفاق </w:t>
      </w:r>
      <w:r>
        <w:rPr>
          <w:rStyle w:val="FootnoteAnchor"/>
          <w:rtl w:val="true"/>
        </w:rPr>
        <w:footnoteReference w:id="1681"/>
      </w:r>
      <w:r>
        <w:rPr>
          <w:rFonts w:ascii="Amiri" w:hAnsi="Amiri" w:eastAsia="Amiri" w:cs="Amiri"/>
          <w:color w:val="111111"/>
          <w:sz w:val="28"/>
          <w:sz w:val="28"/>
          <w:szCs w:val="28"/>
          <w:rtl w:val="true"/>
          <w:lang w:bidi="ar-SA"/>
        </w:rPr>
        <w:t xml:space="preserve">و لكنّه خالفه في التهذيبين </w:t>
      </w:r>
      <w:r>
        <w:rPr>
          <w:rStyle w:val="FootnoteAnchor"/>
          <w:rtl w:val="true"/>
        </w:rPr>
        <w:footnoteReference w:id="1682"/>
      </w:r>
      <w:r>
        <w:rPr>
          <w:rFonts w:ascii="Amiri" w:hAnsi="Amiri" w:eastAsia="Amiri" w:cs="Amiri"/>
          <w:color w:val="111111"/>
          <w:sz w:val="28"/>
          <w:sz w:val="28"/>
          <w:szCs w:val="28"/>
          <w:rtl w:val="true"/>
          <w:lang w:bidi="ar-SA"/>
        </w:rPr>
        <w:t xml:space="preserve">و النهاية </w:t>
      </w:r>
      <w:r>
        <w:rPr>
          <w:rStyle w:val="FootnoteAnchor"/>
          <w:rtl w:val="true"/>
        </w:rPr>
        <w:footnoteReference w:id="1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ببقاء النكاح و إن لم يسلم الكتابي، إلّا أنّه لا يقربها و لا يمكّن من الخلوة بها، لرواية محمّد بن مسلم و فيها إرسال لكن عن ابن أبي عمير </w:t>
      </w:r>
      <w:r>
        <w:rPr>
          <w:rStyle w:val="FootnoteAnchor"/>
          <w:rtl w:val="true"/>
        </w:rPr>
        <w:footnoteReference w:id="1684"/>
      </w:r>
      <w:r>
        <w:rPr>
          <w:rFonts w:ascii="Amiri" w:hAnsi="Amiri" w:eastAsia="Amiri" w:cs="Amiri"/>
          <w:color w:val="111111"/>
          <w:sz w:val="28"/>
          <w:sz w:val="28"/>
          <w:szCs w:val="28"/>
          <w:rtl w:val="true"/>
          <w:lang w:bidi="ar-SA"/>
        </w:rPr>
        <w:t xml:space="preserve">، و مرسلة جميل بن درّاج </w:t>
      </w:r>
      <w:r>
        <w:rPr>
          <w:rStyle w:val="FootnoteAnchor"/>
          <w:rtl w:val="true"/>
        </w:rPr>
        <w:footnoteReference w:id="1685"/>
      </w:r>
      <w:r>
        <w:rPr>
          <w:rFonts w:ascii="Amiri" w:hAnsi="Amiri" w:eastAsia="Amiri" w:cs="Amiri"/>
          <w:color w:val="111111"/>
          <w:sz w:val="28"/>
          <w:sz w:val="28"/>
          <w:szCs w:val="28"/>
          <w:rtl w:val="true"/>
          <w:lang w:bidi="ar-SA"/>
        </w:rPr>
        <w:t>و فيها عليّ بن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أسلم أحد الحربيّين قبل الدخول انفسخ العقد و لو كان المسلم هو الزوج، لعدم جواز نكاح غير الكتابيّة ابتداء و لا استدامة إجماعا </w:t>
      </w:r>
      <w:r>
        <w:rPr>
          <w:rStyle w:val="FootnoteAnchor"/>
          <w:rtl w:val="true"/>
        </w:rPr>
        <w:footnoteReference w:id="1686"/>
      </w:r>
      <w:r>
        <w:rPr>
          <w:rFonts w:ascii="Amiri" w:hAnsi="Amiri" w:eastAsia="Amiri" w:cs="Amiri"/>
          <w:color w:val="111111"/>
          <w:sz w:val="28"/>
          <w:sz w:val="28"/>
          <w:szCs w:val="28"/>
          <w:rtl w:val="true"/>
          <w:lang w:bidi="ar-SA"/>
        </w:rPr>
        <w:t>و عليه نصف المهر إن كان الإسلام منه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جميع المهر لثبوته بالعقد، و لا دليل على سقوطه، و إلحاقه بالطلاق قياس </w:t>
      </w:r>
      <w:r>
        <w:rPr>
          <w:rStyle w:val="FootnoteAnchor"/>
          <w:rtl w:val="true"/>
        </w:rPr>
        <w:footnoteReference w:id="1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يكن الإسلام منه بل كان الإسلام منها فلا شي‌ء لما تقدّم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إسلام أحدهما بعده أي بعد الدخول تنتظر العدّة فإن أسلم الآخر بقي النّكاح، و إلّا يسلم انفسخ بلا خلاف ظاهرا،</w:t>
      </w:r>
    </w:p>
    <w:p>
      <w:pPr>
        <w:pStyle w:val="BookText"/>
        <w:rPr/>
      </w:pPr>
      <w:r>
        <w:rPr>
          <w:rFonts w:ascii="Amiri" w:hAnsi="Amiri" w:eastAsia="Amiri" w:cs="Amiri"/>
          <w:color w:val="111111"/>
          <w:sz w:val="28"/>
          <w:sz w:val="28"/>
          <w:szCs w:val="28"/>
          <w:rtl w:val="true"/>
          <w:lang w:bidi="ar-SA"/>
        </w:rPr>
        <w:t xml:space="preserve">كما صرّح به في الرياض، و فيه أنّه حكي عليه الإجماع </w:t>
      </w:r>
      <w:r>
        <w:rPr>
          <w:rStyle w:val="FootnoteAnchor"/>
          <w:rtl w:val="true"/>
        </w:rPr>
        <w:footnoteReference w:id="1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حكم المسألة مع إسلام المرأة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 لثبوته مع العكس بالإجماع و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عن ابن أبي عمير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تقدير عليه المهر لاستقراره بالدخول و إن كان الإسلام من المرأة لأنّ مطلق تفويت البضع لا يوجب الضمان؛ و لهذا لو قتلت نفسها لم يسقط مهرها؛ و كذا لا يضمن المهر من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انتقلت زوجة الذمّي الذميّة إلى غير الإسلام انفسخ النكاح </w:t>
      </w:r>
      <w:r>
        <w:rPr>
          <w:rStyle w:val="FootnoteAnchor"/>
          <w:rtl w:val="true"/>
        </w:rPr>
        <w:footnoteReference w:id="1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عادت</w:t>
      </w:r>
      <w:r>
        <w:rPr>
          <w:rFonts w:eastAsia="IRNazanin" w:cs="IRNazanin"/>
          <w:color w:val="111111"/>
          <w:sz w:val="28"/>
          <w:szCs w:val="28"/>
          <w:rtl w:val="true"/>
          <w:lang w:bidi="fa-IR"/>
        </w:rPr>
        <w:t xml:space="preserve">] </w:t>
      </w:r>
      <w:r>
        <w:rPr>
          <w:rStyle w:val="FootnoteAnchor"/>
          <w:rtl w:val="true"/>
        </w:rPr>
        <w:footnoteReference w:id="1691"/>
      </w:r>
      <w:r>
        <w:rPr>
          <w:rFonts w:ascii="Amiri" w:hAnsi="Amiri" w:eastAsia="Amiri" w:cs="Amiri"/>
          <w:color w:val="111111"/>
          <w:sz w:val="28"/>
          <w:sz w:val="28"/>
          <w:szCs w:val="28"/>
          <w:rtl w:val="true"/>
          <w:lang w:bidi="ar-SA"/>
        </w:rPr>
        <w:t>في الحال،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مَنْ يَبْتَغِ غَيْرَ الْإِسْلٰامِ دِيناً فَلَنْ يُقْبَلَ مِنْهُ </w:t>
      </w:r>
      <w:r>
        <w:rPr>
          <w:rStyle w:val="FootnoteAnchor"/>
          <w:rtl w:val="true"/>
        </w:rPr>
        <w:footnoteReference w:id="1692"/>
      </w:r>
      <w:r>
        <w:rPr>
          <w:rFonts w:ascii="Amiri" w:hAnsi="Amiri" w:eastAsia="Amiri" w:cs="Amiri"/>
          <w:color w:val="111111"/>
          <w:sz w:val="28"/>
          <w:sz w:val="28"/>
          <w:szCs w:val="28"/>
          <w:rtl w:val="true"/>
          <w:lang w:bidi="ar-SA"/>
        </w:rPr>
        <w:t>و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 xml:space="preserve">» </w:t>
      </w:r>
      <w:r>
        <w:rPr>
          <w:rStyle w:val="FootnoteAnchor"/>
          <w:rtl w:val="true"/>
        </w:rPr>
        <w:footnoteReference w:id="1693"/>
      </w:r>
      <w:r>
        <w:rPr>
          <w:rFonts w:ascii="Amiri" w:hAnsi="Amiri" w:eastAsia="Amiri" w:cs="Amiri"/>
          <w:color w:val="111111"/>
          <w:sz w:val="28"/>
          <w:sz w:val="28"/>
          <w:szCs w:val="28"/>
          <w:rtl w:val="true"/>
          <w:lang w:bidi="ar-SA"/>
        </w:rPr>
        <w:t>فيجب عليه بعد التبديل القتل، أو تدخل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تنظّر في ذلك في المسالك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أن تنتقل إلى دين يصحّ عندهم التناكح فيه، فلا ينفسخ ما دامت حيّة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 قتلت فالانفساخ بالقتل لا بالانتقال، و إن أسلمت</w:t>
      </w:r>
    </w:p>
    <w:p>
      <w:pPr>
        <w:pStyle w:val="BookText"/>
        <w:rPr/>
      </w:pPr>
      <w:r>
        <w:rPr>
          <w:rFonts w:ascii="Amiri" w:hAnsi="Amiri" w:eastAsia="Amiri" w:cs="Amiri"/>
          <w:color w:val="111111"/>
          <w:sz w:val="28"/>
          <w:sz w:val="28"/>
          <w:szCs w:val="28"/>
          <w:rtl w:val="true"/>
          <w:lang w:bidi="ar-SA"/>
        </w:rPr>
        <w:t xml:space="preserve">فينبغي هنا مراعاة انقضاء العدّة و عدمه إذا كان بعد الدخول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تقدير لا يعدّ الفسخ الحاصل باختلاف الدين طلاقا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قبل الدخول من المرأة، فلا مهر كما تقدّم و إن كان من الرجل فعليه من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و قد تقدّم </w:t>
      </w:r>
      <w:r>
        <w:rPr>
          <w:rStyle w:val="FootnoteAnchor"/>
          <w:rtl w:val="true"/>
        </w:rPr>
        <w:footnoteReference w:id="1696"/>
      </w:r>
      <w:r>
        <w:rPr>
          <w:rFonts w:ascii="Amiri" w:hAnsi="Amiri" w:eastAsia="Amiri" w:cs="Amiri"/>
          <w:color w:val="111111"/>
          <w:sz w:val="28"/>
          <w:sz w:val="28"/>
          <w:szCs w:val="28"/>
          <w:rtl w:val="true"/>
          <w:lang w:bidi="ar-SA"/>
        </w:rPr>
        <w:t xml:space="preserve">أنّه محلّ نظر و خلاف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بعد الدخول فالمسمّى من أيّهما كان موجب الفسخ، لاستقراره بالدخول و لو كان المهر المسمّى فاسدا فمهر المثل مع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أسلم قبله فعليه المتعة حملا له على طلاق المفوّضة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لعدم كونه </w:t>
      </w:r>
      <w:r>
        <w:rPr>
          <w:rStyle w:val="FootnoteAnchor"/>
          <w:rtl w:val="true"/>
        </w:rPr>
        <w:footnoteReference w:id="1698"/>
      </w:r>
      <w:r>
        <w:rPr>
          <w:rFonts w:ascii="Amiri" w:hAnsi="Amiri" w:eastAsia="Amiri" w:cs="Amiri"/>
          <w:color w:val="111111"/>
          <w:sz w:val="28"/>
          <w:sz w:val="28"/>
          <w:szCs w:val="28"/>
          <w:rtl w:val="true"/>
          <w:lang w:bidi="ar-SA"/>
        </w:rPr>
        <w:t>طلاقا، و لا المرأة مفوّضة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ارتدّ من الزوجين أحدهما قبل الدخول انفسخ العقد في الحال لأنّ المرتدّ إن كان هو الزوج فلن يجعل اللّٰه للكافرين على المؤمنين سبيلا، و إن كانت الزوجة فلا يجوز البقاء على نكاح غير الكتابيّة و المجوسيّة إجماعا </w:t>
      </w:r>
      <w:r>
        <w:rPr>
          <w:rStyle w:val="FootnoteAnchor"/>
          <w:rtl w:val="true"/>
        </w:rPr>
        <w:footnoteReference w:id="1699"/>
      </w:r>
      <w:r>
        <w:rPr>
          <w:rFonts w:ascii="Amiri" w:hAnsi="Amiri" w:eastAsia="Amiri" w:cs="Amiri"/>
          <w:color w:val="111111"/>
          <w:sz w:val="28"/>
          <w:sz w:val="28"/>
          <w:szCs w:val="28"/>
          <w:rtl w:val="true"/>
          <w:lang w:bidi="ar-SA"/>
        </w:rPr>
        <w:t>و لا عدّة قبل الدخول حتّى ينتظر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فإن كان الارتداد من الزوجة </w:t>
      </w:r>
      <w:r>
        <w:rPr>
          <w:rStyle w:val="FootnoteAnchor"/>
          <w:rtl w:val="true"/>
        </w:rPr>
        <w:footnoteReference w:id="1700"/>
      </w:r>
      <w:r>
        <w:rPr>
          <w:rFonts w:ascii="Amiri" w:hAnsi="Amiri" w:eastAsia="Amiri" w:cs="Amiri"/>
          <w:color w:val="111111"/>
          <w:sz w:val="28"/>
          <w:sz w:val="28"/>
          <w:szCs w:val="28"/>
          <w:rtl w:val="true"/>
          <w:lang w:bidi="ar-SA"/>
        </w:rPr>
        <w:t xml:space="preserve">فلا مهر لها؛ لأنّ الحدث جاء من قبلها و إلّا يكن منها كان على الزوج المرتدّ نصفه إلحاقا له بالطلاق، كما تقدّم، مع النظر فيه و الخلاف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ارتداد أحدهما بعد الدخول فالجميع لازم لها لاستقراره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ينفسخ العقد في الحال إن كان المرتدّ هو الزوج و كان ارتداده عن فطرة لعدم قبول الإسلام منه </w:t>
      </w:r>
      <w:r>
        <w:rPr>
          <w:rStyle w:val="FootnoteAnchor"/>
          <w:rtl w:val="true"/>
        </w:rPr>
        <w:footnoteReference w:id="1702"/>
      </w:r>
      <w:r>
        <w:rPr>
          <w:rFonts w:ascii="Amiri" w:hAnsi="Amiri" w:eastAsia="Amiri" w:cs="Amiri"/>
          <w:color w:val="111111"/>
          <w:sz w:val="28"/>
          <w:sz w:val="28"/>
          <w:szCs w:val="28"/>
          <w:rtl w:val="true"/>
          <w:lang w:bidi="ar-SA"/>
        </w:rPr>
        <w:t>حتّى ينتظر العدّة، كما في غيره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ارتداده عن غيرها، أو كانت المرتدّة هي الزوجة وقف الانفساخ على انقضاء العدّة مع بقاء المرتدّ منهما </w:t>
      </w:r>
      <w:r>
        <w:rPr>
          <w:rStyle w:val="FootnoteAnchor"/>
          <w:rtl w:val="true"/>
        </w:rPr>
        <w:footnoteReference w:id="1703"/>
      </w:r>
      <w:r>
        <w:rPr>
          <w:rFonts w:ascii="IRNazanin" w:hAnsi="IRNazanin" w:eastAsia="IRNazanin"/>
          <w:color w:val="111111"/>
          <w:sz w:val="28"/>
          <w:sz w:val="28"/>
          <w:szCs w:val="28"/>
          <w:rtl w:val="true"/>
          <w:lang w:bidi="fa-IR"/>
        </w:rPr>
        <w:t>على ارتداده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الحكم و إن خلا عن النصّ، بل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البينونة بمجرّد الردّة </w:t>
      </w:r>
      <w:r>
        <w:rPr>
          <w:rStyle w:val="FootnoteAnchor"/>
          <w:rtl w:val="true"/>
        </w:rPr>
        <w:footnoteReference w:id="1704"/>
      </w:r>
      <w:r>
        <w:rPr>
          <w:rFonts w:ascii="Amiri" w:hAnsi="Amiri" w:eastAsia="Amiri" w:cs="Amiri"/>
          <w:color w:val="111111"/>
          <w:sz w:val="28"/>
          <w:sz w:val="28"/>
          <w:szCs w:val="28"/>
          <w:rtl w:val="true"/>
          <w:lang w:bidi="ar-SA"/>
        </w:rPr>
        <w:t xml:space="preserve">إلّا أنّ وقوفه على انقضاء العدّة الظاهر أنّه ممّا لا خلاف فيه، و صرّح به في الرياض و حكى التصريح بالاتّفاق عن بعض </w:t>
      </w:r>
      <w:r>
        <w:rPr>
          <w:rStyle w:val="FootnoteAnchor"/>
          <w:rtl w:val="true"/>
        </w:rPr>
        <w:footnoteReference w:id="1705"/>
      </w:r>
      <w:r>
        <w:rPr>
          <w:rFonts w:ascii="Amiri" w:hAnsi="Amiri" w:eastAsia="Amiri" w:cs="Amiri"/>
          <w:color w:val="111111"/>
          <w:sz w:val="28"/>
          <w:sz w:val="28"/>
          <w:szCs w:val="28"/>
          <w:rtl w:val="true"/>
          <w:lang w:bidi="ar-SA"/>
        </w:rPr>
        <w:t>مضافا إلى أنّ الأصل بقاء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وطأها الزوج لشبهة في العدّة،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مهران </w:t>
      </w:r>
      <w:r>
        <w:rPr>
          <w:rStyle w:val="FootnoteAnchor"/>
          <w:rtl w:val="true"/>
        </w:rPr>
        <w:footnoteReference w:id="1706"/>
      </w:r>
      <w:r>
        <w:rPr>
          <w:rFonts w:ascii="Amiri" w:hAnsi="Amiri" w:eastAsia="Amiri" w:cs="Amiri"/>
          <w:color w:val="111111"/>
          <w:sz w:val="28"/>
          <w:sz w:val="28"/>
          <w:szCs w:val="28"/>
          <w:rtl w:val="true"/>
          <w:lang w:bidi="ar-SA"/>
        </w:rPr>
        <w:t xml:space="preserve">كما لو وطأ مطلّقة في العدّة البائنة؛ هذا، مع عدم الإسلام في العدّة، فيكشف ذلك عن بينونتها من حين الردّة فتكون أجنبيّة كالمطلّقة </w:t>
      </w:r>
      <w:r>
        <w:rPr>
          <w:rStyle w:val="FootnoteAnchor"/>
          <w:rtl w:val="true"/>
        </w:rPr>
        <w:footnoteReference w:id="1707"/>
      </w:r>
      <w:r>
        <w:rPr>
          <w:rFonts w:ascii="Amiri" w:hAnsi="Amiri" w:eastAsia="Amiri" w:cs="Amiri"/>
          <w:color w:val="111111"/>
          <w:sz w:val="28"/>
          <w:sz w:val="28"/>
          <w:szCs w:val="28"/>
          <w:rtl w:val="true"/>
          <w:lang w:bidi="ar-SA"/>
        </w:rPr>
        <w:t xml:space="preserve">و فيه نظر لأنّها بحكم الزوجة و لهذا لا يحتاج إلى تجديد نكاح بعد الإسلام، فليست كالمطلّقة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ارتدّ الوثني و أسلمت في العدة ثم رجع فيها فهو أحق، و إلّا فلا، و لو أسلم دون الوثنية فلا نفقة لها في العدة إلّا أن تسلم، و لو أسلمت دونه فعليه نفقة العدة، فإن اختلفا في السابق قدّم قول الزوج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إجبار الذميّة على الغسل، بل على إزالة المنفّر، و على المنع من الخروج إلى الكنائس، و شرب الخمر، و أكل الخنزير، و استعمال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أسلما لم يبحث عن شرط نكاحهما، إلّا أن يتزوجها في العدة و يسلما أو أحدهما قبل انقضائها، و لا نقرّهم على ما هو فاسد عندهم، إلّا أن يكون صحيحا عندنا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طلّقها كافر ثلاثا ثم أسلم افتقر إلى المحلّل</w:t>
      </w:r>
      <w:r>
        <w:rPr>
          <w:rFonts w:eastAsia="Amiri" w:cs="Amiri" w:ascii="Amiri" w:hAnsi="Amiri"/>
          <w:color w:val="111111"/>
          <w:sz w:val="28"/>
          <w:szCs w:val="28"/>
          <w:rtl w:val="true"/>
          <w:lang w:bidi="ar-SA"/>
        </w:rPr>
        <w:t xml:space="preserve">]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bookmarkStart w:id="363" w:name="pg19718_239294"/>
    </w:p>
    <w:p>
      <w:pPr>
        <w:pStyle w:val="Heading6"/>
        <w:numPr>
          <w:ilvl w:val="5"/>
          <w:numId w:val="1"/>
        </w:numPr>
        <w:rPr/>
      </w:pPr>
      <w:bookmarkStart w:id="364" w:name="__RefHeading___Toc1985992_2314609296"/>
      <w:bookmarkStart w:id="365" w:name="_Toc142"/>
      <w:bookmarkEnd w:id="363"/>
      <w:bookmarkEnd w:id="364"/>
      <w:r>
        <w:rPr>
          <w:rtl w:val="true"/>
        </w:rPr>
        <w:t>البحث الثاني في حكم الزائد على العدد</w:t>
      </w:r>
      <w:bookmarkEnd w:id="365"/>
    </w:p>
    <w:p>
      <w:pPr>
        <w:pStyle w:val="Heading6"/>
        <w:numPr>
          <w:ilvl w:val="5"/>
          <w:numId w:val="1"/>
        </w:numPr>
        <w:rPr/>
      </w:pPr>
      <w:bookmarkStart w:id="366" w:name="__RefHeading___Toc1985994_2314609296"/>
      <w:bookmarkStart w:id="367" w:name="_Toc143"/>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 xml:space="preserve">البحث الثاني </w:t>
      </w:r>
      <w:r>
        <w:rPr>
          <w:rStyle w:val="FootnoteAnchor"/>
          <w:rtl w:val="true"/>
        </w:rPr>
        <w:footnoteReference w:id="1710"/>
      </w:r>
      <w:r>
        <w:rPr>
          <w:rFonts w:ascii="Amiri" w:hAnsi="Amiri" w:eastAsia="Amiri" w:cs="Amiri"/>
          <w:color w:val="111111"/>
          <w:sz w:val="28"/>
          <w:sz w:val="28"/>
          <w:szCs w:val="28"/>
          <w:rtl w:val="true"/>
          <w:lang w:bidi="ar-SA"/>
        </w:rPr>
        <w:t>في حكم الزائد على العدد</w:t>
      </w:r>
    </w:p>
    <w:p>
      <w:pPr>
        <w:pStyle w:val="BookText"/>
        <w:rPr/>
      </w:pPr>
      <w:r>
        <w:rPr>
          <w:rFonts w:ascii="Amiri" w:hAnsi="Amiri" w:eastAsia="Amiri" w:cs="Amiri"/>
          <w:color w:val="111111"/>
          <w:sz w:val="28"/>
          <w:sz w:val="28"/>
          <w:szCs w:val="28"/>
          <w:rtl w:val="true"/>
          <w:lang w:bidi="ar-SA"/>
        </w:rPr>
        <w:t>إذا أسلم الذمّي على أكثر من أربع تخيّر أربع حرائر أو حرتين و أمتين، و العبد يتخيّر حرتين أو حرة و أمتين أو أربع إماء، و يندفع نكاح البواقي من غير طلاق، و لو لم يزدن على العدد الشرعي ثبت عقده عليهن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أسلم عن مدخول بها و بنتها حرمتا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لم يدخل بهما حرمت الأمّ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عن أختين تخيّر أيتهما شاء، أو عن امرأة و عمّتها أو خالتها، إذا لم تجيزا، و لو أجازتا صحّ الجمع، و كذا عن حرة 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عن أزيد من أربع و ثنيّات فسبق إسلام أربع في العدة كان له التربّص، فإن انقضت و لم يزدن ثبت عقده عليهنّ و لا خيار، و إن لحق به في العدة غيرهنّ كان له اختيار من شاء من السابق و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العبد عن أكثر من حرتين و ثنيّات، فأسلم معه اثنتان، ثم أعتق و لحق به الباقي في العدة، تخيّر اثنتين لا أزيد، من السابق أو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تقدّم عتقه على إسلامه تخيّر أربعا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أسلم عن أربع مدخول بهنّ لم يكن له العقد على خامسة، و لا على</w:t>
      </w:r>
      <w:bookmarkStart w:id="368" w:name="pg19718_239295"/>
    </w:p>
    <w:p>
      <w:pPr>
        <w:pStyle w:val="BookText"/>
        <w:rPr/>
      </w:pPr>
      <w:bookmarkEnd w:id="368"/>
      <w:r>
        <w:rPr>
          <w:rFonts w:ascii="Amiri" w:hAnsi="Amiri" w:eastAsia="Amiri" w:cs="Amiri"/>
          <w:color w:val="111111"/>
          <w:sz w:val="28"/>
          <w:sz w:val="28"/>
          <w:szCs w:val="28"/>
          <w:rtl w:val="true"/>
          <w:lang w:bidi="ar-SA"/>
        </w:rPr>
        <w:t>أخت إحداهنّ إلّا بعد العدة و بقائهنّ على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أسلمت الوثنيّة فتزوج بأختها و مضت العدة على كفره ثبت عقده، فإن أسلم فيها 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يبطل الاختيار بموتهن، فإن اختار أربعا ورثهن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بعدهن قبل الاختيار أقرع</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1985996_2314609296"/>
      <w:bookmarkStart w:id="370" w:name="_Toc144"/>
      <w:bookmarkEnd w:id="369"/>
      <w:r>
        <w:rPr>
          <w:rtl w:val="true"/>
        </w:rPr>
        <w:t>[</w:t>
      </w:r>
      <w:r>
        <w:rPr>
          <w:rtl w:val="true"/>
        </w:rPr>
        <w:t>لو مات الزوج قبلهنّ فعليهنّ جمع العدة</w:t>
      </w:r>
      <w:r>
        <w:rPr>
          <w:rtl w:val="true"/>
        </w:rPr>
        <w:t>]</w:t>
      </w:r>
      <w:bookmarkEnd w:id="370"/>
    </w:p>
    <w:p>
      <w:pPr>
        <w:pStyle w:val="BookText"/>
        <w:rPr/>
      </w:pPr>
      <w:r>
        <w:rPr>
          <w:rFonts w:ascii="Amiri" w:hAnsi="Amiri" w:eastAsia="Amiri" w:cs="Amiri"/>
          <w:color w:val="111111"/>
          <w:sz w:val="28"/>
          <w:sz w:val="28"/>
          <w:szCs w:val="28"/>
          <w:rtl w:val="true"/>
          <w:lang w:bidi="ar-SA"/>
        </w:rPr>
        <w:t>و لو مات قبلهنّ فعليهنّ جمع العدة، و ترثه أربع منهن، و توقف حصة الزوجات حتى يصطلحن أو يقرع أو يشرّك بينهن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قبل إسلامهنّ لم يرثن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النفقة على المسلمات في العدة حتى يختار، و كذا لو أسلمن قبله</w:t>
      </w:r>
      <w:bookmarkStart w:id="371" w:name="pg19718_239296"/>
    </w:p>
    <w:p>
      <w:pPr>
        <w:pStyle w:val="Heading6"/>
        <w:numPr>
          <w:ilvl w:val="5"/>
          <w:numId w:val="1"/>
        </w:numPr>
        <w:rPr/>
      </w:pPr>
      <w:bookmarkStart w:id="372" w:name="__RefHeading___Toc1985998_2314609296"/>
      <w:bookmarkStart w:id="373" w:name="_Toc145"/>
      <w:bookmarkEnd w:id="371"/>
      <w:bookmarkEnd w:id="372"/>
      <w:r>
        <w:rPr>
          <w:rtl w:val="true"/>
        </w:rPr>
        <w:t>خاتمة</w:t>
      </w:r>
      <w:bookmarkEnd w:id="373"/>
    </w:p>
    <w:p>
      <w:pPr>
        <w:pStyle w:val="Heading6"/>
        <w:numPr>
          <w:ilvl w:val="5"/>
          <w:numId w:val="1"/>
        </w:numPr>
        <w:rPr/>
      </w:pPr>
      <w:bookmarkStart w:id="374" w:name="__RefHeading___Toc1986000_2314609296"/>
      <w:bookmarkStart w:id="375" w:name="_Toc146"/>
      <w:bookmarkEnd w:id="374"/>
      <w:r>
        <w:rPr>
          <w:rtl w:val="true"/>
        </w:rPr>
        <w:t>[</w:t>
      </w:r>
      <w:r>
        <w:rPr>
          <w:rtl w:val="true"/>
        </w:rPr>
        <w:t>مسألة الاختيار قد يكون بالقول و قد يكون بالفعل</w:t>
      </w:r>
      <w:r>
        <w:rPr>
          <w:rtl w:val="true"/>
        </w:rPr>
        <w:t>]</w:t>
      </w:r>
      <w:bookmarkEnd w:id="375"/>
    </w:p>
    <w:p>
      <w:pPr>
        <w:pStyle w:val="BookText"/>
        <w:rPr/>
      </w:pPr>
      <w:r>
        <w:rPr>
          <w:rFonts w:ascii="Amiri" w:hAnsi="Amiri" w:eastAsia="Amiri" w:cs="Amiri"/>
          <w:color w:val="111111"/>
          <w:sz w:val="28"/>
          <w:sz w:val="28"/>
          <w:szCs w:val="28"/>
          <w:rtl w:val="true"/>
          <w:lang w:bidi="ar-SA"/>
        </w:rPr>
        <w:t xml:space="preserve">خاتمة </w:t>
      </w:r>
      <w:r>
        <w:rPr>
          <w:rStyle w:val="FootnoteAnchor"/>
          <w:rtl w:val="true"/>
        </w:rPr>
        <w:footnoteReference w:id="1711"/>
      </w:r>
    </w:p>
    <w:p>
      <w:pPr>
        <w:pStyle w:val="BookText"/>
        <w:rPr/>
      </w:pPr>
      <w:r>
        <w:rPr>
          <w:rFonts w:ascii="Amiri" w:hAnsi="Amiri" w:eastAsia="Amiri" w:cs="Amiri"/>
          <w:color w:val="111111"/>
          <w:sz w:val="28"/>
          <w:sz w:val="28"/>
          <w:szCs w:val="28"/>
          <w:rtl w:val="true"/>
          <w:lang w:bidi="ar-SA"/>
        </w:rPr>
        <w:t>الاختيار إمّا بالقول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اخترتك أو أمسكتك، و إمّا بالفعل كالوطء أو التقبيل و اللّمس بشهوة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طلّق فهو اختيار و طلّقت، دون الظهار و 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اختار مرتّبا ما زاد على أربع ثبت نكاح الأربع الأوّل و بطل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علّق اختيار النكاح أو الفراق بشرط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حصرت المختارات في ست من العشرة انحصرن، و لو بقي بعد العشرة</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1986002_2314609296"/>
      <w:bookmarkStart w:id="377" w:name="_Toc147"/>
      <w:bookmarkEnd w:id="376"/>
      <w:r>
        <w:rPr>
          <w:rtl w:val="true"/>
        </w:rPr>
        <w:t>[</w:t>
      </w:r>
      <w:r>
        <w:rPr>
          <w:rtl w:val="true"/>
        </w:rPr>
        <w:t>مسألة إذا أسلم عن أكثر من أربع فأسلمن</w:t>
      </w:r>
      <w:r>
        <w:rPr>
          <w:rtl w:val="true"/>
        </w:rPr>
        <w:t>]</w:t>
      </w:r>
      <w:bookmarkEnd w:id="37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بقي بعد الأربع المسلمات أربع وثنيات فاختار المسلمات للنكاح صحّ، و إن اختارهنّ للفرقة لم يصح، و يحتمل الصحة موقوفا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لو أسلمت ثمانية على ترادف و هو يخاطب كلّ واحدة بالفسخ عند إسلامها، تعيّن الفسخ في المتأخرات، و على الثاني في المتقدمات، و يحبس الزوج على التعيين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 على أربع كتابيات و أربع مسلمات لم يوقف شي‌ء، و كذا لو قال للكتابية و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إحداكما طالق، و مات قبل التعيين</w:t>
      </w:r>
      <w:bookmarkStart w:id="378" w:name="pg19718_239298"/>
    </w:p>
    <w:p>
      <w:pPr>
        <w:pStyle w:val="Heading5"/>
        <w:numPr>
          <w:ilvl w:val="4"/>
          <w:numId w:val="1"/>
        </w:numPr>
        <w:rPr/>
      </w:pPr>
      <w:bookmarkStart w:id="379" w:name="__RefHeading___Toc1986004_2314609296"/>
      <w:bookmarkStart w:id="380" w:name="_Toc148"/>
      <w:bookmarkEnd w:id="378"/>
      <w:bookmarkEnd w:id="379"/>
      <w:r>
        <w:rPr>
          <w:rtl w:val="true"/>
        </w:rPr>
        <w:t>الباب الثالث</w:t>
      </w:r>
      <w:r>
        <w:rPr>
          <w:rtl w:val="true"/>
        </w:rPr>
        <w:t xml:space="preserve">: </w:t>
      </w:r>
      <w:r>
        <w:rPr>
          <w:rtl w:val="true"/>
        </w:rPr>
        <w:t>العقد و الوطء</w:t>
      </w:r>
      <w:bookmarkEnd w:id="380"/>
    </w:p>
    <w:p>
      <w:pPr>
        <w:pStyle w:val="Heading6"/>
        <w:numPr>
          <w:ilvl w:val="5"/>
          <w:numId w:val="1"/>
        </w:numPr>
        <w:rPr/>
      </w:pPr>
      <w:bookmarkStart w:id="381" w:name="__RefHeading___Toc1986006_2314609296"/>
      <w:bookmarkStart w:id="382" w:name="_Toc149"/>
      <w:bookmarkEnd w:id="381"/>
      <w:r>
        <w:rPr>
          <w:rtl w:val="true"/>
        </w:rPr>
        <w:t>اشارة</w:t>
      </w:r>
      <w:bookmarkEnd w:id="38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w:t>
      </w:r>
      <w:r>
        <w:rPr>
          <w:rStyle w:val="FootnoteAnchor"/>
          <w:rtl w:val="true"/>
        </w:rPr>
        <w:footnoteReference w:id="1712"/>
      </w:r>
      <w:r>
        <w:rPr>
          <w:rFonts w:ascii="Amiri" w:hAnsi="Amiri" w:eastAsia="Amiri" w:cs="Amiri"/>
          <w:color w:val="111111"/>
          <w:sz w:val="28"/>
          <w:sz w:val="28"/>
          <w:szCs w:val="28"/>
          <w:rtl w:val="true"/>
          <w:lang w:bidi="ar-SA"/>
        </w:rPr>
        <w:t xml:space="preserve">عقد الحرّ غبطة أي دواما على أربع حرائر أو حرّتين و أمتين حرم الزائد إجماعا على الظاهر، كما يظهر من جماعة </w:t>
      </w:r>
      <w:r>
        <w:rPr>
          <w:rStyle w:val="FootnoteAnchor"/>
          <w:rtl w:val="true"/>
        </w:rPr>
        <w:footnoteReference w:id="1713"/>
      </w:r>
      <w:r>
        <w:rPr>
          <w:rFonts w:ascii="Amiri" w:hAnsi="Amiri" w:eastAsia="Amiri" w:cs="Amiri"/>
          <w:color w:val="111111"/>
          <w:sz w:val="28"/>
          <w:sz w:val="28"/>
          <w:szCs w:val="28"/>
          <w:rtl w:val="true"/>
          <w:lang w:bidi="ar-SA"/>
        </w:rPr>
        <w:t>و به روايات كحسنة زرارة و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جمع الرجل أربعا فطلّق إحداهنّ فلا يتزوّج الخامسة حتّى تنقضي عدّة المرأة الّتي طلّق؛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ماءه في خمس</w:t>
      </w:r>
      <w:r>
        <w:rPr>
          <w:rFonts w:eastAsia="Amiri" w:cs="Amiri" w:ascii="Amiri" w:hAnsi="Amiri"/>
          <w:color w:val="111111"/>
          <w:sz w:val="28"/>
          <w:szCs w:val="28"/>
          <w:rtl w:val="true"/>
          <w:lang w:bidi="ar-SA"/>
        </w:rPr>
        <w:t xml:space="preserve">» </w:t>
      </w:r>
      <w:r>
        <w:rPr>
          <w:rStyle w:val="FootnoteAnchor"/>
          <w:rtl w:val="true"/>
        </w:rPr>
        <w:footnoteReference w:id="1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روايتا عليّ بن أبي حمزة و محمّد بن قيس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خلاف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يحلّ له ثلاث إماء و إن لم يكن معهنّ حرّة 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حكى جماعة الإجماع عليه </w:t>
      </w:r>
      <w:r>
        <w:rPr>
          <w:rStyle w:val="FootnoteAnchor"/>
          <w:rtl w:val="true"/>
        </w:rPr>
        <w:footnoteReference w:id="1717"/>
      </w:r>
      <w:r>
        <w:rPr>
          <w:rFonts w:ascii="Amiri" w:hAnsi="Amiri" w:eastAsia="Amiri" w:cs="Amiri"/>
          <w:color w:val="111111"/>
          <w:sz w:val="28"/>
          <w:sz w:val="28"/>
          <w:szCs w:val="28"/>
          <w:rtl w:val="true"/>
          <w:lang w:bidi="ar-SA"/>
        </w:rPr>
        <w:t xml:space="preserve">و استدلّ له في الرياض و الحدائق </w:t>
      </w:r>
      <w:r>
        <w:rPr>
          <w:rStyle w:val="FootnoteAnchor"/>
          <w:rtl w:val="true"/>
        </w:rPr>
        <w:footnoteReference w:id="1718"/>
      </w:r>
      <w:r>
        <w:rPr>
          <w:rFonts w:ascii="Amiri" w:hAnsi="Amiri" w:eastAsia="Amiri" w:cs="Amiri"/>
          <w:color w:val="111111"/>
          <w:sz w:val="28"/>
          <w:sz w:val="28"/>
          <w:szCs w:val="28"/>
          <w:rtl w:val="true"/>
          <w:lang w:bidi="ar-SA"/>
        </w:rPr>
        <w:t>برواية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أن يتزوّج ثلاث إماء</w:t>
      </w:r>
      <w:r>
        <w:rPr>
          <w:rFonts w:eastAsia="Amiri" w:cs="Amiri" w:ascii="Amiri" w:hAnsi="Amiri"/>
          <w:color w:val="111111"/>
          <w:sz w:val="28"/>
          <w:szCs w:val="28"/>
          <w:rtl w:val="true"/>
          <w:lang w:bidi="ar-SA"/>
        </w:rPr>
        <w:t xml:space="preserve">» </w:t>
      </w:r>
      <w:r>
        <w:rPr>
          <w:rStyle w:val="FootnoteAnchor"/>
          <w:rtl w:val="true"/>
        </w:rPr>
        <w:footnoteReference w:id="1719"/>
      </w:r>
      <w:r>
        <w:rPr>
          <w:rFonts w:ascii="Amiri" w:hAnsi="Amiri" w:eastAsia="Amiri" w:cs="Amiri"/>
          <w:color w:val="111111"/>
          <w:sz w:val="28"/>
          <w:sz w:val="28"/>
          <w:szCs w:val="28"/>
          <w:rtl w:val="true"/>
          <w:lang w:bidi="ar-SA"/>
        </w:rPr>
        <w:t>و لكن تنظّر فيه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أيضا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Style w:val="FootnoteAnchor"/>
          <w:rtl w:val="true"/>
        </w:rPr>
        <w:footnoteReference w:id="1720"/>
      </w:r>
      <w:r>
        <w:rPr>
          <w:rFonts w:ascii="Amiri" w:hAnsi="Amiri" w:eastAsia="Amiri" w:cs="Amiri"/>
          <w:color w:val="111111"/>
          <w:sz w:val="28"/>
          <w:sz w:val="28"/>
          <w:szCs w:val="28"/>
          <w:rtl w:val="true"/>
          <w:lang w:bidi="ar-SA"/>
        </w:rPr>
        <w:t xml:space="preserve">من غير واحد </w:t>
      </w:r>
      <w:r>
        <w:rPr>
          <w:rStyle w:val="FootnoteAnchor"/>
          <w:rtl w:val="true"/>
        </w:rPr>
        <w:footnoteReference w:id="1721"/>
      </w:r>
      <w:r>
        <w:rPr>
          <w:rFonts w:ascii="Amiri" w:hAnsi="Amiri" w:eastAsia="Amiri" w:cs="Amiri"/>
          <w:color w:val="111111"/>
          <w:sz w:val="28"/>
          <w:sz w:val="28"/>
          <w:szCs w:val="28"/>
          <w:rtl w:val="true"/>
          <w:lang w:bidi="ar-SA"/>
        </w:rPr>
        <w:t>أنّه يحرم على العبد تزويج ما زاد على حرّتين، أو حرّة و أمتين، أو أربع إماء و يدلّ عليه رواية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العبد يتزوّج أربع حرائر؟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يتزوّج حرّتين و إن شاء تزوّج أربع إماء</w:t>
      </w:r>
      <w:r>
        <w:rPr>
          <w:rFonts w:eastAsia="Amiri" w:cs="Amiri" w:ascii="Amiri" w:hAnsi="Amiri"/>
          <w:color w:val="111111"/>
          <w:sz w:val="28"/>
          <w:szCs w:val="28"/>
          <w:rtl w:val="true"/>
          <w:lang w:bidi="ar-SA"/>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المعتق بعضه كالحرّ في حقّ الإماء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Style w:val="FootnoteAnchor"/>
          <w:rtl w:val="true"/>
        </w:rPr>
        <w:footnoteReference w:id="1723"/>
      </w:r>
      <w:r>
        <w:rPr>
          <w:rFonts w:ascii="Amiri" w:hAnsi="Amiri" w:eastAsia="Amiri" w:cs="Amiri"/>
          <w:color w:val="111111"/>
          <w:sz w:val="28"/>
          <w:sz w:val="28"/>
          <w:szCs w:val="28"/>
          <w:rtl w:val="true"/>
          <w:lang w:bidi="ar-SA"/>
        </w:rPr>
        <w:t xml:space="preserve">فلا يزيد على أمتين، و كالعبد في حقّ الحرائر فلا يزيد على حرّتين؛ و المعتق بعضها كالحرّة في حقّ العبد، و كالأمة في حقّ الحرّ </w:t>
      </w:r>
      <w:r>
        <w:rPr>
          <w:rStyle w:val="FootnoteAnchor"/>
          <w:rtl w:val="true"/>
        </w:rPr>
        <w:footnoteReference w:id="1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لتغليب الحرام إذا اجتمع</w:t>
      </w:r>
    </w:p>
    <w:p>
      <w:pPr>
        <w:pStyle w:val="BookText"/>
        <w:rPr/>
      </w:pPr>
      <w:r>
        <w:rPr>
          <w:rFonts w:ascii="IRNazanin" w:hAnsi="IRNazanin" w:eastAsia="IRNazanin"/>
          <w:color w:val="111111"/>
          <w:sz w:val="28"/>
          <w:sz w:val="28"/>
          <w:szCs w:val="28"/>
          <w:rtl w:val="true"/>
          <w:lang w:bidi="fa-IR"/>
        </w:rPr>
        <w:t xml:space="preserve">مع الحلال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العبد و الحرّ لو استكملا العدد في الدائم حلّ لهما بملك اليمين و المتعة ما أرادا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الحصر في ملك اليمين، فموضع وفاق </w:t>
      </w:r>
      <w:r>
        <w:rPr>
          <w:rStyle w:val="FootnoteAnchor"/>
          <w:rtl w:val="true"/>
        </w:rPr>
        <w:footnoteReference w:id="1726"/>
      </w:r>
      <w:r>
        <w:rPr>
          <w:rFonts w:ascii="Amiri" w:hAnsi="Amiri" w:eastAsia="Amiri" w:cs="Amiri"/>
          <w:color w:val="111111"/>
          <w:sz w:val="28"/>
          <w:sz w:val="28"/>
          <w:szCs w:val="28"/>
          <w:rtl w:val="true"/>
          <w:lang w:bidi="ar-SA"/>
        </w:rPr>
        <w:t xml:space="preserve">، كما صرّح في المسالك، لعموم قوله تعالى أَوْ مٰا مَلَكَتْ أَيْمٰانُكُمْ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في المنقطع، فهو المشهور </w:t>
      </w:r>
      <w:r>
        <w:rPr>
          <w:rStyle w:val="FootnoteAnchor"/>
          <w:rtl w:val="true"/>
        </w:rPr>
        <w:footnoteReference w:id="1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الحلّي الإجماع عليه </w:t>
      </w:r>
      <w:r>
        <w:rPr>
          <w:rStyle w:val="FootnoteAnchor"/>
          <w:rtl w:val="true"/>
        </w:rPr>
        <w:footnoteReference w:id="1729"/>
      </w:r>
      <w:r>
        <w:rPr>
          <w:rFonts w:ascii="Amiri" w:hAnsi="Amiri" w:eastAsia="Amiri" w:cs="Amiri"/>
          <w:color w:val="111111"/>
          <w:sz w:val="28"/>
          <w:sz w:val="28"/>
          <w:szCs w:val="28"/>
          <w:rtl w:val="true"/>
          <w:lang w:bidi="ar-SA"/>
        </w:rPr>
        <w:t xml:space="preserve">للروايات الكثيرة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القاضي، تحريم ما زاد على الأربع </w:t>
      </w:r>
      <w:r>
        <w:rPr>
          <w:rStyle w:val="FootnoteAnchor"/>
          <w:rtl w:val="true"/>
        </w:rPr>
        <w:footnoteReference w:id="1731"/>
      </w:r>
      <w:r>
        <w:rPr>
          <w:rFonts w:ascii="Amiri" w:hAnsi="Amiri" w:eastAsia="Amiri" w:cs="Amiri"/>
          <w:color w:val="111111"/>
          <w:sz w:val="28"/>
          <w:sz w:val="28"/>
          <w:szCs w:val="28"/>
          <w:rtl w:val="true"/>
          <w:lang w:bidi="ar-SA"/>
        </w:rPr>
        <w:t xml:space="preserve">لما ورد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الأربع</w:t>
      </w:r>
      <w:r>
        <w:rPr>
          <w:rFonts w:eastAsia="Amiri" w:cs="Amiri" w:ascii="Amiri" w:hAnsi="Amiri"/>
          <w:color w:val="111111"/>
          <w:sz w:val="28"/>
          <w:szCs w:val="28"/>
          <w:rtl w:val="true"/>
          <w:lang w:bidi="ar-SA"/>
        </w:rPr>
        <w:t xml:space="preserve">» </w:t>
      </w:r>
      <w:r>
        <w:rPr>
          <w:rStyle w:val="FootnoteAnchor"/>
          <w:rtl w:val="true"/>
        </w:rPr>
        <w:footnoteReference w:id="1732"/>
      </w:r>
      <w:r>
        <w:rPr>
          <w:rFonts w:ascii="Amiri" w:hAnsi="Amiri" w:eastAsia="Amiri" w:cs="Amiri"/>
          <w:color w:val="111111"/>
          <w:sz w:val="28"/>
          <w:sz w:val="28"/>
          <w:szCs w:val="28"/>
          <w:rtl w:val="true"/>
          <w:lang w:bidi="ar-SA"/>
        </w:rPr>
        <w:t>و حمل على الاستحباب، لأنّه متى جعلها من الأربع و اطّلع عليه المخالفون أمكن أن يدّعي أنّهن دائمات، بخلاف ما إذا زاد، و يدلّ عليه قول أبي الحسن عليه السلام لصفوان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اجعلوهنّ من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الاحتياط؟ 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الاحتياط من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لو طلّق واحدة من كمال العدد بائنا جاز له نكاح غيرها و أختها على كراهيّة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الجواز، فلانقطاع عصمة المطلّقة على ما يستفاد من الروايات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الكراهة، فلورود النهي عن الخامسة قبل انقضاء عدّة الرابعة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الشامل لغير الرجعيّة؛ و كذا عن الأخت </w:t>
      </w:r>
      <w:r>
        <w:rPr>
          <w:rStyle w:val="FootnoteAnchor"/>
          <w:rtl w:val="true"/>
        </w:rPr>
        <w:footnoteReference w:id="1736"/>
      </w:r>
      <w:r>
        <w:rPr>
          <w:rFonts w:ascii="IRNazanin" w:hAnsi="IRNazanin" w:eastAsia="IRNazanin"/>
          <w:color w:val="111111"/>
          <w:sz w:val="28"/>
          <w:sz w:val="28"/>
          <w:szCs w:val="28"/>
          <w:rtl w:val="true"/>
          <w:lang w:bidi="fa-IR"/>
        </w:rPr>
        <w:t xml:space="preserve">و حمل </w:t>
      </w:r>
      <w:r>
        <w:rPr>
          <w:rStyle w:val="FootnoteAnchor"/>
          <w:rtl w:val="true"/>
        </w:rPr>
        <w:footnoteReference w:id="1737"/>
      </w:r>
      <w:r>
        <w:rPr>
          <w:rFonts w:ascii="Amiri" w:hAnsi="Amiri" w:eastAsia="Amiri" w:cs="Amiri"/>
          <w:color w:val="111111"/>
          <w:sz w:val="28"/>
          <w:sz w:val="28"/>
          <w:szCs w:val="28"/>
          <w:rtl w:val="true"/>
          <w:lang w:bidi="ar-SA"/>
        </w:rPr>
        <w:t>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الطلاق رجعيّا حرمت الأخرى و الأخت إلّا بعد العدّة لأنّها بحكم الزوجة ما دامت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المحكيّ عن الأكثر </w:t>
      </w:r>
      <w:r>
        <w:rPr>
          <w:rStyle w:val="FootnoteAnchor"/>
          <w:rtl w:val="true"/>
        </w:rPr>
        <w:footnoteReference w:id="1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عدّة المتعة بعدّة البائن؛ و يشهد له تعليل الجواز في عدّة البائن بانقطاع عصمتها </w:t>
      </w:r>
      <w:r>
        <w:rPr>
          <w:rStyle w:val="FootnoteAnchor"/>
          <w:rtl w:val="true"/>
        </w:rPr>
        <w:footnoteReference w:id="1739"/>
      </w:r>
      <w:r>
        <w:rPr>
          <w:rFonts w:ascii="Amiri" w:hAnsi="Amiri" w:eastAsia="Amiri" w:cs="Amiri"/>
          <w:color w:val="111111"/>
          <w:sz w:val="28"/>
          <w:sz w:val="28"/>
          <w:szCs w:val="28"/>
          <w:rtl w:val="true"/>
          <w:lang w:bidi="ar-SA"/>
        </w:rPr>
        <w:t>الجاري في المنقطع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الأخبار وجوب التربّص إلى انقضائها، فيتزوّج أختها </w:t>
      </w:r>
      <w:r>
        <w:rPr>
          <w:rStyle w:val="FootnoteAnchor"/>
          <w:rtl w:val="true"/>
        </w:rPr>
        <w:footnoteReference w:id="1740"/>
      </w:r>
      <w:r>
        <w:rPr>
          <w:rFonts w:ascii="Amiri" w:hAnsi="Amiri" w:eastAsia="Amiri" w:cs="Amiri"/>
          <w:color w:val="111111"/>
          <w:sz w:val="28"/>
          <w:sz w:val="28"/>
          <w:szCs w:val="28"/>
          <w:rtl w:val="true"/>
          <w:lang w:bidi="ar-SA"/>
        </w:rPr>
        <w:t xml:space="preserve">و حكي القول به عن المقنع </w:t>
      </w:r>
      <w:r>
        <w:rPr>
          <w:rStyle w:val="FootnoteAnchor"/>
          <w:rtl w:val="true"/>
        </w:rPr>
        <w:footnoteReference w:id="1741"/>
      </w:r>
      <w:r>
        <w:rPr>
          <w:rFonts w:ascii="IRNazanin" w:hAnsi="IRNazanin" w:eastAsia="IRNazanin"/>
          <w:color w:val="111111"/>
          <w:sz w:val="28"/>
          <w:sz w:val="28"/>
          <w:szCs w:val="28"/>
          <w:rtl w:val="true"/>
          <w:lang w:bidi="fa-IR"/>
        </w:rPr>
        <w:t>و هو أحوط؛ و قول المشهور أقوى</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تزوّج خمسا في عقد واحد أو تزوّج اثنتين و معه</w:t>
      </w:r>
      <w:bookmarkStart w:id="383" w:name="pg19718_239302"/>
    </w:p>
    <w:p>
      <w:pPr>
        <w:pStyle w:val="BookText"/>
        <w:rPr/>
      </w:pPr>
      <w:bookmarkEnd w:id="383"/>
      <w:r>
        <w:rPr>
          <w:rFonts w:ascii="Amiri" w:hAnsi="Amiri" w:eastAsia="Amiri" w:cs="Amiri"/>
          <w:color w:val="111111"/>
          <w:sz w:val="28"/>
          <w:sz w:val="28"/>
          <w:szCs w:val="28"/>
          <w:rtl w:val="true"/>
          <w:lang w:bidi="ar-SA"/>
        </w:rPr>
        <w:t>ثلاث، أو تزوّج أختين في عقد واحد بطل العقد بالنسبة إلى كليهما، للزوم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w:t>
      </w:r>
      <w:r>
        <w:rPr>
          <w:rStyle w:val="FootnoteAnchor"/>
          <w:rtl w:val="true"/>
        </w:rPr>
        <w:footnoteReference w:id="1742"/>
      </w:r>
      <w:r>
        <w:rPr>
          <w:rFonts w:ascii="Amiri" w:hAnsi="Amiri" w:eastAsia="Amiri" w:cs="Amiri"/>
          <w:color w:val="111111"/>
          <w:sz w:val="28"/>
          <w:sz w:val="28"/>
          <w:szCs w:val="28"/>
          <w:rtl w:val="true"/>
          <w:lang w:bidi="ar-SA"/>
        </w:rPr>
        <w:t xml:space="preserve">و يدلّ عليه حسنة جميل </w:t>
      </w:r>
      <w:r>
        <w:rPr>
          <w:rStyle w:val="FootnoteAnchor"/>
          <w:rtl w:val="true"/>
        </w:rPr>
        <w:footnoteReference w:id="1743"/>
      </w:r>
      <w:r>
        <w:rPr>
          <w:rFonts w:ascii="Amiri" w:hAnsi="Amiri" w:eastAsia="Amiri" w:cs="Amiri"/>
          <w:color w:val="111111"/>
          <w:sz w:val="28"/>
          <w:sz w:val="28"/>
          <w:szCs w:val="28"/>
          <w:rtl w:val="true"/>
          <w:lang w:bidi="ar-SA"/>
        </w:rPr>
        <w:t xml:space="preserve">و قد مرّ نظيره في الأختين أيضا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طلّقت الحرّة ثلاثا بينها رجعتان بالرجوع أو باستئناف العقد حرمت المطلّقة إلّا بالمحلّل الّذي يأتي تفصيله في باب الطلاق </w:t>
      </w:r>
      <w:r>
        <w:rPr>
          <w:rStyle w:val="FootnoteAnchor"/>
          <w:rtl w:val="true"/>
        </w:rPr>
        <w:footnoteReference w:id="1745"/>
      </w:r>
      <w:r>
        <w:rPr>
          <w:rFonts w:ascii="Amiri" w:hAnsi="Amiri" w:eastAsia="Amiri" w:cs="Amiri"/>
          <w:color w:val="111111"/>
          <w:sz w:val="28"/>
          <w:sz w:val="28"/>
          <w:szCs w:val="28"/>
          <w:rtl w:val="true"/>
          <w:lang w:bidi="ar-SA"/>
        </w:rPr>
        <w:t>، سواء كان المطلّق حرّا أو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الأمة تحرم بطلقتين، سواء كانت تحت حرّ أو عبد بلا خلاف </w:t>
      </w:r>
      <w:r>
        <w:rPr>
          <w:rStyle w:val="FootnoteAnchor"/>
          <w:rtl w:val="true"/>
        </w:rPr>
        <w:footnoteReference w:id="1746"/>
      </w:r>
      <w:r>
        <w:rPr>
          <w:rFonts w:ascii="Amiri" w:hAnsi="Amiri" w:eastAsia="Amiri" w:cs="Amiri"/>
          <w:color w:val="111111"/>
          <w:sz w:val="28"/>
          <w:sz w:val="28"/>
          <w:szCs w:val="28"/>
          <w:rtl w:val="true"/>
          <w:lang w:bidi="ar-SA"/>
        </w:rPr>
        <w:t xml:space="preserve">كما يظهر، لما دلّ من أنّ الاعتبار في الطلاق و العدّة بالزوجة، دون الزوج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4" w:name="__RefHeading___Toc1986008_2314609296"/>
      <w:bookmarkStart w:id="385" w:name="_Toc150"/>
      <w:bookmarkEnd w:id="384"/>
      <w:r>
        <w:rPr>
          <w:rtl w:val="true"/>
        </w:rPr>
        <w:t>[</w:t>
      </w:r>
      <w:r>
        <w:rPr>
          <w:rtl w:val="true"/>
        </w:rPr>
        <w:t>مسألة إن طلقت الزوجة تسعا حرمت أبدا</w:t>
      </w:r>
      <w:r>
        <w:rPr>
          <w:rtl w:val="true"/>
        </w:rPr>
        <w:t>]</w:t>
      </w:r>
      <w:bookmarkEnd w:id="38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طلّقت المرأة تسعا للعدّة ينكحها بينها رجلان بأن طلّقها فراجعها في العدّة و وطأها، ثمّ طلّقها، ثمّ راجعها و وطأها، ثمّ طلّقها فتزوّجها المحلّل؛ ثمّ بعد فراقه تزوّجها فطلّقها ثلاثا بينها رجعتان مع الوطء، ثمّ تزوّجها المحلّل؛ ثمّ بعد فراقها </w:t>
      </w:r>
      <w:r>
        <w:rPr>
          <w:rStyle w:val="FootnoteAnchor"/>
          <w:rtl w:val="true"/>
        </w:rPr>
        <w:footnoteReference w:id="1748"/>
      </w:r>
      <w:r>
        <w:rPr>
          <w:rFonts w:ascii="Amiri" w:hAnsi="Amiri" w:eastAsia="Amiri" w:cs="Amiri"/>
          <w:color w:val="111111"/>
          <w:sz w:val="28"/>
          <w:sz w:val="28"/>
          <w:szCs w:val="28"/>
          <w:rtl w:val="true"/>
          <w:lang w:bidi="ar-SA"/>
        </w:rPr>
        <w:t>تزوّجها الأوّل فطلّقها ثلاثا بينها رجعتان مع الوطء حرمت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طلاق العدة على الطلقات التسع مجاز، لأنّ طلاق العدّة </w:t>
      </w:r>
      <w:r>
        <w:rPr>
          <w:rStyle w:val="FootnoteAnchor"/>
          <w:rtl w:val="true"/>
        </w:rPr>
        <w:footnoteReference w:id="1749"/>
      </w:r>
      <w:r>
        <w:rPr>
          <w:rFonts w:ascii="Amiri" w:hAnsi="Amiri" w:eastAsia="Amiri" w:cs="Amiri"/>
          <w:color w:val="111111"/>
          <w:sz w:val="28"/>
          <w:sz w:val="28"/>
          <w:szCs w:val="28"/>
          <w:rtl w:val="true"/>
          <w:lang w:bidi="ar-SA"/>
        </w:rPr>
        <w:t>ليس إلّا ستّة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غير واحدة من الروايات ليس فيها تقييد الطلقات بكونها للعدّة، كرواية أبي بصير المحكيّة عن الكافي </w:t>
      </w:r>
      <w:r>
        <w:rPr>
          <w:rStyle w:val="FootnoteAnchor"/>
          <w:rtl w:val="true"/>
        </w:rPr>
        <w:footnoteReference w:id="1750"/>
      </w:r>
      <w:r>
        <w:rPr>
          <w:rFonts w:ascii="Amiri" w:hAnsi="Amiri" w:eastAsia="Amiri" w:cs="Amiri"/>
          <w:color w:val="111111"/>
          <w:sz w:val="28"/>
          <w:sz w:val="28"/>
          <w:szCs w:val="28"/>
          <w:rtl w:val="true"/>
          <w:lang w:bidi="ar-SA"/>
        </w:rPr>
        <w:t xml:space="preserve">و رواية جميل المحكيّة عن المشايخ الثلاثة </w:t>
      </w:r>
      <w:r>
        <w:rPr>
          <w:rStyle w:val="FootnoteAnchor"/>
          <w:rtl w:val="true"/>
        </w:rPr>
        <w:footnoteReference w:id="1751"/>
      </w:r>
      <w:r>
        <w:rPr>
          <w:rFonts w:ascii="Amiri" w:hAnsi="Amiri" w:eastAsia="Amiri" w:cs="Amiri"/>
          <w:color w:val="111111"/>
          <w:sz w:val="28"/>
          <w:sz w:val="28"/>
          <w:szCs w:val="28"/>
          <w:rtl w:val="true"/>
          <w:lang w:bidi="ar-SA"/>
        </w:rPr>
        <w:t xml:space="preserve">و رواية أديم بيّاع الهروي المرويّة في التهذيب </w:t>
      </w:r>
      <w:r>
        <w:rPr>
          <w:rStyle w:val="FootnoteAnchor"/>
          <w:rtl w:val="true"/>
        </w:rPr>
        <w:footnoteReference w:id="1752"/>
      </w:r>
      <w:r>
        <w:rPr>
          <w:rFonts w:ascii="Amiri" w:hAnsi="Amiri" w:eastAsia="Amiri" w:cs="Amiri"/>
          <w:color w:val="111111"/>
          <w:sz w:val="28"/>
          <w:sz w:val="28"/>
          <w:szCs w:val="28"/>
          <w:rtl w:val="true"/>
          <w:lang w:bidi="ar-SA"/>
        </w:rPr>
        <w:t xml:space="preserve">و المحكيّة عن الكافي </w:t>
      </w:r>
      <w:r>
        <w:rPr>
          <w:rStyle w:val="FootnoteAnchor"/>
          <w:rtl w:val="true"/>
        </w:rPr>
        <w:footnoteReference w:id="1753"/>
      </w:r>
      <w:r>
        <w:rPr>
          <w:rFonts w:ascii="Amiri" w:hAnsi="Amiri" w:eastAsia="Amiri" w:cs="Amiri"/>
          <w:color w:val="111111"/>
          <w:sz w:val="28"/>
          <w:sz w:val="28"/>
          <w:szCs w:val="28"/>
          <w:rtl w:val="true"/>
          <w:lang w:bidi="ar-SA"/>
        </w:rPr>
        <w:t xml:space="preserve">و عن كتاب الحسين بن سعيد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حكي عن الخصال في رواية عدّ المحرّمات من الأزواج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تزويج الرجل امرأة طلّقها للعدّة تسع تطليقات</w:t>
      </w:r>
      <w:r>
        <w:rPr>
          <w:rFonts w:eastAsia="Amiri" w:cs="Amiri" w:ascii="Amiri" w:hAnsi="Amiri"/>
          <w:color w:val="111111"/>
          <w:sz w:val="28"/>
          <w:szCs w:val="28"/>
          <w:rtl w:val="true"/>
          <w:lang w:bidi="ar-SA"/>
        </w:rPr>
        <w:t xml:space="preserve">» </w:t>
      </w:r>
      <w:r>
        <w:rPr>
          <w:rStyle w:val="FootnoteAnchor"/>
          <w:rtl w:val="true"/>
        </w:rPr>
        <w:footnoteReference w:id="1755"/>
      </w:r>
      <w:r>
        <w:rPr>
          <w:rFonts w:ascii="Amiri" w:hAnsi="Amiri" w:eastAsia="Amiri" w:cs="Amiri"/>
          <w:color w:val="111111"/>
          <w:sz w:val="28"/>
          <w:sz w:val="28"/>
          <w:szCs w:val="28"/>
          <w:rtl w:val="true"/>
          <w:lang w:bidi="ar-SA"/>
        </w:rPr>
        <w:t xml:space="preserve">و نحو ذلك حكي عن الفقه الرضوي </w:t>
      </w:r>
      <w:r>
        <w:rPr>
          <w:rStyle w:val="FootnoteAnchor"/>
          <w:rtl w:val="true"/>
        </w:rPr>
        <w:footnoteReference w:id="1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إنّهما في مقام البيان تدلّان على نفي الغير بالمفهوم؛ مع أنّ في الرضويّ دلالة بالمنطوق ظاهرة، و نحوهما</w:t>
      </w:r>
    </w:p>
    <w:p>
      <w:pPr>
        <w:pStyle w:val="BookText"/>
        <w:rPr/>
      </w:pPr>
      <w:r>
        <w:rPr>
          <w:rFonts w:ascii="Amiri" w:hAnsi="Amiri" w:eastAsia="Amiri" w:cs="Amiri"/>
          <w:color w:val="111111"/>
          <w:sz w:val="28"/>
          <w:sz w:val="28"/>
          <w:szCs w:val="28"/>
          <w:rtl w:val="true"/>
          <w:lang w:bidi="ar-SA"/>
        </w:rPr>
        <w:t xml:space="preserve">فتوى عليّ ابن إبراهيم </w:t>
      </w:r>
      <w:r>
        <w:rPr>
          <w:rStyle w:val="FootnoteAnchor"/>
          <w:rtl w:val="true"/>
        </w:rPr>
        <w:footnoteReference w:id="1757"/>
      </w:r>
      <w:r>
        <w:rPr>
          <w:rFonts w:ascii="Amiri" w:hAnsi="Amiri" w:eastAsia="Amiri" w:cs="Amiri"/>
          <w:color w:val="111111"/>
          <w:sz w:val="28"/>
          <w:sz w:val="28"/>
          <w:szCs w:val="28"/>
          <w:rtl w:val="true"/>
          <w:lang w:bidi="ar-SA"/>
        </w:rPr>
        <w:t>الكاشفة عن وجود النّص؛ فيصلح هذا كلّه بعد اشتهار مضمونها لتقييد تلك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رواية معتبرة رواها عبد اللّٰه بن بكير في عدم احتياج المطلّقة ثلاثا إذا تزوّجت بعد انقضاء عدّة كلّ طلاق إلى المحلّل، فإنّ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أن يتزوّجها أبدا</w:t>
      </w:r>
      <w:r>
        <w:rPr>
          <w:rFonts w:eastAsia="Amiri" w:cs="Amiri" w:ascii="Amiri" w:hAnsi="Amiri"/>
          <w:color w:val="111111"/>
          <w:sz w:val="28"/>
          <w:szCs w:val="28"/>
          <w:rtl w:val="true"/>
          <w:lang w:bidi="ar-SA"/>
        </w:rPr>
        <w:t xml:space="preserve">» </w:t>
      </w:r>
      <w:r>
        <w:rPr>
          <w:rStyle w:val="FootnoteAnchor"/>
          <w:rtl w:val="true"/>
        </w:rPr>
        <w:footnoteReference w:id="1758"/>
      </w:r>
      <w:r>
        <w:rPr>
          <w:rFonts w:ascii="Amiri" w:hAnsi="Amiri" w:eastAsia="Amiri" w:cs="Amiri"/>
          <w:color w:val="111111"/>
          <w:sz w:val="28"/>
          <w:sz w:val="28"/>
          <w:szCs w:val="28"/>
          <w:rtl w:val="true"/>
          <w:lang w:bidi="ar-SA"/>
        </w:rPr>
        <w:t>معناه أنّه لا تصير المرأة عليه محرّمة أبدا، بل يجوز تزويجه أبدا بعد المحلّل في كلّ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اختصاص الحرمة الأبديّة بالمطلّقة للعدّة، فلو كان في كلّ من الأدوار الثلاثة طلاق واحد للعدّة لم يحصل التحريم الأبديّ؛ و كذا لو كان في بعض الأدوار طلاقان للعدّة، و في بعض آخر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الحرّة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الأمة فالحكم فيها بتحريمها مؤبّدا محلّ نظر من أنّ الطلقات الستّ فيها بمنزلة التسع في الحرّة حيث إنّها تحرم بعد كلّ طلقتين حتّى تنكح زوجا غيره، و من أنّ حكم النصّ معلّق على تسع طلقات بينها محلّلان، فإذا طلّقت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كلّ طلقتين 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w:t>
      </w:r>
      <w:r>
        <w:rPr>
          <w:rStyle w:val="FootnoteAnchor"/>
          <w:rtl w:val="true"/>
        </w:rPr>
        <w:footnoteReference w:id="1759"/>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طلّقت تسعا و نكحها </w:t>
      </w:r>
      <w:r>
        <w:rPr>
          <w:rStyle w:val="FootnoteAnchor"/>
          <w:rtl w:val="true"/>
        </w:rPr>
        <w:footnoteReference w:id="1760"/>
      </w:r>
      <w:r>
        <w:rPr>
          <w:rFonts w:ascii="Amiri" w:hAnsi="Amiri" w:eastAsia="Amiri" w:cs="Amiri"/>
          <w:color w:val="111111"/>
          <w:sz w:val="28"/>
          <w:sz w:val="28"/>
          <w:szCs w:val="28"/>
          <w:rtl w:val="true"/>
          <w:lang w:bidi="ar-SA"/>
        </w:rPr>
        <w:t>بينها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نكحها بينها أكثر حينئذ، إلّا أنّ ذلك لا ينفي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الظاهر المتبادر من النصّ هي</w:t>
      </w:r>
    </w:p>
    <w:p>
      <w:pPr>
        <w:pStyle w:val="BookText"/>
        <w:rPr/>
      </w:pPr>
      <w:r>
        <w:rPr>
          <w:rFonts w:ascii="Amiri" w:hAnsi="Amiri" w:eastAsia="Amiri" w:cs="Amiri"/>
          <w:color w:val="111111"/>
          <w:sz w:val="28"/>
          <w:sz w:val="28"/>
          <w:szCs w:val="28"/>
          <w:rtl w:val="true"/>
          <w:lang w:bidi="ar-SA"/>
        </w:rPr>
        <w:t xml:space="preserve">الحرّة، فينبغي أن تبقى الأمة على أصالة الإباحة؛ مع 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تحلّل </w:t>
      </w:r>
      <w:r>
        <w:rPr>
          <w:rStyle w:val="FootnoteAnchor"/>
          <w:rtl w:val="true"/>
        </w:rPr>
        <w:footnoteReference w:id="1761"/>
      </w:r>
      <w:r>
        <w:rPr>
          <w:rFonts w:ascii="Amiri" w:hAnsi="Amiri" w:eastAsia="Amiri" w:cs="Amiri"/>
          <w:color w:val="111111"/>
          <w:sz w:val="28"/>
          <w:sz w:val="28"/>
          <w:szCs w:val="28"/>
          <w:rtl w:val="true"/>
          <w:lang w:bidi="ar-SA"/>
        </w:rPr>
        <w:t>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الزائد، فيصير هذا قرينة لإرادة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من عقد على امرأة في عدّتها الرجعيّة أو البائنة دواما أو انقطاعا أو للوفاة عالما بالحكم و الموضوع حرمت المرأة عليه أبدا و إن لم يدخل بها و كذا إن جهل العدّة و التحريم أو أحدهما و لكن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يدخل بطل العقد و له استئنافه </w:t>
      </w:r>
      <w:r>
        <w:rPr>
          <w:rStyle w:val="FootnoteAnchor"/>
          <w:rtl w:val="true"/>
        </w:rPr>
        <w:footnoteReference w:id="1762"/>
      </w:r>
      <w:r>
        <w:rPr>
          <w:rFonts w:ascii="Amiri" w:hAnsi="Amiri" w:eastAsia="Amiri" w:cs="Amiri"/>
          <w:color w:val="111111"/>
          <w:sz w:val="28"/>
          <w:sz w:val="28"/>
          <w:szCs w:val="28"/>
          <w:rtl w:val="true"/>
          <w:lang w:bidi="ar-SA"/>
        </w:rPr>
        <w:t xml:space="preserve">بعد الانقضاء اتّفاقا في الجميع، كما يظهر من غير واحد </w:t>
      </w:r>
      <w:r>
        <w:rPr>
          <w:rStyle w:val="FootnoteAnchor"/>
          <w:rtl w:val="true"/>
        </w:rPr>
        <w:footnoteReference w:id="1763"/>
      </w:r>
      <w:r>
        <w:rPr>
          <w:rFonts w:ascii="Amiri" w:hAnsi="Amiri" w:eastAsia="Amiri" w:cs="Amiri"/>
          <w:color w:val="111111"/>
          <w:sz w:val="28"/>
          <w:sz w:val="28"/>
          <w:szCs w:val="28"/>
          <w:rtl w:val="true"/>
          <w:lang w:bidi="ar-SA"/>
        </w:rPr>
        <w:t>و يدلّ عليها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في عدّتها و دخل بها لم تحلّ له أبدا عالما كان أو جاهلا، و إن لم يدخل بها حلّت للجاهل و لم تحلّ للآخر</w:t>
      </w:r>
      <w:r>
        <w:rPr>
          <w:rFonts w:eastAsia="Amiri" w:cs="Amiri" w:ascii="Amiri" w:hAnsi="Amiri"/>
          <w:color w:val="111111"/>
          <w:sz w:val="28"/>
          <w:szCs w:val="28"/>
          <w:rtl w:val="true"/>
          <w:lang w:bidi="ar-SA"/>
        </w:rPr>
        <w:t xml:space="preserve">» </w:t>
      </w:r>
      <w:r>
        <w:rPr>
          <w:rStyle w:val="FootnoteAnchor"/>
          <w:rtl w:val="true"/>
        </w:rPr>
        <w:footnoteReference w:id="1764"/>
      </w:r>
      <w:r>
        <w:rPr>
          <w:rFonts w:ascii="Amiri" w:hAnsi="Amiri" w:eastAsia="Amiri" w:cs="Amiri"/>
          <w:color w:val="111111"/>
          <w:sz w:val="28"/>
          <w:sz w:val="28"/>
          <w:szCs w:val="28"/>
          <w:rtl w:val="true"/>
          <w:lang w:bidi="ar-SA"/>
        </w:rPr>
        <w:t>و إطلاق التحريم بالدخول مع الجهل يشمل ما لو وقع الدخول في العدّة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حسنته الأخرى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الحبلى يموت زوجها فتضع و تزوّج قبل أن يمضي لها أربعة أشهر و عشرا؟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فرّق بينهما ثمّ لم تحلّ له أبدا، و اعتدّت بما بقي عليها من الأوّل، و استقبلت عدّة اخرى من الآخر ثلاثة قروء؛ و إن لم يكن دخل بها فرّق بينهما و اعتدّت بما بقي عليها من الأوّل، و هو خاطب من الخطّاب</w:t>
      </w:r>
      <w:r>
        <w:rPr>
          <w:rFonts w:eastAsia="Amiri" w:cs="Amiri" w:ascii="Amiri" w:hAnsi="Amiri"/>
          <w:color w:val="111111"/>
          <w:sz w:val="28"/>
          <w:szCs w:val="28"/>
          <w:rtl w:val="true"/>
          <w:lang w:bidi="ar-SA"/>
        </w:rPr>
        <w:t xml:space="preserve">» </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و صريحها الدخول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نحوها في الصراحة موثّقة محمّد بن مسلم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يخفى أنّ اختصاص موردها بصورة الدخول في العدّة لا يقتضي اختصاص الحكم بذلك، فبقي إطلاق رواية الحلبي السابقة و نحوها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في المسالك باشتراط الدخول في العدّة في التحريم </w:t>
      </w:r>
      <w:r>
        <w:rPr>
          <w:rStyle w:val="FootnoteAnchor"/>
          <w:rtl w:val="true"/>
        </w:rPr>
        <w:footnoteReference w:id="1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وجهه أنّ الدخول مع الجهل إنّما يوجب التحريم إذا وقع في زمان لا تصلح الزوجة للنكاح، و بعد الدخول لا فرق بين الدخول بها و بغيرها ممّن لم يعقد عليها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واضح، لاحتمال مدخليّة العقد في ذلك؛ مضافا إلى أنّه اجتهاد في مقابلة إطلاق النصّ، إلّا أن يدّعى ظهور ذلك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بعضهم صرّحوا بلحوق عدّة الشبهة بعدّة الطلاق و المتمتّعة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دلالة النصوص عليه تأمّل، لانصراف العدّة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كان الدخول بالمعقودة في العدّة لشبهة استحقّت المهر مع جهلها، و هل هو المسمّى؟ أو مهر المثل؟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 لفساد المسمّى بفساد العقد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اعتدّت من وطء الشبهة بعد إتمام عدّتها الأولى، للحسنة الثانية</w:t>
      </w:r>
    </w:p>
    <w:p>
      <w:pPr>
        <w:pStyle w:val="BookText"/>
        <w:rPr/>
      </w:pPr>
      <w:r>
        <w:rPr>
          <w:rFonts w:ascii="Amiri" w:hAnsi="Amiri" w:eastAsia="Amiri" w:cs="Amiri"/>
          <w:color w:val="111111"/>
          <w:sz w:val="28"/>
          <w:sz w:val="28"/>
          <w:szCs w:val="28"/>
          <w:rtl w:val="true"/>
          <w:lang w:bidi="ar-SA"/>
        </w:rPr>
        <w:t xml:space="preserve">و رواية محمّد بن مسلم المتقدّمتين </w:t>
      </w:r>
      <w:r>
        <w:rPr>
          <w:rStyle w:val="FootnoteAnchor"/>
          <w:rtl w:val="true"/>
        </w:rPr>
        <w:footnoteReference w:id="1769"/>
      </w:r>
      <w:r>
        <w:rPr>
          <w:rFonts w:ascii="Amiri" w:hAnsi="Amiri" w:eastAsia="Amiri" w:cs="Amiri"/>
          <w:color w:val="111111"/>
          <w:sz w:val="28"/>
          <w:sz w:val="28"/>
          <w:szCs w:val="28"/>
          <w:rtl w:val="true"/>
          <w:lang w:bidi="ar-SA"/>
        </w:rPr>
        <w:t xml:space="preserve">و في بعض الأخبار ما يدلّ على الاكتفاء بعدّة واحدة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هل يلحق مدّة استبراء الأمة بالعدّة </w:t>
      </w:r>
      <w:r>
        <w:rPr>
          <w:rStyle w:val="FootnoteAnchor"/>
          <w:rtl w:val="true"/>
        </w:rPr>
        <w:footnoteReference w:id="1771"/>
      </w:r>
      <w:r>
        <w:rPr>
          <w:rFonts w:ascii="Amiri" w:hAnsi="Amiri" w:eastAsia="Amiri" w:cs="Amiri"/>
          <w:color w:val="111111"/>
          <w:sz w:val="28"/>
          <w:sz w:val="28"/>
          <w:szCs w:val="28"/>
          <w:rtl w:val="true"/>
          <w:lang w:bidi="ar-SA"/>
        </w:rPr>
        <w:t>؟ فيه إشكال، الأقوى العدم اقتصارا على مورد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يلحق بالمعتدّة ذات البعل؟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من مساواتها لها في المعنى، و من انتفاء العدّة الّتي هي مورد النصّ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الوجهين نظر لا يخفى، إذ المساواة لا تصلح </w:t>
      </w:r>
      <w:r>
        <w:rPr>
          <w:rStyle w:val="FootnoteAnchor"/>
          <w:rtl w:val="true"/>
        </w:rPr>
        <w:footnoteReference w:id="1773"/>
      </w:r>
      <w:r>
        <w:rPr>
          <w:rFonts w:ascii="Amiri" w:hAnsi="Amiri" w:eastAsia="Amiri" w:cs="Amiri"/>
          <w:color w:val="111111"/>
          <w:sz w:val="28"/>
          <w:sz w:val="28"/>
          <w:szCs w:val="28"/>
          <w:rtl w:val="true"/>
          <w:lang w:bidi="ar-SA"/>
        </w:rPr>
        <w:t xml:space="preserve">دليلا للحكم الشرعي حتّى يتعدّى، و لا النصّ مختصّ، بالمعتدّة حتّى يقتصر </w:t>
      </w:r>
      <w:r>
        <w:rPr>
          <w:rStyle w:val="FootnoteAnchor"/>
          <w:rtl w:val="true"/>
        </w:rPr>
        <w:footnoteReference w:id="1774"/>
      </w:r>
      <w:r>
        <w:rPr>
          <w:rFonts w:ascii="IRNazanin" w:hAnsi="IRNazanin" w:eastAsia="IRNazanin"/>
          <w:color w:val="111111"/>
          <w:sz w:val="28"/>
          <w:sz w:val="28"/>
          <w:szCs w:val="28"/>
          <w:rtl w:val="true"/>
          <w:lang w:bidi="fa-IR"/>
        </w:rPr>
        <w:t>بل الأقوى الإلحاق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التحريم مع العقد عليها عالما، لموثّقة أديم بن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تتزوّج و لها زوج يفرّق بينهما ثمّ لا يتعاودان</w:t>
      </w:r>
      <w:r>
        <w:rPr>
          <w:rFonts w:eastAsia="Amiri" w:cs="Amiri" w:ascii="Amiri" w:hAnsi="Amiri"/>
          <w:color w:val="111111"/>
          <w:sz w:val="28"/>
          <w:szCs w:val="28"/>
          <w:rtl w:val="true"/>
          <w:lang w:bidi="ar-SA"/>
        </w:rPr>
        <w:t xml:space="preserve">» </w:t>
      </w:r>
      <w:r>
        <w:rPr>
          <w:rStyle w:val="FootnoteAnchor"/>
          <w:rtl w:val="true"/>
        </w:rPr>
        <w:footnoteReference w:id="1775"/>
      </w:r>
      <w:r>
        <w:rPr>
          <w:rFonts w:ascii="Amiri" w:hAnsi="Amiri" w:eastAsia="Amiri" w:cs="Amiri"/>
          <w:color w:val="111111"/>
          <w:sz w:val="28"/>
          <w:sz w:val="28"/>
          <w:szCs w:val="28"/>
          <w:rtl w:val="true"/>
          <w:lang w:bidi="ar-SA"/>
        </w:rPr>
        <w:t>اخرج منه ما لو جهل و لم يدخل، بقي ما لو علم أو دخل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نحوها مرفوعة أحمد بن محمّد </w:t>
      </w:r>
      <w:r>
        <w:rPr>
          <w:rStyle w:val="FootnoteAnchor"/>
          <w:rtl w:val="true"/>
        </w:rPr>
        <w:footnoteReference w:id="1776"/>
      </w:r>
      <w:r>
        <w:rPr>
          <w:rFonts w:ascii="Amiri" w:hAnsi="Amiri" w:eastAsia="Amiri" w:cs="Amiri"/>
          <w:color w:val="111111"/>
          <w:sz w:val="28"/>
          <w:sz w:val="28"/>
          <w:szCs w:val="28"/>
          <w:rtl w:val="true"/>
          <w:lang w:bidi="ar-SA"/>
        </w:rPr>
        <w:t xml:space="preserve">و عبارة الرضويّ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التحريم مع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الموثّقة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فقدت زوجها أو نعي إليها، فتزوّجت، ثمّ قدم زوجها بعد ذلك، ثمّ طلّقها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مات عنها</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منهما جميعا ثلاثة أشهر عدّة واحدة و ليس للآخر أن يتزوّجها أبدا</w:t>
      </w:r>
      <w:r>
        <w:rPr>
          <w:rFonts w:eastAsia="Amiri" w:cs="Amiri" w:ascii="Amiri" w:hAnsi="Amiri"/>
          <w:color w:val="111111"/>
          <w:sz w:val="28"/>
          <w:szCs w:val="28"/>
          <w:rtl w:val="true"/>
          <w:lang w:bidi="ar-SA"/>
        </w:rPr>
        <w:t xml:space="preserve">» </w:t>
      </w:r>
      <w:r>
        <w:rPr>
          <w:rStyle w:val="FootnoteAnchor"/>
          <w:rtl w:val="true"/>
        </w:rPr>
        <w:footnoteReference w:id="1779"/>
      </w:r>
      <w:r>
        <w:rPr>
          <w:rFonts w:ascii="IRNazanin" w:hAnsi="IRNazanin" w:eastAsia="IRNazanin"/>
          <w:color w:val="111111"/>
          <w:sz w:val="28"/>
          <w:sz w:val="28"/>
          <w:szCs w:val="28"/>
          <w:rtl w:val="true"/>
          <w:lang w:bidi="fa-IR"/>
        </w:rPr>
        <w:t xml:space="preserve">، و نحوها خبر آخر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من وجه، لظهورها في صورة الجهل، مع وجوب الرجوع على هذا الفرض إلى عموم موثّقة أديم بن الحرّ و نحوها؛ مضافا إلى الأولويّة الجليّة، فإنّ بقاء النكاح لو لم يؤكّد التحريم لم ينفه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عدم التحريم مع الجهل و عدم الدّخول، فالظاهر أنّه ممّا لا خلاف فيه، و صرّح بدعوى الإجماع في الرياض </w:t>
      </w:r>
      <w:r>
        <w:rPr>
          <w:rStyle w:val="FootnoteAnchor"/>
          <w:rtl w:val="true"/>
        </w:rPr>
        <w:footnoteReference w:id="1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خلاف يعرف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الصحيح عمّن تزوّج امرأة و لها زوج و هو لا يعلم، فطلّقها الأوّل أو مات عنها، ثمّ علم الآخر؛ أ يراجعها؟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 xml:space="preserve">»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التحريم مع الدخول و العلم، فهو اتّفاقي، لأنّه زنى بذات البعل؛ و يدل عليه غير واحد من الأخبار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 فإن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1785"/>
      </w:r>
      <w:r>
        <w:rPr>
          <w:rFonts w:ascii="IRNazanin" w:hAnsi="IRNazanin" w:eastAsia="IRNazanin"/>
          <w:color w:val="111111"/>
          <w:sz w:val="28"/>
          <w:sz w:val="28"/>
          <w:szCs w:val="28"/>
          <w:rtl w:val="true"/>
          <w:lang w:bidi="fa-IR"/>
        </w:rPr>
        <w:t xml:space="preserve">مع الجهل </w:t>
      </w:r>
      <w:r>
        <w:rPr>
          <w:rStyle w:val="FootnoteAnchor"/>
          <w:rtl w:val="true"/>
        </w:rPr>
        <w:footnoteReference w:id="1786"/>
      </w:r>
      <w:r>
        <w:rPr>
          <w:rFonts w:ascii="Amiri" w:hAnsi="Amiri" w:eastAsia="Amiri" w:cs="Amiri"/>
          <w:color w:val="111111"/>
          <w:sz w:val="28"/>
          <w:sz w:val="28"/>
          <w:szCs w:val="28"/>
          <w:rtl w:val="true"/>
          <w:lang w:bidi="ar-SA"/>
        </w:rPr>
        <w:t xml:space="preserve">لحق به الولد إن جاء لستّة أشهر منذ وطأها لأنّ وطء الشبهة، بمنزلة الصحيح و فرّق بينهما، و عليه المهر مع جهلها، لا مع </w:t>
      </w:r>
      <w:r>
        <w:rPr>
          <w:rStyle w:val="FootnoteAnchor"/>
          <w:rtl w:val="true"/>
        </w:rPr>
        <w:footnoteReference w:id="1787"/>
      </w:r>
      <w:r>
        <w:rPr>
          <w:rFonts w:ascii="Amiri" w:hAnsi="Amiri" w:eastAsia="Amiri" w:cs="Amiri"/>
          <w:color w:val="111111"/>
          <w:sz w:val="28"/>
          <w:sz w:val="28"/>
          <w:szCs w:val="28"/>
          <w:rtl w:val="true"/>
          <w:lang w:bidi="ar-SA"/>
        </w:rPr>
        <w:t xml:space="preserve">علمها إذ لا مهر لبغيّ و تتمّ عدّة الأوّل لكونها فيها و تقدّم سببها و </w:t>
      </w:r>
      <w:r>
        <w:rPr>
          <w:rStyle w:val="FootnoteAnchor"/>
          <w:rtl w:val="true"/>
        </w:rPr>
        <w:footnoteReference w:id="1788"/>
      </w:r>
      <w:r>
        <w:rPr>
          <w:rFonts w:ascii="Amiri" w:hAnsi="Amiri" w:eastAsia="Amiri" w:cs="Amiri"/>
          <w:color w:val="111111"/>
          <w:sz w:val="28"/>
          <w:sz w:val="28"/>
          <w:szCs w:val="28"/>
          <w:rtl w:val="true"/>
          <w:lang w:bidi="ar-SA"/>
        </w:rPr>
        <w:t>تستأنف أخرى كلّ ذلك علم ممّا سبق</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زنى بذات بعل أو في عدّة رجعيّة حرمت المزنيّ بها على الزاني أبدا بلا خلاف فيه ظاهرا، و حكي في الرياض الإجماع عليه عن جماعة </w:t>
      </w:r>
      <w:r>
        <w:rPr>
          <w:rStyle w:val="FootnoteAnchor"/>
          <w:rtl w:val="true"/>
        </w:rPr>
        <w:footnoteReference w:id="1789"/>
      </w:r>
      <w:r>
        <w:rPr>
          <w:rFonts w:ascii="Amiri" w:hAnsi="Amiri" w:eastAsia="Amiri" w:cs="Amiri"/>
          <w:color w:val="111111"/>
          <w:sz w:val="28"/>
          <w:sz w:val="28"/>
          <w:szCs w:val="28"/>
          <w:rtl w:val="true"/>
          <w:lang w:bidi="ar-SA"/>
        </w:rPr>
        <w:t xml:space="preserve">و في الحدائق عن غير واحد </w:t>
      </w:r>
      <w:r>
        <w:rPr>
          <w:rStyle w:val="FootnoteAnchor"/>
          <w:rtl w:val="true"/>
        </w:rPr>
        <w:footnoteReference w:id="1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فحوى ما تقدّم من الحكم بالحرمة مع العقد عالما بدون الدخول، و كذا الدخول مع الجهل؛ مضافا إلى صريح المحكيّ عن الرضويّ في تحريم الزنى بذات البعل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للزاني تزويجها أبدا</w:t>
      </w:r>
      <w:r>
        <w:rPr>
          <w:rFonts w:eastAsia="Amiri" w:cs="Amiri" w:ascii="Amiri" w:hAnsi="Amiri"/>
          <w:color w:val="111111"/>
          <w:sz w:val="28"/>
          <w:szCs w:val="28"/>
          <w:rtl w:val="true"/>
          <w:lang w:bidi="ar-SA"/>
        </w:rPr>
        <w:t xml:space="preserve">» </w:t>
      </w:r>
      <w:r>
        <w:rPr>
          <w:rStyle w:val="FootnoteAnchor"/>
          <w:rtl w:val="true"/>
        </w:rPr>
        <w:footnoteReference w:id="1791"/>
      </w: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لزوجها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حسناته</w:t>
      </w:r>
    </w:p>
    <w:p>
      <w:pPr>
        <w:pStyle w:val="BookText"/>
        <w:rPr/>
      </w:pPr>
      <w:r>
        <w:rPr>
          <w:rFonts w:ascii="IRNazanin" w:hAnsi="IRNazanin" w:eastAsia="IRNazanin"/>
          <w:color w:val="111111"/>
          <w:sz w:val="28"/>
          <w:sz w:val="28"/>
          <w:szCs w:val="28"/>
          <w:rtl w:val="true"/>
          <w:lang w:bidi="fa-IR"/>
        </w:rPr>
        <w:t>ما شئت</w:t>
      </w:r>
      <w:r>
        <w:rPr>
          <w:rFonts w:eastAsia="IRNazanin" w:cs="IRNazanin"/>
          <w:color w:val="111111"/>
          <w:sz w:val="28"/>
          <w:szCs w:val="28"/>
          <w:rtl w:val="true"/>
          <w:lang w:bidi="fa-IR"/>
        </w:rPr>
        <w:t xml:space="preserve">» </w:t>
      </w:r>
      <w:r>
        <w:rPr>
          <w:rStyle w:val="FootnoteAnchor"/>
          <w:rtl w:val="true"/>
        </w:rPr>
        <w:footnoteReference w:id="1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حكم المعتدّة رجعيّا بانضمام ما دلّ على أنّها بمنزلة الزوجة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يستدلّ بما تقدّم من الدليل على التحريم بالعقد و الدخول الشامل لصورة العلم و هو الزنى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إذ لعلّ للزنا المستند إلى العقد تغليظ عقوبة، حيث استند في العلم القبيح إلى الأسباب الشرعيّة، فجعلها واسطة في خلاف ما وضع </w:t>
      </w:r>
      <w:r>
        <w:rPr>
          <w:rStyle w:val="FootnoteAnchor"/>
          <w:rtl w:val="true"/>
        </w:rPr>
        <w:footnoteReference w:id="1795"/>
      </w:r>
      <w:r>
        <w:rPr>
          <w:rFonts w:ascii="Amiri" w:hAnsi="Amiri" w:eastAsia="Amiri" w:cs="Amiri"/>
          <w:color w:val="111111"/>
          <w:sz w:val="28"/>
          <w:sz w:val="28"/>
          <w:szCs w:val="28"/>
          <w:rtl w:val="true"/>
          <w:lang w:bidi="ar-SA"/>
        </w:rPr>
        <w:t xml:space="preserve">لأجله؛ و لذا عدّ معصية اللّٰه سبحانه فيما يكون بصورة العبادة أغلظ من غيرها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لهذا لو زنى بغيرها </w:t>
      </w:r>
      <w:r>
        <w:rPr>
          <w:rStyle w:val="FootnoteAnchor"/>
          <w:rtl w:val="true"/>
        </w:rPr>
        <w:footnoteReference w:id="1797"/>
      </w:r>
      <w:r>
        <w:rPr>
          <w:rFonts w:ascii="Amiri" w:hAnsi="Amiri" w:eastAsia="Amiri" w:cs="Amiri"/>
          <w:color w:val="111111"/>
          <w:sz w:val="28"/>
          <w:sz w:val="28"/>
          <w:szCs w:val="28"/>
          <w:rtl w:val="true"/>
          <w:lang w:bidi="ar-SA"/>
        </w:rPr>
        <w:t xml:space="preserve">من المعتدّات لم تحرم عليه عند المصنّف و غيره؛ مع أنّ العقد عليها مع الدخول بها محرّم إجماعا، كما تقدّم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ربما يحتمل التحريم هنا من جهة فحوى حكم الدخول بها مجرّدا و العقد المجرّد عليها عالما، و فيه تأمّل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حكم المعتدّات غيرهنّ الخاليات </w:t>
      </w:r>
      <w:r>
        <w:rPr>
          <w:rStyle w:val="FootnoteAnchor"/>
          <w:rtl w:val="true"/>
        </w:rPr>
        <w:footnoteReference w:id="1799"/>
      </w:r>
      <w:r>
        <w:rPr>
          <w:rFonts w:ascii="Amiri" w:hAnsi="Amiri" w:eastAsia="Amiri" w:cs="Amiri"/>
          <w:color w:val="111111"/>
          <w:sz w:val="28"/>
          <w:sz w:val="28"/>
          <w:szCs w:val="28"/>
          <w:rtl w:val="true"/>
          <w:lang w:bidi="ar-SA"/>
        </w:rPr>
        <w:t>عن الزوج و الموطوءة بشبهة</w:t>
      </w:r>
    </w:p>
    <w:p>
      <w:pPr>
        <w:pStyle w:val="BookText"/>
        <w:rPr/>
      </w:pPr>
      <w:r>
        <w:rPr>
          <w:rFonts w:ascii="Amiri" w:hAnsi="Amiri" w:eastAsia="Amiri" w:cs="Amiri"/>
          <w:color w:val="111111"/>
          <w:sz w:val="28"/>
          <w:sz w:val="28"/>
          <w:szCs w:val="28"/>
          <w:rtl w:val="true"/>
          <w:lang w:bidi="ar-SA"/>
        </w:rPr>
        <w:t>و الموطوءة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الحكم فيما لو أصرّت امرأته عليه أي على الزنى، فإنّه لا يوجب حرمتها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عقد المحرم على امرأة عالما بالتحريم حرمت مؤبّدا </w:t>
      </w:r>
      <w:r>
        <w:rPr>
          <w:rStyle w:val="FootnoteAnchor"/>
          <w:rtl w:val="true"/>
        </w:rPr>
        <w:footnoteReference w:id="1800"/>
      </w:r>
      <w:r>
        <w:rPr>
          <w:rFonts w:ascii="Amiri" w:hAnsi="Amiri" w:eastAsia="Amiri" w:cs="Amiri"/>
          <w:color w:val="111111"/>
          <w:sz w:val="28"/>
          <w:sz w:val="28"/>
          <w:szCs w:val="28"/>
          <w:rtl w:val="true"/>
          <w:lang w:bidi="ar-SA"/>
        </w:rPr>
        <w:t xml:space="preserve">و إن لم يدخل بها إجماعا، حكاه في الرياض عن جماعة </w:t>
      </w:r>
      <w:r>
        <w:rPr>
          <w:rStyle w:val="FootnoteAnchor"/>
          <w:rtl w:val="true"/>
        </w:rPr>
        <w:footnoteReference w:id="1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المحكيّ عن الخصال </w:t>
      </w:r>
      <w:r>
        <w:rPr>
          <w:rStyle w:val="FootnoteAnchor"/>
          <w:rtl w:val="true"/>
        </w:rPr>
        <w:footnoteReference w:id="1802"/>
      </w:r>
      <w:r>
        <w:rPr>
          <w:rFonts w:ascii="Amiri" w:hAnsi="Amiri" w:eastAsia="Amiri" w:cs="Amiri"/>
          <w:color w:val="111111"/>
          <w:sz w:val="28"/>
          <w:sz w:val="28"/>
          <w:szCs w:val="28"/>
          <w:rtl w:val="true"/>
          <w:lang w:bidi="ar-SA"/>
        </w:rPr>
        <w:t xml:space="preserve">و بعض الروايات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جاهلا فسد عقده إجماعا </w:t>
      </w:r>
      <w:r>
        <w:rPr>
          <w:rStyle w:val="FootnoteAnchor"/>
          <w:rtl w:val="true"/>
        </w:rPr>
        <w:footnoteReference w:id="1804"/>
      </w:r>
      <w:r>
        <w:rPr>
          <w:rFonts w:ascii="Amiri" w:hAnsi="Amiri" w:eastAsia="Amiri" w:cs="Amiri"/>
          <w:color w:val="111111"/>
          <w:sz w:val="28"/>
          <w:sz w:val="28"/>
          <w:szCs w:val="28"/>
          <w:rtl w:val="true"/>
          <w:lang w:bidi="ar-SA"/>
        </w:rPr>
        <w:t xml:space="preserve">و لكن لا </w:t>
      </w:r>
      <w:r>
        <w:rPr>
          <w:rStyle w:val="FootnoteAnchor"/>
          <w:rtl w:val="true"/>
        </w:rPr>
        <w:footnoteReference w:id="1805"/>
      </w:r>
      <w:r>
        <w:rPr>
          <w:rFonts w:ascii="IRNazanin" w:hAnsi="IRNazanin" w:eastAsia="IRNazanin"/>
          <w:color w:val="111111"/>
          <w:sz w:val="28"/>
          <w:sz w:val="28"/>
          <w:szCs w:val="28"/>
          <w:rtl w:val="true"/>
          <w:lang w:bidi="fa-IR"/>
        </w:rPr>
        <w:t xml:space="preserve">تحرم على الأشهر </w:t>
      </w:r>
      <w:r>
        <w:rPr>
          <w:rStyle w:val="FootnoteAnchor"/>
          <w:rtl w:val="true"/>
        </w:rPr>
        <w:footnoteReference w:id="1806"/>
      </w:r>
      <w:r>
        <w:rPr>
          <w:rFonts w:ascii="Amiri" w:hAnsi="Amiri" w:eastAsia="Amiri" w:cs="Amiri"/>
          <w:color w:val="111111"/>
          <w:sz w:val="28"/>
          <w:sz w:val="28"/>
          <w:szCs w:val="28"/>
          <w:rtl w:val="true"/>
          <w:lang w:bidi="ar-SA"/>
        </w:rPr>
        <w:t>بل عن التذكرة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المحكيّ عن كتاب الحسين بن سعيد </w:t>
      </w:r>
      <w:r>
        <w:rPr>
          <w:rStyle w:val="FootnoteAnchor"/>
          <w:rtl w:val="true"/>
        </w:rPr>
        <w:footnoteReference w:id="1808"/>
      </w:r>
      <w:r>
        <w:rPr>
          <w:rFonts w:ascii="Amiri" w:hAnsi="Amiri" w:eastAsia="Amiri" w:cs="Amiri"/>
          <w:color w:val="111111"/>
          <w:sz w:val="28"/>
          <w:sz w:val="28"/>
          <w:szCs w:val="28"/>
          <w:rtl w:val="true"/>
          <w:lang w:bidi="ar-SA"/>
        </w:rPr>
        <w:t>و مفهوم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تزوّج و هو يعلم أنّه حرام عليه لا تحلّ له أبدا</w:t>
      </w:r>
      <w:r>
        <w:rPr>
          <w:rFonts w:eastAsia="Amiri" w:cs="Amiri" w:ascii="Amiri" w:hAnsi="Amiri"/>
          <w:color w:val="111111"/>
          <w:sz w:val="28"/>
          <w:szCs w:val="28"/>
          <w:rtl w:val="true"/>
          <w:lang w:bidi="ar-SA"/>
        </w:rPr>
        <w:t xml:space="preserve">» </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للمحكيّ عن المقنع </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 xml:space="preserve">و سلّار </w:t>
      </w:r>
      <w:r>
        <w:rPr>
          <w:rStyle w:val="FootnoteAnchor"/>
          <w:rtl w:val="true"/>
        </w:rPr>
        <w:footnoteReference w:id="1811"/>
      </w:r>
      <w:r>
        <w:rPr>
          <w:rFonts w:ascii="Amiri" w:hAnsi="Amiri" w:eastAsia="Amiri" w:cs="Amiri"/>
          <w:color w:val="111111"/>
          <w:sz w:val="28"/>
          <w:sz w:val="28"/>
          <w:szCs w:val="28"/>
          <w:rtl w:val="true"/>
          <w:lang w:bidi="ar-SA"/>
        </w:rPr>
        <w:t xml:space="preserve">فحكموا بالتحريم، لعموم ما دلّ عليه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أوقب غلاما أو رجلا، و لو بإدخال بعض الحشفة غير الموجب للغسل، على تأمّل فيه من جهة انصراف النصوص و الفتاوى إلى غيرها حرمت عليه امّه و إن علت و بنته و إن نزلت، و أخته لا بناتها، اتّفاقا في جميع ذلك على الظاهر المصرّح به في كلام بعض </w:t>
      </w:r>
      <w:r>
        <w:rPr>
          <w:rStyle w:val="FootnoteAnchor"/>
          <w:rtl w:val="true"/>
        </w:rPr>
        <w:footnoteReference w:id="1813"/>
      </w:r>
      <w:r>
        <w:rPr>
          <w:rFonts w:ascii="Amiri" w:hAnsi="Amiri" w:eastAsia="Amiri" w:cs="Amiri"/>
          <w:color w:val="111111"/>
          <w:sz w:val="28"/>
          <w:sz w:val="28"/>
          <w:szCs w:val="28"/>
          <w:rtl w:val="true"/>
          <w:lang w:bidi="ar-SA"/>
        </w:rPr>
        <w:t xml:space="preserve">و المحكيّ في كلام آخرين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تحرم </w:t>
      </w:r>
      <w:r>
        <w:rPr>
          <w:rStyle w:val="FootnoteAnchor"/>
          <w:rtl w:val="true"/>
        </w:rPr>
        <w:footnoteReference w:id="1815"/>
      </w:r>
      <w:r>
        <w:rPr>
          <w:rFonts w:ascii="Amiri" w:hAnsi="Amiri" w:eastAsia="Amiri" w:cs="Amiri"/>
          <w:color w:val="111111"/>
          <w:sz w:val="28"/>
          <w:sz w:val="28"/>
          <w:szCs w:val="28"/>
          <w:rtl w:val="true"/>
          <w:lang w:bidi="ar-SA"/>
        </w:rPr>
        <w:t>واحدة من هؤلاء لو سبق العقد عليها اللواط بشرط وقوعه حال الزوجيّة، أمّا لو عقد على إحداهنّ ففارقها ففعل ذلك القبيح فالظاهر حرمة تزويج المفارقة، لأنّ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 xml:space="preserve">» </w:t>
      </w:r>
      <w:r>
        <w:rPr>
          <w:rStyle w:val="FootnoteAnchor"/>
          <w:rtl w:val="true"/>
        </w:rPr>
        <w:footnoteReference w:id="1816"/>
      </w:r>
      <w:r>
        <w:rPr>
          <w:rFonts w:ascii="Amiri" w:hAnsi="Amiri" w:eastAsia="Amiri" w:cs="Amiri"/>
          <w:color w:val="111111"/>
          <w:sz w:val="28"/>
          <w:sz w:val="28"/>
          <w:szCs w:val="28"/>
          <w:rtl w:val="true"/>
          <w:lang w:bidi="ar-SA"/>
        </w:rPr>
        <w:t xml:space="preserve">في الحلال بالفعل؛ و هكذا حكم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Style w:val="FootnoteAnchor"/>
          <w:rtl w:val="true"/>
        </w:rPr>
        <w:footnoteReference w:id="1817"/>
      </w:r>
      <w:r>
        <w:rPr>
          <w:rFonts w:ascii="Amiri" w:hAnsi="Amiri" w:eastAsia="Amiri" w:cs="Amiri"/>
          <w:color w:val="111111"/>
          <w:sz w:val="28"/>
          <w:sz w:val="28"/>
          <w:szCs w:val="28"/>
          <w:rtl w:val="true"/>
          <w:lang w:bidi="ar-SA"/>
        </w:rPr>
        <w:t>المسألة من مسائل المصاهرة و ما يلحقها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أصل الحكم في سورة العقد اتّفاقيّ، لا مخالف فيه فتوى و رواية، إلّا ما يظهر من بعض الروايات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أخا امرأته حرمت عليه</w:t>
      </w:r>
    </w:p>
    <w:p>
      <w:pPr>
        <w:pStyle w:val="BookText"/>
        <w:rPr/>
      </w:pP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Style w:val="FootnoteAnchor"/>
          <w:rtl w:val="true"/>
        </w:rPr>
        <w:footnoteReference w:id="1818"/>
      </w:r>
      <w:r>
        <w:rPr>
          <w:rFonts w:ascii="Amiri" w:hAnsi="Amiri" w:eastAsia="Amiri" w:cs="Amiri"/>
          <w:color w:val="111111"/>
          <w:sz w:val="28"/>
          <w:sz w:val="28"/>
          <w:szCs w:val="28"/>
          <w:rtl w:val="true"/>
          <w:lang w:bidi="ar-SA"/>
        </w:rPr>
        <w:t xml:space="preserve">و هي محمولة على إرادة أخي من صدق عليها أنّها امرأته في الحال دون زمان الإتيان، و إن كان مخالفا للظاهر، لأنّ ظاهر الموضوعات المتّصفة بعنوان ثبوت الوصف العنواني فيها حال عروض المحمول لها لا </w:t>
      </w:r>
      <w:r>
        <w:rPr>
          <w:rStyle w:val="FootnoteAnchor"/>
          <w:rtl w:val="true"/>
        </w:rPr>
        <w:footnoteReference w:id="1819"/>
      </w:r>
      <w:r>
        <w:rPr>
          <w:rFonts w:ascii="Amiri" w:hAnsi="Amiri" w:eastAsia="Amiri" w:cs="Amiri"/>
          <w:color w:val="111111"/>
          <w:sz w:val="28"/>
          <w:sz w:val="28"/>
          <w:szCs w:val="28"/>
          <w:rtl w:val="true"/>
          <w:lang w:bidi="ar-SA"/>
        </w:rPr>
        <w:t>حال الإخبار عن وقوعها، و ظاهر إطلاق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العبائر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الفاعل بين الصغير و الكبير، إلّا أنّ المذكور في الأخبار هو الرجل </w:t>
      </w:r>
      <w:r>
        <w:rPr>
          <w:rStyle w:val="FootnoteAnchor"/>
          <w:rtl w:val="true"/>
        </w:rPr>
        <w:footnoteReference w:id="1820"/>
      </w:r>
      <w:r>
        <w:rPr>
          <w:rFonts w:ascii="Amiri" w:hAnsi="Amiri" w:eastAsia="Amiri" w:cs="Amiri"/>
          <w:color w:val="111111"/>
          <w:sz w:val="28"/>
          <w:sz w:val="28"/>
          <w:szCs w:val="28"/>
          <w:rtl w:val="true"/>
          <w:lang w:bidi="ar-SA"/>
        </w:rPr>
        <w:t xml:space="preserve">و حمله على كونه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Style w:val="FootnoteAnchor"/>
          <w:rtl w:val="true"/>
        </w:rPr>
        <w:footnoteReference w:id="1821"/>
      </w:r>
      <w:r>
        <w:rPr>
          <w:rFonts w:ascii="Amiri" w:hAnsi="Amiri" w:eastAsia="Amiri" w:cs="Amiri"/>
          <w:color w:val="111111"/>
          <w:sz w:val="28"/>
          <w:sz w:val="28"/>
          <w:szCs w:val="28"/>
          <w:rtl w:val="true"/>
          <w:lang w:bidi="ar-SA"/>
        </w:rPr>
        <w:t>حال الحكاية بعيد،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الحكم بالتحريم عليه حيث إنّه من عوارض أفعال البالغين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بالتحريم في هذه المقامات هو مجرّد الفساد، كما أنّ صيغة النهي قد تستعمل لمحض ذلك، فكذا مادّة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المشهور أنّه لا يحرم على المفعول بسبب هذا العمل أحد من أقارب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عن شرح النافع حكاية نقل القول بإلحاقه بالفاعل عن بعض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لاعن امرأته حرمت عليه أبدا بلا خلاف في ذلك ظاهرا، كما صرّح به غير واحد </w:t>
      </w:r>
      <w:r>
        <w:rPr>
          <w:rStyle w:val="FootnoteAnchor"/>
          <w:rtl w:val="true"/>
        </w:rPr>
        <w:footnoteReference w:id="1823"/>
      </w:r>
      <w:r>
        <w:rPr>
          <w:rFonts w:ascii="Amiri" w:hAnsi="Amiri" w:eastAsia="Amiri" w:cs="Amiri"/>
          <w:color w:val="111111"/>
          <w:sz w:val="28"/>
          <w:sz w:val="28"/>
          <w:szCs w:val="28"/>
          <w:rtl w:val="true"/>
          <w:lang w:bidi="ar-SA"/>
        </w:rPr>
        <w:t>و 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w:t>
      </w:r>
      <w:r>
        <w:rPr>
          <w:rStyle w:val="FootnoteAnchor"/>
          <w:rtl w:val="true"/>
        </w:rPr>
        <w:footnoteReference w:id="1824"/>
      </w:r>
      <w:r>
        <w:rPr>
          <w:rFonts w:ascii="Amiri" w:hAnsi="Amiri" w:eastAsia="Amiri" w:cs="Amiri"/>
          <w:color w:val="111111"/>
          <w:sz w:val="28"/>
          <w:sz w:val="28"/>
          <w:szCs w:val="28"/>
          <w:rtl w:val="true"/>
          <w:lang w:bidi="ar-SA"/>
        </w:rPr>
        <w:t>قذفها و هي صمّاء أو خرساء بما يوجب اللعان لو لا خرسها أو صممها، بأن يرميها بالزنى مع دعوى المشاهدة و عدم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في الرواية مختصّ بجامعة الوصفين </w:t>
      </w:r>
      <w:r>
        <w:rPr>
          <w:rStyle w:val="FootnoteAnchor"/>
          <w:rtl w:val="true"/>
        </w:rPr>
        <w:footnoteReference w:id="1825"/>
      </w:r>
      <w:r>
        <w:rPr>
          <w:rFonts w:ascii="Amiri" w:hAnsi="Amiri" w:eastAsia="Amiri" w:cs="Amiri"/>
          <w:color w:val="111111"/>
          <w:sz w:val="28"/>
          <w:sz w:val="28"/>
          <w:szCs w:val="28"/>
          <w:rtl w:val="true"/>
          <w:lang w:bidi="ar-SA"/>
        </w:rPr>
        <w:t xml:space="preserve">لكنّ المحكيّ عن الأكثر؛ الاكتفاء بأحد الأمرين </w:t>
      </w:r>
      <w:r>
        <w:rPr>
          <w:rStyle w:val="FootnoteAnchor"/>
          <w:rtl w:val="true"/>
        </w:rPr>
        <w:footnoteReference w:id="1826"/>
      </w:r>
      <w:r>
        <w:rPr>
          <w:rFonts w:ascii="Amiri" w:hAnsi="Amiri" w:eastAsia="Amiri" w:cs="Amiri"/>
          <w:color w:val="111111"/>
          <w:sz w:val="28"/>
          <w:sz w:val="28"/>
          <w:szCs w:val="28"/>
          <w:rtl w:val="true"/>
          <w:lang w:bidi="ar-SA"/>
        </w:rPr>
        <w:t xml:space="preserve">و عن الغنية </w:t>
      </w:r>
      <w:r>
        <w:rPr>
          <w:rStyle w:val="FootnoteAnchor"/>
          <w:rtl w:val="true"/>
        </w:rPr>
        <w:footnoteReference w:id="1827"/>
      </w:r>
      <w:r>
        <w:rPr>
          <w:rFonts w:ascii="IRNazanin" w:hAnsi="IRNazanin" w:eastAsia="IRNazanin"/>
          <w:color w:val="111111"/>
          <w:sz w:val="28"/>
          <w:sz w:val="28"/>
          <w:szCs w:val="28"/>
          <w:rtl w:val="true"/>
          <w:lang w:bidi="fa-IR"/>
        </w:rPr>
        <w:t xml:space="preserve">و السرائر؛ الإجماع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مواضع التهذيب ذكر الرواية بعطف أحدهما على الآخر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Style w:val="FootnoteAnchor"/>
          <w:rtl w:val="true"/>
        </w:rPr>
        <w:footnoteReference w:id="1829"/>
      </w:r>
      <w:r>
        <w:rPr>
          <w:rFonts w:ascii="Amiri" w:hAnsi="Amiri" w:eastAsia="Amiri" w:cs="Amiri"/>
          <w:color w:val="111111"/>
          <w:sz w:val="28"/>
          <w:sz w:val="28"/>
          <w:szCs w:val="28"/>
          <w:rtl w:val="true"/>
          <w:lang w:bidi="ar-SA"/>
        </w:rPr>
        <w:t xml:space="preserve">و الموجود عندي هو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المرويّة في التهذيب عن الحسن بن محبوب، عن هشام بن سالم، عن أبي بصير </w:t>
      </w:r>
      <w:r>
        <w:rPr>
          <w:rStyle w:val="FootnoteAnchor"/>
          <w:rtl w:val="true"/>
        </w:rPr>
        <w:footnoteReference w:id="1830"/>
      </w:r>
      <w:r>
        <w:rPr>
          <w:rFonts w:ascii="Amiri" w:hAnsi="Amiri" w:eastAsia="Amiri" w:cs="Amiri"/>
          <w:color w:val="111111"/>
          <w:sz w:val="28"/>
          <w:sz w:val="28"/>
          <w:szCs w:val="28"/>
          <w:rtl w:val="true"/>
          <w:lang w:bidi="ar-SA"/>
        </w:rPr>
        <w:t xml:space="preserve">و ذكر عبارة المقنعة قبل هذه الرواية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بعض الروايات الاكتفاء بالخرس وحده </w:t>
      </w:r>
      <w:r>
        <w:rPr>
          <w:rStyle w:val="FootnoteAnchor"/>
          <w:rtl w:val="true"/>
        </w:rPr>
        <w:footnoteReference w:id="1832"/>
      </w:r>
      <w:r>
        <w:rPr>
          <w:rFonts w:ascii="Amiri" w:hAnsi="Amiri" w:eastAsia="Amiri" w:cs="Amiri"/>
          <w:color w:val="111111"/>
          <w:sz w:val="28"/>
          <w:sz w:val="28"/>
          <w:szCs w:val="28"/>
          <w:rtl w:val="true"/>
          <w:lang w:bidi="ar-SA"/>
        </w:rPr>
        <w:t>و يثبت الاكتفاء بالصّمم وحده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الصدوق </w:t>
      </w:r>
      <w:r>
        <w:rPr>
          <w:rStyle w:val="FootnoteAnchor"/>
          <w:rtl w:val="true"/>
        </w:rPr>
        <w:footnoteReference w:id="1833"/>
      </w:r>
      <w:r>
        <w:rPr>
          <w:rFonts w:ascii="Amiri" w:hAnsi="Amiri" w:eastAsia="Amiri" w:cs="Amiri"/>
          <w:color w:val="111111"/>
          <w:sz w:val="28"/>
          <w:sz w:val="28"/>
          <w:szCs w:val="28"/>
          <w:rtl w:val="true"/>
          <w:lang w:bidi="ar-SA"/>
        </w:rPr>
        <w:t xml:space="preserve">تعدّي الحكم إلى ما لو قذفت الزوجة زوجها الأصمّ، للمرسل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مقام ثبت الحرمة فالواجب تمام المهر و إن كان قبل الدخول، لأنّ إلحاقه بالطلاق قياس لا نقول به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هل ينفى بذلك الولد عن أبيه الملاعن أم لا؟ وجهان</w:t>
      </w:r>
      <w:r>
        <w:rPr>
          <w:rFonts w:eastAsia="Amiri" w:cs="Amiri" w:ascii="Amiri" w:hAnsi="Amiri"/>
          <w:color w:val="111111"/>
          <w:sz w:val="28"/>
          <w:szCs w:val="28"/>
          <w:rtl w:val="true"/>
          <w:lang w:bidi="ar-SA"/>
        </w:rPr>
        <w:t>.</w:t>
      </w:r>
      <w:bookmarkStart w:id="386" w:name="pg19718_239316"/>
    </w:p>
    <w:p>
      <w:pPr>
        <w:pStyle w:val="Heading5"/>
        <w:numPr>
          <w:ilvl w:val="4"/>
          <w:numId w:val="1"/>
        </w:numPr>
        <w:rPr/>
      </w:pPr>
      <w:bookmarkStart w:id="387" w:name="__RefHeading___Toc1986010_2314609296"/>
      <w:bookmarkStart w:id="388" w:name="_Toc151"/>
      <w:bookmarkEnd w:id="386"/>
      <w:bookmarkEnd w:id="387"/>
      <w:r>
        <w:rPr>
          <w:rtl w:val="true"/>
        </w:rPr>
        <w:t>تتمة</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العقد على القابلة المربية و بنتها، و أن يزوج ابنه بنت زوجته المخلوقة بعد فرقته، و التزويج بضرّة الأمّ مع غير الأب، و بالزانية قبل التوبة، و بالأمة مع وجود الطّول للحرة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نكاح الأمة على الحرة إلّا برضاها، فإن بادر بدون الإذن بطل، و يجوز العكس، فإن جهلت الحرة كان لها فسخ عقدها، و لو جمعهما في عقد صحّ عقد الحرة خاصة</w:t>
      </w:r>
      <w:r>
        <w:rPr>
          <w:rFonts w:eastAsia="Amiri" w:cs="Amiri" w:ascii="Amiri" w:hAnsi="Amiri"/>
          <w:color w:val="111111"/>
          <w:sz w:val="28"/>
          <w:szCs w:val="28"/>
          <w:rtl w:val="true"/>
          <w:lang w:bidi="ar-SA"/>
        </w:rPr>
        <w:t xml:space="preserve">]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w:t>
      </w:r>
      <w:r>
        <w:rPr>
          <w:rStyle w:val="FootnoteAnchor"/>
          <w:rtl w:val="true"/>
        </w:rPr>
        <w:footnoteReference w:id="1836"/>
      </w:r>
      <w:r>
        <w:rPr>
          <w:rFonts w:ascii="Amiri" w:hAnsi="Amiri" w:eastAsia="Amiri" w:cs="Amiri"/>
          <w:color w:val="111111"/>
          <w:sz w:val="28"/>
          <w:sz w:val="28"/>
          <w:szCs w:val="28"/>
          <w:rtl w:val="true"/>
          <w:lang w:bidi="ar-SA"/>
        </w:rPr>
        <w:t xml:space="preserve">دخل الزوج بصبيّة لم تبلغ تسعا و تزوّجها فعل محرّما بلا خلاف، كما يظهر من كلام بعضهم </w:t>
      </w:r>
      <w:r>
        <w:rPr>
          <w:rStyle w:val="FootnoteAnchor"/>
          <w:rtl w:val="true"/>
        </w:rPr>
        <w:footnoteReference w:id="1837"/>
      </w:r>
      <w:r>
        <w:rPr>
          <w:rFonts w:ascii="Amiri" w:hAnsi="Amiri" w:eastAsia="Amiri" w:cs="Amiri"/>
          <w:color w:val="111111"/>
          <w:sz w:val="28"/>
          <w:sz w:val="28"/>
          <w:szCs w:val="28"/>
          <w:rtl w:val="true"/>
          <w:lang w:bidi="ar-SA"/>
        </w:rPr>
        <w:t>و لم تحرم عليه بذلك ما لم يفضها على</w:t>
      </w:r>
    </w:p>
    <w:p>
      <w:pPr>
        <w:pStyle w:val="BookText"/>
        <w:rPr/>
      </w:pPr>
      <w:r>
        <w:rPr>
          <w:rFonts w:ascii="Amiri" w:hAnsi="Amiri" w:eastAsia="Amiri" w:cs="Amiri"/>
          <w:color w:val="111111"/>
          <w:sz w:val="28"/>
          <w:sz w:val="28"/>
          <w:szCs w:val="28"/>
          <w:rtl w:val="true"/>
          <w:lang w:bidi="ar-SA"/>
        </w:rPr>
        <w:t xml:space="preserve">المعروف ممّن عدا الشيخ </w:t>
      </w:r>
      <w:r>
        <w:rPr>
          <w:rStyle w:val="FootnoteAnchor"/>
          <w:rtl w:val="true"/>
        </w:rPr>
        <w:footnoteReference w:id="1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إطلاق بعض الروايات </w:t>
      </w:r>
      <w:r>
        <w:rPr>
          <w:rStyle w:val="FootnoteAnchor"/>
          <w:rtl w:val="true"/>
        </w:rPr>
        <w:footnoteReference w:id="1839"/>
      </w:r>
      <w:r>
        <w:rPr>
          <w:rFonts w:ascii="Amiri" w:hAnsi="Amiri" w:eastAsia="Amiri" w:cs="Amiri"/>
          <w:color w:val="111111"/>
          <w:sz w:val="28"/>
          <w:sz w:val="28"/>
          <w:szCs w:val="28"/>
          <w:rtl w:val="true"/>
          <w:lang w:bidi="ar-SA"/>
        </w:rPr>
        <w:t xml:space="preserve">ف لو أفضاها بجعل مسلك البول و الحيض واحدا؛ و ربما فسّر بجعل مسلك الحيض و الغائط واحدا </w:t>
      </w:r>
      <w:r>
        <w:rPr>
          <w:rStyle w:val="FootnoteAnchor"/>
          <w:rtl w:val="true"/>
        </w:rPr>
        <w:footnoteReference w:id="1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أبدا، لمرسلة زيد بن يعقوب </w:t>
      </w:r>
      <w:r>
        <w:rPr>
          <w:rStyle w:val="FootnoteAnchor"/>
          <w:rtl w:val="true"/>
        </w:rPr>
        <w:footnoteReference w:id="1841"/>
      </w:r>
      <w:r>
        <w:rPr>
          <w:rFonts w:ascii="Amiri" w:hAnsi="Amiri" w:eastAsia="Amiri" w:cs="Amiri"/>
          <w:color w:val="111111"/>
          <w:sz w:val="28"/>
          <w:sz w:val="28"/>
          <w:szCs w:val="28"/>
          <w:rtl w:val="true"/>
          <w:lang w:bidi="ar-SA"/>
        </w:rPr>
        <w:t xml:space="preserve">و عليه الإنفاق عليها حتّى يموت أحدهما لرواية الحلبي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تبين منه بغير طلاق أم لا؟ ظاهر رواية بريد بن معاوية </w:t>
      </w:r>
      <w:r>
        <w:rPr>
          <w:rStyle w:val="FootnoteAnchor"/>
          <w:rtl w:val="true"/>
        </w:rPr>
        <w:footnoteReference w:id="1843"/>
      </w:r>
      <w:r>
        <w:rPr>
          <w:rFonts w:ascii="Amiri" w:hAnsi="Amiri" w:eastAsia="Amiri" w:cs="Amiri"/>
          <w:color w:val="111111"/>
          <w:sz w:val="28"/>
          <w:sz w:val="28"/>
          <w:szCs w:val="28"/>
          <w:rtl w:val="true"/>
          <w:lang w:bidi="ar-SA"/>
        </w:rPr>
        <w:t xml:space="preserve">و رواية حمران المحكيّة عن الفقيه </w:t>
      </w:r>
      <w:r>
        <w:rPr>
          <w:rStyle w:val="FootnoteAnchor"/>
          <w:rtl w:val="true"/>
        </w:rPr>
        <w:footnoteReference w:id="1844"/>
      </w:r>
      <w:r>
        <w:rPr>
          <w:rFonts w:ascii="Amiri" w:hAnsi="Amiri" w:eastAsia="Amiri" w:cs="Amiri"/>
          <w:color w:val="111111"/>
          <w:sz w:val="28"/>
          <w:sz w:val="28"/>
          <w:szCs w:val="28"/>
          <w:rtl w:val="true"/>
          <w:lang w:bidi="ar-SA"/>
        </w:rPr>
        <w:t>بل صريحهما، الثاني، و ظاهر المرسلة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هو المحكيّ عن ابن حمزة </w:t>
      </w:r>
      <w:r>
        <w:rPr>
          <w:rStyle w:val="FootnoteAnchor"/>
          <w:rtl w:val="true"/>
        </w:rPr>
        <w:footnoteReference w:id="1845"/>
      </w:r>
      <w:r>
        <w:rPr>
          <w:rFonts w:ascii="Amiri" w:hAnsi="Amiri" w:eastAsia="Amiri" w:cs="Amiri"/>
          <w:color w:val="111111"/>
          <w:sz w:val="28"/>
          <w:sz w:val="28"/>
          <w:szCs w:val="28"/>
          <w:rtl w:val="true"/>
          <w:lang w:bidi="ar-SA"/>
        </w:rPr>
        <w:t xml:space="preserve">و أيّده في المسالك </w:t>
      </w:r>
      <w:r>
        <w:rPr>
          <w:rStyle w:val="FootnoteAnchor"/>
          <w:rtl w:val="true"/>
        </w:rPr>
        <w:footnoteReference w:id="1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w:t>
      </w:r>
    </w:p>
    <w:p>
      <w:pPr>
        <w:pStyle w:val="BookText"/>
        <w:rPr/>
      </w:pPr>
      <w:r>
        <w:rPr>
          <w:rFonts w:ascii="Amiri" w:hAnsi="Amiri" w:eastAsia="Amiri" w:cs="Amiri"/>
          <w:color w:val="111111"/>
          <w:sz w:val="28"/>
          <w:sz w:val="28"/>
          <w:szCs w:val="28"/>
          <w:rtl w:val="true"/>
          <w:lang w:bidi="ar-SA"/>
        </w:rPr>
        <w:t xml:space="preserve">للمحقّق الثاني </w:t>
      </w:r>
      <w:r>
        <w:rPr>
          <w:rStyle w:val="FootnoteAnchor"/>
          <w:rtl w:val="true"/>
        </w:rPr>
        <w:footnoteReference w:id="1847"/>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التحريم المؤبّد ينافي النكاح، إذ ثمرته حلّ الاستمتاع، و لأنّه يمنع النكاح سابقا فيقطعه لاحقا، كالرضاع و اللعان و القذف للزوجة الصمّاء و الخرساء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انحصار ثمرة النكاح في حلّ الاستمتاع إنّما يوجب عدم جواز ابتداء النكاح على من يحرم الاستمتاع منه، لا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حرمة النكاح بالرضاع السابق الموجب لانفساخ اللاحق فلوجود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الخروج من أصالة بقاء النكاح و حرمة الزوجة للغير لا بدّ له من دليل قاطع و لا اعتبار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طعن ابن إدريس على هذا القول بما لا مزيد عليه </w:t>
      </w:r>
      <w:r>
        <w:rPr>
          <w:rStyle w:val="FootnoteAnchor"/>
          <w:rtl w:val="true"/>
        </w:rPr>
        <w:footnoteReference w:id="1848"/>
      </w:r>
      <w:r>
        <w:rPr>
          <w:rFonts w:ascii="Amiri" w:hAnsi="Amiri" w:eastAsia="Amiri" w:cs="Amiri"/>
          <w:color w:val="111111"/>
          <w:sz w:val="28"/>
          <w:sz w:val="28"/>
          <w:szCs w:val="28"/>
          <w:rtl w:val="true"/>
          <w:lang w:bidi="ar-SA"/>
        </w:rPr>
        <w:t>بل ظاهره ثبوت الاتّفاق على عدم بينونتها بغير الطلاق، على ما حكي عنه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طلّقها أو قلنا بأنّها تبين منه بغير طلاق لو تزوّجت فهل يجب على المفضي الإنفاق عليها أيضا أم لا؟ الأظهر، الثاني، و إن كان مقتضى إطلاق رواية الحلبي </w:t>
      </w:r>
      <w:r>
        <w:rPr>
          <w:rStyle w:val="FootnoteAnchor"/>
          <w:rtl w:val="true"/>
        </w:rPr>
        <w:footnoteReference w:id="1849"/>
      </w:r>
      <w:r>
        <w:rPr>
          <w:rFonts w:ascii="Amiri" w:hAnsi="Amiri" w:eastAsia="Amiri" w:cs="Amiri"/>
          <w:color w:val="111111"/>
          <w:sz w:val="28"/>
          <w:sz w:val="28"/>
          <w:szCs w:val="28"/>
          <w:rtl w:val="true"/>
          <w:lang w:bidi="ar-SA"/>
        </w:rPr>
        <w:t>، الأوّل؛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الإجراء عليها ما دامت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لانصرافها إلى صورة عدم تزوّجها، حيث إنّ الغالب عدم رغبة الأزواج فيها بعد الإفضاء، كما تدلّ عليه الرواية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أفسدها و عطّلها على الأزواج</w:t>
      </w:r>
      <w:r>
        <w:rPr>
          <w:rFonts w:eastAsia="Amiri" w:cs="Amiri" w:ascii="Amiri" w:hAnsi="Amiri"/>
          <w:color w:val="111111"/>
          <w:sz w:val="28"/>
          <w:szCs w:val="28"/>
          <w:rtl w:val="true"/>
          <w:lang w:bidi="ar-SA"/>
        </w:rPr>
        <w:t xml:space="preserve">» </w:t>
      </w:r>
      <w:r>
        <w:rPr>
          <w:rStyle w:val="FootnoteAnchor"/>
          <w:rtl w:val="true"/>
        </w:rPr>
        <w:footnoteReference w:id="1850"/>
      </w:r>
      <w:r>
        <w:rPr>
          <w:rFonts w:ascii="Amiri" w:hAnsi="Amiri" w:eastAsia="Amiri" w:cs="Amiri"/>
          <w:color w:val="111111"/>
          <w:sz w:val="28"/>
          <w:sz w:val="28"/>
          <w:szCs w:val="28"/>
          <w:rtl w:val="true"/>
          <w:lang w:bidi="ar-SA"/>
        </w:rPr>
        <w:t xml:space="preserve">مضافا إلى ما دلّ على وجوب نفقة الزوجة على زوجها </w:t>
      </w:r>
      <w:r>
        <w:rPr>
          <w:rStyle w:val="FootnoteAnchor"/>
          <w:rtl w:val="true"/>
        </w:rPr>
        <w:footnoteReference w:id="1851"/>
      </w:r>
      <w:r>
        <w:rPr>
          <w:rFonts w:ascii="Amiri" w:hAnsi="Amiri" w:eastAsia="Amiri" w:cs="Amiri"/>
          <w:color w:val="111111"/>
          <w:sz w:val="28"/>
          <w:sz w:val="28"/>
          <w:szCs w:val="28"/>
          <w:rtl w:val="true"/>
          <w:lang w:bidi="ar-SA"/>
        </w:rPr>
        <w:t>الشامل لهذه الزوجة؛ و ليس إطلاق تلك الأدلّة أدون من إطلاق هذه</w:t>
      </w:r>
    </w:p>
    <w:p>
      <w:pPr>
        <w:pStyle w:val="BookText"/>
        <w:rPr/>
      </w:pPr>
      <w:r>
        <w:rPr>
          <w:rFonts w:ascii="Amiri" w:hAnsi="Amiri" w:eastAsia="Amiri" w:cs="Amiri"/>
          <w:color w:val="111111"/>
          <w:sz w:val="28"/>
          <w:sz w:val="28"/>
          <w:szCs w:val="28"/>
          <w:rtl w:val="true"/>
          <w:lang w:bidi="ar-SA"/>
        </w:rPr>
        <w:t>الرواية، فيتعارضان، حيث يدلّ كلّ منهما على وجوب الإنفاق عينا، و يترجّح تلك الأدلّة باعتبار موافقتها للقواعد الشرعيّة من كون النفقة في مقابل التمكين، و غير ذلك ممّا لا يخفى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يفضها لم تحرم، و ذات البعل تحرم على غيره ما دامت في حباله، و عدّته ان كانت ذات عدّة</w:t>
      </w:r>
      <w:r>
        <w:rPr>
          <w:rFonts w:eastAsia="Amiri" w:cs="Amiri" w:ascii="Amiri" w:hAnsi="Amiri"/>
          <w:color w:val="111111"/>
          <w:sz w:val="28"/>
          <w:szCs w:val="28"/>
          <w:rtl w:val="true"/>
          <w:lang w:bidi="ar-SA"/>
        </w:rPr>
        <w:t xml:space="preserve">]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bookmarkStart w:id="389" w:name="pg19718_239321"/>
    </w:p>
    <w:p>
      <w:pPr>
        <w:pStyle w:val="Heading3"/>
        <w:numPr>
          <w:ilvl w:val="2"/>
          <w:numId w:val="1"/>
        </w:numPr>
        <w:rPr/>
      </w:pPr>
      <w:bookmarkStart w:id="390" w:name="__RefHeading___Toc1986012_2314609296"/>
      <w:bookmarkStart w:id="391" w:name="_Toc152"/>
      <w:bookmarkEnd w:id="389"/>
      <w:bookmarkEnd w:id="390"/>
      <w:r>
        <w:rPr>
          <w:rtl w:val="true"/>
        </w:rPr>
        <w:t>المقصد الرّابع في موجب الخيار</w:t>
      </w:r>
      <w:bookmarkEnd w:id="391"/>
    </w:p>
    <w:p>
      <w:pPr>
        <w:pStyle w:val="Heading4"/>
        <w:numPr>
          <w:ilvl w:val="3"/>
          <w:numId w:val="1"/>
        </w:numPr>
        <w:rPr/>
      </w:pPr>
      <w:bookmarkStart w:id="392" w:name="__RefHeading___Toc1986014_2314609296"/>
      <w:bookmarkStart w:id="393" w:name="_Toc153"/>
      <w:bookmarkEnd w:id="392"/>
      <w:r>
        <w:rPr>
          <w:rtl w:val="true"/>
        </w:rPr>
        <w:t>اشارة</w:t>
      </w:r>
      <w:bookmarkEnd w:id="39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العيب و التّدليس</w:t>
      </w:r>
      <w:bookmarkStart w:id="394" w:name="pg19718_239323"/>
    </w:p>
    <w:p>
      <w:pPr>
        <w:pStyle w:val="BookText"/>
        <w:rPr/>
      </w:pPr>
      <w:bookmarkEnd w:id="394"/>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986016_2314609296"/>
      <w:bookmarkStart w:id="396" w:name="_Toc154"/>
      <w:bookmarkEnd w:id="395"/>
      <w:r>
        <w:rPr>
          <w:rtl w:val="true"/>
        </w:rPr>
        <w:t>[</w:t>
      </w:r>
      <w:r>
        <w:rPr>
          <w:rtl w:val="true"/>
        </w:rPr>
        <w:t>الفصل</w:t>
      </w:r>
      <w:r>
        <w:rPr>
          <w:rtl w:val="true"/>
        </w:rPr>
        <w:t xml:space="preserve">] </w:t>
      </w:r>
      <w:r>
        <w:rPr>
          <w:rtl w:val="true"/>
        </w:rPr>
        <w:t>الأوّل في العيب</w:t>
      </w:r>
      <w:bookmarkEnd w:id="396"/>
    </w:p>
    <w:p>
      <w:pPr>
        <w:pStyle w:val="Heading5"/>
        <w:numPr>
          <w:ilvl w:val="4"/>
          <w:numId w:val="1"/>
        </w:numPr>
        <w:rPr/>
      </w:pPr>
      <w:bookmarkStart w:id="397" w:name="__RefHeading___Toc1986018_2314609296"/>
      <w:bookmarkStart w:id="398" w:name="_Toc155"/>
      <w:bookmarkEnd w:id="397"/>
      <w:r>
        <w:rPr>
          <w:rtl w:val="true"/>
        </w:rPr>
        <w:t>اشارة</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العيب ال عيوب المجوّزة لفسخ النكاح في الرجل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الخصاء، و الجبّ، و العنّة و سيأتي الدليل على كونها عيوبا و تفصيل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الجذام و البرص عيب في الرجل؟ فيه قولان،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المحكيّ عن القاضي </w:t>
      </w:r>
      <w:r>
        <w:rPr>
          <w:rStyle w:val="FootnoteAnchor"/>
          <w:rtl w:val="true"/>
        </w:rPr>
        <w:footnoteReference w:id="1853"/>
      </w:r>
      <w:r>
        <w:rPr>
          <w:rFonts w:ascii="Amiri" w:hAnsi="Amiri" w:eastAsia="Amiri" w:cs="Amiri"/>
          <w:color w:val="111111"/>
          <w:sz w:val="28"/>
          <w:sz w:val="28"/>
          <w:szCs w:val="28"/>
          <w:rtl w:val="true"/>
          <w:lang w:bidi="ar-SA"/>
        </w:rPr>
        <w:t xml:space="preserve">و الإسكافي </w:t>
      </w:r>
      <w:r>
        <w:rPr>
          <w:rStyle w:val="FootnoteAnchor"/>
          <w:rtl w:val="true"/>
        </w:rPr>
        <w:footnoteReference w:id="1854"/>
      </w:r>
      <w:r>
        <w:rPr>
          <w:rFonts w:ascii="Amiri" w:hAnsi="Amiri" w:eastAsia="Amiri" w:cs="Amiri"/>
          <w:color w:val="111111"/>
          <w:sz w:val="28"/>
          <w:sz w:val="28"/>
          <w:szCs w:val="28"/>
          <w:rtl w:val="true"/>
          <w:lang w:bidi="ar-SA"/>
        </w:rPr>
        <w:t xml:space="preserve">و الشهيد الثّاني </w:t>
      </w:r>
      <w:r>
        <w:rPr>
          <w:rStyle w:val="FootnoteAnchor"/>
          <w:rtl w:val="true"/>
        </w:rPr>
        <w:footnoteReference w:id="1855"/>
      </w:r>
      <w:r>
        <w:rPr>
          <w:rFonts w:ascii="Amiri" w:hAnsi="Amiri" w:eastAsia="Amiri" w:cs="Amiri"/>
          <w:color w:val="111111"/>
          <w:sz w:val="28"/>
          <w:sz w:val="28"/>
          <w:szCs w:val="28"/>
          <w:rtl w:val="true"/>
          <w:lang w:bidi="ar-SA"/>
        </w:rPr>
        <w:t>نعم، لعموم الصحيح</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يردّ النكاح من البرص و الجنون و الجذام و العفل</w:t>
      </w:r>
      <w:r>
        <w:rPr>
          <w:rFonts w:eastAsia="Amiri" w:cs="Amiri" w:ascii="Amiri" w:hAnsi="Amiri"/>
          <w:color w:val="111111"/>
          <w:sz w:val="28"/>
          <w:szCs w:val="28"/>
          <w:rtl w:val="true"/>
          <w:lang w:bidi="ar-SA"/>
        </w:rPr>
        <w:t xml:space="preserve">» </w:t>
      </w:r>
      <w:r>
        <w:rPr>
          <w:rStyle w:val="FootnoteAnchor"/>
          <w:rtl w:val="true"/>
        </w:rPr>
        <w:footnoteReference w:id="1856"/>
      </w:r>
      <w:r>
        <w:rPr>
          <w:rFonts w:ascii="Amiri" w:hAnsi="Amiri" w:eastAsia="Amiri" w:cs="Amiri"/>
          <w:color w:val="111111"/>
          <w:sz w:val="28"/>
          <w:sz w:val="28"/>
          <w:szCs w:val="28"/>
          <w:rtl w:val="true"/>
          <w:lang w:bidi="ar-SA"/>
        </w:rPr>
        <w:t>و لادّائه إلى الضرر، لأنّهما من الأمراض المتعدّية باتفاق الأطبّاء؛ 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 من المجذوم</w:t>
      </w:r>
    </w:p>
    <w:p>
      <w:pPr>
        <w:pStyle w:val="BookText"/>
        <w:rPr/>
      </w:pPr>
      <w:r>
        <w:rPr>
          <w:rFonts w:ascii="Amiri" w:hAnsi="Amiri" w:eastAsia="Amiri" w:cs="Amiri"/>
          <w:color w:val="111111"/>
          <w:sz w:val="28"/>
          <w:sz w:val="28"/>
          <w:szCs w:val="28"/>
          <w:rtl w:val="true"/>
          <w:lang w:bidi="ar-SA"/>
        </w:rPr>
        <w:t>فرارك من الأسد</w:t>
      </w:r>
      <w:r>
        <w:rPr>
          <w:rFonts w:eastAsia="Amiri" w:cs="Amiri" w:ascii="Amiri" w:hAnsi="Amiri"/>
          <w:color w:val="111111"/>
          <w:sz w:val="28"/>
          <w:szCs w:val="28"/>
          <w:rtl w:val="true"/>
          <w:lang w:bidi="ar-SA"/>
        </w:rPr>
        <w:t xml:space="preserve">» </w:t>
      </w:r>
      <w:r>
        <w:rPr>
          <w:rStyle w:val="FootnoteAnchor"/>
          <w:rtl w:val="true"/>
        </w:rPr>
        <w:footnoteReference w:id="1857"/>
      </w:r>
      <w:r>
        <w:rPr>
          <w:rFonts w:ascii="Amiri" w:hAnsi="Amiri" w:eastAsia="Amiri" w:cs="Amiri"/>
          <w:color w:val="111111"/>
          <w:sz w:val="28"/>
          <w:sz w:val="28"/>
          <w:szCs w:val="28"/>
          <w:rtl w:val="true"/>
          <w:lang w:bidi="ar-SA"/>
        </w:rPr>
        <w:t>مع أنّها عيب في المرأة مع طريق تخلّص للرجل إلى فراقها بالطلاق، فثبوته في الرجل بطريق أولى، حيث لا طريق للمرأة إلى فراقه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باختصاص الصحيح بالمرأة بحكم سياقه، و السؤال المذكور له في غير التهذيب </w:t>
      </w:r>
      <w:r>
        <w:rPr>
          <w:rStyle w:val="FootnoteAnchor"/>
          <w:rtl w:val="true"/>
        </w:rPr>
        <w:footnoteReference w:id="1858"/>
      </w:r>
      <w:r>
        <w:rPr>
          <w:rFonts w:ascii="Amiri" w:hAnsi="Amiri" w:eastAsia="Amiri" w:cs="Amiri"/>
          <w:color w:val="111111"/>
          <w:sz w:val="28"/>
          <w:sz w:val="28"/>
          <w:szCs w:val="28"/>
          <w:rtl w:val="true"/>
          <w:lang w:bidi="ar-SA"/>
        </w:rPr>
        <w:t>و التخلّص يمكن مع التضرّر بإجبار الحاكم له على الطلاق لو تضرّرت بالمباشرة و المعاشرة؛ مضافا إلى أنّه مستلزم لثبوت الفسخ بجميع الأمراض المعديّة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يردّ بالعمى؟ المحكيّ عن القاضي </w:t>
      </w:r>
      <w:r>
        <w:rPr>
          <w:rStyle w:val="FootnoteAnchor"/>
          <w:rtl w:val="true"/>
        </w:rPr>
        <w:footnoteReference w:id="1859"/>
      </w:r>
      <w:r>
        <w:rPr>
          <w:rFonts w:ascii="Amiri" w:hAnsi="Amiri" w:eastAsia="Amiri" w:cs="Amiri"/>
          <w:color w:val="111111"/>
          <w:sz w:val="28"/>
          <w:sz w:val="28"/>
          <w:szCs w:val="28"/>
          <w:rtl w:val="true"/>
          <w:lang w:bidi="ar-SA"/>
        </w:rPr>
        <w:t xml:space="preserve">و الإسكافي </w:t>
      </w:r>
      <w:r>
        <w:rPr>
          <w:rStyle w:val="FootnoteAnchor"/>
          <w:rtl w:val="true"/>
        </w:rPr>
        <w:footnoteReference w:id="1860"/>
      </w:r>
      <w:r>
        <w:rPr>
          <w:rFonts w:ascii="Amiri" w:hAnsi="Amiri" w:eastAsia="Amiri" w:cs="Amiri"/>
          <w:color w:val="111111"/>
          <w:sz w:val="28"/>
          <w:sz w:val="28"/>
          <w:szCs w:val="28"/>
          <w:rtl w:val="true"/>
          <w:lang w:bidi="ar-SA"/>
        </w:rPr>
        <w:t xml:space="preserve">نعم، و ألحق الثاني به العرج و الزمن الثابتين قبل العقد أو بعده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عدّ من العيوب ما لو ظهر الزوج خنثى </w:t>
      </w:r>
      <w:r>
        <w:rPr>
          <w:rStyle w:val="FootnoteAnchor"/>
          <w:rtl w:val="true"/>
        </w:rPr>
        <w:footnoteReference w:id="1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موضع الخلاف ما إذا كان محكوما بالذكوريّة بالأمارات، للتنفّر عنه و عدم حصول الاطمئنان بالأمارات؛ أمّا لو كان</w:t>
      </w:r>
    </w:p>
    <w:p>
      <w:pPr>
        <w:pStyle w:val="BookText"/>
        <w:rPr/>
      </w:pPr>
      <w:r>
        <w:rPr>
          <w:rFonts w:ascii="Amiri" w:hAnsi="Amiri" w:eastAsia="Amiri" w:cs="Amiri"/>
          <w:color w:val="111111"/>
          <w:sz w:val="28"/>
          <w:sz w:val="28"/>
          <w:szCs w:val="28"/>
          <w:rtl w:val="true"/>
          <w:lang w:bidi="ar-SA"/>
        </w:rPr>
        <w:t xml:space="preserve">مشكلا تبيّن فساد النكاح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عيوب المرأة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الجذام، و البرص، و القرن بسكون الراء و هو العفل و هو لحم ينبت في قبل المرأة، أو شي‌ء يخرج من قبل المرأة شبه الأدرة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انتفاخ الخصيتين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عظم، كالسنّ، في قبل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اتّحاد العفل و القرن هو المحكي عن أكثر أهل اللغة و الفقهاء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تردّ من أربعة أشياء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865"/>
      </w:r>
      <w:r>
        <w:rPr>
          <w:rFonts w:ascii="Amiri" w:hAnsi="Amiri" w:eastAsia="Amiri" w:cs="Amiri"/>
          <w:color w:val="111111"/>
          <w:sz w:val="28"/>
          <w:sz w:val="28"/>
          <w:szCs w:val="28"/>
          <w:rtl w:val="true"/>
          <w:lang w:bidi="ar-SA"/>
        </w:rPr>
        <w:t>البرص، و الجذام، و الجنون، و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يقع، فإذا وقع عليها فلا</w:t>
      </w:r>
      <w:r>
        <w:rPr>
          <w:rFonts w:eastAsia="Amiri" w:cs="Amiri" w:ascii="Amiri" w:hAnsi="Amiri"/>
          <w:color w:val="111111"/>
          <w:sz w:val="28"/>
          <w:szCs w:val="28"/>
          <w:rtl w:val="true"/>
          <w:lang w:bidi="ar-SA"/>
        </w:rPr>
        <w:t xml:space="preserve">» </w:t>
      </w:r>
      <w:r>
        <w:rPr>
          <w:rStyle w:val="FootnoteAnchor"/>
          <w:rtl w:val="true"/>
        </w:rPr>
        <w:footnoteReference w:id="1866"/>
      </w:r>
      <w:r>
        <w:rPr>
          <w:rFonts w:ascii="IRNazanin" w:hAnsi="IRNazanin" w:eastAsia="IRNazanin"/>
          <w:color w:val="111111"/>
          <w:sz w:val="28"/>
          <w:sz w:val="28"/>
          <w:szCs w:val="28"/>
          <w:rtl w:val="true"/>
          <w:lang w:bidi="fa-IR"/>
        </w:rPr>
        <w:t xml:space="preserve">و نحوه خبر آخر </w:t>
      </w:r>
      <w:r>
        <w:rPr>
          <w:rStyle w:val="FootnoteAnchor"/>
          <w:rtl w:val="true"/>
        </w:rPr>
        <w:footnoteReference w:id="1867"/>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خلاف نصّا و فتوى في أنّ هذه الأربعة عيوب في المرأة توجب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الجنون بين المطبق و الأدواري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القرن عيب مطلقا؟ أو بشرط كونه مانعا عن الجماع بسهولة؟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أطلق في كلام جماعة من أهل اللغة أنّه يمنع الوطء </w:t>
      </w:r>
      <w:r>
        <w:rPr>
          <w:rStyle w:val="FootnoteAnchor"/>
          <w:rtl w:val="true"/>
        </w:rPr>
        <w:footnoteReference w:id="1868"/>
      </w:r>
      <w:r>
        <w:rPr>
          <w:rFonts w:ascii="Amiri" w:hAnsi="Amiri" w:eastAsia="Amiri" w:cs="Amiri"/>
          <w:color w:val="111111"/>
          <w:sz w:val="28"/>
          <w:sz w:val="28"/>
          <w:szCs w:val="28"/>
          <w:rtl w:val="true"/>
          <w:lang w:bidi="ar-SA"/>
        </w:rPr>
        <w:t xml:space="preserve">و لكن يستفاد من غير واحد من الأخبار إمكان وطئها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 فالمحكيّ عن الشيخ و الأكثر هو عدم ثبوت الخيار مع إمكان الوطء </w:t>
      </w:r>
      <w:r>
        <w:rPr>
          <w:rStyle w:val="FootnoteAnchor"/>
          <w:rtl w:val="true"/>
        </w:rPr>
        <w:footnoteReference w:id="1870"/>
      </w:r>
      <w:r>
        <w:rPr>
          <w:rFonts w:ascii="Amiri" w:hAnsi="Amiri" w:eastAsia="Amiri" w:cs="Amiri"/>
          <w:color w:val="111111"/>
          <w:sz w:val="28"/>
          <w:sz w:val="28"/>
          <w:szCs w:val="28"/>
          <w:rtl w:val="true"/>
          <w:lang w:bidi="ar-SA"/>
        </w:rPr>
        <w:t>للأصل، و عدم ثبوت المقتضي للخيار، فإنّه إنّما نشأ من حيث المنع عن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عن جماعة من المتأخّرين </w:t>
      </w:r>
      <w:r>
        <w:rPr>
          <w:rStyle w:val="FootnoteAnchor"/>
          <w:rtl w:val="true"/>
        </w:rPr>
        <w:footnoteReference w:id="1871"/>
      </w:r>
      <w:r>
        <w:rPr>
          <w:rFonts w:ascii="Amiri" w:hAnsi="Amiri" w:eastAsia="Amiri" w:cs="Amiri"/>
          <w:color w:val="111111"/>
          <w:sz w:val="28"/>
          <w:sz w:val="28"/>
          <w:szCs w:val="28"/>
          <w:rtl w:val="true"/>
          <w:lang w:bidi="ar-SA"/>
        </w:rPr>
        <w:t xml:space="preserve">ثبوت الخيار أيضا </w:t>
      </w:r>
      <w:r>
        <w:rPr>
          <w:rStyle w:val="FootnoteAnchor"/>
          <w:rtl w:val="true"/>
        </w:rPr>
        <w:footnoteReference w:id="1872"/>
      </w:r>
      <w:r>
        <w:rPr>
          <w:rFonts w:ascii="Amiri" w:hAnsi="Amiri" w:eastAsia="Amiri" w:cs="Amiri"/>
          <w:color w:val="111111"/>
          <w:sz w:val="28"/>
          <w:sz w:val="28"/>
          <w:szCs w:val="28"/>
          <w:rtl w:val="true"/>
          <w:lang w:bidi="ar-SA"/>
        </w:rPr>
        <w:t xml:space="preserve">و مال إليه المحقّق في الشرائع </w:t>
      </w:r>
      <w:r>
        <w:rPr>
          <w:rStyle w:val="FootnoteAnchor"/>
          <w:rtl w:val="true"/>
        </w:rPr>
        <w:footnoteReference w:id="1873"/>
      </w:r>
      <w:r>
        <w:rPr>
          <w:rFonts w:ascii="IRNazanin" w:hAnsi="IRNazanin" w:eastAsia="IRNazanin"/>
          <w:color w:val="111111"/>
          <w:sz w:val="28"/>
          <w:sz w:val="28"/>
          <w:szCs w:val="28"/>
          <w:rtl w:val="true"/>
          <w:lang w:bidi="fa-IR"/>
        </w:rPr>
        <w:t xml:space="preserve">لإطلاق الأخبار </w:t>
      </w:r>
      <w:r>
        <w:rPr>
          <w:rStyle w:val="FootnoteAnchor"/>
          <w:rtl w:val="true"/>
        </w:rPr>
        <w:footnoteReference w:id="1874"/>
      </w:r>
      <w:r>
        <w:rPr>
          <w:rFonts w:ascii="Amiri" w:hAnsi="Amiri" w:eastAsia="Amiri" w:cs="Amiri"/>
          <w:color w:val="111111"/>
          <w:sz w:val="28"/>
          <w:sz w:val="28"/>
          <w:szCs w:val="28"/>
          <w:rtl w:val="true"/>
          <w:lang w:bidi="ar-SA"/>
        </w:rPr>
        <w:t xml:space="preserve">و تصريح بعضها بالخيار و لو مع الدخول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الخيار إنّما يثبت بالجذام و البرص إذا تحقّقا بشهادة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بعض اعتبار التعدّد فيه، لأنّها شهادة </w:t>
      </w:r>
      <w:r>
        <w:rPr>
          <w:rStyle w:val="FootnoteAnchor"/>
          <w:rtl w:val="true"/>
        </w:rPr>
        <w:footnoteReference w:id="1876"/>
      </w:r>
      <w:r>
        <w:rPr>
          <w:rFonts w:ascii="Amiri" w:hAnsi="Amiri" w:eastAsia="Amiri" w:cs="Amiri"/>
          <w:color w:val="111111"/>
          <w:sz w:val="28"/>
          <w:sz w:val="28"/>
          <w:szCs w:val="28"/>
          <w:rtl w:val="true"/>
          <w:lang w:bidi="ar-SA"/>
        </w:rPr>
        <w:t>و في اعتبار العدالة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يشتبه البهق بالبرص</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الإفضاء، و هو جعل المسلكين واحدا و لا خلاف ظاهرا في ثبوت الخيار به، كما يظهر من غير واحد </w:t>
      </w:r>
      <w:r>
        <w:rPr>
          <w:rStyle w:val="FootnoteAnchor"/>
          <w:rtl w:val="true"/>
        </w:rPr>
        <w:footnoteReference w:id="1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w:t>
      </w:r>
    </w:p>
    <w:p>
      <w:pPr>
        <w:pStyle w:val="BookText"/>
        <w:rPr/>
      </w:pPr>
      <w:r>
        <w:rPr>
          <w:rFonts w:ascii="Amiri" w:hAnsi="Amiri" w:eastAsia="Amiri" w:cs="Amiri"/>
          <w:color w:val="111111"/>
          <w:sz w:val="28"/>
          <w:sz w:val="28"/>
          <w:szCs w:val="28"/>
          <w:rtl w:val="true"/>
          <w:lang w:bidi="ar-SA"/>
        </w:rPr>
        <w:t xml:space="preserve">عليه مصحّحة الحذّاء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العمى و لا خلاف فيه ظاهرا، إلّا ما يحكى عن ظاهر المقنع </w:t>
      </w:r>
      <w:r>
        <w:rPr>
          <w:rStyle w:val="FootnoteAnchor"/>
          <w:rtl w:val="true"/>
        </w:rPr>
        <w:footnoteReference w:id="1879"/>
      </w:r>
      <w:r>
        <w:rPr>
          <w:rFonts w:ascii="IRNazanin" w:hAnsi="IRNazanin" w:eastAsia="IRNazanin"/>
          <w:color w:val="111111"/>
          <w:sz w:val="28"/>
          <w:sz w:val="28"/>
          <w:szCs w:val="28"/>
          <w:rtl w:val="true"/>
          <w:lang w:bidi="fa-IR"/>
        </w:rPr>
        <w:t xml:space="preserve">و المبسوط </w:t>
      </w:r>
      <w:r>
        <w:rPr>
          <w:rStyle w:val="FootnoteAnchor"/>
          <w:rtl w:val="true"/>
        </w:rPr>
        <w:footnoteReference w:id="1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مصحّحة داود بن سرحان </w:t>
      </w:r>
      <w:r>
        <w:rPr>
          <w:rStyle w:val="FootnoteAnchor"/>
          <w:rtl w:val="true"/>
        </w:rPr>
        <w:footnoteReference w:id="1881"/>
      </w:r>
      <w:r>
        <w:rPr>
          <w:rFonts w:ascii="Amiri" w:hAnsi="Amiri" w:eastAsia="Amiri" w:cs="Amiri"/>
          <w:color w:val="111111"/>
          <w:sz w:val="28"/>
          <w:sz w:val="28"/>
          <w:szCs w:val="28"/>
          <w:rtl w:val="true"/>
          <w:lang w:bidi="ar-SA"/>
        </w:rPr>
        <w:t xml:space="preserve">و موثّقة ابن مسلم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العرج مطلقا على ما حكي عن الشيخين </w:t>
      </w:r>
      <w:r>
        <w:rPr>
          <w:rStyle w:val="FootnoteAnchor"/>
          <w:rtl w:val="true"/>
        </w:rPr>
        <w:footnoteReference w:id="1883"/>
      </w:r>
      <w:r>
        <w:rPr>
          <w:rFonts w:ascii="Amiri" w:hAnsi="Amiri" w:eastAsia="Amiri" w:cs="Amiri"/>
          <w:color w:val="111111"/>
          <w:sz w:val="28"/>
          <w:sz w:val="28"/>
          <w:szCs w:val="28"/>
          <w:rtl w:val="true"/>
          <w:lang w:bidi="ar-SA"/>
        </w:rPr>
        <w:t xml:space="preserve">و الإسكافي </w:t>
      </w:r>
      <w:r>
        <w:rPr>
          <w:rStyle w:val="FootnoteAnchor"/>
          <w:rtl w:val="true"/>
        </w:rPr>
        <w:footnoteReference w:id="1884"/>
      </w:r>
      <w:r>
        <w:rPr>
          <w:rFonts w:ascii="Amiri" w:hAnsi="Amiri" w:eastAsia="Amiri" w:cs="Amiri"/>
          <w:color w:val="111111"/>
          <w:sz w:val="28"/>
          <w:sz w:val="28"/>
          <w:szCs w:val="28"/>
          <w:rtl w:val="true"/>
          <w:lang w:bidi="ar-SA"/>
        </w:rPr>
        <w:t xml:space="preserve">و الحلبي </w:t>
      </w:r>
      <w:r>
        <w:rPr>
          <w:rStyle w:val="FootnoteAnchor"/>
          <w:rtl w:val="true"/>
        </w:rPr>
        <w:footnoteReference w:id="1885"/>
      </w:r>
      <w:r>
        <w:rPr>
          <w:rFonts w:ascii="Amiri" w:hAnsi="Amiri" w:eastAsia="Amiri" w:cs="Amiri"/>
          <w:color w:val="111111"/>
          <w:sz w:val="28"/>
          <w:sz w:val="28"/>
          <w:szCs w:val="28"/>
          <w:rtl w:val="true"/>
          <w:lang w:bidi="ar-SA"/>
        </w:rPr>
        <w:t xml:space="preserve">و أكثر الأصحاب، لمصحّحة داود بن سرحان و موثّقة محمّد بن مسلم، أو بشرط كونه بيّنا كما ذهب إليه آخرون، منهم المصنّف قدّس سرّه في المختلف </w:t>
      </w:r>
      <w:r>
        <w:rPr>
          <w:rStyle w:val="FootnoteAnchor"/>
          <w:rtl w:val="true"/>
        </w:rPr>
        <w:footnoteReference w:id="1886"/>
      </w:r>
      <w:r>
        <w:rPr>
          <w:rFonts w:ascii="Amiri" w:hAnsi="Amiri" w:eastAsia="Amiri" w:cs="Amiri"/>
          <w:color w:val="111111"/>
          <w:sz w:val="28"/>
          <w:sz w:val="28"/>
          <w:szCs w:val="28"/>
          <w:rtl w:val="true"/>
          <w:lang w:bidi="ar-SA"/>
        </w:rPr>
        <w:t xml:space="preserve">و التحرير </w:t>
      </w:r>
      <w:r>
        <w:rPr>
          <w:rStyle w:val="FootnoteAnchor"/>
          <w:rtl w:val="true"/>
        </w:rPr>
        <w:footnoteReference w:id="1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يراد به ما كان كثيرا متفاحشا، لبعد كون اليسير جدّا عيبا، بل الأخبار أيضا منصرفة إلى البيّن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بعيب مطلقا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عيب إن بلغ الإقعاد </w:t>
      </w:r>
      <w:r>
        <w:rPr>
          <w:rStyle w:val="FootnoteAnchor"/>
          <w:rtl w:val="true"/>
        </w:rPr>
        <w:footnoteReference w:id="1889"/>
      </w:r>
      <w:r>
        <w:rPr>
          <w:rFonts w:ascii="IRNazanin" w:hAnsi="IRNazanin" w:eastAsia="IRNazanin"/>
          <w:color w:val="111111"/>
          <w:sz w:val="28"/>
          <w:sz w:val="28"/>
          <w:szCs w:val="28"/>
          <w:rtl w:val="true"/>
          <w:lang w:bidi="fa-IR"/>
        </w:rPr>
        <w:t>، و الأوّل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يثبت الخيار بالرتق؟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ما حكي عن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التحام الفرج بحيث لا يكون للذكر فيه مدخل </w:t>
      </w:r>
      <w:r>
        <w:rPr>
          <w:rStyle w:val="FootnoteAnchor"/>
          <w:rtl w:val="true"/>
        </w:rPr>
        <w:footnoteReference w:id="1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لحم ينبت في الفرج فيرادف العفل </w:t>
      </w:r>
      <w:r>
        <w:rPr>
          <w:rStyle w:val="FootnoteAnchor"/>
          <w:rtl w:val="true"/>
        </w:rPr>
        <w:footnoteReference w:id="1891"/>
      </w:r>
      <w:r>
        <w:rPr>
          <w:rFonts w:ascii="Amiri" w:hAnsi="Amiri" w:eastAsia="Amiri" w:cs="Amiri"/>
          <w:color w:val="111111"/>
          <w:sz w:val="28"/>
          <w:sz w:val="28"/>
          <w:szCs w:val="28"/>
          <w:rtl w:val="true"/>
          <w:lang w:bidi="ar-SA"/>
        </w:rPr>
        <w:t>فيه قولان، أظهرهما؛ نعم، لعموم التعليل في رواية أبي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امرأة فوجد بها قرنا؟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 تحبل و لا يقدر زوجها على مجامعتها، تردّ و هي صاغرة؛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بذلك قبل أن ينكحها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جامعها فقد رضي بها، و إن لم يعلم إلّا بعد ما جامعها، فإن شاء طلّق بعد، و إن شاء أمسك</w:t>
      </w:r>
      <w:r>
        <w:rPr>
          <w:rFonts w:eastAsia="Amiri" w:cs="Amiri" w:ascii="Amiri" w:hAnsi="Amiri"/>
          <w:color w:val="111111"/>
          <w:sz w:val="28"/>
          <w:szCs w:val="28"/>
          <w:rtl w:val="true"/>
          <w:lang w:bidi="ar-SA"/>
        </w:rPr>
        <w:t xml:space="preserve">»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نحوها رواية الحسن بن صالح عن الفقيه </w:t>
      </w:r>
      <w:r>
        <w:rPr>
          <w:rStyle w:val="FootnoteAnchor"/>
          <w:rtl w:val="true"/>
        </w:rPr>
        <w:footnoteReference w:id="1893"/>
      </w:r>
      <w:r>
        <w:rPr>
          <w:rFonts w:ascii="Amiri" w:hAnsi="Amiri" w:eastAsia="Amiri" w:cs="Amiri"/>
          <w:color w:val="111111"/>
          <w:sz w:val="28"/>
          <w:sz w:val="28"/>
          <w:szCs w:val="28"/>
          <w:rtl w:val="true"/>
          <w:lang w:bidi="ar-SA"/>
        </w:rPr>
        <w:t xml:space="preserve">و الكافي </w:t>
      </w:r>
      <w:r>
        <w:rPr>
          <w:rStyle w:val="FootnoteAnchor"/>
          <w:rtl w:val="true"/>
        </w:rPr>
        <w:footnoteReference w:id="1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بالطلاق هو الطلاق اللغوي بالفسخ لا الطلاق الشرعي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في المحدودة في الفجور، فعن كثير من المتقدّمين، بل عن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تردّ، للعار على الزوج </w:t>
      </w:r>
      <w:r>
        <w:rPr>
          <w:rStyle w:val="FootnoteAnchor"/>
          <w:rtl w:val="true"/>
        </w:rPr>
        <w:footnoteReference w:id="1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في الروايات ما يدلّ على</w:t>
      </w:r>
    </w:p>
    <w:p>
      <w:pPr>
        <w:pStyle w:val="BookText"/>
        <w:rPr/>
      </w:pPr>
      <w:r>
        <w:rPr>
          <w:rFonts w:ascii="Amiri" w:hAnsi="Amiri" w:eastAsia="Amiri" w:cs="Amiri"/>
          <w:color w:val="111111"/>
          <w:sz w:val="28"/>
          <w:sz w:val="28"/>
          <w:szCs w:val="28"/>
          <w:rtl w:val="true"/>
          <w:lang w:bidi="ar-SA"/>
        </w:rPr>
        <w:t>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امرأة فعلم بعد ما تزوّجها أنّها قد كانت زنت؟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زوجها أخذ الصداق ممّن زوّجها، و لها الصداق بما استحلّ من فرجها، و إن شاء تركها</w:t>
      </w:r>
      <w:r>
        <w:rPr>
          <w:rFonts w:eastAsia="Amiri" w:cs="Amiri" w:ascii="Amiri" w:hAnsi="Amiri"/>
          <w:color w:val="111111"/>
          <w:sz w:val="28"/>
          <w:szCs w:val="28"/>
          <w:rtl w:val="true"/>
          <w:lang w:bidi="ar-SA"/>
        </w:rPr>
        <w:t xml:space="preserve">» </w:t>
      </w:r>
      <w:r>
        <w:rPr>
          <w:rStyle w:val="FootnoteAnchor"/>
          <w:rtl w:val="true"/>
        </w:rPr>
        <w:footnoteReference w:id="1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جواز الرجوع على وليّها بالصداق، و ليس إلّا لكونه عيبا يفسخ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حكم بضمان الوليّ مع عدم الخيار </w:t>
      </w:r>
      <w:r>
        <w:rPr>
          <w:rStyle w:val="FootnoteAnchor"/>
          <w:rtl w:val="true"/>
        </w:rPr>
        <w:footnoteReference w:id="1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ردّه بأنّهما لا يجتمعان </w:t>
      </w:r>
      <w:r>
        <w:rPr>
          <w:rStyle w:val="FootnoteAnchor"/>
          <w:rtl w:val="true"/>
        </w:rPr>
        <w:footnoteReference w:id="18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إثبات مثل هذا الحكم بمثل هذا المستند مشكل</w:t>
      </w:r>
      <w:r>
        <w:rPr>
          <w:rFonts w:eastAsia="Amiri" w:cs="Amiri" w:ascii="Amiri" w:hAnsi="Amiri"/>
          <w:color w:val="111111"/>
          <w:sz w:val="28"/>
          <w:szCs w:val="28"/>
          <w:rtl w:val="true"/>
          <w:lang w:bidi="ar-SA"/>
        </w:rPr>
        <w:t xml:space="preserve">]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تفسخ المرأة نكاحها بالجنون الحاصل للرجل و إن كان أدوارا، سواء تجدّد بعد الوطء أو كان سابقا عليه، أو على العقد، بلا خلاف صريح إذا كان لا يعقل أوقات الصلاة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يعقل، فإن كان قبل العقد أو مقارنا له، فالمعروف عمّن عدا ابن حمزة </w:t>
      </w:r>
      <w:r>
        <w:rPr>
          <w:rStyle w:val="FootnoteAnchor"/>
          <w:rtl w:val="true"/>
        </w:rPr>
        <w:footnoteReference w:id="1900"/>
      </w:r>
      <w:r>
        <w:rPr>
          <w:rFonts w:ascii="Amiri" w:hAnsi="Amiri" w:eastAsia="Amiri" w:cs="Amiri"/>
          <w:color w:val="111111"/>
          <w:sz w:val="28"/>
          <w:sz w:val="28"/>
          <w:szCs w:val="28"/>
          <w:rtl w:val="true"/>
          <w:lang w:bidi="ar-SA"/>
        </w:rPr>
        <w:t>الفسخ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متأخّرا عن العقد، فالمحكيّ عن أكثر المتقدّمين عدم الفسخ </w:t>
      </w:r>
      <w:r>
        <w:rPr>
          <w:rStyle w:val="FootnoteAnchor"/>
          <w:rtl w:val="true"/>
        </w:rPr>
        <w:footnoteReference w:id="1901"/>
      </w:r>
      <w:r>
        <w:rPr>
          <w:rFonts w:ascii="Amiri" w:hAnsi="Amiri" w:eastAsia="Amiri" w:cs="Amiri"/>
          <w:color w:val="111111"/>
          <w:sz w:val="28"/>
          <w:sz w:val="28"/>
          <w:szCs w:val="28"/>
          <w:rtl w:val="true"/>
          <w:lang w:bidi="ar-SA"/>
        </w:rPr>
        <w:t xml:space="preserve">و خلافا لكثير من المتأخّرين </w:t>
      </w:r>
      <w:r>
        <w:rPr>
          <w:rStyle w:val="FootnoteAnchor"/>
          <w:rtl w:val="true"/>
        </w:rPr>
        <w:footnoteReference w:id="1902"/>
      </w:r>
      <w:r>
        <w:rPr>
          <w:rFonts w:ascii="Amiri" w:hAnsi="Amiri" w:eastAsia="Amiri" w:cs="Amiri"/>
          <w:color w:val="111111"/>
          <w:sz w:val="28"/>
          <w:sz w:val="28"/>
          <w:szCs w:val="28"/>
          <w:rtl w:val="true"/>
          <w:lang w:bidi="ar-SA"/>
        </w:rPr>
        <w:t>و لهم إطلاق رواية</w:t>
      </w:r>
    </w:p>
    <w:p>
      <w:pPr>
        <w:pStyle w:val="BookText"/>
        <w:rPr/>
      </w:pPr>
      <w:r>
        <w:rPr>
          <w:rFonts w:ascii="Amiri" w:hAnsi="Amiri" w:eastAsia="Amiri" w:cs="Amiri"/>
          <w:color w:val="111111"/>
          <w:sz w:val="28"/>
          <w:sz w:val="28"/>
          <w:szCs w:val="28"/>
          <w:rtl w:val="true"/>
          <w:lang w:bidi="ar-SA"/>
        </w:rPr>
        <w:t>عليّ بن أبي حمزة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يكون لها زوج و قد أصيب في عقله بعد ما تزوّجها أو عرض له جنون؟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أن تنزع نفسها منه إن شاءت</w:t>
      </w:r>
      <w:r>
        <w:rPr>
          <w:rFonts w:eastAsia="Amiri" w:cs="Amiri" w:ascii="Amiri" w:hAnsi="Amiri"/>
          <w:color w:val="111111"/>
          <w:sz w:val="28"/>
          <w:szCs w:val="28"/>
          <w:rtl w:val="true"/>
          <w:lang w:bidi="ar-SA"/>
        </w:rPr>
        <w:t xml:space="preserve">»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أضاف إليها في المسالك إطلاق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يرد النكاح من البرص و الجذام و الجنون و العفل</w:t>
      </w:r>
      <w:r>
        <w:rPr>
          <w:rFonts w:eastAsia="Amiri" w:cs="Amiri" w:ascii="Amiri" w:hAnsi="Amiri"/>
          <w:color w:val="111111"/>
          <w:sz w:val="28"/>
          <w:szCs w:val="28"/>
          <w:rtl w:val="true"/>
          <w:lang w:bidi="ar-SA"/>
        </w:rPr>
        <w:t xml:space="preserve">» </w:t>
      </w:r>
      <w:r>
        <w:rPr>
          <w:rStyle w:val="FootnoteAnchor"/>
          <w:rtl w:val="true"/>
        </w:rPr>
        <w:footnoteReference w:id="1904"/>
      </w:r>
      <w:r>
        <w:rPr>
          <w:rFonts w:ascii="IRNazanin" w:hAnsi="IRNazanin" w:eastAsia="IRNazanin"/>
          <w:color w:val="111111"/>
          <w:sz w:val="28"/>
          <w:sz w:val="28"/>
          <w:szCs w:val="28"/>
          <w:rtl w:val="true"/>
          <w:lang w:bidi="fa-IR"/>
        </w:rPr>
        <w:t xml:space="preserve">و اعترض </w:t>
      </w:r>
      <w:r>
        <w:rPr>
          <w:rStyle w:val="FootnoteAnchor"/>
          <w:rtl w:val="true"/>
        </w:rPr>
        <w:footnoteReference w:id="1905"/>
      </w:r>
      <w:r>
        <w:rPr>
          <w:rFonts w:ascii="Amiri" w:hAnsi="Amiri" w:eastAsia="Amiri" w:cs="Amiri"/>
          <w:color w:val="111111"/>
          <w:sz w:val="28"/>
          <w:sz w:val="28"/>
          <w:szCs w:val="28"/>
          <w:rtl w:val="true"/>
          <w:lang w:bidi="ar-SA"/>
        </w:rPr>
        <w:t xml:space="preserve">بأنّ ظاهر السؤال المذكور في هذه الرواية في غير التهذيب هو حكم المرأة </w:t>
      </w:r>
      <w:r>
        <w:rPr>
          <w:rStyle w:val="FootnoteAnchor"/>
          <w:rtl w:val="true"/>
        </w:rPr>
        <w:footnoteReference w:id="1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أورد في التهذيب من غير سؤال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للقدماء بالمحكيّ عن الفقه الرضويّ </w:t>
      </w:r>
      <w:r>
        <w:rPr>
          <w:rStyle w:val="FootnoteAnchor"/>
          <w:rtl w:val="true"/>
        </w:rPr>
        <w:footnoteReference w:id="1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محلّ إشكال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تفسخ المرأة نكاحها بالخصاء أيضا و هو سلّ الأنثيين و إخراجهما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 حكما الوجاء و هو رضّ الخصيتين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عن بعض أنّه من أفراد الخصاء </w:t>
      </w:r>
      <w:r>
        <w:rPr>
          <w:rStyle w:val="FootnoteAnchor"/>
          <w:rtl w:val="true"/>
        </w:rPr>
        <w:footnoteReference w:id="1909"/>
      </w:r>
      <w:r>
        <w:rPr>
          <w:rFonts w:ascii="Amiri" w:hAnsi="Amiri" w:eastAsia="Amiri" w:cs="Amiri"/>
          <w:color w:val="111111"/>
          <w:sz w:val="28"/>
          <w:sz w:val="28"/>
          <w:szCs w:val="28"/>
          <w:rtl w:val="true"/>
          <w:lang w:bidi="ar-SA"/>
        </w:rPr>
        <w:t>فيعمّه كلّ ما دلّ على ثبوت خيار الفسخ</w:t>
      </w:r>
    </w:p>
    <w:p>
      <w:pPr>
        <w:pStyle w:val="BookText"/>
        <w:rPr/>
      </w:pPr>
      <w:r>
        <w:rPr>
          <w:rFonts w:ascii="Amiri" w:hAnsi="Amiri" w:eastAsia="Amiri" w:cs="Amiri"/>
          <w:color w:val="111111"/>
          <w:sz w:val="28"/>
          <w:sz w:val="28"/>
          <w:szCs w:val="28"/>
          <w:rtl w:val="true"/>
          <w:lang w:bidi="ar-SA"/>
        </w:rPr>
        <w:t xml:space="preserve">بالخصاء من الأخبار الكثيرة </w:t>
      </w:r>
      <w:r>
        <w:rPr>
          <w:rStyle w:val="FootnoteAnchor"/>
          <w:rtl w:val="true"/>
        </w:rPr>
        <w:footnoteReference w:id="1910"/>
      </w:r>
      <w:r>
        <w:rPr>
          <w:rFonts w:ascii="IRNazanin" w:hAnsi="IRNazanin" w:eastAsia="IRNazanin"/>
          <w:color w:val="111111"/>
          <w:sz w:val="28"/>
          <w:sz w:val="28"/>
          <w:szCs w:val="28"/>
          <w:rtl w:val="true"/>
          <w:lang w:bidi="fa-IR"/>
        </w:rPr>
        <w:t>و ظاهر اتّفاق الفتاوى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حكي عن الشيخ في الخلاف </w:t>
      </w:r>
      <w:r>
        <w:rPr>
          <w:rStyle w:val="FootnoteAnchor"/>
          <w:rtl w:val="true"/>
        </w:rPr>
        <w:footnoteReference w:id="1911"/>
      </w:r>
      <w:r>
        <w:rPr>
          <w:rFonts w:ascii="IRNazanin" w:hAnsi="IRNazanin" w:eastAsia="IRNazanin"/>
          <w:color w:val="111111"/>
          <w:sz w:val="28"/>
          <w:sz w:val="28"/>
          <w:szCs w:val="28"/>
          <w:rtl w:val="true"/>
          <w:lang w:bidi="fa-IR"/>
        </w:rPr>
        <w:t xml:space="preserve">و المبسوط </w:t>
      </w:r>
      <w:r>
        <w:rPr>
          <w:rStyle w:val="FootnoteAnchor"/>
          <w:rtl w:val="true"/>
        </w:rPr>
        <w:footnoteReference w:id="1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الخصاء ليس بعيب، لأنّه يقدر على الوطء و يبالغ فيه أكثر من غيره من جهة عدم 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في مقابلة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من أفراده، فإلحاقه به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في الخصاء ثابت إن كان حصوله سابقا على العقد، و إلّا يكن سابقا فلا خيار لها، لأصالة بقاء النكاح، و اختصاص أدلّة الفسخ بصورة تدليس الخصيّ، و هو ظاهر، بل صريح في تقدّم خصائه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تفسخ المرأة أيضا نكاحها بالعنّة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يعجز معه من الإيلاج لضعف الذكر عن الانتشار </w:t>
      </w:r>
      <w:r>
        <w:rPr>
          <w:rStyle w:val="FootnoteAnchor"/>
          <w:rtl w:val="true"/>
        </w:rPr>
        <w:footnoteReference w:id="1913"/>
      </w:r>
      <w:r>
        <w:rPr>
          <w:rFonts w:ascii="Amiri" w:hAnsi="Amiri" w:eastAsia="Amiri" w:cs="Amiri"/>
          <w:color w:val="111111"/>
          <w:sz w:val="28"/>
          <w:sz w:val="28"/>
          <w:szCs w:val="28"/>
          <w:rtl w:val="true"/>
          <w:lang w:bidi="ar-SA"/>
        </w:rPr>
        <w:t xml:space="preserve">من دون تقييد بعدم إرادة النساء، و ربما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المصباح المنير</w:t>
      </w:r>
      <w:r>
        <w:rPr>
          <w:rFonts w:eastAsia="Amiri" w:cs="Amiri" w:ascii="Amiri" w:hAnsi="Amiri"/>
          <w:color w:val="111111"/>
          <w:sz w:val="28"/>
          <w:szCs w:val="28"/>
          <w:rtl w:val="true"/>
          <w:lang w:bidi="ar-SA"/>
        </w:rPr>
        <w:t xml:space="preserve">] </w:t>
      </w:r>
      <w:r>
        <w:rPr>
          <w:rStyle w:val="FootnoteAnchor"/>
          <w:rtl w:val="true"/>
        </w:rPr>
        <w:footnoteReference w:id="1914"/>
      </w:r>
      <w:r>
        <w:rPr>
          <w:rFonts w:ascii="Amiri" w:hAnsi="Amiri" w:eastAsia="Amiri" w:cs="Amiri"/>
          <w:color w:val="111111"/>
          <w:sz w:val="28"/>
          <w:sz w:val="28"/>
          <w:szCs w:val="28"/>
          <w:rtl w:val="true"/>
          <w:lang w:bidi="ar-SA"/>
        </w:rPr>
        <w:t xml:space="preserve">عن بعض أهل اللغة اعتباره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حكي عن الفقهاء الاكتفاء بالأوّل </w:t>
      </w:r>
      <w:r>
        <w:rPr>
          <w:rStyle w:val="FootnoteAnchor"/>
          <w:rtl w:val="true"/>
        </w:rPr>
        <w:footnoteReference w:id="1916"/>
      </w:r>
      <w:r>
        <w:rPr>
          <w:rFonts w:ascii="Amiri" w:hAnsi="Amiri" w:eastAsia="Amiri" w:cs="Amiri"/>
          <w:color w:val="111111"/>
          <w:sz w:val="28"/>
          <w:sz w:val="28"/>
          <w:szCs w:val="28"/>
          <w:rtl w:val="true"/>
          <w:lang w:bidi="ar-SA"/>
        </w:rPr>
        <w:t xml:space="preserve">و يشهد بذلك رواية الكناني </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 xml:space="preserve">و رواية أبي بصير </w:t>
      </w:r>
      <w:r>
        <w:rPr>
          <w:rStyle w:val="FootnoteAnchor"/>
          <w:rtl w:val="true"/>
        </w:rPr>
        <w:footnoteReference w:id="1918"/>
      </w:r>
      <w:r>
        <w:rPr>
          <w:rFonts w:ascii="Amiri" w:hAnsi="Amiri" w:eastAsia="Amiri" w:cs="Amiri"/>
          <w:color w:val="111111"/>
          <w:sz w:val="28"/>
          <w:sz w:val="28"/>
          <w:szCs w:val="28"/>
          <w:rtl w:val="true"/>
          <w:lang w:bidi="ar-SA"/>
        </w:rPr>
        <w:t>المعبّرتان عن العنن بعدم القدرة على النساء من دون تقييد بعدم إرادتهنّ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ثبوت الفسخ بها ثابت بالإجماع ظاهرا، كما يظهر من غير واحد </w:t>
      </w:r>
      <w:r>
        <w:rPr>
          <w:rStyle w:val="FootnoteAnchor"/>
          <w:rtl w:val="true"/>
        </w:rPr>
        <w:footnoteReference w:id="1919"/>
      </w:r>
      <w:r>
        <w:rPr>
          <w:rFonts w:ascii="Amiri" w:hAnsi="Amiri" w:eastAsia="Amiri" w:cs="Amiri"/>
          <w:color w:val="111111"/>
          <w:sz w:val="28"/>
          <w:sz w:val="28"/>
          <w:szCs w:val="28"/>
          <w:rtl w:val="true"/>
          <w:lang w:bidi="ar-SA"/>
        </w:rPr>
        <w:t xml:space="preserve">و يدلّ عليه الأخبار المستفيضة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 غير واحد منها </w:t>
      </w:r>
      <w:r>
        <w:rPr>
          <w:rStyle w:val="FootnoteAnchor"/>
          <w:rtl w:val="true"/>
        </w:rPr>
        <w:footnoteReference w:id="1921"/>
      </w:r>
      <w:r>
        <w:rPr>
          <w:rFonts w:ascii="Amiri" w:hAnsi="Amiri" w:eastAsia="Amiri" w:cs="Amiri"/>
          <w:color w:val="111111"/>
          <w:sz w:val="28"/>
          <w:sz w:val="28"/>
          <w:szCs w:val="28"/>
          <w:rtl w:val="true"/>
          <w:lang w:bidi="ar-SA"/>
        </w:rPr>
        <w:t xml:space="preserve">يدلّ على ثبوت الخيار و إن تجدّدت بعد العقد لكن </w:t>
      </w:r>
      <w:r>
        <w:rPr>
          <w:rStyle w:val="FootnoteAnchor"/>
          <w:rtl w:val="true"/>
        </w:rPr>
        <w:footnoteReference w:id="1922"/>
      </w:r>
      <w:r>
        <w:rPr>
          <w:rFonts w:ascii="Amiri" w:hAnsi="Amiri" w:eastAsia="Amiri" w:cs="Amiri"/>
          <w:color w:val="111111"/>
          <w:sz w:val="28"/>
          <w:sz w:val="28"/>
          <w:szCs w:val="28"/>
          <w:rtl w:val="true"/>
          <w:lang w:bidi="ar-SA"/>
        </w:rPr>
        <w:t xml:space="preserve">قبل الوطء، و أمّا لو تجدّدت بعد الوطء و لو مرّة كما في روايتي السكوني و إسحاق بن عمّار </w:t>
      </w:r>
      <w:r>
        <w:rPr>
          <w:rStyle w:val="FootnoteAnchor"/>
          <w:rtl w:val="true"/>
        </w:rPr>
        <w:footnoteReference w:id="1923"/>
      </w:r>
      <w:r>
        <w:rPr>
          <w:rFonts w:ascii="Amiri" w:hAnsi="Amiri" w:eastAsia="Amiri" w:cs="Amiri"/>
          <w:color w:val="111111"/>
          <w:sz w:val="28"/>
          <w:sz w:val="28"/>
          <w:szCs w:val="28"/>
          <w:rtl w:val="true"/>
          <w:lang w:bidi="ar-SA"/>
        </w:rPr>
        <w:t>أو عنّ عنها خاصّة، أو عن القبل خاصّة، فلا خيار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في الأوّل للمحكيّ عن المفيد </w:t>
      </w:r>
      <w:r>
        <w:rPr>
          <w:rStyle w:val="FootnoteAnchor"/>
          <w:rtl w:val="true"/>
        </w:rPr>
        <w:footnoteReference w:id="1924"/>
      </w:r>
      <w:r>
        <w:rPr>
          <w:rFonts w:ascii="Amiri" w:hAnsi="Amiri" w:eastAsia="Amiri" w:cs="Amiri"/>
          <w:color w:val="111111"/>
          <w:sz w:val="28"/>
          <w:sz w:val="28"/>
          <w:szCs w:val="28"/>
          <w:rtl w:val="true"/>
          <w:lang w:bidi="ar-SA"/>
        </w:rPr>
        <w:t xml:space="preserve">و جماعة </w:t>
      </w:r>
      <w:r>
        <w:rPr>
          <w:rStyle w:val="FootnoteAnchor"/>
          <w:rtl w:val="true"/>
        </w:rPr>
        <w:footnoteReference w:id="1925"/>
      </w:r>
      <w:r>
        <w:rPr>
          <w:rFonts w:ascii="IRNazanin" w:hAnsi="IRNazanin" w:eastAsia="IRNazanin"/>
          <w:color w:val="111111"/>
          <w:sz w:val="28"/>
          <w:sz w:val="28"/>
          <w:szCs w:val="28"/>
          <w:rtl w:val="true"/>
          <w:lang w:bidi="fa-IR"/>
        </w:rPr>
        <w:t xml:space="preserve">لإطلاق بعض النصوص </w:t>
      </w:r>
      <w:r>
        <w:rPr>
          <w:rStyle w:val="FootnoteAnchor"/>
          <w:rtl w:val="true"/>
        </w:rPr>
        <w:footnoteReference w:id="1926"/>
      </w:r>
      <w:r>
        <w:rPr>
          <w:rFonts w:ascii="Amiri" w:hAnsi="Amiri" w:eastAsia="Amiri" w:cs="Amiri"/>
          <w:color w:val="111111"/>
          <w:sz w:val="28"/>
          <w:sz w:val="28"/>
          <w:szCs w:val="28"/>
          <w:rtl w:val="true"/>
          <w:lang w:bidi="ar-SA"/>
        </w:rPr>
        <w:t>و قد عرفت أنّها مقيّدة بالروايتين المنجبرتين بفتوى الأكثر،</w:t>
      </w:r>
    </w:p>
    <w:p>
      <w:pPr>
        <w:pStyle w:val="BookText"/>
        <w:rPr/>
      </w:pPr>
      <w:r>
        <w:rPr>
          <w:rFonts w:ascii="Amiri" w:hAnsi="Amiri" w:eastAsia="Amiri" w:cs="Amiri"/>
          <w:color w:val="111111"/>
          <w:sz w:val="28"/>
          <w:sz w:val="28"/>
          <w:szCs w:val="28"/>
          <w:rtl w:val="true"/>
          <w:lang w:bidi="ar-SA"/>
        </w:rPr>
        <w:t xml:space="preserve">و حكاية الإجماع عن الغنية </w:t>
      </w:r>
      <w:r>
        <w:rPr>
          <w:rStyle w:val="FootnoteAnchor"/>
          <w:rtl w:val="true"/>
        </w:rPr>
        <w:footnoteReference w:id="1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 عن المفيد </w:t>
      </w:r>
      <w:r>
        <w:rPr>
          <w:rStyle w:val="FootnoteAnchor"/>
          <w:rtl w:val="true"/>
        </w:rPr>
        <w:footnoteReference w:id="1928"/>
      </w:r>
      <w:r>
        <w:rPr>
          <w:rFonts w:ascii="Amiri" w:hAnsi="Amiri" w:eastAsia="Amiri" w:cs="Amiri"/>
          <w:color w:val="111111"/>
          <w:sz w:val="28"/>
          <w:sz w:val="28"/>
          <w:szCs w:val="28"/>
          <w:rtl w:val="true"/>
          <w:lang w:bidi="ar-SA"/>
        </w:rPr>
        <w:t xml:space="preserve">خاصّة، فاكتفى بالعنّة عنها خاصّة </w:t>
      </w:r>
      <w:r>
        <w:rPr>
          <w:rStyle w:val="FootnoteAnchor"/>
          <w:rtl w:val="true"/>
        </w:rPr>
        <w:footnoteReference w:id="1929"/>
      </w:r>
      <w:r>
        <w:rPr>
          <w:rFonts w:ascii="IRNazanin" w:hAnsi="IRNazanin" w:eastAsia="IRNazanin"/>
          <w:color w:val="111111"/>
          <w:sz w:val="28"/>
          <w:sz w:val="28"/>
          <w:szCs w:val="28"/>
          <w:rtl w:val="true"/>
          <w:lang w:bidi="fa-IR"/>
        </w:rPr>
        <w:t xml:space="preserve">لبعض الأخبار </w:t>
      </w:r>
      <w:r>
        <w:rPr>
          <w:rStyle w:val="FootnoteAnchor"/>
          <w:rtl w:val="true"/>
        </w:rPr>
        <w:footnoteReference w:id="1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يقيّد بما في بعض آخر من اعتبار العجز عن إتيان النساء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ادّعى الزوج الوطء لها أو لغيرها بعد ثبوت العنّة، صدّق المدّعي باليمين و علّل بأنّه فعله؛ فلا يعرف إلّا من قبله، و تعذّر الإشهاد عليه، فكان كالعدّة في النساء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لو كانت بكرا نظر إليها من يوثق بها من النساء </w:t>
      </w:r>
      <w:r>
        <w:rPr>
          <w:rStyle w:val="FootnoteAnchor"/>
          <w:rtl w:val="true"/>
        </w:rPr>
        <w:footnoteReference w:id="1933"/>
      </w:r>
      <w:r>
        <w:rPr>
          <w:rFonts w:ascii="Amiri" w:hAnsi="Amiri" w:eastAsia="Amiri" w:cs="Amiri"/>
          <w:color w:val="111111"/>
          <w:sz w:val="28"/>
          <w:sz w:val="28"/>
          <w:szCs w:val="28"/>
          <w:rtl w:val="true"/>
          <w:lang w:bidi="ar-SA"/>
        </w:rPr>
        <w:t>و إن كانت ثيّبا حشي قبلها خلوقا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ظهر شي‌ء منه على العضو صدّق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مع ثبوت العنّة بإقراره أو بما في حكمه إن صبرت المرأة فلا فسخ، و إلّا تصبر رفعت أمرها إلى الحاكم، فيؤجّله سنة من حين</w:t>
      </w:r>
      <w:bookmarkStart w:id="399" w:name="pg19718_239334"/>
    </w:p>
    <w:p>
      <w:pPr>
        <w:pStyle w:val="BookText"/>
        <w:rPr/>
      </w:pPr>
      <w:bookmarkEnd w:id="399"/>
      <w:r>
        <w:rPr>
          <w:rFonts w:ascii="Amiri" w:hAnsi="Amiri" w:eastAsia="Amiri" w:cs="Amiri"/>
          <w:color w:val="111111"/>
          <w:sz w:val="28"/>
          <w:sz w:val="28"/>
          <w:szCs w:val="28"/>
          <w:rtl w:val="true"/>
          <w:lang w:bidi="ar-SA"/>
        </w:rPr>
        <w:t xml:space="preserve">المرافعة بلا خلاف ظاهر كما ادّعي </w:t>
      </w:r>
      <w:r>
        <w:rPr>
          <w:rStyle w:val="FootnoteAnchor"/>
          <w:rtl w:val="true"/>
        </w:rPr>
        <w:footnoteReference w:id="19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للمحكيّ عن قرب الإسناد </w:t>
      </w:r>
      <w:r>
        <w:rPr>
          <w:rStyle w:val="FootnoteAnchor"/>
          <w:rtl w:val="true"/>
        </w:rPr>
        <w:footnoteReference w:id="1936"/>
      </w:r>
      <w:r>
        <w:rPr>
          <w:rFonts w:ascii="Amiri" w:hAnsi="Amiri" w:eastAsia="Amiri" w:cs="Amiri"/>
          <w:color w:val="111111"/>
          <w:sz w:val="28"/>
          <w:sz w:val="28"/>
          <w:szCs w:val="28"/>
          <w:rtl w:val="true"/>
          <w:lang w:bidi="ar-SA"/>
        </w:rPr>
        <w:t>و رواية البختري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يقضي في العنّين أنّه يؤجّل سنة من يوم مرافعة المرأة</w:t>
      </w:r>
      <w:r>
        <w:rPr>
          <w:rFonts w:eastAsia="Amiri" w:cs="Amiri" w:ascii="Amiri" w:hAnsi="Amiri"/>
          <w:color w:val="111111"/>
          <w:sz w:val="28"/>
          <w:szCs w:val="28"/>
          <w:rtl w:val="true"/>
          <w:lang w:bidi="ar-SA"/>
        </w:rPr>
        <w:t xml:space="preserve">» </w:t>
      </w:r>
      <w:r>
        <w:rPr>
          <w:rStyle w:val="FootnoteAnchor"/>
          <w:rtl w:val="true"/>
        </w:rPr>
        <w:footnoteReference w:id="1937"/>
      </w:r>
      <w:r>
        <w:rPr>
          <w:rFonts w:ascii="Amiri" w:hAnsi="Amiri" w:eastAsia="Amiri" w:cs="Amiri"/>
          <w:color w:val="111111"/>
          <w:sz w:val="28"/>
          <w:sz w:val="28"/>
          <w:szCs w:val="28"/>
          <w:rtl w:val="true"/>
          <w:lang w:bidi="ar-SA"/>
        </w:rPr>
        <w:t xml:space="preserve">فإن وطأها أو غيرها كما مرّ مع خلاف المفيد فلا فسخ، و إلّا فسخت و لها نصف المهر لمصحّحة أبي حمزة </w:t>
      </w:r>
      <w:r>
        <w:rPr>
          <w:rStyle w:val="FootnoteAnchor"/>
          <w:rtl w:val="true"/>
        </w:rPr>
        <w:footnoteReference w:id="1938"/>
      </w:r>
      <w:r>
        <w:rPr>
          <w:rFonts w:ascii="Amiri" w:hAnsi="Amiri" w:eastAsia="Amiri" w:cs="Amiri"/>
          <w:color w:val="111111"/>
          <w:sz w:val="28"/>
          <w:sz w:val="28"/>
          <w:szCs w:val="28"/>
          <w:rtl w:val="true"/>
          <w:lang w:bidi="ar-SA"/>
        </w:rPr>
        <w:t xml:space="preserve">و المحكيّ عن الفقه الرضويّ </w:t>
      </w:r>
      <w:r>
        <w:rPr>
          <w:rStyle w:val="FootnoteAnchor"/>
          <w:rtl w:val="true"/>
        </w:rPr>
        <w:footnoteReference w:id="1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فليس الفسخ طلاقا يوجب تنصيف المهر، بل مقتضى الفسخ عدم المهر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لا شي‌ء لها لو فسخت بغيره أي غير العنن قبل الدخول</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1986020_2314609296"/>
      <w:bookmarkStart w:id="401" w:name="_Toc156"/>
      <w:bookmarkEnd w:id="400"/>
      <w:r>
        <w:rPr>
          <w:rtl w:val="true"/>
        </w:rPr>
        <w:t>[</w:t>
      </w:r>
      <w:r>
        <w:rPr>
          <w:rtl w:val="true"/>
        </w:rPr>
        <w:t>مسألة في احتساب مدة السفر للعنين</w:t>
      </w:r>
      <w:r>
        <w:rPr>
          <w:rtl w:val="true"/>
        </w:rPr>
        <w:t>]</w:t>
      </w:r>
      <w:bookmarkEnd w:id="401"/>
    </w:p>
    <w:p>
      <w:pPr>
        <w:pStyle w:val="BookText"/>
        <w:rPr/>
      </w:pPr>
      <w:r>
        <w:rPr>
          <w:rFonts w:ascii="Amiri" w:hAnsi="Amiri" w:eastAsia="Amiri" w:cs="Amiri"/>
          <w:color w:val="111111"/>
          <w:sz w:val="28"/>
          <w:sz w:val="28"/>
          <w:szCs w:val="28"/>
          <w:rtl w:val="true"/>
          <w:lang w:bidi="ar-SA"/>
        </w:rPr>
        <w:t>و في احتساب مدّة السفر من السنة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رضيت بأن يقيم معها فطلّقها ثمّ جدّد العقد عليها فلا خيار لها مع العلم بأنّه الزوج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وطأها في العقد الأوّل ثمّ عنّ في الثاني فلها الخيار و وجهه واضح</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الجبّ و هو قطع الذكر، ف إن استوعب العضو فسخت المرأة به، و إلّا يستوعبه بل بقي مقدار الحشفة فلا 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الفسخ في الأوّل، فقد حكي عن المبسوط و الخلاف؛ عدم الخلاف فيه </w:t>
      </w:r>
      <w:r>
        <w:rPr>
          <w:rStyle w:val="FootnoteAnchor"/>
          <w:rtl w:val="true"/>
        </w:rPr>
        <w:footnoteReference w:id="1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عموم رواية الكناني الدالّة على ثبوت الفسخ في امرأة ابتلي زوجها فلم يقدر على الجماع </w:t>
      </w:r>
      <w:r>
        <w:rPr>
          <w:rStyle w:val="FootnoteAnchor"/>
          <w:rtl w:val="true"/>
        </w:rPr>
        <w:footnoteReference w:id="1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فحوى ثبوت الخيار في الخصيّ مع إمكان الوطء فيه،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يبالغ فيه أكثر من غيره </w:t>
      </w:r>
      <w:r>
        <w:rPr>
          <w:rStyle w:val="FootnoteAnchor"/>
          <w:rtl w:val="true"/>
        </w:rPr>
        <w:footnoteReference w:id="1942"/>
      </w:r>
      <w:r>
        <w:rPr>
          <w:rFonts w:ascii="Amiri" w:hAnsi="Amiri" w:eastAsia="Amiri" w:cs="Amiri"/>
          <w:color w:val="111111"/>
          <w:sz w:val="28"/>
          <w:sz w:val="28"/>
          <w:szCs w:val="28"/>
          <w:rtl w:val="true"/>
          <w:lang w:bidi="ar-SA"/>
        </w:rPr>
        <w:t>و في العنن مع إمكان زواله؛ مضافا إلى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الفسخ لو بقي مقدار الحشفة، فادّعي عليه الإجماع </w:t>
      </w:r>
      <w:r>
        <w:rPr>
          <w:rStyle w:val="FootnoteAnchor"/>
          <w:rtl w:val="true"/>
        </w:rPr>
        <w:footnoteReference w:id="1943"/>
      </w:r>
      <w:r>
        <w:rPr>
          <w:rFonts w:ascii="Amiri" w:hAnsi="Amiri" w:eastAsia="Amiri" w:cs="Amiri"/>
          <w:color w:val="111111"/>
          <w:sz w:val="28"/>
          <w:sz w:val="28"/>
          <w:szCs w:val="28"/>
          <w:rtl w:val="true"/>
          <w:lang w:bidi="ar-SA"/>
        </w:rPr>
        <w:t>مضافا إلى لزوم الاقتصار في مخالفة الأصل على موضع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لو تجدّد الجبّ بعد العقد فلا خيار </w:t>
      </w:r>
      <w:r>
        <w:rPr>
          <w:rStyle w:val="FootnoteAnchor"/>
          <w:rtl w:val="true"/>
        </w:rPr>
        <w:footnoteReference w:id="1944"/>
      </w:r>
      <w:r>
        <w:rPr>
          <w:rFonts w:ascii="Amiri" w:hAnsi="Amiri" w:eastAsia="Amiri" w:cs="Amiri"/>
          <w:color w:val="111111"/>
          <w:sz w:val="28"/>
          <w:sz w:val="28"/>
          <w:szCs w:val="28"/>
          <w:rtl w:val="true"/>
          <w:lang w:bidi="ar-SA"/>
        </w:rPr>
        <w:t xml:space="preserve">و قيل بثبوته </w:t>
      </w:r>
      <w:r>
        <w:rPr>
          <w:rStyle w:val="FootnoteAnchor"/>
          <w:rtl w:val="true"/>
        </w:rPr>
        <w:footnoteReference w:id="1945"/>
      </w:r>
      <w:r>
        <w:rPr>
          <w:rFonts w:ascii="Amiri" w:hAnsi="Amiri" w:eastAsia="Amiri" w:cs="Amiri"/>
          <w:color w:val="111111"/>
          <w:sz w:val="28"/>
          <w:sz w:val="28"/>
          <w:szCs w:val="28"/>
          <w:rtl w:val="true"/>
          <w:lang w:bidi="ar-SA"/>
        </w:rPr>
        <w:t xml:space="preserve">لعموم مصحّحة الكناني </w:t>
      </w:r>
      <w:r>
        <w:rPr>
          <w:rStyle w:val="FootnoteAnchor"/>
          <w:rtl w:val="true"/>
        </w:rPr>
        <w:footnoteReference w:id="1946"/>
      </w:r>
      <w:r>
        <w:rPr>
          <w:rFonts w:ascii="Amiri" w:hAnsi="Amiri" w:eastAsia="Amiri" w:cs="Amiri"/>
          <w:color w:val="111111"/>
          <w:sz w:val="28"/>
          <w:sz w:val="28"/>
          <w:szCs w:val="28"/>
          <w:rtl w:val="true"/>
          <w:lang w:bidi="ar-SA"/>
        </w:rPr>
        <w:t>و رواية ابن مسكان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امرأة ابتلى زوجها فلم يقدر على الجماع </w:t>
      </w:r>
      <w:r>
        <w:rPr>
          <w:rStyle w:val="FootnoteAnchor"/>
          <w:rtl w:val="true"/>
        </w:rPr>
        <w:footnoteReference w:id="1947"/>
      </w:r>
      <w:r>
        <w:rPr>
          <w:rFonts w:ascii="Amiri" w:hAnsi="Amiri" w:eastAsia="Amiri" w:cs="Amiri"/>
          <w:color w:val="111111"/>
          <w:sz w:val="28"/>
          <w:sz w:val="28"/>
          <w:szCs w:val="28"/>
          <w:rtl w:val="true"/>
          <w:lang w:bidi="ar-SA"/>
        </w:rPr>
        <w:t>و فحوى ثبوته في العنن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تفسخ لو بان خنثى مع إمكان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القرن ان لم يمنع الوطء فلا فسخ</w:t>
      </w:r>
      <w:r>
        <w:rPr>
          <w:rFonts w:eastAsia="Amiri" w:cs="Amiri" w:ascii="Amiri" w:hAnsi="Amiri"/>
          <w:color w:val="111111"/>
          <w:sz w:val="28"/>
          <w:szCs w:val="28"/>
          <w:rtl w:val="true"/>
          <w:lang w:bidi="ar-SA"/>
        </w:rPr>
        <w:t xml:space="preserve">] </w:t>
      </w:r>
      <w:r>
        <w:rPr>
          <w:rStyle w:val="FootnoteAnchor"/>
          <w:rtl w:val="true"/>
        </w:rPr>
        <w:footnoteReference w:id="1948"/>
      </w:r>
      <w:r>
        <w:rPr>
          <w:rFonts w:ascii="Amiri" w:hAnsi="Amiri" w:eastAsia="Amiri" w:cs="Amiri"/>
          <w:color w:val="111111"/>
          <w:sz w:val="28"/>
          <w:sz w:val="28"/>
          <w:szCs w:val="28"/>
          <w:rtl w:val="true"/>
          <w:lang w:bidi="ar-SA"/>
        </w:rPr>
        <w:t>، و كذا يتحقّق الخيار مع الرتق و قد تقدّم الكلام فيه؛ هذا إذا لم يمكن إزالته بشقّ موضع الالتحام أو غيره، و أمّا إذا أمكن فإن لم تمتنع المرأة عن الإزالة فلا خيار، للأصل، و اختصاص ما سبق من الدليل بغير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امتنعت فالّذي اختاره المصنّف قدّس سرّه هنا هو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بل لا يبعد أن يقال بإجبارها على الإزالة مع عدم تضرّرها بها زائدا على ألم الإزالة، لأنّ حقّ الزوج في الاستمتاع ثابت، لإمكانه؛ و ما تقدّم من دليل الخيار لا ينصرف إليه، لأنّ التعليل المذكور في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عدم القدرة على مجامعتها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عدم القدرة مع عدم </w:t>
      </w:r>
      <w:r>
        <w:rPr>
          <w:rStyle w:val="FootnoteAnchor"/>
          <w:rtl w:val="true"/>
        </w:rPr>
        <w:footnoteReference w:id="1949"/>
      </w:r>
      <w:r>
        <w:rPr>
          <w:rFonts w:ascii="Amiri" w:hAnsi="Amiri" w:eastAsia="Amiri" w:cs="Amiri"/>
          <w:color w:val="111111"/>
          <w:sz w:val="28"/>
          <w:sz w:val="28"/>
          <w:szCs w:val="28"/>
          <w:rtl w:val="true"/>
          <w:lang w:bidi="ar-SA"/>
        </w:rPr>
        <w:t>إمكان العلاج و إزالة المرض، كما هو الظاهر المتبادر؛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الخيار في الفسخ بالعيب و التدليس على الفور بلا خلاف يعرف، كما صرّح به جماعة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العلم بالخيار و الفوريّة؛ و لو جهل أحدهما، فلا يبعد معذوريّته إلى زمان العلم، لإطلاق الأخبار، و استصحاب الخيار، و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العيب ممّا يحتاج إثباته إلى المرافعة كان المرافعة فوريّة، فإذا ثبت العيب كان الفسخ فوريّا؛ و كذا مرافعة العنّين إلى الحاكم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يتجدّد من عيوب المرأة بعد العقد لا يفسخ به و إن كان</w:t>
      </w:r>
    </w:p>
    <w:p>
      <w:pPr>
        <w:pStyle w:val="BookText"/>
        <w:rPr/>
      </w:pPr>
      <w:r>
        <w:rPr>
          <w:rFonts w:ascii="Amiri" w:hAnsi="Amiri" w:eastAsia="Amiri" w:cs="Amiri"/>
          <w:color w:val="111111"/>
          <w:sz w:val="28"/>
          <w:sz w:val="28"/>
          <w:szCs w:val="28"/>
          <w:rtl w:val="true"/>
          <w:lang w:bidi="ar-SA"/>
        </w:rPr>
        <w:t>تجدّدها قبل الوطء لأصالة اللزوم، و اختصاص أكثر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سبقها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بعضها مطلقة </w:t>
      </w:r>
      <w:r>
        <w:rPr>
          <w:rStyle w:val="FootnoteAnchor"/>
          <w:rtl w:val="true"/>
        </w:rPr>
        <w:footnoteReference w:id="1952"/>
      </w:r>
      <w:r>
        <w:rPr>
          <w:rFonts w:ascii="Amiri" w:hAnsi="Amiri" w:eastAsia="Amiri" w:cs="Amiri"/>
          <w:color w:val="111111"/>
          <w:sz w:val="28"/>
          <w:sz w:val="28"/>
          <w:szCs w:val="28"/>
          <w:rtl w:val="true"/>
          <w:lang w:bidi="ar-SA"/>
        </w:rPr>
        <w:t xml:space="preserve">و لكن لا تنافي بين المطلقات و المقيّدات حتى تحمل عليها، إلّا أن يدّعى انصراف المطلقات إلى صورة تقدّمها على العقد، كما ادّعاه في الرياض </w:t>
      </w:r>
      <w:r>
        <w:rPr>
          <w:rStyle w:val="FootnoteAnchor"/>
          <w:rtl w:val="true"/>
        </w:rPr>
        <w:footnoteReference w:id="1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لذلك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الأخبار و فتاوى الأصحاب أطبقت على عدم استحقاق الزوجة لشي‌ء من المسمّى إذا فسخ قبل الدخول، و لا يتأتّى ذلك إلّا مع سبق العيب على العقد حتّى يكون الصداق من أصله متزلزلا، أمّا لو تجدّدت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تملّك الصداق بالعقد و استقرار ملكها على المشهور </w:t>
      </w:r>
      <w:r>
        <w:rPr>
          <w:rStyle w:val="FootnoteAnchor"/>
          <w:rtl w:val="true"/>
        </w:rPr>
        <w:footnoteReference w:id="1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حصل الفسخ بالعيب </w:t>
      </w:r>
      <w:r>
        <w:rPr>
          <w:rStyle w:val="FootnoteAnchor"/>
          <w:rtl w:val="true"/>
        </w:rPr>
        <w:footnoteReference w:id="1955"/>
      </w:r>
      <w:r>
        <w:rPr>
          <w:rFonts w:ascii="Amiri" w:hAnsi="Amiri" w:eastAsia="Amiri" w:cs="Amiri"/>
          <w:color w:val="111111"/>
          <w:sz w:val="28"/>
          <w:sz w:val="28"/>
          <w:szCs w:val="28"/>
          <w:rtl w:val="true"/>
          <w:lang w:bidi="ar-SA"/>
        </w:rPr>
        <w:t>الحادث بعد العقد يحكم بثبوت المهر كلّا، لأنّ الفسخ ليس طلاقا، و لا أقلّ من ثبوت نصف المهر، لاستقراره بالعقد و عدم وجود عيب حين العقد حتّى يوجب تزلزله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استقرار نصف المهر المجمع عليه إنّما هو بالإضافة إلى عدم اشتراطه بالدخول، فلا ضرر في التزام تزلزله بالنسبة إلى العيب الحادث قبل الوطء، فتأمّل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تجدّدت بعد الدخول، فينبغي القطع بعدم الخيار، بل ادّعي</w:t>
      </w:r>
    </w:p>
    <w:p>
      <w:pPr>
        <w:pStyle w:val="BookText"/>
        <w:rPr/>
      </w:pPr>
      <w:r>
        <w:rPr>
          <w:rFonts w:ascii="Amiri" w:hAnsi="Amiri" w:eastAsia="Amiri" w:cs="Amiri"/>
          <w:color w:val="111111"/>
          <w:sz w:val="28"/>
          <w:sz w:val="28"/>
          <w:szCs w:val="28"/>
          <w:rtl w:val="true"/>
          <w:lang w:bidi="ar-SA"/>
        </w:rPr>
        <w:t xml:space="preserve">الوفاق عليه </w:t>
      </w:r>
      <w:r>
        <w:rPr>
          <w:rStyle w:val="FootnoteAnchor"/>
          <w:rtl w:val="true"/>
        </w:rPr>
        <w:footnoteReference w:id="1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كثير من الأخبار </w:t>
      </w:r>
      <w:r>
        <w:rPr>
          <w:rStyle w:val="FootnoteAnchor"/>
          <w:rtl w:val="true"/>
        </w:rPr>
        <w:footnoteReference w:id="1957"/>
      </w:r>
      <w:r>
        <w:rPr>
          <w:rFonts w:ascii="Amiri" w:hAnsi="Amiri" w:eastAsia="Amiri" w:cs="Amiri"/>
          <w:color w:val="111111"/>
          <w:sz w:val="28"/>
          <w:sz w:val="28"/>
          <w:szCs w:val="28"/>
          <w:rtl w:val="true"/>
          <w:lang w:bidi="ar-SA"/>
        </w:rPr>
        <w:t xml:space="preserve">و حكي عن الشيخ ثبوت الخيار هنا أيضا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يشترط في الفسخ شرط من شروط الطلاق، لأنّه ليس طلاقا شرعيّا، و إن أطلق عليه التطليق في غير واحد من الأخبار </w:t>
      </w:r>
      <w:r>
        <w:rPr>
          <w:rStyle w:val="FootnoteAnchor"/>
          <w:rtl w:val="true"/>
        </w:rPr>
        <w:footnoteReference w:id="1959"/>
      </w:r>
      <w:r>
        <w:rPr>
          <w:rFonts w:ascii="Amiri" w:hAnsi="Amiri" w:eastAsia="Amiri" w:cs="Amiri"/>
          <w:color w:val="111111"/>
          <w:sz w:val="28"/>
          <w:sz w:val="28"/>
          <w:szCs w:val="28"/>
          <w:rtl w:val="true"/>
          <w:lang w:bidi="ar-SA"/>
        </w:rPr>
        <w:t xml:space="preserve">و المراد الإطلاق؛ و لا التلفّظ بصيغة خاصّة؛ و لا أن تكون بحضور الحاكم خلافا للمحكيّ عن شاذّ منّا </w:t>
      </w:r>
      <w:r>
        <w:rPr>
          <w:rStyle w:val="FootnoteAnchor"/>
          <w:rtl w:val="true"/>
        </w:rPr>
        <w:footnoteReference w:id="1960"/>
      </w:r>
      <w:r>
        <w:rPr>
          <w:rFonts w:ascii="Amiri" w:hAnsi="Amiri" w:eastAsia="Amiri" w:cs="Amiri"/>
          <w:color w:val="111111"/>
          <w:sz w:val="28"/>
          <w:sz w:val="28"/>
          <w:szCs w:val="28"/>
          <w:rtl w:val="true"/>
          <w:lang w:bidi="ar-SA"/>
        </w:rPr>
        <w:t xml:space="preserve">إلّا في العنّة فإنّه لا بدّ من رفع الأمر إليه ليضرب </w:t>
      </w:r>
      <w:r>
        <w:rPr>
          <w:rStyle w:val="FootnoteAnchor"/>
          <w:rtl w:val="true"/>
        </w:rPr>
        <w:footnoteReference w:id="1961"/>
      </w:r>
      <w:r>
        <w:rPr>
          <w:rFonts w:ascii="Amiri" w:hAnsi="Amiri" w:eastAsia="Amiri" w:cs="Amiri"/>
          <w:color w:val="111111"/>
          <w:sz w:val="28"/>
          <w:sz w:val="28"/>
          <w:szCs w:val="28"/>
          <w:rtl w:val="true"/>
          <w:lang w:bidi="ar-SA"/>
        </w:rPr>
        <w:t>الأجل، و هذا الاستثناء منقطع، لأن الفسخ في العنّة لا يتوقّف على الحضور عند الحاكم، إذ لها الفسخ بعد انقضائه بدونه أي بدون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لا يشترط الحضور عند الحاكم لا يشترط حضور شاهدين، لما عرفت من أنّ الفسخ ليس بطلاق</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اختلف الزوجان في العيب كان القول قول منكر العيب مع</w:t>
      </w:r>
    </w:p>
    <w:p>
      <w:pPr>
        <w:pStyle w:val="BookText"/>
        <w:rPr/>
      </w:pPr>
      <w:r>
        <w:rPr>
          <w:rFonts w:ascii="Amiri" w:hAnsi="Amiri" w:eastAsia="Amiri" w:cs="Amiri"/>
          <w:color w:val="111111"/>
          <w:sz w:val="28"/>
          <w:sz w:val="28"/>
          <w:szCs w:val="28"/>
          <w:rtl w:val="true"/>
          <w:lang w:bidi="ar-SA"/>
        </w:rPr>
        <w:t>عدم البيّنة لأصالة السلامة و لزوم العقد، و على المنكر اليمين، فإن نكل أحلف المدّعي و يثبت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فسخت المرأة بالعيب أو التدليس قبل الدخول فلا شي‌ء بلا خلاف فتوى و نصّا </w:t>
      </w:r>
      <w:r>
        <w:rPr>
          <w:rStyle w:val="FootnoteAnchor"/>
          <w:rtl w:val="true"/>
        </w:rPr>
        <w:footnoteReference w:id="1962"/>
      </w:r>
      <w:r>
        <w:rPr>
          <w:rFonts w:ascii="Amiri" w:hAnsi="Amiri" w:eastAsia="Amiri" w:cs="Amiri"/>
          <w:color w:val="111111"/>
          <w:sz w:val="28"/>
          <w:sz w:val="28"/>
          <w:szCs w:val="28"/>
          <w:rtl w:val="true"/>
          <w:lang w:bidi="ar-SA"/>
        </w:rPr>
        <w:t xml:space="preserve">إلّا في الخصيّ؛ فقد حكي عن الشيخ </w:t>
      </w:r>
      <w:r>
        <w:rPr>
          <w:rStyle w:val="FootnoteAnchor"/>
          <w:rtl w:val="true"/>
        </w:rPr>
        <w:footnoteReference w:id="1963"/>
      </w:r>
      <w:r>
        <w:rPr>
          <w:rFonts w:ascii="Amiri" w:hAnsi="Amiri" w:eastAsia="Amiri" w:cs="Amiri"/>
          <w:color w:val="111111"/>
          <w:sz w:val="28"/>
          <w:sz w:val="28"/>
          <w:szCs w:val="28"/>
          <w:rtl w:val="true"/>
          <w:lang w:bidi="ar-SA"/>
        </w:rPr>
        <w:t xml:space="preserve">و جماعة ثبوت جميع المهر عليه بالخلوة </w:t>
      </w:r>
      <w:r>
        <w:rPr>
          <w:rStyle w:val="FootnoteAnchor"/>
          <w:rtl w:val="true"/>
        </w:rPr>
        <w:footnoteReference w:id="1964"/>
      </w:r>
      <w:r>
        <w:rPr>
          <w:rFonts w:ascii="IRNazanin" w:hAnsi="IRNazanin" w:eastAsia="IRNazanin"/>
          <w:color w:val="111111"/>
          <w:sz w:val="28"/>
          <w:sz w:val="28"/>
          <w:szCs w:val="28"/>
          <w:rtl w:val="true"/>
          <w:lang w:bidi="fa-IR"/>
        </w:rPr>
        <w:t xml:space="preserve">و عن أخرى ثبوت نصف المهر مع عدم الدخول مطلقا </w:t>
      </w:r>
      <w:r>
        <w:rPr>
          <w:rStyle w:val="FootnoteAnchor"/>
          <w:rtl w:val="true"/>
        </w:rPr>
        <w:footnoteReference w:id="1965"/>
      </w:r>
      <w:r>
        <w:rPr>
          <w:rFonts w:ascii="Amiri" w:hAnsi="Amiri" w:eastAsia="Amiri" w:cs="Amiri"/>
          <w:color w:val="111111"/>
          <w:sz w:val="28"/>
          <w:sz w:val="28"/>
          <w:szCs w:val="28"/>
          <w:rtl w:val="true"/>
          <w:lang w:bidi="ar-SA"/>
        </w:rPr>
        <w:t xml:space="preserve">لروايتي قرب الإسناد </w:t>
      </w:r>
      <w:r>
        <w:rPr>
          <w:rStyle w:val="FootnoteAnchor"/>
          <w:rtl w:val="true"/>
        </w:rPr>
        <w:footnoteReference w:id="1966"/>
      </w:r>
      <w:r>
        <w:rPr>
          <w:rFonts w:ascii="Amiri" w:hAnsi="Amiri" w:eastAsia="Amiri" w:cs="Amiri"/>
          <w:color w:val="111111"/>
          <w:sz w:val="28"/>
          <w:sz w:val="28"/>
          <w:szCs w:val="28"/>
          <w:rtl w:val="true"/>
          <w:lang w:bidi="ar-SA"/>
        </w:rPr>
        <w:t xml:space="preserve">و الفقه الرضوي </w:t>
      </w:r>
      <w:r>
        <w:rPr>
          <w:rStyle w:val="FootnoteAnchor"/>
          <w:rtl w:val="true"/>
        </w:rPr>
        <w:footnoteReference w:id="1967"/>
      </w:r>
      <w:r>
        <w:rPr>
          <w:rFonts w:ascii="Amiri" w:hAnsi="Amiri" w:eastAsia="Amiri" w:cs="Amiri"/>
          <w:color w:val="111111"/>
          <w:sz w:val="28"/>
          <w:sz w:val="28"/>
          <w:szCs w:val="28"/>
          <w:rtl w:val="true"/>
          <w:lang w:bidi="ar-SA"/>
        </w:rPr>
        <w:t>إلّا في فسخها لأجل العنّة فإنّ لها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فسخها بعده أي 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المسمّى لاستقراره بالدخول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القواعد أنّه لا فرق بين الفسخ بالعيب الحادث قبل العقد و بعده، لأنّ الفسخ لا يبطله من أصله، و لهذا لا يرجع عليها بالنفقة الماضية، و 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الفسخ بالمتجدّد بعد الدخول فالواجب المسمى، لأنّ الفسخ إنّما يستند إلى العيب الطارئ بعد استقراره؛ و إن كان بعيب موجود قبل العقد أو بعده قبل الدخول وجب مهر</w:t>
      </w:r>
    </w:p>
    <w:p>
      <w:pPr>
        <w:pStyle w:val="BookText"/>
        <w:rPr/>
      </w:pPr>
      <w:r>
        <w:rPr>
          <w:rFonts w:ascii="Amiri" w:hAnsi="Amiri" w:eastAsia="Amiri" w:cs="Amiri"/>
          <w:color w:val="111111"/>
          <w:sz w:val="28"/>
          <w:sz w:val="28"/>
          <w:szCs w:val="28"/>
          <w:rtl w:val="true"/>
          <w:lang w:bidi="ar-SA"/>
        </w:rPr>
        <w:t xml:space="preserve">المثل، لأنّ الفسخ و إن كان في الحال إلّا أنّه مستند إلى حال حدوث العيب، فيكون كأنّه وقع مفسوخا حين حدوث العيب، فيصير كأنّه وقع فاسدا، فيلحقه أحكام الفاسد؛ فإن كان قبل الدخول فلا مهر و لا متعة، و إن كان بعده فلا نفقة للعدّة و يجب مهر المثل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ضعفه، لأنّ النكاح وقع صحيحا، و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بسبب العيب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يبطله من أصله، بل من حين الفسخ، خصوصا إذا كان العيب حادثا بعد العقد، فإنّ دليله لا يجي‌ء عليه </w:t>
      </w:r>
      <w:r>
        <w:rPr>
          <w:rStyle w:val="FootnoteAnchor"/>
          <w:rtl w:val="true"/>
        </w:rPr>
        <w:footnoteReference w:id="196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فسخ الرجل قبله أي قبل الدخول فلا مهر لها و لا عدّة عليها، بلا خلاف نصّا و فتوى، كما يظهر من الحدائق </w:t>
      </w:r>
      <w:r>
        <w:rPr>
          <w:rStyle w:val="FootnoteAnchor"/>
          <w:rtl w:val="true"/>
        </w:rPr>
        <w:footnoteReference w:id="1970"/>
      </w:r>
      <w:r>
        <w:rPr>
          <w:rFonts w:ascii="Amiri" w:hAnsi="Amiri" w:eastAsia="Amiri" w:cs="Amiri"/>
          <w:color w:val="111111"/>
          <w:sz w:val="28"/>
          <w:sz w:val="28"/>
          <w:szCs w:val="28"/>
          <w:rtl w:val="true"/>
          <w:lang w:bidi="ar-SA"/>
        </w:rPr>
        <w:t xml:space="preserve">و ادّعي الإجماع في الرياض </w:t>
      </w:r>
      <w:r>
        <w:rPr>
          <w:rStyle w:val="FootnoteAnchor"/>
          <w:rtl w:val="true"/>
        </w:rPr>
        <w:footnoteReference w:id="1971"/>
      </w:r>
      <w:r>
        <w:rPr>
          <w:rFonts w:ascii="Amiri" w:hAnsi="Amiri" w:eastAsia="Amiri" w:cs="Amiri"/>
          <w:color w:val="111111"/>
          <w:sz w:val="28"/>
          <w:sz w:val="28"/>
          <w:szCs w:val="28"/>
          <w:rtl w:val="true"/>
          <w:lang w:bidi="ar-SA"/>
        </w:rPr>
        <w:t xml:space="preserve">و إن كان بعده فلها المسمّى، و يرجع الزوج به على المدلّس؛ للأخبار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w:t>
      </w:r>
      <w:r>
        <w:rPr>
          <w:rStyle w:val="FootnoteAnchor"/>
          <w:rtl w:val="true"/>
        </w:rPr>
        <w:footnoteReference w:id="1973"/>
      </w:r>
      <w:r>
        <w:rPr>
          <w:rFonts w:ascii="Amiri" w:hAnsi="Amiri" w:eastAsia="Amiri" w:cs="Amiri"/>
          <w:color w:val="111111"/>
          <w:sz w:val="28"/>
          <w:sz w:val="28"/>
          <w:szCs w:val="28"/>
          <w:rtl w:val="true"/>
          <w:lang w:bidi="ar-SA"/>
        </w:rPr>
        <w:t>المدلّس هي؛ سقط، إلّا أقلّ ما يمكن أن يكون مهرا لئلّا تخلو البضع عن عوض؛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مهر مثلها </w:t>
      </w:r>
      <w:r>
        <w:rPr>
          <w:rStyle w:val="FootnoteAnchor"/>
          <w:rtl w:val="true"/>
        </w:rPr>
        <w:footnoteReference w:id="1974"/>
      </w:r>
      <w:r>
        <w:rPr>
          <w:rFonts w:ascii="IRNazanin" w:hAnsi="IRNazanin" w:eastAsia="IRNazanin"/>
          <w:color w:val="111111"/>
          <w:sz w:val="28"/>
          <w:sz w:val="28"/>
          <w:szCs w:val="28"/>
          <w:rtl w:val="true"/>
          <w:lang w:bidi="fa-IR"/>
        </w:rPr>
        <w:t>و الأخبار</w:t>
      </w:r>
    </w:p>
    <w:p>
      <w:pPr>
        <w:pStyle w:val="BookText"/>
        <w:rPr/>
      </w:pPr>
      <w:r>
        <w:rPr>
          <w:rFonts w:ascii="Amiri" w:hAnsi="Amiri" w:eastAsia="Amiri" w:cs="Amiri"/>
          <w:color w:val="111111"/>
          <w:sz w:val="28"/>
          <w:sz w:val="28"/>
          <w:szCs w:val="28"/>
          <w:rtl w:val="true"/>
          <w:lang w:bidi="ar-SA"/>
        </w:rPr>
        <w:t xml:space="preserve">خالية عن هذا الاستثناء، و لهذا أنكره جماعة، كما في الرياض و ارتضاه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يكن مدلّس </w:t>
      </w:r>
      <w:r>
        <w:rPr>
          <w:rStyle w:val="FootnoteAnchor"/>
          <w:rtl w:val="true"/>
        </w:rPr>
        <w:footnoteReference w:id="1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خفي عيب المرأة عليها و على 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رجوع للزوج على أحد</w:t>
      </w:r>
      <w:r>
        <w:rPr>
          <w:rFonts w:eastAsia="Amiri" w:cs="Amiri" w:ascii="Amiri" w:hAnsi="Amiri"/>
          <w:color w:val="111111"/>
          <w:sz w:val="28"/>
          <w:szCs w:val="28"/>
          <w:rtl w:val="true"/>
          <w:lang w:bidi="ar-SA"/>
        </w:rPr>
        <w:t>.</w:t>
      </w:r>
      <w:bookmarkStart w:id="402" w:name="pg19718_239343"/>
    </w:p>
    <w:p>
      <w:pPr>
        <w:pStyle w:val="Heading4"/>
        <w:numPr>
          <w:ilvl w:val="3"/>
          <w:numId w:val="1"/>
        </w:numPr>
        <w:rPr/>
      </w:pPr>
      <w:bookmarkStart w:id="403" w:name="__RefHeading___Toc1986022_2314609296"/>
      <w:bookmarkStart w:id="404" w:name="_Toc157"/>
      <w:bookmarkEnd w:id="402"/>
      <w:bookmarkEnd w:id="403"/>
      <w:r>
        <w:rPr>
          <w:rtl w:val="true"/>
        </w:rPr>
        <w:t>الفصل الثاني في التدليس</w:t>
      </w:r>
      <w:bookmarkEnd w:id="404"/>
    </w:p>
    <w:p>
      <w:pPr>
        <w:pStyle w:val="Heading5"/>
        <w:numPr>
          <w:ilvl w:val="4"/>
          <w:numId w:val="1"/>
        </w:numPr>
        <w:rPr/>
      </w:pPr>
      <w:bookmarkStart w:id="405" w:name="__RefHeading___Toc1986024_2314609296"/>
      <w:bookmarkStart w:id="406" w:name="_Toc158"/>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الفصل الثاني في التدليس و هو إظهار صفة كمال في المرأة مع انتفائها عنها أو إخفاء صفة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الخيار في العيب مجرّد ثبوته في الواقع، و في التدليس اشتراط الصفة بحيث لو لا الاشتراط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تزوّجها على أنّها حرّة باشتراط ذلك في متن العقد لفظا، أو ذكره قبله بحيث أجريا العقد على ذلك فخرجت أمة، فله الفسخ عملا بمقتضى الشرط، إذ ليس فائدته إلّا التسلّط على الفسخ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الشيخ في الخلاف و المبسوط البطلان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علّل تارة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978"/>
      </w:r>
      <w:r>
        <w:rPr>
          <w:rFonts w:ascii="Amiri" w:hAnsi="Amiri" w:eastAsia="Amiri" w:cs="Amiri"/>
          <w:color w:val="111111"/>
          <w:sz w:val="28"/>
          <w:sz w:val="28"/>
          <w:szCs w:val="28"/>
          <w:rtl w:val="true"/>
          <w:lang w:bidi="ar-SA"/>
        </w:rPr>
        <w:t>حيث إنّ مقتضى</w:t>
      </w:r>
    </w:p>
    <w:p>
      <w:pPr>
        <w:pStyle w:val="BookText"/>
        <w:rPr/>
      </w:pPr>
      <w:r>
        <w:rPr>
          <w:rFonts w:ascii="Amiri" w:hAnsi="Amiri" w:eastAsia="Amiri" w:cs="Amiri"/>
          <w:color w:val="111111"/>
          <w:sz w:val="28"/>
          <w:sz w:val="28"/>
          <w:szCs w:val="28"/>
          <w:rtl w:val="true"/>
          <w:lang w:bidi="ar-SA"/>
        </w:rPr>
        <w:t>وجوب الوفاء بمقتضى الشرط عدم بقاء التزويج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ردّه المعلّل </w:t>
      </w:r>
      <w:r>
        <w:rPr>
          <w:rStyle w:val="FootnoteAnchor"/>
          <w:rtl w:val="true"/>
        </w:rPr>
        <w:footnoteReference w:id="1979"/>
      </w:r>
      <w:r>
        <w:rPr>
          <w:rFonts w:ascii="Amiri" w:hAnsi="Amiri" w:eastAsia="Amiri" w:cs="Amiri"/>
          <w:color w:val="111111"/>
          <w:sz w:val="28"/>
          <w:sz w:val="28"/>
          <w:szCs w:val="28"/>
          <w:rtl w:val="true"/>
          <w:lang w:bidi="ar-SA"/>
        </w:rPr>
        <w:t>باختصاص العموم بغير المستحقّ، أمّا المستحقّ فلا يجب عليه الوفاء، إذ له إسقاطه، لأنّه من 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اخرى بأنّ نكاح الأمة بدون إذن المولى </w:t>
      </w:r>
      <w:r>
        <w:rPr>
          <w:rStyle w:val="FootnoteAnchor"/>
          <w:rtl w:val="true"/>
        </w:rPr>
        <w:footnoteReference w:id="1980"/>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المعلّل بأنّه مختصّ بما إذا لم يكن التزويج بإذن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القول ضعيف مع إذن المولى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إذن المولى؛ فلعموم أَوْفُوا بِالْعُقُودِ </w:t>
      </w:r>
      <w:r>
        <w:rPr>
          <w:rStyle w:val="FootnoteAnchor"/>
          <w:rtl w:val="true"/>
        </w:rPr>
        <w:footnoteReference w:id="1981"/>
      </w:r>
      <w:r>
        <w:rPr>
          <w:rFonts w:ascii="Amiri" w:hAnsi="Amiri" w:eastAsia="Amiri" w:cs="Amiri"/>
          <w:color w:val="111111"/>
          <w:sz w:val="28"/>
          <w:sz w:val="28"/>
          <w:szCs w:val="28"/>
          <w:rtl w:val="true"/>
          <w:lang w:bidi="ar-SA"/>
        </w:rPr>
        <w:t>خرج منه الوفاء بالعقد قبل الإمضاء و بقي الباقي، و منه هذا العقد بعد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الإذن؛ فلما تقدّم من عدم وقوع العقد باطلا، بل موقوفا على إجازة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من الدليل و عمومه يظهر ثبوت خيار الفسخ و إن دخل بها، فإنّ التصرّف مع الجهل لا يزيل خيار الشرط، فإن لم يفسخ الزوج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فسخ، فإن كان قبل الدخول فلا مهر، بلا خلاف ظاهرا، لأنّ سبب الفسخ حصل من قبلها؛ كذا علّل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بعد الدخول فإن كانت المرأة قد دلّست نفسها بإذن المولى لها في التزويج </w:t>
      </w:r>
      <w:r>
        <w:rPr>
          <w:rStyle w:val="FootnoteAnchor"/>
          <w:rtl w:val="true"/>
        </w:rPr>
        <w:footnoteReference w:id="1983"/>
      </w:r>
      <w:r>
        <w:rPr>
          <w:rFonts w:ascii="Amiri" w:hAnsi="Amiri" w:eastAsia="Amiri" w:cs="Amiri"/>
          <w:color w:val="111111"/>
          <w:sz w:val="28"/>
          <w:sz w:val="28"/>
          <w:szCs w:val="28"/>
          <w:rtl w:val="true"/>
          <w:lang w:bidi="ar-SA"/>
        </w:rPr>
        <w:t>فتزّوجت مدلّسة دفع المهر إلى المولى لأنّه</w:t>
      </w:r>
    </w:p>
    <w:p>
      <w:pPr>
        <w:pStyle w:val="BookText"/>
        <w:rPr/>
      </w:pPr>
      <w:r>
        <w:rPr>
          <w:rFonts w:ascii="Amiri" w:hAnsi="Amiri" w:eastAsia="Amiri" w:cs="Amiri"/>
          <w:color w:val="111111"/>
          <w:sz w:val="28"/>
          <w:sz w:val="28"/>
          <w:szCs w:val="28"/>
          <w:rtl w:val="true"/>
          <w:lang w:bidi="ar-SA"/>
        </w:rPr>
        <w:t>مالك بضع الجارية، فله عوضه و لا يسقط حقّه بتدليس غيره و تبعها به بعد عتقها، إذ في جعلها في ذمّتها قبله إضرار بالمولى، و في الحكم بعدم استحقاق الزوج شيئا إضرار بالزوج، مع إمكان تداركه بما ذكر؛ و اتباعها بالمهر بعد العتق ليس منافيا لحقّ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يقدر المملوك أن يشغل ذمّته و لو على هذا الوجه؛ لأنّه مملوك لا يقدر على شي‌ء؛ و لا ينافي ذلك تعلّق شي‌ء بذمّته قهرا و إن كان سببه اختياريّا، كما لو أقرض بدون إذن مولاه، فإنّه إتلاف اختياريّ موجب لضمانه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دلّسها مولاها فلا مهر لأنّ المملوكة لا تستحقّ مهرا و المولى هو المدلّس؛ و ثبوت الرجوع على المدلّس ينافي الحكم بوجوب الدفع إلى المولى ثمّ الارتجاع منه و لا يستثنى هنا في مقابل الوطء شي‌ء من مهر المثل أو أقلّ ممّا يتموّل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في المسالك بعموم الدليل الدالّ على الرجوع به على المدلّس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أن يراد بالدليل عموم التعليل في بعض الأخبار المتقدّمة في العيب؛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علّة الرجوع إلى وليّ المرأة المعيبة إذا دلّسها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صار عليه المهر لأنّه دلّسها</w:t>
      </w:r>
      <w:r>
        <w:rPr>
          <w:rFonts w:eastAsia="Amiri" w:cs="Amiri" w:ascii="Amiri" w:hAnsi="Amiri"/>
          <w:color w:val="111111"/>
          <w:sz w:val="28"/>
          <w:szCs w:val="28"/>
          <w:rtl w:val="true"/>
          <w:lang w:bidi="ar-SA"/>
        </w:rPr>
        <w:t xml:space="preserve">» </w:t>
      </w:r>
      <w:r>
        <w:rPr>
          <w:rStyle w:val="FootnoteAnchor"/>
          <w:rtl w:val="true"/>
        </w:rPr>
        <w:footnoteReference w:id="1985"/>
      </w:r>
      <w:r>
        <w:rPr>
          <w:rFonts w:ascii="Amiri" w:hAnsi="Amiri" w:eastAsia="Amiri" w:cs="Amiri"/>
          <w:color w:val="111111"/>
          <w:sz w:val="28"/>
          <w:sz w:val="28"/>
          <w:szCs w:val="28"/>
          <w:rtl w:val="true"/>
          <w:lang w:bidi="ar-SA"/>
        </w:rPr>
        <w:t>و يستفاد هذا من غيره أيضا، كما لا يخفى على من راجعها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تعتق عليه أي على مولى الجارية المدلّسة لو </w:t>
      </w:r>
      <w:r>
        <w:rPr>
          <w:rStyle w:val="FootnoteAnchor"/>
          <w:rtl w:val="true"/>
        </w:rPr>
        <w:footnoteReference w:id="1986"/>
      </w:r>
      <w:r>
        <w:rPr>
          <w:rFonts w:ascii="Amiri" w:hAnsi="Amiri" w:eastAsia="Amiri" w:cs="Amiri"/>
          <w:color w:val="111111"/>
          <w:sz w:val="28"/>
          <w:sz w:val="28"/>
          <w:szCs w:val="28"/>
          <w:rtl w:val="true"/>
          <w:lang w:bidi="ar-SA"/>
        </w:rPr>
        <w:t>تلفّظ</w:t>
      </w:r>
    </w:p>
    <w:p>
      <w:pPr>
        <w:pStyle w:val="BookText"/>
        <w:rPr/>
      </w:pPr>
      <w:r>
        <w:rPr>
          <w:rFonts w:ascii="Amiri" w:hAnsi="Amiri" w:eastAsia="Amiri" w:cs="Amiri"/>
          <w:color w:val="111111"/>
          <w:sz w:val="28"/>
          <w:sz w:val="28"/>
          <w:szCs w:val="28"/>
          <w:rtl w:val="true"/>
          <w:lang w:bidi="ar-SA"/>
        </w:rPr>
        <w:t xml:space="preserve">عند التدليس بما يقتضي </w:t>
      </w:r>
      <w:r>
        <w:rPr>
          <w:rStyle w:val="FootnoteAnchor"/>
          <w:rtl w:val="true"/>
        </w:rPr>
        <w:footnoteReference w:id="1987"/>
      </w:r>
      <w:r>
        <w:rPr>
          <w:rFonts w:ascii="Amiri" w:hAnsi="Amiri" w:eastAsia="Amiri" w:cs="Amiri"/>
          <w:color w:val="111111"/>
          <w:sz w:val="28"/>
          <w:sz w:val="28"/>
          <w:szCs w:val="28"/>
          <w:rtl w:val="true"/>
          <w:lang w:bidi="ar-SA"/>
        </w:rPr>
        <w:t>إنشاء العتق أو الإخبار به على وجه الإقرار؛ و حينئذ فصحّ العقد مع إذن المرأة سابقا أو إجازتها لاحقا، و لها المهر و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الولد حرّ، و على أبيه المغرور قيمته يوم سقط حيّا للمولى و يرجع به على الغارّ، و لو كان الغارّ هو المولى فلا يستحقّ شيئا، لأنّ الرجوع عليه لمكان غروره ينافي 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الغارّ عبدا تبع بالقيمة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انعكس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تزوّجت الحرّة رجلا على أنّه حرّ فبان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الفسخ؛ فإن كان قبل الدخول فلا شي‌ء لها، لأنّ الحدث جاء من قبلها؛ و إن كان بعده ثبت لها المهر على السيّد إن أذن في العقد، لأنّ إذنه يستلزم تعلّق عوض الوطء بذمّته، و إن كان بغير إذنه اتبع العبد به بعد العتق و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 الخيار في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مقتضى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مصحّحة محمّد بن مسلم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شرط كون المرأة المعيّنة المعقود عليها بنت مهيرة أي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ذات مهر دائما دون الأمة، فإنّها قد توطأ بالملك كما قد توطأ بالمهر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فبانت بنت أمة </w:t>
      </w:r>
      <w:r>
        <w:rPr>
          <w:rStyle w:val="FootnoteAnchor"/>
          <w:rtl w:val="true"/>
        </w:rPr>
        <w:footnoteReference w:id="1989"/>
      </w:r>
      <w:r>
        <w:rPr>
          <w:rFonts w:ascii="Amiri" w:hAnsi="Amiri" w:eastAsia="Amiri" w:cs="Amiri"/>
          <w:color w:val="111111"/>
          <w:sz w:val="28"/>
          <w:sz w:val="28"/>
          <w:szCs w:val="28"/>
          <w:rtl w:val="true"/>
          <w:lang w:bidi="ar-SA"/>
        </w:rPr>
        <w:t xml:space="preserve">كان له الخيار في ردّها، فإن ردّ </w:t>
      </w:r>
      <w:r>
        <w:rPr>
          <w:rStyle w:val="FootnoteAnchor"/>
          <w:rtl w:val="true"/>
        </w:rPr>
        <w:footnoteReference w:id="1990"/>
      </w:r>
      <w:r>
        <w:rPr>
          <w:rFonts w:ascii="Amiri" w:hAnsi="Amiri" w:eastAsia="Amiri" w:cs="Amiri"/>
          <w:color w:val="111111"/>
          <w:sz w:val="28"/>
          <w:sz w:val="28"/>
          <w:szCs w:val="28"/>
          <w:rtl w:val="true"/>
          <w:lang w:bidi="ar-SA"/>
        </w:rPr>
        <w:t xml:space="preserve">قبل الدخول فلا شي‌ء، و إن ردّ </w:t>
      </w:r>
      <w:r>
        <w:rPr>
          <w:rStyle w:val="FootnoteAnchor"/>
          <w:rtl w:val="true"/>
        </w:rPr>
        <w:footnoteReference w:id="1991"/>
      </w:r>
      <w:r>
        <w:rPr>
          <w:rFonts w:ascii="IRNazanin" w:hAnsi="IRNazanin" w:eastAsia="IRNazanin"/>
          <w:color w:val="111111"/>
          <w:sz w:val="28"/>
          <w:sz w:val="28"/>
          <w:szCs w:val="28"/>
          <w:rtl w:val="true"/>
          <w:lang w:bidi="fa-IR"/>
        </w:rPr>
        <w:t>بعده فلها مهر المثل بما استحلّ من فرجها،</w:t>
      </w:r>
    </w:p>
    <w:p>
      <w:pPr>
        <w:pStyle w:val="BookText"/>
        <w:rPr/>
      </w:pPr>
      <w:r>
        <w:rPr>
          <w:rFonts w:ascii="Amiri" w:hAnsi="Amiri" w:eastAsia="Amiri" w:cs="Amiri"/>
          <w:color w:val="111111"/>
          <w:sz w:val="28"/>
          <w:sz w:val="28"/>
          <w:szCs w:val="28"/>
          <w:rtl w:val="true"/>
          <w:lang w:bidi="ar-SA"/>
        </w:rPr>
        <w:t>و يرجع به على المدلّس و لا خيار هنا بدون ذكر الشرط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 المصنّف قدّس سرّه هنا المحقّق رحمه اللّٰه في الشرائع </w:t>
      </w:r>
      <w:r>
        <w:rPr>
          <w:rStyle w:val="FootnoteAnchor"/>
          <w:rtl w:val="true"/>
        </w:rPr>
        <w:footnoteReference w:id="1992"/>
      </w:r>
      <w:r>
        <w:rPr>
          <w:rFonts w:ascii="Amiri" w:hAnsi="Amiri" w:eastAsia="Amiri" w:cs="Amiri"/>
          <w:color w:val="111111"/>
          <w:sz w:val="28"/>
          <w:sz w:val="28"/>
          <w:szCs w:val="28"/>
          <w:rtl w:val="true"/>
          <w:lang w:bidi="ar-SA"/>
        </w:rPr>
        <w:t>حيث أطلق الحكم بالخيار في السابق بحيث يمكن أن يعمّم لما إذا ذكر الشرط سابقا و أجرى العقد عليه، و هنا قيّد الحكم بما إذا شرط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المسالك الفرق بين هذه و السابقة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 هناك حيث ورد السؤال فيها عن رجل تزوّج حرّة فوجدها أمة دلّست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الحرّيّة أمر مهمّ ففواتها نقص بيّن يصلح لتسلّط من قدم عليه على الردّ إذا ظهر خلافه، بخلاف الحرّة الّتي أمّها حرّة أو أمة، فإنّ التفاوت بينهما ليس كالتفاوت بين الحرّة و الأمة و لا قريبا منه؛ بل ربما لا يظهر التفاوت بينهما، أو يكون الكمال في جانب بنت الأمة مع اشتراكهما في الوصف بالحرّيّة، فلم يكن لفواته أثر إلّا مع الشرط في ضمن العقد عملا بعموم الوفاء بالشرط </w:t>
      </w:r>
      <w:r>
        <w:rPr>
          <w:rStyle w:val="FootnoteAnchor"/>
          <w:rtl w:val="true"/>
        </w:rPr>
        <w:footnoteReference w:id="1993"/>
      </w:r>
      <w:r>
        <w:rPr>
          <w:rFonts w:ascii="Amiri" w:hAnsi="Amiri" w:eastAsia="Amiri" w:cs="Amiri"/>
          <w:color w:val="111111"/>
          <w:sz w:val="28"/>
          <w:sz w:val="28"/>
          <w:szCs w:val="28"/>
          <w:rtl w:val="true"/>
          <w:lang w:bidi="ar-SA"/>
        </w:rPr>
        <w:t xml:space="preserve">و بفواته يظهر تزلزل العقد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إذا وقع العقد على امرأة معيّنة و شرط كونها بنت مهيرة فبانت بنت أمة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زوّجه بنت مهيرة و أدخل عليه امرأة أخرى هي</w:t>
      </w:r>
    </w:p>
    <w:p>
      <w:pPr>
        <w:pStyle w:val="BookText"/>
        <w:rPr/>
      </w:pPr>
      <w:r>
        <w:rPr>
          <w:rFonts w:ascii="Amiri" w:hAnsi="Amiri" w:eastAsia="Amiri" w:cs="Amiri"/>
          <w:color w:val="111111"/>
          <w:sz w:val="28"/>
          <w:sz w:val="28"/>
          <w:szCs w:val="28"/>
          <w:rtl w:val="true"/>
          <w:lang w:bidi="ar-SA"/>
        </w:rPr>
        <w:t xml:space="preserve">بنت أمة لم يعقد عليها ردّت وجوبا بمجرّد العلم، فإن كان الردّ قبل الدخول فلا شي‌ء لها عليه، و إن كان بعده مع جهل الزوجة بعدم العقد عليها كان عليه مهر المثل لأجل وطء الشبهة، و عليها العدّة و يرجع الرجل به أي بالمهر على السائق المدلّس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 إليه امرأته</w:t>
      </w:r>
      <w:r>
        <w:rPr>
          <w:rFonts w:eastAsia="Amiri" w:cs="Amiri" w:ascii="Amiri" w:hAnsi="Amiri"/>
          <w:color w:val="111111"/>
          <w:sz w:val="28"/>
          <w:szCs w:val="28"/>
          <w:rtl w:val="true"/>
          <w:lang w:bidi="ar-SA"/>
        </w:rPr>
        <w:t xml:space="preserve">] </w:t>
      </w:r>
      <w:r>
        <w:rPr>
          <w:rStyle w:val="FootnoteAnchor"/>
          <w:rtl w:val="true"/>
        </w:rPr>
        <w:footnoteReference w:id="1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علم الزوجة بالحال فلا شي‌ء لها لأنّها بغيّ، و لا عدّة عليها مع علم الرجل لعدم احترام ماء الزنى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الحكم في كلّ من سيق إليه غير زوجته و قد ورد به غير واحد من الأخبار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شرط البكارة فظهرت ثيّبا فلا فسخ لاحتمال زوال البكارة بعد العقد، و الأصل تأخّر الحادث، و مع الشّك في تأريخهما لا سبب للفسخ و إن لم يمكن الحكم بتأخّر الثيبوبة عن العقد، لأنّ الخيار لا يثبت إلّا إذا علم سببه، و هو تقدّم الثيبوبة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حصول العلم بتاريخ الثيبوبة و شكّ في زمان العقد فلا خيار أيضا و إن كان الأصل تأخّر العقد، لأنّ أصالة تأخّر العقد لا يثبت تقدّم العيب و إن كانا متلازمين عقلا، لأنّ ثبوت أحد المتلازمين عقلا بالأصول الشرعيّة الظاهريّة لا يثبت الآخر،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يحكم بالخيار إلّا أن يعلم سبق الثيبوبة على العقد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تقدير عدم الفسخ بعدم العلم بسبقها على العقد أو اختيار</w:t>
      </w:r>
    </w:p>
    <w:p>
      <w:pPr>
        <w:pStyle w:val="BookText"/>
        <w:rPr/>
      </w:pPr>
      <w:r>
        <w:rPr>
          <w:rFonts w:ascii="Amiri" w:hAnsi="Amiri" w:eastAsia="Amiri" w:cs="Amiri"/>
          <w:color w:val="111111"/>
          <w:sz w:val="28"/>
          <w:sz w:val="28"/>
          <w:szCs w:val="28"/>
          <w:rtl w:val="true"/>
          <w:lang w:bidi="ar-SA"/>
        </w:rPr>
        <w:t xml:space="preserve">البقاء في موضع له الفسخ، هل له </w:t>
      </w:r>
      <w:r>
        <w:rPr>
          <w:rStyle w:val="FootnoteAnchor"/>
          <w:rtl w:val="true"/>
        </w:rPr>
        <w:footnoteReference w:id="1997"/>
      </w:r>
      <w:r>
        <w:rPr>
          <w:rFonts w:ascii="Amiri" w:hAnsi="Amiri" w:eastAsia="Amiri" w:cs="Amiri"/>
          <w:color w:val="111111"/>
          <w:sz w:val="28"/>
          <w:sz w:val="28"/>
          <w:szCs w:val="28"/>
          <w:rtl w:val="true"/>
          <w:lang w:bidi="ar-SA"/>
        </w:rPr>
        <w:t>أن ينقص عن المسمّى بنسبة ما بين المهرين؟ أو لا ينقص مطلقا؟ أو ينقص شي‌ء و لم يرد من الشارع تقديره؟ و قد يفسّر بالسدس قياسا على الوصيّة بالشي‌ء، أو تقديره موكول إلى نظر الحاكم؟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الأوّل بأن الرضى بالمهر المعيّن إنّما حصل على تقدير اتّصافها بالبكارة فيلزم التفاوت كأرش ما بين الصحّة و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بأنّ ذلك إنّما يكون حيث ثبت فواته قبل العقد، أمّا مع إمكان تجدّده بعده فلا دليل على سقوط شي‌ء من المسمّى، و هذا الإيراد ينبئ عن تسليم النقص مع تحقّق سبق الثيبوبة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وجه القول الثالث بورود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w:t>
      </w:r>
      <w:r>
        <w:rPr>
          <w:rStyle w:val="FootnoteAnchor"/>
          <w:rtl w:val="true"/>
        </w:rPr>
        <w:footnoteReference w:id="1998"/>
      </w:r>
      <w:r>
        <w:rPr>
          <w:rFonts w:ascii="Amiri" w:hAnsi="Amiri" w:eastAsia="Amiri" w:cs="Amiri"/>
          <w:color w:val="111111"/>
          <w:sz w:val="28"/>
          <w:sz w:val="28"/>
          <w:szCs w:val="28"/>
          <w:rtl w:val="true"/>
          <w:lang w:bidi="ar-SA"/>
        </w:rPr>
        <w:t>ينقص</w:t>
      </w:r>
      <w:r>
        <w:rPr>
          <w:rFonts w:eastAsia="Amiri" w:cs="Amiri" w:ascii="Amiri" w:hAnsi="Amiri"/>
          <w:color w:val="111111"/>
          <w:sz w:val="28"/>
          <w:szCs w:val="28"/>
          <w:rtl w:val="true"/>
          <w:lang w:bidi="ar-SA"/>
        </w:rPr>
        <w:t xml:space="preserve">» </w:t>
      </w:r>
      <w:r>
        <w:rPr>
          <w:rStyle w:val="FootnoteAnchor"/>
          <w:rtl w:val="true"/>
        </w:rPr>
        <w:footnoteReference w:id="1999"/>
      </w:r>
      <w:r>
        <w:rPr>
          <w:rFonts w:ascii="Amiri" w:hAnsi="Amiri" w:eastAsia="Amiri" w:cs="Amiri"/>
          <w:color w:val="111111"/>
          <w:sz w:val="28"/>
          <w:sz w:val="28"/>
          <w:szCs w:val="28"/>
          <w:rtl w:val="true"/>
          <w:lang w:bidi="ar-SA"/>
        </w:rPr>
        <w:t>بقول مجمل، فإمّا يحمل على مسمّى الشي‌ء، أو يحمل على السدس، أو يفوّض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العدم مطلقا هو أنّ النقص على خلاف الأصل، فإنّ مقتضى العقد وجوب جميعه فإذا أمضى العقد وجب العمل بمقتضاه، و ليس للشرط تأثير إلّا الخيار بين الردّ و الإمساك، و لهذا لا يحكم بشي‌ء مع فوات الوصف المشروط في المبيع</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أقوى، لو لا الرواية المصحّحة الواردة في النقص؛ و معها فيوجّه</w:t>
      </w:r>
    </w:p>
    <w:p>
      <w:pPr>
        <w:pStyle w:val="BookText"/>
        <w:rPr/>
      </w:pPr>
      <w:r>
        <w:rPr>
          <w:rFonts w:ascii="Amiri" w:hAnsi="Amiri" w:eastAsia="Amiri" w:cs="Amiri"/>
          <w:color w:val="111111"/>
          <w:sz w:val="28"/>
          <w:sz w:val="28"/>
          <w:szCs w:val="28"/>
          <w:rtl w:val="true"/>
          <w:lang w:bidi="ar-SA"/>
        </w:rPr>
        <w:t>وكوله إلى نظر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الحاكم أن ينظر في نفس هذه المسألة الخلافيّة و يحكم بما يؤدّي إليه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وكول ما ينقص إلى الحاكم لا دليل عليه، لأنّ تعيين ما أبهمه الشارع ليس موكولا إلى الحاكم </w:t>
      </w:r>
      <w:r>
        <w:rPr>
          <w:rStyle w:val="FootnoteAnchor"/>
          <w:rtl w:val="true"/>
        </w:rPr>
        <w:footnoteReference w:id="2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يبيّن مقدار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نقص التفاوت؛ لأنّه المتعارف في تدارك الفائت و قد وكله الشارع إلى المتعارف، بل مقصود السائل أيضا السؤال عن نقص التفاوت، كما لا يخفى على من تأمّل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شرط إسلامها فبانت كتابيّة، فإن قلنا بجواز ابتداء نكاح الكتابيّة، فله الفسخ قضيّة للشرط و لا خيار مع عدم ذكر الشرط </w:t>
      </w:r>
      <w:r>
        <w:rPr>
          <w:rStyle w:val="FootnoteAnchor"/>
          <w:rtl w:val="true"/>
        </w:rPr>
        <w:footnoteReference w:id="2001"/>
      </w:r>
      <w:r>
        <w:rPr>
          <w:rFonts w:ascii="Amiri" w:hAnsi="Amiri" w:eastAsia="Amiri" w:cs="Amiri"/>
          <w:color w:val="111111"/>
          <w:sz w:val="28"/>
          <w:sz w:val="28"/>
          <w:szCs w:val="28"/>
          <w:rtl w:val="true"/>
          <w:lang w:bidi="ar-SA"/>
        </w:rPr>
        <w:t>في متن العقد لأصالة اللزوم، كما في كلّ عقد لم يذكر في متنه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تزوّجت على أنّه حرّ فبان مملوكا فلها الفسخ، و قد تقدّم أنّ لها المهر مع الدخول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أدخلت امرأة كلّ من الزوجين على الآخر، فلها مهر المثل على الواطئ بشبهة و المسمّى على الزوج، و تردّ زوجة كلّ منهما إليه و لكن لا يطؤها إلّا بعد العدّة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عقد باطل فللموطوءة مهر المثل، و كل مفسوخ بعد الصحة فلها المسمى و لا خيار للأولياء، و لا نفقة لها في العدّة إلّا مع الحمل</w:t>
      </w:r>
      <w:r>
        <w:rPr>
          <w:rFonts w:eastAsia="Amiri" w:cs="Amiri" w:ascii="Amiri" w:hAnsi="Amiri"/>
          <w:color w:val="111111"/>
          <w:sz w:val="28"/>
          <w:szCs w:val="28"/>
          <w:rtl w:val="true"/>
          <w:lang w:bidi="ar-SA"/>
        </w:rPr>
        <w:t xml:space="preserve">]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bookmarkStart w:id="407" w:name="pg19718_239352"/>
    </w:p>
    <w:p>
      <w:pPr>
        <w:pStyle w:val="Heading5"/>
        <w:numPr>
          <w:ilvl w:val="4"/>
          <w:numId w:val="1"/>
        </w:numPr>
        <w:rPr/>
      </w:pPr>
      <w:bookmarkStart w:id="408" w:name="__RefHeading___Toc1986026_2314609296"/>
      <w:bookmarkStart w:id="409" w:name="_Toc159"/>
      <w:bookmarkEnd w:id="407"/>
      <w:bookmarkEnd w:id="408"/>
      <w:r>
        <w:rPr>
          <w:rtl w:val="true"/>
        </w:rPr>
        <w:t>نكت متفرّقة</w:t>
      </w:r>
      <w:bookmarkEnd w:id="409"/>
    </w:p>
    <w:p>
      <w:pPr>
        <w:pStyle w:val="Heading6"/>
        <w:numPr>
          <w:ilvl w:val="5"/>
          <w:numId w:val="1"/>
        </w:numPr>
        <w:rPr/>
      </w:pPr>
      <w:bookmarkStart w:id="410" w:name="__RefHeading___Toc1986028_2314609296"/>
      <w:bookmarkStart w:id="411" w:name="_Toc160"/>
      <w:bookmarkEnd w:id="410"/>
      <w:r>
        <w:rPr>
          <w:rtl w:val="true"/>
        </w:rPr>
        <w:t>[</w:t>
      </w:r>
      <w:r>
        <w:rPr>
          <w:rtl w:val="true"/>
        </w:rPr>
        <w:t>الأولى هل التمكن من النفقة شرط في الكفاءة</w:t>
      </w:r>
      <w:r>
        <w:rPr>
          <w:rtl w:val="true"/>
        </w:rPr>
        <w:t>]</w:t>
      </w:r>
      <w:bookmarkEnd w:id="411"/>
    </w:p>
    <w:p>
      <w:pPr>
        <w:pStyle w:val="BookText"/>
        <w:rPr/>
      </w:pPr>
      <w:r>
        <w:rPr>
          <w:rFonts w:ascii="Amiri" w:hAnsi="Amiri" w:eastAsia="Amiri" w:cs="Amiri"/>
          <w:color w:val="111111"/>
          <w:sz w:val="28"/>
          <w:sz w:val="28"/>
          <w:szCs w:val="28"/>
          <w:rtl w:val="true"/>
          <w:lang w:bidi="ar-SA"/>
        </w:rPr>
        <w:t xml:space="preserve">نكت متفرّقة </w:t>
      </w:r>
      <w:r>
        <w:rPr>
          <w:rStyle w:val="FootnoteAnchor"/>
          <w:rtl w:val="true"/>
        </w:rPr>
        <w:footnoteReference w:id="2004"/>
      </w:r>
    </w:p>
    <w:p>
      <w:pPr>
        <w:pStyle w:val="BookText"/>
        <w:rPr/>
      </w:pPr>
      <w:r>
        <w:rPr>
          <w:rFonts w:ascii="Amiri" w:hAnsi="Amiri" w:eastAsia="Amiri" w:cs="Amiri"/>
          <w:color w:val="111111"/>
          <w:sz w:val="28"/>
          <w:sz w:val="28"/>
          <w:szCs w:val="28"/>
          <w:rtl w:val="true"/>
          <w:lang w:bidi="ar-SA"/>
        </w:rPr>
        <w:t>الكفاءة شرط في النكاح، و هي المساواة في الإسلام، و ليس للمؤمنة التزويج بالمخالف، و يكره العكس، و لا يشترط تمكّنه من النفقة على رأي، و لو تجدد العجز لم تفسخ المرأة، و لا يشترط التساوي في النسب و الشرف و الحرية، و يجب إجابة المؤمن الخاطب القادر على النفقة و إن كان أخفض نسبا</w:t>
      </w:r>
    </w:p>
    <w:p>
      <w:pPr>
        <w:pStyle w:val="Heading6"/>
        <w:numPr>
          <w:ilvl w:val="5"/>
          <w:numId w:val="1"/>
        </w:numPr>
        <w:rPr/>
      </w:pPr>
      <w:bookmarkStart w:id="412" w:name="__RefHeading___Toc1986030_2314609296"/>
      <w:bookmarkStart w:id="413" w:name="_Toc161"/>
      <w:bookmarkEnd w:id="412"/>
      <w:r>
        <w:rPr>
          <w:rtl w:val="true"/>
        </w:rPr>
        <w:t>[</w:t>
      </w:r>
      <w:r>
        <w:rPr>
          <w:rtl w:val="true"/>
        </w:rPr>
        <w:t>الثانية لو انتسب إلى قبيلة فبان من غيرها</w:t>
      </w:r>
      <w:r>
        <w:rPr>
          <w:rtl w:val="true"/>
        </w:rPr>
        <w:t>]</w:t>
      </w:r>
      <w:bookmarkEnd w:id="413"/>
    </w:p>
    <w:p>
      <w:pPr>
        <w:pStyle w:val="BookText"/>
        <w:rPr/>
      </w:pPr>
      <w:r>
        <w:rPr>
          <w:rFonts w:ascii="Amiri" w:hAnsi="Amiri" w:eastAsia="Amiri" w:cs="Amiri"/>
          <w:color w:val="111111"/>
          <w:sz w:val="28"/>
          <w:sz w:val="28"/>
          <w:szCs w:val="28"/>
          <w:rtl w:val="true"/>
          <w:lang w:bidi="ar-SA"/>
        </w:rPr>
        <w:t>و لو انتسب إلى قبيلة فبان من غيرها ففي فسخ الزوجة قولان، و يكره تزويج الفاسق خصوصا شارب الخمر</w:t>
      </w:r>
    </w:p>
    <w:p>
      <w:pPr>
        <w:pStyle w:val="Heading6"/>
        <w:numPr>
          <w:ilvl w:val="5"/>
          <w:numId w:val="1"/>
        </w:numPr>
        <w:rPr/>
      </w:pPr>
      <w:bookmarkStart w:id="414" w:name="__RefHeading___Toc1986032_2314609296"/>
      <w:bookmarkStart w:id="415" w:name="_Toc162"/>
      <w:bookmarkEnd w:id="414"/>
      <w:r>
        <w:rPr>
          <w:rtl w:val="true"/>
        </w:rPr>
        <w:t>[</w:t>
      </w:r>
      <w:r>
        <w:rPr>
          <w:rtl w:val="true"/>
        </w:rPr>
        <w:t>الثالثة لو علم بعد العقد أنها زانية</w:t>
      </w:r>
      <w:r>
        <w:rPr>
          <w:rtl w:val="true"/>
        </w:rPr>
        <w:t>]</w:t>
      </w:r>
      <w:bookmarkEnd w:id="415"/>
    </w:p>
    <w:p>
      <w:pPr>
        <w:pStyle w:val="BookText"/>
        <w:rPr/>
      </w:pPr>
      <w:r>
        <w:rPr>
          <w:rFonts w:ascii="Amiri" w:hAnsi="Amiri" w:eastAsia="Amiri" w:cs="Amiri"/>
          <w:color w:val="111111"/>
          <w:sz w:val="28"/>
          <w:sz w:val="28"/>
          <w:szCs w:val="28"/>
          <w:rtl w:val="true"/>
          <w:lang w:bidi="ar-SA"/>
        </w:rPr>
        <w:t>و لو علم بعد العقد أنها زانية فلا فسخ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وطء الشبهة يسقط الحدّ و تجب به العدة، و لو علمت حدت و اعتدت و لا مهر، و يلحق به الولد، و إن كانت أمة فعليه قيمته لمولاها و مهرها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التعريض بالخطبة للمعتدة رجعية، و يجوز للمطلّقة ثلاثا من</w:t>
      </w:r>
      <w:bookmarkStart w:id="416" w:name="pg19718_239353"/>
    </w:p>
    <w:p>
      <w:pPr>
        <w:pStyle w:val="BookText"/>
        <w:rPr/>
      </w:pPr>
      <w:bookmarkEnd w:id="416"/>
      <w:r>
        <w:rPr>
          <w:rFonts w:ascii="Amiri" w:hAnsi="Amiri" w:eastAsia="Amiri" w:cs="Amiri"/>
          <w:color w:val="111111"/>
          <w:sz w:val="28"/>
          <w:sz w:val="28"/>
          <w:szCs w:val="28"/>
          <w:rtl w:val="true"/>
          <w:lang w:bidi="ar-SA"/>
        </w:rPr>
        <w:t>الزوج و غيره، و يحرم التصريح لها منه و من غيره، و التصريح من الزوج للمطلّقة تسعا للعدة، و التعريض لها منه لا من غيره، و البائن عن فسخ أو خلع يجوز التعريض من الزوج و غيره، و التصريح منه لا من غيره، و لا تحرم بتحريم الخطبة، و يكره الخطبة، على الخطبة المجاب</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1986034_2314609296"/>
      <w:bookmarkStart w:id="418" w:name="_Toc163"/>
      <w:bookmarkEnd w:id="417"/>
      <w:r>
        <w:rPr>
          <w:rtl w:val="true"/>
        </w:rPr>
        <w:t>[</w:t>
      </w:r>
      <w:r>
        <w:rPr>
          <w:rtl w:val="true"/>
        </w:rPr>
        <w:t>الرابعة لو شرطت انتفاء النكاح عند التحليل</w:t>
      </w:r>
      <w:r>
        <w:rPr>
          <w:rtl w:val="true"/>
        </w:rPr>
        <w:t>]</w:t>
      </w:r>
      <w:bookmarkEnd w:id="418"/>
    </w:p>
    <w:p>
      <w:pPr>
        <w:pStyle w:val="BookText"/>
        <w:rPr/>
      </w:pPr>
      <w:r>
        <w:rPr>
          <w:rFonts w:ascii="Amiri" w:hAnsi="Amiri" w:eastAsia="Amiri" w:cs="Amiri"/>
          <w:color w:val="111111"/>
          <w:sz w:val="28"/>
          <w:sz w:val="28"/>
          <w:szCs w:val="28"/>
          <w:rtl w:val="true"/>
          <w:lang w:bidi="ar-SA"/>
        </w:rPr>
        <w:t>و لو شرطت انتفاء النكاح عند التحليل بطل العقد على رأي و لا يبطل بالقصد، و لو شرط الطلاق بطل الشرط، و نكاح الشغار باطل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مهر كلّ من المرأتين بضع الأخرى، و لو جعل مهر أحدهما خاصة بطل نكاحها دون الأخرى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يحلّ للزوج كلّ استمتاع، و يكره الوطء في الدبر، و هو كالقبل في جميع الأحكام، حتى تعلّق النسب، و تقرير المسمّى و الحد، و مهر المثل مع فساد العقد، و العدة، و تحريم المصاهرة، إلّا التحليل و الإحصان و استنطاقها في النكاح</w:t>
      </w:r>
      <w:bookmarkStart w:id="419" w:name="pg19718_239355"/>
    </w:p>
    <w:p>
      <w:pPr>
        <w:pStyle w:val="Heading3"/>
        <w:numPr>
          <w:ilvl w:val="2"/>
          <w:numId w:val="1"/>
        </w:numPr>
        <w:rPr/>
      </w:pPr>
      <w:bookmarkStart w:id="420" w:name="__RefHeading___Toc1986036_2314609296"/>
      <w:bookmarkStart w:id="421" w:name="_Toc164"/>
      <w:bookmarkEnd w:id="419"/>
      <w:bookmarkEnd w:id="420"/>
      <w:r>
        <w:rPr>
          <w:rtl w:val="true"/>
        </w:rPr>
        <w:t>المقصد الخامس في لواحق النّكاح</w:t>
      </w:r>
      <w:bookmarkEnd w:id="421"/>
    </w:p>
    <w:p>
      <w:pPr>
        <w:pStyle w:val="Heading4"/>
        <w:numPr>
          <w:ilvl w:val="3"/>
          <w:numId w:val="1"/>
        </w:numPr>
        <w:rPr/>
      </w:pPr>
      <w:bookmarkStart w:id="422" w:name="__RefHeading___Toc1986038_2314609296"/>
      <w:bookmarkStart w:id="423" w:name="_Toc165"/>
      <w:bookmarkEnd w:id="422"/>
      <w:r>
        <w:rPr>
          <w:rtl w:val="true"/>
        </w:rPr>
        <w:t>اشارة</w:t>
      </w:r>
      <w:bookmarkEnd w:id="423"/>
    </w:p>
    <w:p>
      <w:pPr>
        <w:pStyle w:val="BookText"/>
        <w:rPr/>
      </w:pPr>
      <w:r>
        <w:rPr>
          <w:rFonts w:ascii="IRNazanin" w:hAnsi="IRNazanin" w:eastAsia="IRNazanin"/>
          <w:color w:val="111111"/>
          <w:sz w:val="28"/>
          <w:sz w:val="28"/>
          <w:szCs w:val="28"/>
          <w:rtl w:val="true"/>
          <w:lang w:bidi="fa-IR"/>
        </w:rPr>
        <w:t xml:space="preserve">المقصد الخامس </w:t>
      </w:r>
      <w:r>
        <w:rPr>
          <w:rStyle w:val="FootnoteAnchor"/>
          <w:rtl w:val="true"/>
        </w:rPr>
        <w:footnoteReference w:id="2005"/>
      </w:r>
      <w:r>
        <w:rPr>
          <w:rFonts w:ascii="Amiri" w:hAnsi="Amiri" w:eastAsia="Amiri" w:cs="Amiri"/>
          <w:color w:val="111111"/>
          <w:sz w:val="28"/>
          <w:sz w:val="28"/>
          <w:szCs w:val="28"/>
          <w:rtl w:val="true"/>
          <w:lang w:bidi="ar-SA"/>
        </w:rPr>
        <w:t>في لواحق النّكاح</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ثلاث مطالب</w:t>
      </w:r>
      <w:bookmarkStart w:id="424" w:name="pg19718_239357"/>
    </w:p>
    <w:p>
      <w:pPr>
        <w:pStyle w:val="Heading4"/>
        <w:numPr>
          <w:ilvl w:val="3"/>
          <w:numId w:val="1"/>
        </w:numPr>
        <w:rPr/>
      </w:pPr>
      <w:bookmarkStart w:id="425" w:name="__RefHeading___Toc1986040_2314609296"/>
      <w:bookmarkStart w:id="426" w:name="_Toc166"/>
      <w:bookmarkEnd w:id="424"/>
      <w:bookmarkEnd w:id="425"/>
      <w:r>
        <w:rPr>
          <w:rtl w:val="true"/>
        </w:rPr>
        <w:t>[</w:t>
      </w:r>
      <w:r>
        <w:rPr>
          <w:rtl w:val="true"/>
        </w:rPr>
        <w:t>المطلب</w:t>
      </w:r>
      <w:r>
        <w:rPr>
          <w:rtl w:val="true"/>
        </w:rPr>
        <w:t xml:space="preserve">]: </w:t>
      </w:r>
      <w:r>
        <w:rPr>
          <w:rtl w:val="true"/>
        </w:rPr>
        <w:t>الأوّل في القسمة</w:t>
      </w:r>
      <w:bookmarkEnd w:id="426"/>
    </w:p>
    <w:p>
      <w:pPr>
        <w:pStyle w:val="Heading5"/>
        <w:numPr>
          <w:ilvl w:val="4"/>
          <w:numId w:val="1"/>
        </w:numPr>
        <w:rPr/>
      </w:pPr>
      <w:bookmarkStart w:id="427" w:name="__RefHeading___Toc1986042_2314609296"/>
      <w:bookmarkStart w:id="428" w:name="_Toc167"/>
      <w:bookmarkEnd w:id="427"/>
      <w:r>
        <w:rPr>
          <w:rtl w:val="true"/>
        </w:rPr>
        <w:t>[</w:t>
      </w:r>
      <w:r>
        <w:rPr>
          <w:rtl w:val="true"/>
        </w:rPr>
        <w:t>مسألة هل القسمة واجبة؟</w:t>
      </w:r>
      <w:r>
        <w:rPr>
          <w:rtl w:val="true"/>
        </w:rPr>
        <w:t>]</w:t>
      </w:r>
      <w:bookmarkEnd w:id="428"/>
    </w:p>
    <w:p>
      <w:pPr>
        <w:pStyle w:val="BookText"/>
        <w:rPr/>
      </w:pPr>
      <w:r>
        <w:rPr>
          <w:rFonts w:ascii="Amiri" w:hAnsi="Amiri" w:eastAsia="Amiri" w:cs="Amiri"/>
          <w:color w:val="111111"/>
          <w:sz w:val="28"/>
          <w:sz w:val="28"/>
          <w:szCs w:val="28"/>
          <w:rtl w:val="true"/>
          <w:lang w:bidi="ar-SA"/>
        </w:rPr>
        <w:t>و هي واجبة للمنكوحة بالعقد دائما،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تجب لو ابتدأ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تستحق المريضة، و الرتقاء، و الحائض، و النفساء، و الأمة و إن لم يأذن المولى، و المحرمة، و المولّى عنها، و المظاهر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 المضاجعة و الأنس ليلا خاصة دون الوقاع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الصغيرة، و المجنونة المطبقة، و الناشز، بمعنى أنه لا يقضى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زوج، سليما من العنّة و الخصاء أولا، عبدا أو حرا، عاقلا أو مجنونا، و يقسم عنه الولي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فذو الزوجة يبيت عندها ليلة من أربع و الثلاث يضعها أين شاء، و للاثنتين ليلتان، و للثلاث ثلاث، و للأربع لكلّ واحدة ليلة، و لا يجوز الإخلال إلّا بالإذن أو السفر، و تجوز القسمة أزيد من ليلة، و للأمة مع الحرة ليلة، و للحرة ليلتان، و الكتابية كالأمة، و لو أسقطت حقها لم يجب القبول، و لو وهبته لإحداهنّ و قبل اختصّ بالموهوبة، و لها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وهبت</w:t>
      </w:r>
      <w:r>
        <w:rPr>
          <w:rFonts w:eastAsia="Amiri" w:cs="Amiri" w:ascii="Amiri" w:hAnsi="Amiri"/>
          <w:color w:val="111111"/>
          <w:sz w:val="28"/>
          <w:szCs w:val="28"/>
          <w:rtl w:val="true"/>
          <w:lang w:bidi="ar-SA"/>
        </w:rPr>
        <w:t>-</w:t>
      </w:r>
      <w:bookmarkStart w:id="429" w:name="pg19718_239358"/>
    </w:p>
    <w:p>
      <w:pPr>
        <w:pStyle w:val="BookText"/>
        <w:rPr/>
      </w:pPr>
      <w:bookmarkEnd w:id="429"/>
      <w:r>
        <w:rPr>
          <w:rFonts w:ascii="Amiri" w:hAnsi="Amiri" w:eastAsia="Amiri" w:cs="Amiri"/>
          <w:color w:val="111111"/>
          <w:sz w:val="28"/>
          <w:sz w:val="28"/>
          <w:szCs w:val="28"/>
          <w:rtl w:val="true"/>
          <w:lang w:bidi="ar-SA"/>
        </w:rPr>
        <w:t>في المستقبل، و لو لم يعلم لم يقض، و لا يلزم العوض لو اصطلحا عليه</w:t>
      </w:r>
    </w:p>
    <w:p>
      <w:pPr>
        <w:pStyle w:val="Heading5"/>
        <w:numPr>
          <w:ilvl w:val="4"/>
          <w:numId w:val="1"/>
        </w:numPr>
        <w:rPr/>
      </w:pPr>
      <w:bookmarkStart w:id="430" w:name="__RefHeading___Toc1986044_2314609296"/>
      <w:bookmarkStart w:id="431" w:name="_Toc168"/>
      <w:bookmarkEnd w:id="430"/>
      <w:r>
        <w:rPr>
          <w:rtl w:val="true"/>
        </w:rPr>
        <w:t>[</w:t>
      </w:r>
      <w:r>
        <w:rPr>
          <w:rtl w:val="true"/>
        </w:rPr>
        <w:t>مسألة لا يزور الضرّة إلّا مع المرض</w:t>
      </w:r>
      <w:r>
        <w:rPr>
          <w:rtl w:val="true"/>
        </w:rPr>
        <w:t>]</w:t>
      </w:r>
      <w:bookmarkEnd w:id="431"/>
    </w:p>
    <w:p>
      <w:pPr>
        <w:pStyle w:val="BookText"/>
        <w:rPr/>
      </w:pPr>
      <w:r>
        <w:rPr>
          <w:rFonts w:ascii="Amiri" w:hAnsi="Amiri" w:eastAsia="Amiri" w:cs="Amiri"/>
          <w:color w:val="111111"/>
          <w:sz w:val="28"/>
          <w:sz w:val="28"/>
          <w:szCs w:val="28"/>
          <w:rtl w:val="true"/>
          <w:lang w:bidi="ar-SA"/>
        </w:rPr>
        <w:t>و لا يزور الضرّة إلّا مع المرض، فإن أقام ليلته لم يقض على رأي، و لو اعتقت الأمة بعد ليلتي الحرة فلها ليلتان، و لو كان بعد الثلاث فلا شي‌ء، و لو بات عند الأمة ليلة قبل الحرة فأعتقت بات عند الحرة اثنتين، و له المبيت في بيوتهنّ أو بيته أو بالتفريق، و البكر تختص بسبع، و الثيب بثلاث، و لا قضاء و إن كانتا أمتين، و لا قسمة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القرعة في تعيين المسافرة معه، و التسوية بينهنّ في الإنفاق، و إطلاق الوجه، و تخصيص صاحبة الليلة بيومها، و الإذن لها في حضور موت أبويها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جار في القسمة قضى، و لو نشزت إحدى الأربع ثم بعد استيفاء اثنتين أطاعت وفّى الثالثة بقدر القسمة، و الناشز بقدر الثلث بين كلّ ثلاث للثالثة ليلة لها و ذو الزوجتين في البلدين يقيم عند الثانية كما أقام عن الاولى، و لو سافرت بإذنه استحقت القضاء، و يتخيّر فيمن يبتدئ</w:t>
      </w:r>
    </w:p>
    <w:p>
      <w:pPr>
        <w:pStyle w:val="Heading5"/>
        <w:numPr>
          <w:ilvl w:val="4"/>
          <w:numId w:val="1"/>
        </w:numPr>
        <w:rPr/>
      </w:pPr>
      <w:bookmarkStart w:id="432" w:name="__RefHeading___Toc1986046_2314609296"/>
      <w:bookmarkStart w:id="433" w:name="_Toc169"/>
      <w:bookmarkEnd w:id="432"/>
      <w:r>
        <w:rPr>
          <w:rtl w:val="true"/>
        </w:rPr>
        <w:t>[</w:t>
      </w:r>
      <w:r>
        <w:rPr>
          <w:rtl w:val="true"/>
        </w:rPr>
        <w:t>مسألة لو طلّق الرابعة بعد حضور ليلتها ثم تزوجها</w:t>
      </w:r>
      <w:r>
        <w:rPr>
          <w:rtl w:val="true"/>
        </w:rPr>
        <w:t>]</w:t>
      </w:r>
      <w:bookmarkEnd w:id="433"/>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طلّق الرابعة بعد حضور ليلتها ثم تزوجها،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و فيه نظر</w:t>
      </w:r>
      <w:bookmarkStart w:id="434" w:name="pg19718_239359"/>
    </w:p>
    <w:p>
      <w:pPr>
        <w:pStyle w:val="Heading5"/>
        <w:numPr>
          <w:ilvl w:val="4"/>
          <w:numId w:val="1"/>
        </w:numPr>
        <w:rPr/>
      </w:pPr>
      <w:bookmarkStart w:id="435" w:name="__RefHeading___Toc1986048_2314609296"/>
      <w:bookmarkStart w:id="436" w:name="_Toc170"/>
      <w:bookmarkEnd w:id="434"/>
      <w:bookmarkEnd w:id="435"/>
      <w:r>
        <w:rPr>
          <w:rtl w:val="true"/>
        </w:rPr>
        <w:t>خاتمة</w:t>
      </w:r>
      <w:bookmarkEnd w:id="436"/>
    </w:p>
    <w:p>
      <w:pPr>
        <w:pStyle w:val="BookText"/>
        <w:rPr/>
      </w:pPr>
      <w:r>
        <w:rPr>
          <w:rFonts w:ascii="Amiri" w:hAnsi="Amiri" w:eastAsia="Amiri" w:cs="Amiri"/>
          <w:color w:val="111111"/>
          <w:sz w:val="28"/>
          <w:sz w:val="28"/>
          <w:szCs w:val="28"/>
          <w:rtl w:val="true"/>
          <w:lang w:bidi="ar-SA"/>
        </w:rPr>
        <w:t>يجب على الزوجة التمكين من الاستمتاع، و تجنّب المنفر، و على الزوج المئونة، فإن نشزت وعظها، فإن أجابت و إلّا هجرها في المضجع بأن يحوّل ظهره في الفراش، فإن أفاد و إلّا ضربها غير مبرح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نشز ألزمه الحاكم بإيفاء حقّها، و لو أسقطت بعض حقّها من نفقة و قسمة استمالة له حلّ له قبوله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نشزا معا و خيف الشقاق بعث الحاكم حكما من أهله و حكما من أهلها و يجوز غيرهما، فإن اتفقا على الإصلاح فعلاه من غير إذن، و إن اتفقا على الفرقة لم يجز إلّا بإذن الزوج في الطلاق و المرأة في البذل، و يلزم ما يشترطه الحكمان من السائغ، و لو أغارها أو منعها بعض حقّها فبذلت مالا للخلع و ليس بإكراه</w:t>
      </w:r>
      <w:bookmarkStart w:id="437" w:name="pg19718_239360"/>
    </w:p>
    <w:p>
      <w:pPr>
        <w:pStyle w:val="Heading5"/>
        <w:numPr>
          <w:ilvl w:val="4"/>
          <w:numId w:val="1"/>
        </w:numPr>
        <w:rPr/>
      </w:pPr>
      <w:bookmarkStart w:id="438" w:name="__RefHeading___Toc1986050_2314609296"/>
      <w:bookmarkStart w:id="439" w:name="_Toc171"/>
      <w:bookmarkEnd w:id="437"/>
      <w:bookmarkEnd w:id="438"/>
      <w:r>
        <w:rPr>
          <w:rtl w:val="true"/>
        </w:rPr>
        <w:t xml:space="preserve">مسألة </w:t>
      </w:r>
      <w:r>
        <w:rPr>
          <w:rtl w:val="true"/>
        </w:rPr>
        <w:t>[</w:t>
      </w:r>
      <w:r>
        <w:rPr>
          <w:rtl w:val="true"/>
        </w:rPr>
        <w:t>في وجوب القسم بين الزوجات</w:t>
      </w:r>
      <w:r>
        <w:rPr>
          <w:rtl w:val="true"/>
        </w:rPr>
        <w:t>]</w:t>
      </w:r>
      <w:bookmarkEnd w:id="439"/>
    </w:p>
    <w:p>
      <w:pPr>
        <w:pStyle w:val="BookText"/>
        <w:rPr/>
      </w:pPr>
      <w:r>
        <w:rPr>
          <w:rFonts w:ascii="Amiri" w:hAnsi="Amiri" w:eastAsia="Amiri" w:cs="Amiri"/>
          <w:color w:val="111111"/>
          <w:sz w:val="28"/>
          <w:sz w:val="28"/>
          <w:szCs w:val="28"/>
          <w:rtl w:val="true"/>
          <w:lang w:bidi="ar-SA"/>
        </w:rPr>
        <w:t xml:space="preserve">مسألة </w:t>
      </w:r>
      <w:r>
        <w:rPr>
          <w:rStyle w:val="FootnoteAnchor"/>
          <w:rtl w:val="true"/>
        </w:rPr>
        <w:footnoteReference w:id="2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 القسم بين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بين الأصحاب كما صرّح به جماعة </w:t>
      </w:r>
      <w:r>
        <w:rPr>
          <w:rStyle w:val="FootnoteAnchor"/>
          <w:rtl w:val="true"/>
        </w:rPr>
        <w:footnoteReference w:id="2007"/>
      </w:r>
      <w:r>
        <w:rPr>
          <w:rFonts w:ascii="Amiri" w:hAnsi="Amiri" w:eastAsia="Amiri" w:cs="Amiri"/>
          <w:color w:val="111111"/>
          <w:sz w:val="28"/>
          <w:sz w:val="28"/>
          <w:szCs w:val="28"/>
          <w:rtl w:val="true"/>
          <w:lang w:bidi="ar-SA"/>
        </w:rPr>
        <w:t xml:space="preserve">في وجوب القسم بين الزوجات في الجملة، و يدلّ عليه الأخبار المستفيضة أيضا </w:t>
      </w:r>
      <w:r>
        <w:rPr>
          <w:rStyle w:val="FootnoteAnchor"/>
          <w:rtl w:val="true"/>
        </w:rPr>
        <w:footnoteReference w:id="2008"/>
      </w:r>
      <w:r>
        <w:rPr>
          <w:rFonts w:ascii="Amiri" w:hAnsi="Amiri" w:eastAsia="Amiri" w:cs="Amiri"/>
          <w:color w:val="111111"/>
          <w:sz w:val="28"/>
          <w:sz w:val="28"/>
          <w:szCs w:val="28"/>
          <w:rtl w:val="true"/>
          <w:lang w:bidi="ar-SA"/>
        </w:rPr>
        <w:t>و إنّما الإشكال و الخلاف في أنّه هل يجب بنفس العقد و التمكين؟ فيجب للزوجة الواحدة ليلة من أربع ليال، و للاثنين ليلتان، و للثلاث ثلاث، و الفاضل عن تمام الأربع له يضعه حيث يشاء، فإذا كنّ أربعا فليس له شي‌ء من الليالي؛ و كلّما فرغ من دورة واحدة من القسمة يجب عليه الشروع في دورة أخرى؟</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يتوقّف وجوبه على الشروع في القسمة؟ و يتفرّع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جماعة</w:t>
      </w:r>
    </w:p>
    <w:p>
      <w:pPr>
        <w:pStyle w:val="BookText"/>
        <w:rPr/>
      </w:pPr>
      <w:r>
        <w:rPr>
          <w:rFonts w:ascii="IRNazanin" w:hAnsi="IRNazanin" w:eastAsia="IRNazanin"/>
          <w:color w:val="111111"/>
          <w:sz w:val="28"/>
          <w:sz w:val="28"/>
          <w:szCs w:val="28"/>
          <w:rtl w:val="true"/>
          <w:lang w:bidi="fa-IR"/>
        </w:rPr>
        <w:t xml:space="preserve">و نسبه بعض إلى الأصحاب </w:t>
      </w:r>
      <w:r>
        <w:rPr>
          <w:rStyle w:val="FootnoteAnchor"/>
          <w:rtl w:val="true"/>
        </w:rPr>
        <w:footnoteReference w:id="2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للزوجة الواحدة و عدم وجوب الابتداء بها للمتعدّدة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بات عند واحدة ليلة يجب عليه المبيت عند غيرها، فإذا انقضت دورة القسمة لم يجب عليه استئناف دورة أخرى إلى أن يبيت عند بعضهنّ فيجب عليه إيفاء القسمة للباقيات، ثمّ لا يجب عليه الاستئناف،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كما صرّح به جماعة </w:t>
      </w:r>
      <w:r>
        <w:rPr>
          <w:rStyle w:val="FootnoteAnchor"/>
          <w:rtl w:val="true"/>
        </w:rPr>
        <w:footnoteReference w:id="2010"/>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عن الشيخ في المبسوط </w:t>
      </w:r>
      <w:r>
        <w:rPr>
          <w:rStyle w:val="FootnoteAnchor"/>
          <w:rtl w:val="true"/>
        </w:rPr>
        <w:footnoteReference w:id="2011"/>
      </w:r>
      <w:r>
        <w:rPr>
          <w:rFonts w:ascii="Amiri" w:hAnsi="Amiri" w:eastAsia="Amiri" w:cs="Amiri"/>
          <w:color w:val="111111"/>
          <w:sz w:val="28"/>
          <w:sz w:val="28"/>
          <w:szCs w:val="28"/>
          <w:rtl w:val="true"/>
          <w:lang w:bidi="ar-SA"/>
        </w:rPr>
        <w:t xml:space="preserve">و المحقّق في الشرائع </w:t>
      </w:r>
      <w:r>
        <w:rPr>
          <w:rStyle w:val="FootnoteAnchor"/>
          <w:rtl w:val="true"/>
        </w:rPr>
        <w:footnoteReference w:id="2012"/>
      </w:r>
      <w:r>
        <w:rPr>
          <w:rFonts w:ascii="Amiri" w:hAnsi="Amiri" w:eastAsia="Amiri" w:cs="Amiri"/>
          <w:color w:val="111111"/>
          <w:sz w:val="28"/>
          <w:sz w:val="28"/>
          <w:szCs w:val="28"/>
          <w:rtl w:val="true"/>
          <w:lang w:bidi="ar-SA"/>
        </w:rPr>
        <w:t xml:space="preserve">و العلّامة في التحرير </w:t>
      </w:r>
      <w:r>
        <w:rPr>
          <w:rStyle w:val="FootnoteAnchor"/>
          <w:rtl w:val="true"/>
        </w:rPr>
        <w:footnoteReference w:id="2013"/>
      </w:r>
      <w:r>
        <w:rPr>
          <w:rFonts w:ascii="Amiri" w:hAnsi="Amiri" w:eastAsia="Amiri" w:cs="Amiri"/>
          <w:color w:val="111111"/>
          <w:sz w:val="28"/>
          <w:sz w:val="28"/>
          <w:szCs w:val="28"/>
          <w:rtl w:val="true"/>
          <w:lang w:bidi="ar-SA"/>
        </w:rPr>
        <w:t xml:space="preserve">الثاني، و اختاره الشهيد الثاني </w:t>
      </w:r>
      <w:r>
        <w:rPr>
          <w:rStyle w:val="FootnoteAnchor"/>
          <w:rtl w:val="true"/>
        </w:rPr>
        <w:footnoteReference w:id="2014"/>
      </w:r>
      <w:r>
        <w:rPr>
          <w:rFonts w:ascii="IRNazanin" w:hAnsi="IRNazanin" w:eastAsia="IRNazanin"/>
          <w:color w:val="111111"/>
          <w:sz w:val="28"/>
          <w:sz w:val="28"/>
          <w:szCs w:val="28"/>
          <w:rtl w:val="true"/>
          <w:lang w:bidi="fa-IR"/>
        </w:rPr>
        <w:t xml:space="preserve">و سبطه </w:t>
      </w:r>
      <w:r>
        <w:rPr>
          <w:rStyle w:val="FootnoteAnchor"/>
          <w:rtl w:val="true"/>
        </w:rPr>
        <w:footnoteReference w:id="2015"/>
      </w:r>
      <w:r>
        <w:rPr>
          <w:rFonts w:ascii="Amiri" w:hAnsi="Amiri" w:eastAsia="Amiri" w:cs="Amiri"/>
          <w:color w:val="111111"/>
          <w:sz w:val="28"/>
          <w:sz w:val="28"/>
          <w:szCs w:val="28"/>
          <w:rtl w:val="true"/>
          <w:lang w:bidi="ar-SA"/>
        </w:rPr>
        <w:t xml:space="preserve">و صاحب الكفاية </w:t>
      </w:r>
      <w:r>
        <w:rPr>
          <w:rStyle w:val="FootnoteAnchor"/>
          <w:rtl w:val="true"/>
        </w:rPr>
        <w:footnoteReference w:id="2016"/>
      </w:r>
      <w:r>
        <w:rPr>
          <w:rFonts w:ascii="IRNazanin" w:hAnsi="IRNazanin" w:eastAsia="IRNazanin"/>
          <w:color w:val="111111"/>
          <w:sz w:val="28"/>
          <w:sz w:val="28"/>
          <w:szCs w:val="28"/>
          <w:rtl w:val="true"/>
          <w:lang w:bidi="fa-IR"/>
        </w:rPr>
        <w:t xml:space="preserve">و صاحب الحدائق </w:t>
      </w:r>
      <w:r>
        <w:rPr>
          <w:rStyle w:val="FootnoteAnchor"/>
          <w:rtl w:val="true"/>
        </w:rPr>
        <w:footnoteReference w:id="2017"/>
      </w:r>
      <w:r>
        <w:rPr>
          <w:rFonts w:ascii="Amiri" w:hAnsi="Amiri" w:eastAsia="Amiri" w:cs="Amiri"/>
          <w:color w:val="111111"/>
          <w:sz w:val="28"/>
          <w:sz w:val="28"/>
          <w:szCs w:val="28"/>
          <w:rtl w:val="true"/>
          <w:lang w:bidi="ar-SA"/>
        </w:rPr>
        <w:t xml:space="preserve">و قوّاه في الرياض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يستدلّ للمشهور بجملة من الآيات و الأخبار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الآيات، قوله تعالى وَ عٰاشِرُوهُنَّ بِالْمَعْرُوفِ </w:t>
      </w:r>
      <w:r>
        <w:rPr>
          <w:rStyle w:val="FootnoteAnchor"/>
          <w:rtl w:val="true"/>
        </w:rPr>
        <w:footnoteReference w:id="2019"/>
      </w:r>
      <w:r>
        <w:rPr>
          <w:rFonts w:ascii="Amiri" w:hAnsi="Amiri" w:eastAsia="Amiri" w:cs="Amiri"/>
          <w:color w:val="111111"/>
          <w:sz w:val="28"/>
          <w:sz w:val="28"/>
          <w:szCs w:val="28"/>
          <w:rtl w:val="true"/>
          <w:lang w:bidi="ar-SA"/>
        </w:rPr>
        <w:t>دلّ على</w:t>
      </w:r>
    </w:p>
    <w:p>
      <w:pPr>
        <w:pStyle w:val="BookText"/>
        <w:rPr/>
      </w:pPr>
      <w:r>
        <w:rPr>
          <w:rFonts w:ascii="Amiri" w:hAnsi="Amiri" w:eastAsia="Amiri" w:cs="Amiri"/>
          <w:color w:val="111111"/>
          <w:sz w:val="28"/>
          <w:sz w:val="28"/>
          <w:szCs w:val="28"/>
          <w:rtl w:val="true"/>
          <w:lang w:bidi="ar-SA"/>
        </w:rPr>
        <w:t>وجوب معاشرة النساء في الجملة، و لا يصدق عرفا بمجرّد الإنفاق و لا بانضمام وطئها في كلّ أربعة أشهر مرّة واحدة بأقلّ ما يوجب الغسل، فدلّ على وجوب شي‌ء آخر يوجب صدق المعاشرة، و ليس غير المضاجعة بالإجماع، فتعيّن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في المسالك بأنّ المعاشرة تتحقّق بدون المضاجعة، بل بالإيناس و الإنفاق و تحسين الخلق و الاستمتاع بالنهار أو بالليل مع عدم استيعاب الليلة بالمبيت، بل مع عدم المبيت على الوجه الّذي أوجبه القائل، بل يمكن تحصيل المعاشرة بالمعروف زيادة في الأوقات مع عدم مبيته عندهنّ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عدا الإنفاق من هذه الأمور الّتي ذكرها غير واجب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أيضا عدم تحقّق المعاشرة عرفا بمجرّد الإنفاق أو بانضمام أقلّ الواجب من الوطء، فلم يبق هنا ما يصلح أن يكون واجبا إلّا المضاجعة؛ مع أنّ مثل هذا الإيراد لو توجّه لم يمكن الاستدلال بالآية على وجوب المضاجعة و القسمة في الجملة الّذي لا خلاف فيه؛ مع أنّه قدّس سرّه كغيره استدلّ بها عليه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تعالى فَلٰا تَمِيلُوا كُلَّ الْمَيْلِ فَتَذَرُوهٰا كَالْمُعَلَّقَةِ </w:t>
      </w:r>
      <w:r>
        <w:rPr>
          <w:rStyle w:val="FootnoteAnchor"/>
          <w:rtl w:val="true"/>
        </w:rPr>
        <w:footnoteReference w:id="2021"/>
      </w:r>
      <w:r>
        <w:rPr>
          <w:rFonts w:ascii="Amiri" w:hAnsi="Amiri" w:eastAsia="Amiri" w:cs="Amiri"/>
          <w:color w:val="111111"/>
          <w:sz w:val="28"/>
          <w:sz w:val="28"/>
          <w:szCs w:val="28"/>
          <w:rtl w:val="true"/>
          <w:lang w:bidi="ar-SA"/>
        </w:rPr>
        <w:t>أي لا تميلوا إلى إحدى الزوجتين أو الزوجات حتّى تذروا الأخرى كالمعلّقة لا ذات بعل و لا مطلّقة؛ فدلّت على تحريم الميل لأجل العلّة المذكورة، و هي أن يذرها كالمعلّقة؛ و لا ريب في تحقّق هذه الغاية في ترك القسمة ابتداء،</w:t>
      </w:r>
    </w:p>
    <w:p>
      <w:pPr>
        <w:pStyle w:val="BookText"/>
        <w:rPr/>
      </w:pPr>
      <w:r>
        <w:rPr>
          <w:rFonts w:ascii="Amiri" w:hAnsi="Amiri" w:eastAsia="Amiri" w:cs="Amiri"/>
          <w:color w:val="111111"/>
          <w:sz w:val="28"/>
          <w:sz w:val="28"/>
          <w:szCs w:val="28"/>
          <w:rtl w:val="true"/>
          <w:lang w:bidi="ar-SA"/>
        </w:rPr>
        <w:t>فيتحقّق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قوله تعالى وَ اللّٰاتِي تَخٰافُونَ نُشُوزَهُنَّ فَعِظُوهُنَّ وَ اهْجُرُوهُنَّ فِي الْمَضٰاجِعِ وَ اضْرِبُوهُنَّ فَإِنْ أَطَعْنَكُمْ فَلٰا تَبْغُوا عَلَيْهِنَّ سَبِيلًا </w:t>
      </w:r>
      <w:r>
        <w:rPr>
          <w:rStyle w:val="FootnoteAnchor"/>
          <w:rtl w:val="true"/>
        </w:rPr>
        <w:footnoteReference w:id="2022"/>
      </w:r>
      <w:r>
        <w:rPr>
          <w:rFonts w:ascii="Amiri" w:hAnsi="Amiri" w:eastAsia="Amiri" w:cs="Amiri"/>
          <w:color w:val="111111"/>
          <w:sz w:val="28"/>
          <w:sz w:val="28"/>
          <w:szCs w:val="28"/>
          <w:rtl w:val="true"/>
          <w:lang w:bidi="ar-SA"/>
        </w:rPr>
        <w:t>دلّ على جواز الهجر في المضاجع مع خوف النشوز أو مع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بمفهومه المعتبر هنا اتّفاقا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جوازه مع عدم خوف النشوز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اعتبار مفهوم الوصف هنا أنّه في مقام تحديد الصنف الّذي يجوز هجره من النساء؛ مضافا إلى وجود القرينة في ذيل الآية،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أَطَعْنَكُمْ فَلٰا تَبْغُوا عَلَيْهِنَّ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محمّد بن قيس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الأمة عنده قبل نكاح الحرّة على الأمة قسم للحرّة الثلثين من ماله و نفسه يعني النفقة، و للأمة الثلث من ماله و نفسه</w:t>
      </w:r>
      <w:r>
        <w:rPr>
          <w:rFonts w:eastAsia="Amiri" w:cs="Amiri" w:ascii="Amiri" w:hAnsi="Amiri"/>
          <w:color w:val="111111"/>
          <w:sz w:val="28"/>
          <w:szCs w:val="28"/>
          <w:rtl w:val="true"/>
          <w:lang w:bidi="ar-SA"/>
        </w:rPr>
        <w:t xml:space="preserve">»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ردّها في المسالك تارة بضعف الدلالة حيث إنّها بظاهرها تدلّ على وجوب ما ليس بواجب إجماعا، لعدم وجوب </w:t>
      </w:r>
      <w:r>
        <w:rPr>
          <w:rStyle w:val="FootnoteAnchor"/>
          <w:rtl w:val="true"/>
        </w:rPr>
        <w:footnoteReference w:id="2024"/>
      </w:r>
      <w:r>
        <w:rPr>
          <w:rFonts w:ascii="Amiri" w:hAnsi="Amiri" w:eastAsia="Amiri" w:cs="Amiri"/>
          <w:color w:val="111111"/>
          <w:sz w:val="28"/>
          <w:sz w:val="28"/>
          <w:szCs w:val="28"/>
          <w:rtl w:val="true"/>
          <w:lang w:bidi="ar-SA"/>
        </w:rPr>
        <w:t xml:space="preserve">الحرّة بالثلثين من تمام الأوقات و الأمة الثلث، و أخرى بضعف السند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الإيراد بضعف الدلالة، فضعيف؛ لأنّ دلالتها على وجوب</w:t>
      </w:r>
    </w:p>
    <w:p>
      <w:pPr>
        <w:pStyle w:val="BookText"/>
        <w:rPr/>
      </w:pPr>
      <w:r>
        <w:rPr>
          <w:rFonts w:ascii="Amiri" w:hAnsi="Amiri" w:eastAsia="Amiri" w:cs="Amiri"/>
          <w:color w:val="111111"/>
          <w:sz w:val="28"/>
          <w:sz w:val="28"/>
          <w:szCs w:val="28"/>
          <w:rtl w:val="true"/>
          <w:lang w:bidi="ar-SA"/>
        </w:rPr>
        <w:t xml:space="preserve">ما ليس بواجب إجماعا لا يوجب طرح الرواية، فإنّ التقييد و التخصيص في المطلقات و العمومات بواسطة الإجماع ليس بعزيز؛ فكما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خصوص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فسّره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المضاجعة، إذ ليس غيرها واجبا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الإيراد بضعف السند، فإن كان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مشترك بين الثقة و الضعيف،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كما استظهره غير واحد </w:t>
      </w:r>
      <w:r>
        <w:rPr>
          <w:rStyle w:val="FootnoteAnchor"/>
          <w:rtl w:val="true"/>
        </w:rPr>
        <w:footnoteReference w:id="2026"/>
      </w:r>
      <w:r>
        <w:rPr>
          <w:rFonts w:ascii="Amiri" w:hAnsi="Amiri" w:eastAsia="Amiri" w:cs="Amiri"/>
          <w:color w:val="111111"/>
          <w:sz w:val="28"/>
          <w:sz w:val="28"/>
          <w:szCs w:val="28"/>
          <w:rtl w:val="true"/>
          <w:lang w:bidi="ar-SA"/>
        </w:rPr>
        <w:t>هو وثاقة من يروي عنه عاصم بن حميد، كما في هذه الرواية؛ مع أنّ ما سيجي‌ء من الرواية في العمل بكتب بني فضّال كاف في هذا المجال، فإنّ الرواية مأخوذة ظاهرا من كتاب عليّ بن حسن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ضعفه بواسطة نفس عليّ بن فضّال حيث إنّه فطحيّ،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في غاية الوثاقة و الورع في دينه، كما يظهر من ملاحظة ترجمته؛ مضافا إلى أنّ الشيخ أخذ الرواية من كتابه </w:t>
      </w:r>
      <w:r>
        <w:rPr>
          <w:rStyle w:val="FootnoteAnchor"/>
          <w:rtl w:val="true"/>
        </w:rPr>
        <w:footnoteReference w:id="2027"/>
      </w:r>
      <w:r>
        <w:rPr>
          <w:rFonts w:ascii="Amiri" w:hAnsi="Amiri" w:eastAsia="Amiri" w:cs="Amiri"/>
          <w:color w:val="111111"/>
          <w:sz w:val="28"/>
          <w:sz w:val="28"/>
          <w:szCs w:val="28"/>
          <w:rtl w:val="true"/>
          <w:lang w:bidi="ar-SA"/>
        </w:rPr>
        <w:t>كما هو الظاهر من عادته في من يبتدئ به في السند؛ و قد ورد رواية حسنة كالصحيحة في شأن عليّ بن فضّال و أبيه و أخويه و كتبهم عن العسكري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رووا و ذروا ما رأوا</w:t>
      </w:r>
      <w:r>
        <w:rPr>
          <w:rFonts w:eastAsia="Amiri" w:cs="Amiri" w:ascii="Amiri" w:hAnsi="Amiri"/>
          <w:color w:val="111111"/>
          <w:sz w:val="28"/>
          <w:szCs w:val="28"/>
          <w:rtl w:val="true"/>
          <w:lang w:bidi="ar-SA"/>
        </w:rPr>
        <w:t xml:space="preserve">» </w:t>
      </w:r>
      <w:r>
        <w:rPr>
          <w:rStyle w:val="FootnoteAnchor"/>
          <w:rtl w:val="true"/>
        </w:rPr>
        <w:footnoteReference w:id="2028"/>
      </w:r>
      <w:r>
        <w:rPr>
          <w:rFonts w:ascii="Amiri" w:hAnsi="Amiri" w:eastAsia="Amiri" w:cs="Amiri"/>
          <w:color w:val="111111"/>
          <w:sz w:val="28"/>
          <w:sz w:val="28"/>
          <w:szCs w:val="28"/>
          <w:rtl w:val="true"/>
          <w:lang w:bidi="ar-SA"/>
        </w:rPr>
        <w:t>مضافا إلى انجبار الرواية بالشهرة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الإيراد منه حسن، على قاعدته من التأمّل في الضعيف المنجبر و لو كان موثّقا حيث قال في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أذكره الآن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العمل بالموثّق خروج عن قيد الايمان، و جبر الضعف بالشهرة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مجبور</w:t>
      </w:r>
    </w:p>
    <w:p>
      <w:pPr>
        <w:pStyle w:val="BookText"/>
        <w:rPr/>
      </w:pPr>
      <w:r>
        <w:rPr>
          <w:rFonts w:ascii="Amiri" w:hAnsi="Amiri" w:eastAsia="Amiri" w:cs="Amiri"/>
          <w:color w:val="111111"/>
          <w:sz w:val="28"/>
          <w:sz w:val="28"/>
          <w:szCs w:val="28"/>
          <w:rtl w:val="true"/>
          <w:lang w:bidi="ar-SA"/>
        </w:rPr>
        <w:t>بالشهرة</w:t>
      </w:r>
      <w:r>
        <w:rPr>
          <w:rFonts w:eastAsia="Amiri" w:cs="Amiri" w:ascii="Amiri" w:hAnsi="Amiri"/>
          <w:color w:val="111111"/>
          <w:sz w:val="28"/>
          <w:szCs w:val="28"/>
          <w:rtl w:val="true"/>
          <w:lang w:bidi="ar-SA"/>
        </w:rPr>
        <w:t xml:space="preserve">»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فضّال و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للحرّة ليلتان و للأمة ليلة</w:t>
      </w:r>
      <w:r>
        <w:rPr>
          <w:rFonts w:eastAsia="Amiri" w:cs="Amiri" w:ascii="Amiri" w:hAnsi="Amiri"/>
          <w:color w:val="111111"/>
          <w:sz w:val="28"/>
          <w:szCs w:val="28"/>
          <w:rtl w:val="true"/>
          <w:lang w:bidi="ar-SA"/>
        </w:rPr>
        <w:t xml:space="preserve">»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تزوّج الحرّة على الأمة فللحرّة يومان و للأمة يوم</w:t>
      </w:r>
      <w:r>
        <w:rPr>
          <w:rFonts w:eastAsia="Amiri" w:cs="Amiri" w:ascii="Amiri" w:hAnsi="Amiri"/>
          <w:color w:val="111111"/>
          <w:sz w:val="28"/>
          <w:szCs w:val="28"/>
          <w:rtl w:val="true"/>
          <w:lang w:bidi="ar-SA"/>
        </w:rPr>
        <w:t xml:space="preserve">» </w:t>
      </w:r>
      <w:r>
        <w:rPr>
          <w:rStyle w:val="FootnoteAnchor"/>
          <w:rtl w:val="true"/>
        </w:rPr>
        <w:footnoteReference w:id="2031"/>
      </w:r>
      <w:r>
        <w:rPr>
          <w:rFonts w:ascii="Amiri" w:hAnsi="Amiri" w:eastAsia="Amiri" w:cs="Amiri"/>
          <w:color w:val="111111"/>
          <w:sz w:val="28"/>
          <w:sz w:val="28"/>
          <w:szCs w:val="28"/>
          <w:rtl w:val="true"/>
          <w:lang w:bidi="ar-SA"/>
        </w:rPr>
        <w:t xml:space="preserve">و نحوها المحكيّ عن الفقيه مرسلا </w:t>
      </w:r>
      <w:r>
        <w:rPr>
          <w:rStyle w:val="FootnoteAnchor"/>
          <w:rtl w:val="true"/>
        </w:rPr>
        <w:footnoteReference w:id="2032"/>
      </w:r>
      <w:r>
        <w:rPr>
          <w:rFonts w:ascii="Amiri" w:hAnsi="Amiri" w:eastAsia="Amiri" w:cs="Amiri"/>
          <w:color w:val="111111"/>
          <w:sz w:val="28"/>
          <w:sz w:val="28"/>
          <w:szCs w:val="28"/>
          <w:rtl w:val="true"/>
          <w:lang w:bidi="ar-SA"/>
        </w:rPr>
        <w:t xml:space="preserve">و رواية أبي بصير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أو حسنته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قوله تعالى وَ إِنِ امْرَأَةٌ خٰافَتْ مِنْ بَعْلِهٰا نُشُوزاً أَوْ إِعْرٰاضاً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المرأة تكون عند الرجل فيكرهها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أطلّقك،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إنّي أكره أن تشمت بي، و لكن انظر في ليلتي فاصنع بها ما شئت و ما كان سوى ذلك من شي‌ء فهو لك، و دعني على حالي، فهو قوله تعالى فَلٰا جُنٰاحَ عَلَيْهِمٰا أَنْ يُصْلِحٰا بَيْنَهُمٰا صُلْحاً </w:t>
      </w:r>
      <w:r>
        <w:rPr>
          <w:rStyle w:val="FootnoteAnchor"/>
          <w:rtl w:val="true"/>
        </w:rPr>
        <w:footnoteReference w:id="2034"/>
      </w:r>
      <w:r>
        <w:rPr>
          <w:rFonts w:ascii="IRNazanin" w:hAnsi="IRNazanin" w:eastAsia="IRNazanin"/>
          <w:color w:val="111111"/>
          <w:sz w:val="28"/>
          <w:sz w:val="28"/>
          <w:szCs w:val="28"/>
          <w:rtl w:val="true"/>
          <w:lang w:bidi="fa-IR"/>
        </w:rPr>
        <w:t>و هذا هو الصلح</w:t>
      </w:r>
      <w:r>
        <w:rPr>
          <w:rFonts w:eastAsia="IRNazanin" w:cs="IRNazanin"/>
          <w:color w:val="111111"/>
          <w:sz w:val="28"/>
          <w:szCs w:val="28"/>
          <w:rtl w:val="true"/>
          <w:lang w:bidi="fa-IR"/>
        </w:rPr>
        <w:t xml:space="preserve">»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الرواية كما ترى ظاهرة في كون الليلة حقّا للزوجة و لهذا لها إسقاطها و المصالحة بها كسائر الحقوق على ترك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نحوها رواية أبي بصير </w:t>
      </w:r>
      <w:r>
        <w:rPr>
          <w:rStyle w:val="FootnoteAnchor"/>
          <w:rtl w:val="true"/>
        </w:rPr>
        <w:footnoteReference w:id="2036"/>
      </w:r>
      <w:r>
        <w:rPr>
          <w:rFonts w:ascii="Amiri" w:hAnsi="Amiri" w:eastAsia="Amiri" w:cs="Amiri"/>
          <w:color w:val="111111"/>
          <w:sz w:val="28"/>
          <w:sz w:val="28"/>
          <w:szCs w:val="28"/>
          <w:rtl w:val="true"/>
          <w:lang w:bidi="ar-SA"/>
        </w:rPr>
        <w:t xml:space="preserve">و رواية زيد الشحّام </w:t>
      </w:r>
      <w:r>
        <w:rPr>
          <w:rStyle w:val="FootnoteAnchor"/>
          <w:rtl w:val="true"/>
        </w:rPr>
        <w:footnoteReference w:id="2037"/>
      </w:r>
      <w:r>
        <w:rPr>
          <w:rFonts w:ascii="Amiri" w:hAnsi="Amiri" w:eastAsia="Amiri" w:cs="Amiri"/>
          <w:color w:val="111111"/>
          <w:sz w:val="28"/>
          <w:sz w:val="28"/>
          <w:szCs w:val="28"/>
          <w:rtl w:val="true"/>
          <w:lang w:bidi="ar-SA"/>
        </w:rPr>
        <w:t xml:space="preserve">و المرويّ في تفسير العيّاشي عن البزنطي عن مولانا الرضا عليه السلام </w:t>
      </w:r>
      <w:r>
        <w:rPr>
          <w:rStyle w:val="FootnoteAnchor"/>
          <w:rtl w:val="true"/>
        </w:rPr>
        <w:footnoteReference w:id="2038"/>
      </w:r>
      <w:r>
        <w:rPr>
          <w:rFonts w:ascii="Amiri" w:hAnsi="Amiri" w:eastAsia="Amiri" w:cs="Amiri"/>
          <w:color w:val="111111"/>
          <w:sz w:val="28"/>
          <w:sz w:val="28"/>
          <w:szCs w:val="28"/>
          <w:rtl w:val="true"/>
          <w:lang w:bidi="ar-SA"/>
        </w:rPr>
        <w:t xml:space="preserve">و رواية زرارة </w:t>
      </w:r>
      <w:r>
        <w:rPr>
          <w:rStyle w:val="FootnoteAnchor"/>
          <w:rtl w:val="true"/>
        </w:rPr>
        <w:footnoteReference w:id="2039"/>
      </w:r>
      <w:r>
        <w:rPr>
          <w:rFonts w:ascii="Amiri" w:hAnsi="Amiri" w:eastAsia="Amiri" w:cs="Amiri"/>
          <w:color w:val="111111"/>
          <w:sz w:val="28"/>
          <w:sz w:val="28"/>
          <w:szCs w:val="28"/>
          <w:rtl w:val="true"/>
          <w:lang w:bidi="ar-SA"/>
        </w:rPr>
        <w:t>الواردة كلّها في تفسير الآية الشريفة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الجميع رواية عليّ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كذلك فهمّ بطلاقها،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أمسكني و أدع بعض ما عليك و أحلّلك من يومي و ليلتي، حلّ له ذلك و لا جناح عليهما</w:t>
      </w:r>
      <w:r>
        <w:rPr>
          <w:rFonts w:eastAsia="Amiri" w:cs="Amiri" w:ascii="Amiri" w:hAnsi="Amiri"/>
          <w:color w:val="111111"/>
          <w:sz w:val="28"/>
          <w:szCs w:val="28"/>
          <w:rtl w:val="true"/>
          <w:lang w:bidi="ar-SA"/>
        </w:rPr>
        <w:t xml:space="preserve">»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يقدح في هذه الرواية و في غيرها اشتمالها على ذكر اليوم مع الليلة مع أنّ اليوم ليس حقّا لها على المشهور، لأنّ ترك ظاهر الرواية في بعض موارده لا يوجب طرحها بالنسبة إلى الباقي؛ مع أنّ كون الزوج عند الزوجة في صبيحة ليلتها من الحقوق المستحبّة، و قيلولته عندها من الحقوق الواجبة عند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Style w:val="FootnoteAnchor"/>
          <w:rtl w:val="true"/>
        </w:rPr>
        <w:footnoteReference w:id="2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شي‌ء من الرواية مخالفا</w:t>
      </w:r>
    </w:p>
    <w:p>
      <w:pPr>
        <w:pStyle w:val="BookText"/>
        <w:rPr/>
      </w:pPr>
      <w:r>
        <w:rPr>
          <w:rFonts w:ascii="IRNazanin" w:hAnsi="IRNazanin" w:eastAsia="IRNazanin"/>
          <w:color w:val="111111"/>
          <w:sz w:val="28"/>
          <w:sz w:val="28"/>
          <w:szCs w:val="28"/>
          <w:rtl w:val="true"/>
          <w:lang w:bidi="fa-IR"/>
        </w:rPr>
        <w:t>للإجماع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مضافا إلى أنّ في هجر الزوجة في المضاجع ضررا عظيما عليها، نفي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Style w:val="FootnoteAnchor"/>
          <w:rtl w:val="true"/>
        </w:rPr>
        <w:footnoteReference w:id="2042"/>
      </w:r>
      <w:r>
        <w:rPr>
          <w:rFonts w:ascii="Amiri" w:hAnsi="Amiri" w:eastAsia="Amiri" w:cs="Amiri"/>
          <w:color w:val="111111"/>
          <w:sz w:val="28"/>
          <w:sz w:val="28"/>
          <w:szCs w:val="28"/>
          <w:rtl w:val="true"/>
          <w:lang w:bidi="ar-SA"/>
        </w:rPr>
        <w:t xml:space="preserve">الّذي تمسّكوا به كثيرا في موارد خيار الفسخ للزوجين و غيرها، و بخصوص ما يستفاد من بعض الروايات من حرمة مضارّة الرجل المرأة، و المرأة الرجل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هذه الأدلّة و إن اختصّ بعضها بوجوب القسمة مع تعدّد الزوجة، إلّا أنّ بعضها يشمل صورة اتّحادها؛ مضافا إلى ما يظهر من المسالك من عدم القول بعدم الوجوب في الواحدة و الوجوب في المتعدّدة </w:t>
      </w:r>
      <w:r>
        <w:rPr>
          <w:rStyle w:val="FootnoteAnchor"/>
          <w:rtl w:val="true"/>
        </w:rPr>
        <w:footnoteReference w:id="2044"/>
      </w:r>
      <w:r>
        <w:rPr>
          <w:rFonts w:ascii="Amiri" w:hAnsi="Amiri" w:eastAsia="Amiri" w:cs="Amiri"/>
          <w:color w:val="111111"/>
          <w:sz w:val="28"/>
          <w:sz w:val="28"/>
          <w:szCs w:val="28"/>
          <w:rtl w:val="true"/>
          <w:lang w:bidi="ar-SA"/>
        </w:rPr>
        <w:t xml:space="preserve">و يمكن أن يستفاد من كلام غيره أيضا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حكى في الرياض عن ابن حمزة، التصريح باشتراط التعدّد في وجوب القسمة،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أيضا عن ظاهر جماعة كالمقنعة و النهاية و المهذّب و الجامع </w:t>
      </w:r>
      <w:r>
        <w:rPr>
          <w:rStyle w:val="FootnoteAnchor"/>
          <w:rtl w:val="true"/>
        </w:rPr>
        <w:footnoteReference w:id="2046"/>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قويّا أن يكون مراد ابن حمزة من القسمة الّتي اشترط فيها تعدّد الزوجة هي القسمة بين الزوجات، و لا ريب في اعتبار تعدّد الزوجة في مفهومها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القسم للواحدة بمعنى إعطائها قسما أو حظّا من الليالي أو نصيبا من المعاشرة، فلا يعتبر فيه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فلعلّ مستند التفصيل اختصاص ما اعتبر سنده و دلالته من الأدلّة المذكورة بصورة التعدّد، و عدم ثبوت الإجماع المركّب، و ضعف ما دلّ منها على العموم سندا أو دلالة على سبيل منع الخلوّ؛ فيرجع في صورة الاتّحاد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مستند القائلين بعدم الوجوب مطلقا، حيث إنّهم ضعّفوا دلالة ما اعتبر سنده و سند ما اعتبر دلالته، و لم يزيدوا على ما في المسالك، و قد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فَانْكِحُوا مٰا طٰابَ لَكُمْ مِنَ النِّسٰاءِ مَثْنىٰ وَ ثُلٰاثَ وَ رُبٰاعَ فَإِنْ خِفْتُمْ أَلّٰا تَعْدِلُوا فَوٰاحِدَةً أَوْ مٰا مَلَكَتْ أَيْمٰانُكُمْ </w:t>
      </w:r>
      <w:r>
        <w:rPr>
          <w:rStyle w:val="FootnoteAnchor"/>
          <w:rtl w:val="true"/>
        </w:rPr>
        <w:footnoteReference w:id="20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تدلّ على أنّ الواحدة كالأمة لا حقّ لها في القسمة المعتبر فيها العدل، و لو وجبت لها ليلة من الأربع لساوت غيرها، و كلّ من قال بعدم الوجوب للواحدة قال بعدمه للأزيد إلّا مع الابتداء </w:t>
      </w:r>
      <w:r>
        <w:rPr>
          <w:rStyle w:val="FootnoteAnchor"/>
          <w:rtl w:val="true"/>
        </w:rPr>
        <w:footnoteReference w:id="204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 الآية على كون الواحدة كالأمة، و عطفها عليها لا يدلّ على اتّحادهما،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تعدلوا بين الزوجات فانكحوا واحدة فتسلموا من الميل و الحيف، أو ما ملكت أيمانكم و لو كانت متعدّدة، لأنّ منافعها مملوكة للمولى، فلا يلزم ظلم عليهنّ، و لو ترك المولى استيفاء المنفعة من بعضهنّ، لأنّ ترك الرجل الحقّ المختصّ به ليس ظلما؛ و كيف كان، فليس في الآية دلالة على المطلوب و لا إشعار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يتمسّك لهم بما دلّ من الأخبار على حصر الحقّ الواجب للمرأة في أن يكسوها من العري و يطعمها من الجوع، كموثّقة إسحاق بن عمّار </w:t>
      </w:r>
      <w:r>
        <w:rPr>
          <w:rStyle w:val="FootnoteAnchor"/>
          <w:rtl w:val="true"/>
        </w:rPr>
        <w:footnoteReference w:id="2049"/>
      </w:r>
      <w:r>
        <w:rPr>
          <w:rFonts w:ascii="Amiri" w:hAnsi="Amiri" w:eastAsia="Amiri" w:cs="Amiri"/>
          <w:color w:val="111111"/>
          <w:sz w:val="28"/>
          <w:sz w:val="28"/>
          <w:szCs w:val="28"/>
          <w:rtl w:val="true"/>
          <w:lang w:bidi="ar-SA"/>
        </w:rPr>
        <w:t xml:space="preserve">و رواية عمرو بن جبير العزرمي </w:t>
      </w:r>
      <w:r>
        <w:rPr>
          <w:rStyle w:val="FootnoteAnchor"/>
          <w:rtl w:val="true"/>
        </w:rPr>
        <w:footnoteReference w:id="2050"/>
      </w:r>
      <w:r>
        <w:rPr>
          <w:rFonts w:ascii="Amiri" w:hAnsi="Amiri" w:eastAsia="Amiri" w:cs="Amiri"/>
          <w:color w:val="111111"/>
          <w:sz w:val="28"/>
          <w:sz w:val="28"/>
          <w:szCs w:val="28"/>
          <w:rtl w:val="true"/>
          <w:lang w:bidi="ar-SA"/>
        </w:rPr>
        <w:t xml:space="preserve">و رواية شهاب بن عبد ربّه </w:t>
      </w:r>
      <w:r>
        <w:rPr>
          <w:rStyle w:val="FootnoteAnchor"/>
          <w:rtl w:val="true"/>
        </w:rPr>
        <w:footnoteReference w:id="2051"/>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الجواب عنها بأنّ المراد بحقّ الزوجة في تلك الأخبار حقّها المختصّ بها، و لا ضير في حصره فيما ذكر فيها، فإنّ القسم عند من يوجبه إنّما هو من الحقوق المشتركة بين الزوجين و ليس مختصّا بالزوجة؛ فتأمّل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فالمسألة محلّ التّأمل، و إن كان ما ذهب إليه المشهور لا يخلو عن قوّة؛ مع أنّه أحوط</w:t>
      </w:r>
      <w:r>
        <w:rPr>
          <w:rFonts w:eastAsia="Amiri" w:cs="Amiri" w:ascii="Amiri" w:hAnsi="Amiri"/>
          <w:color w:val="111111"/>
          <w:sz w:val="28"/>
          <w:szCs w:val="28"/>
          <w:rtl w:val="true"/>
          <w:lang w:bidi="ar-SA"/>
        </w:rPr>
        <w:t>.</w:t>
      </w:r>
      <w:bookmarkStart w:id="440" w:name="pg19718_239371"/>
    </w:p>
    <w:p>
      <w:pPr>
        <w:pStyle w:val="Heading4"/>
        <w:numPr>
          <w:ilvl w:val="3"/>
          <w:numId w:val="1"/>
        </w:numPr>
        <w:rPr/>
      </w:pPr>
      <w:bookmarkStart w:id="441" w:name="__RefHeading___Toc1986052_2314609296"/>
      <w:bookmarkStart w:id="442" w:name="_Toc172"/>
      <w:bookmarkEnd w:id="440"/>
      <w:bookmarkEnd w:id="441"/>
      <w:r>
        <w:rPr>
          <w:rtl w:val="true"/>
        </w:rPr>
        <w:t>المطلب الثاني</w:t>
      </w:r>
      <w:r>
        <w:rPr>
          <w:rtl w:val="true"/>
        </w:rPr>
        <w:t xml:space="preserve">: </w:t>
      </w:r>
      <w:r>
        <w:rPr>
          <w:rtl w:val="true"/>
        </w:rPr>
        <w:t>في النفقة</w:t>
      </w:r>
      <w:bookmarkEnd w:id="442"/>
    </w:p>
    <w:p>
      <w:pPr>
        <w:pStyle w:val="Heading5"/>
        <w:numPr>
          <w:ilvl w:val="4"/>
          <w:numId w:val="1"/>
        </w:numPr>
        <w:rPr/>
      </w:pPr>
      <w:bookmarkStart w:id="443" w:name="__RefHeading___Toc1986054_2314609296"/>
      <w:bookmarkStart w:id="444" w:name="_Toc173"/>
      <w:bookmarkEnd w:id="443"/>
      <w:r>
        <w:rPr>
          <w:rtl w:val="true"/>
        </w:rPr>
        <w:t>اشارة</w:t>
      </w:r>
      <w:bookmarkEnd w:id="444"/>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أسبابها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و القرابة، و الملك</w:t>
      </w:r>
      <w:r>
        <w:rPr>
          <w:rFonts w:eastAsia="Amiri" w:cs="Amiri" w:ascii="Amiri" w:hAnsi="Amiri"/>
          <w:color w:val="111111"/>
          <w:sz w:val="28"/>
          <w:szCs w:val="28"/>
          <w:rtl w:val="true"/>
          <w:lang w:bidi="ar-SA"/>
        </w:rPr>
        <w:t>.</w:t>
      </w:r>
      <w:bookmarkStart w:id="445" w:name="pg19718_239373"/>
    </w:p>
    <w:p>
      <w:pPr>
        <w:pStyle w:val="Heading5"/>
        <w:numPr>
          <w:ilvl w:val="4"/>
          <w:numId w:val="1"/>
        </w:numPr>
        <w:rPr/>
      </w:pPr>
      <w:bookmarkStart w:id="446" w:name="__RefHeading___Toc1986056_2314609296"/>
      <w:bookmarkStart w:id="447" w:name="_Toc174"/>
      <w:bookmarkEnd w:id="445"/>
      <w:bookmarkEnd w:id="446"/>
      <w:r>
        <w:rPr>
          <w:rtl w:val="true"/>
        </w:rPr>
        <w:t>الفصل الأوّل</w:t>
      </w:r>
      <w:r>
        <w:rPr>
          <w:rtl w:val="true"/>
        </w:rPr>
        <w:t xml:space="preserve">: </w:t>
      </w:r>
      <w:r>
        <w:rPr>
          <w:rtl w:val="true"/>
        </w:rPr>
        <w:t>في نفقة الزوجة</w:t>
      </w:r>
      <w:bookmarkEnd w:id="447"/>
    </w:p>
    <w:p>
      <w:pPr>
        <w:pStyle w:val="Heading6"/>
        <w:numPr>
          <w:ilvl w:val="5"/>
          <w:numId w:val="1"/>
        </w:numPr>
        <w:rPr/>
      </w:pPr>
      <w:bookmarkStart w:id="448" w:name="__RefHeading___Toc1986058_2314609296"/>
      <w:bookmarkStart w:id="449" w:name="_Toc175"/>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و فيه بحثان</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1986060_2314609296"/>
      <w:bookmarkStart w:id="451" w:name="_Toc176"/>
      <w:bookmarkEnd w:id="450"/>
      <w:r>
        <w:rPr>
          <w:rtl w:val="true"/>
        </w:rPr>
        <w:t>الأول</w:t>
      </w:r>
      <w:r>
        <w:rPr>
          <w:rtl w:val="true"/>
        </w:rPr>
        <w:t xml:space="preserve">: </w:t>
      </w:r>
      <w:r>
        <w:rPr>
          <w:rtl w:val="true"/>
        </w:rPr>
        <w:t>الواجب</w:t>
      </w:r>
      <w:r>
        <w:rPr>
          <w:rtl w:val="true"/>
        </w:rPr>
        <w:t>.</w:t>
      </w:r>
      <w:bookmarkEnd w:id="451"/>
    </w:p>
    <w:p>
      <w:pPr>
        <w:pStyle w:val="Heading6"/>
        <w:numPr>
          <w:ilvl w:val="5"/>
          <w:numId w:val="1"/>
        </w:numPr>
        <w:rPr/>
      </w:pPr>
      <w:bookmarkStart w:id="452" w:name="__RefHeading___Toc1986062_2314609296"/>
      <w:bookmarkStart w:id="453" w:name="_Toc177"/>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و هو ستة</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1986064_2314609296"/>
      <w:bookmarkStart w:id="455" w:name="_Toc178"/>
      <w:bookmarkEnd w:id="454"/>
      <w:r>
        <w:rPr>
          <w:rtl w:val="true"/>
        </w:rPr>
        <w:t>الأوّل</w:t>
      </w:r>
      <w:r>
        <w:rPr>
          <w:rtl w:val="true"/>
        </w:rPr>
        <w:t xml:space="preserve">: </w:t>
      </w:r>
      <w:r>
        <w:rPr>
          <w:rtl w:val="true"/>
        </w:rPr>
        <w:t>الطعام</w:t>
      </w:r>
      <w:bookmarkEnd w:id="455"/>
    </w:p>
    <w:p>
      <w:pPr>
        <w:pStyle w:val="BookText"/>
        <w:rPr/>
      </w:pPr>
      <w:r>
        <w:rPr>
          <w:rFonts w:ascii="Amiri" w:hAnsi="Amiri" w:eastAsia="Amiri" w:cs="Amiri"/>
          <w:color w:val="111111"/>
          <w:sz w:val="28"/>
          <w:sz w:val="28"/>
          <w:szCs w:val="28"/>
          <w:rtl w:val="true"/>
          <w:lang w:bidi="ar-SA"/>
        </w:rPr>
        <w:t>فقيل مدّ،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الكفاية من غالب قوت البلد، فإن لم يكن فما يليق بالزوج، و يملّكها الحب و مئونة الطحن و الخبز و إصلاح اللحم، و له دفع الخبز، و لا يكلّفها الأكل معه، و لو دخل و استمرت تأكل معه على العادة لم يكن لها المطالبة بنفقة مدة المؤاكلة</w:t>
      </w:r>
    </w:p>
    <w:p>
      <w:pPr>
        <w:pStyle w:val="Heading6"/>
        <w:numPr>
          <w:ilvl w:val="5"/>
          <w:numId w:val="1"/>
        </w:numPr>
        <w:rPr/>
      </w:pPr>
      <w:bookmarkStart w:id="456" w:name="__RefHeading___Toc1986066_2314609296"/>
      <w:bookmarkStart w:id="457" w:name="_Toc179"/>
      <w:bookmarkEnd w:id="456"/>
      <w:r>
        <w:rPr>
          <w:rtl w:val="true"/>
        </w:rPr>
        <w:t>الثاني</w:t>
      </w:r>
      <w:r>
        <w:rPr>
          <w:rtl w:val="true"/>
        </w:rPr>
        <w:t xml:space="preserve">: </w:t>
      </w:r>
      <w:r>
        <w:rPr>
          <w:rtl w:val="true"/>
        </w:rPr>
        <w:t>الأدم</w:t>
      </w:r>
      <w:bookmarkEnd w:id="45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يرجع فيه إلى العادة من أمثالها من أهل البلد في الجنس و القدر، و لو تبرّمت </w:t>
      </w:r>
      <w:r>
        <w:rPr>
          <w:rStyle w:val="FootnoteAnchor"/>
          <w:rtl w:val="true"/>
        </w:rPr>
        <w:footnoteReference w:id="2052"/>
      </w:r>
      <w:r>
        <w:rPr>
          <w:rFonts w:ascii="Amiri" w:hAnsi="Amiri" w:eastAsia="Amiri" w:cs="Amiri"/>
          <w:color w:val="111111"/>
          <w:sz w:val="28"/>
          <w:sz w:val="28"/>
          <w:szCs w:val="28"/>
          <w:rtl w:val="true"/>
          <w:lang w:bidi="ar-SA"/>
        </w:rPr>
        <w:t>بجنس أبدله، و لها أخذ الأدم و إن لم تأكل</w:t>
      </w:r>
      <w:r>
        <w:rPr>
          <w:rFonts w:eastAsia="Amiri" w:cs="Amiri" w:ascii="Amiri" w:hAnsi="Amiri"/>
          <w:color w:val="111111"/>
          <w:sz w:val="28"/>
          <w:szCs w:val="28"/>
          <w:rtl w:val="true"/>
          <w:lang w:bidi="ar-SA"/>
        </w:rPr>
        <w:t>.</w:t>
      </w:r>
      <w:bookmarkStart w:id="458" w:name="pg19718_239374"/>
    </w:p>
    <w:p>
      <w:pPr>
        <w:pStyle w:val="Heading6"/>
        <w:numPr>
          <w:ilvl w:val="5"/>
          <w:numId w:val="1"/>
        </w:numPr>
        <w:rPr/>
      </w:pPr>
      <w:bookmarkStart w:id="459" w:name="__RefHeading___Toc1986068_2314609296"/>
      <w:bookmarkStart w:id="460" w:name="_Toc180"/>
      <w:bookmarkEnd w:id="458"/>
      <w:bookmarkEnd w:id="459"/>
      <w:r>
        <w:rPr>
          <w:rtl w:val="true"/>
        </w:rPr>
        <w:t>الثالث</w:t>
      </w:r>
      <w:r>
        <w:rPr>
          <w:rtl w:val="true"/>
        </w:rPr>
        <w:t xml:space="preserve">: </w:t>
      </w:r>
      <w:r>
        <w:rPr>
          <w:rtl w:val="true"/>
        </w:rPr>
        <w:t>الإخدام</w:t>
      </w:r>
      <w:bookmarkEnd w:id="460"/>
    </w:p>
    <w:p>
      <w:pPr>
        <w:pStyle w:val="BookText"/>
        <w:rPr/>
      </w:pPr>
      <w:r>
        <w:rPr>
          <w:rFonts w:ascii="Amiri" w:hAnsi="Amiri" w:eastAsia="Amiri" w:cs="Amiri"/>
          <w:color w:val="111111"/>
          <w:sz w:val="28"/>
          <w:sz w:val="28"/>
          <w:szCs w:val="28"/>
          <w:rtl w:val="true"/>
          <w:lang w:bidi="ar-SA"/>
        </w:rPr>
        <w:t>إما بنفسه، أو بمن يستأجره، أو يشريه لها أو ينفق على خادمها إن كانت من أهله، و لا يلزمه أكثر من واحد و إن كانت من أهله، و تخدم نفسها لو لم تكن من أهل الإخدام، إلّا في المرض فيخدمها، و لو طلبت مستحقّة الخدمة نفقة الخادم لتخدم نفسها لم تجب الإجابة، و له إبدال خادمتها المألوفة لغير ريبة، و إخراج سائر خدمها إلّا الواحدة، إذ ليس عليه سكناهن، بل له منع أبويها من الدخول و منعها من الخروج</w:t>
      </w:r>
    </w:p>
    <w:p>
      <w:pPr>
        <w:pStyle w:val="Heading6"/>
        <w:numPr>
          <w:ilvl w:val="5"/>
          <w:numId w:val="1"/>
        </w:numPr>
        <w:rPr/>
      </w:pPr>
      <w:bookmarkStart w:id="461" w:name="__RefHeading___Toc1986070_2314609296"/>
      <w:bookmarkStart w:id="462" w:name="_Toc181"/>
      <w:bookmarkEnd w:id="461"/>
      <w:r>
        <w:rPr>
          <w:rtl w:val="true"/>
        </w:rPr>
        <w:t>الرابع</w:t>
      </w:r>
      <w:r>
        <w:rPr>
          <w:rtl w:val="true"/>
        </w:rPr>
        <w:t xml:space="preserve">: </w:t>
      </w:r>
      <w:r>
        <w:rPr>
          <w:rtl w:val="true"/>
        </w:rPr>
        <w:t>الكسوة</w:t>
      </w:r>
      <w:bookmarkEnd w:id="462"/>
    </w:p>
    <w:p>
      <w:pPr>
        <w:pStyle w:val="BookText"/>
        <w:rPr/>
      </w:pPr>
      <w:r>
        <w:rPr>
          <w:rFonts w:ascii="Amiri" w:hAnsi="Amiri" w:eastAsia="Amiri" w:cs="Amiri"/>
          <w:color w:val="111111"/>
          <w:sz w:val="28"/>
          <w:sz w:val="28"/>
          <w:szCs w:val="28"/>
          <w:rtl w:val="true"/>
          <w:lang w:bidi="ar-SA"/>
        </w:rPr>
        <w:t>و هي في الصيف قميص و سراويل و خمار و مكعب، و يزيد في الشتاء الجبة لليقظة و اللحاف للنوم، و يرجع في جنس ذلك إلى عادة أمثالها، و يزاد على ثياب البذلة ثياب 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 عادة أمثالها، و لا بدّ من ملحفة و حصير و مخدّة، و آلة الطبخ و الشرب من كوز و جرة و قدر و مغرفة</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1986072_2314609296"/>
      <w:bookmarkStart w:id="464" w:name="_Toc182"/>
      <w:bookmarkEnd w:id="463"/>
      <w:r>
        <w:rPr>
          <w:rtl w:val="true"/>
        </w:rPr>
        <w:t>الخامس</w:t>
      </w:r>
      <w:r>
        <w:rPr>
          <w:rtl w:val="true"/>
        </w:rPr>
        <w:t xml:space="preserve">: </w:t>
      </w:r>
      <w:r>
        <w:rPr>
          <w:rtl w:val="true"/>
        </w:rPr>
        <w:t>آلة التنظيف</w:t>
      </w:r>
      <w:r>
        <w:rPr>
          <w:rtl w:val="true"/>
        </w:rPr>
        <w:t>.</w:t>
      </w:r>
      <w:bookmarkEnd w:id="464"/>
    </w:p>
    <w:p>
      <w:pPr>
        <w:pStyle w:val="BookText"/>
        <w:rPr/>
      </w:pPr>
      <w:r>
        <w:rPr>
          <w:rFonts w:ascii="Amiri" w:hAnsi="Amiri" w:eastAsia="Amiri" w:cs="Amiri"/>
          <w:color w:val="111111"/>
          <w:sz w:val="28"/>
          <w:sz w:val="28"/>
          <w:szCs w:val="28"/>
          <w:rtl w:val="true"/>
          <w:lang w:bidi="ar-SA"/>
        </w:rPr>
        <w:t>كالمشط، و الدهن، و المزيل للصنان، و لا يجب الطيب، و لا الكحل، و له منعها عن مثل أكل الثوم و تناول السم و الأطعمة الممرّضة، و لا يجب الدواء للمرض، و لا أجرة الحجامة، و لا اجرة الحمّام إلّا في شدّة البرد</w:t>
      </w:r>
    </w:p>
    <w:p>
      <w:pPr>
        <w:pStyle w:val="Heading6"/>
        <w:numPr>
          <w:ilvl w:val="5"/>
          <w:numId w:val="1"/>
        </w:numPr>
        <w:rPr/>
      </w:pPr>
      <w:bookmarkStart w:id="465" w:name="__RefHeading___Toc1986074_2314609296"/>
      <w:bookmarkStart w:id="466" w:name="_Toc183"/>
      <w:bookmarkEnd w:id="465"/>
      <w:r>
        <w:rPr>
          <w:rtl w:val="true"/>
        </w:rPr>
        <w:t>السادس</w:t>
      </w:r>
      <w:r>
        <w:rPr>
          <w:rtl w:val="true"/>
        </w:rPr>
        <w:t xml:space="preserve">: </w:t>
      </w:r>
      <w:r>
        <w:rPr>
          <w:rtl w:val="true"/>
        </w:rPr>
        <w:t>السكنى في دار تليق بها</w:t>
      </w:r>
      <w:bookmarkEnd w:id="466"/>
    </w:p>
    <w:p>
      <w:pPr>
        <w:pStyle w:val="BookText"/>
        <w:rPr/>
      </w:pPr>
      <w:r>
        <w:rPr>
          <w:rFonts w:ascii="Amiri" w:hAnsi="Amiri" w:eastAsia="Amiri" w:cs="Amiri"/>
          <w:color w:val="111111"/>
          <w:sz w:val="28"/>
          <w:sz w:val="28"/>
          <w:szCs w:val="28"/>
          <w:rtl w:val="true"/>
          <w:lang w:bidi="ar-SA"/>
        </w:rPr>
        <w:t>إما بعارية أو إجارة أو ملك، و لها المطالبة بالتفرّد في مسكن عن مشارك غير الزوج</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يدفع نفقة كلّ يوم في صبيحته، و لو عاوضها بدراهم جاز، فإن ماتت في أثناء النهار لم تسترد، و لو نشزت استرد، و لو دفع نفقة أيام فماتت استرد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الزائد غير يوم الموت، و لا يجب في الكسوة و المسكن و الأثاث التمليك بل الإمتاع، و لو منعها النفقة مع التمكين التام استقرت في ذمته، و لو دفع نفقة لمدة فانقضت ممكّنة ملكتها، و لا اعتراض لو أنفقت من غيرها أو استفضلت، و لو أخلقت الكسوة قبل المدة المضروبة لم يجب البدل، و لو انقضت و هي باقية فلها المطالبة بأخرى، و لو طلّقها استعاد الكسوة و ما زاد من النفقة عن يوم الطلاق، إلّا أن تنقضي المدة التي قررت لها قبله، و لو مضت مدة قبل الدخول فلا نفقة، إلّا أن تبذل التمكّن التام، و لو حضرت زوجة الغائب و بذلت التمكين عند الحاكم لم تجب النفقة، إلّا بعد الإعلام و قدر وصوله أو وكيله، و لو أطاعت الناشزة لم تجب النفقة، إلّا بعد الإعلام و زمان إمكان الوصول، و لو ارتدت سقطت نفقتها، فإن عادت وجبت و إن لم يعلم، و ينفق على البائن مع ادعاء الحمل، فإن ظهر الفساد استعيدت، و لو أخّر نفقتها سقط السالف إن قلنا إن النفقة للحمل</w:t>
      </w:r>
      <w:bookmarkStart w:id="467" w:name="pg19718_239376"/>
    </w:p>
    <w:p>
      <w:pPr>
        <w:pStyle w:val="Heading6"/>
        <w:numPr>
          <w:ilvl w:val="5"/>
          <w:numId w:val="1"/>
        </w:numPr>
        <w:rPr/>
      </w:pPr>
      <w:bookmarkStart w:id="468" w:name="__RefHeading___Toc1986076_2314609296"/>
      <w:bookmarkStart w:id="469" w:name="_Toc184"/>
      <w:bookmarkEnd w:id="467"/>
      <w:bookmarkEnd w:id="468"/>
      <w:r>
        <w:rPr>
          <w:rtl w:val="true"/>
        </w:rPr>
        <w:t>البحث الثاني</w:t>
      </w:r>
      <w:r>
        <w:rPr>
          <w:rtl w:val="true"/>
        </w:rPr>
        <w:t xml:space="preserve">: </w:t>
      </w:r>
      <w:r>
        <w:rPr>
          <w:rtl w:val="true"/>
        </w:rPr>
        <w:t>في الموجب</w:t>
      </w:r>
      <w:bookmarkEnd w:id="469"/>
    </w:p>
    <w:p>
      <w:pPr>
        <w:pStyle w:val="BookText"/>
        <w:rPr/>
      </w:pPr>
      <w:r>
        <w:rPr>
          <w:rFonts w:ascii="Amiri" w:hAnsi="Amiri" w:eastAsia="Amiri" w:cs="Amiri"/>
          <w:color w:val="111111"/>
          <w:sz w:val="28"/>
          <w:sz w:val="28"/>
          <w:szCs w:val="28"/>
          <w:rtl w:val="true"/>
          <w:lang w:bidi="ar-SA"/>
        </w:rPr>
        <w:t>و هو العقد الدائم بشرط التمكين التام، سواء كانت حرّة أو أمة أو كافرة، فلو امتنعت زمانا من غير عذر أو مكانا سقطت، و المولى إن أرسل أمته ليلا و نهارا إلى الزوج وجبت النفقة، و إلّا على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تسقط بصغر الزوجة بحيث يحرم وطؤها، و ارتدادها، و نشوزها، و طلاقها بائنا إلّا الحامل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تسقط بصغر الزوج خاصة، و بمرضها، و رتقها، و قرنها، و عظم آلته مع ضعفها، و سفرها في الواجب من دون إذنه، و اعتكافها و صومها الواجبين و حيضها، و طلاقها رجعيا و بائنا مع الحمل، و لو أنكر دعواها تأخّر الطلاق عن الوضع بانت منه و عليه النفقة، و له مقاصّتها بدينه مع يسارها، و يبدأ بالنفقة عليه، ثم بالزوجة، ثم بالأقارب</w:t>
      </w:r>
      <w:bookmarkStart w:id="470" w:name="pg19718_239377"/>
    </w:p>
    <w:p>
      <w:pPr>
        <w:pStyle w:val="Heading5"/>
        <w:numPr>
          <w:ilvl w:val="4"/>
          <w:numId w:val="1"/>
        </w:numPr>
        <w:rPr/>
      </w:pPr>
      <w:bookmarkStart w:id="471" w:name="__RefHeading___Toc1986078_2314609296"/>
      <w:bookmarkStart w:id="472" w:name="_Toc185"/>
      <w:bookmarkEnd w:id="470"/>
      <w:bookmarkEnd w:id="471"/>
      <w:r>
        <w:rPr>
          <w:rtl w:val="true"/>
        </w:rPr>
        <w:t>الفصل الثاني</w:t>
      </w:r>
      <w:r>
        <w:rPr>
          <w:rtl w:val="true"/>
        </w:rPr>
        <w:t xml:space="preserve">: </w:t>
      </w:r>
      <w:r>
        <w:rPr>
          <w:rtl w:val="true"/>
        </w:rPr>
        <w:t>في النسب</w:t>
      </w:r>
      <w:bookmarkEnd w:id="472"/>
    </w:p>
    <w:p>
      <w:pPr>
        <w:pStyle w:val="BookText"/>
        <w:rPr/>
      </w:pPr>
      <w:r>
        <w:rPr>
          <w:rFonts w:ascii="Amiri" w:hAnsi="Amiri" w:eastAsia="Amiri" w:cs="Amiri"/>
          <w:color w:val="111111"/>
          <w:sz w:val="28"/>
          <w:sz w:val="28"/>
          <w:szCs w:val="28"/>
          <w:rtl w:val="true"/>
          <w:lang w:bidi="ar-SA"/>
        </w:rPr>
        <w:t>و تجب النفقة على الأبوين و إن علوا و الأولاد و إن نزلوا لا غير، بشرط فقرهم، و عجزهم عن التكسب، و حريتهم، و قدرة المنفق على فاضل قوت يوم له و لزوجته، لا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تستحب على غير هؤلاء من الأقارب، و يتأكد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قدر الكفاية من الإطعام و الكسوة و المسكن، و يباع عبده و عقاره في النفقة، و يجب الكسب في نفقة القريب، و لا يجب الإعفاف، و لو فاتت لم تقض إلّا أن يأمره بالاستدانة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الأب النفقة على ابنه، فإن عجز أو فقد فعلى الجدّ له و إن علا، و لو عدموا فعلى الامّ، و مع عدمها أو فقرها فعلى أبويها و إن علوا الأقرب فالأقرب، و مع التساوي الشركة، و لو فضل عن قوته ما يكفي أحد أبويه تشاركا، و كذا الأب و الولد، أما أحد الأبوين و الجدّ فيختصّ به الأقرب، و لو أيسر الأب و الابن فالنفقة عليهما بالسوية، أما الأب و الجدّ المؤسران فالنفقة على الأقرب و يحبسه الحاكم لو ماطل و يبيع عليه</w:t>
      </w:r>
      <w:r>
        <w:rPr>
          <w:rFonts w:eastAsia="Amiri" w:cs="Amiri" w:ascii="Amiri" w:hAnsi="Amiri"/>
          <w:color w:val="111111"/>
          <w:sz w:val="28"/>
          <w:szCs w:val="28"/>
          <w:rtl w:val="true"/>
          <w:lang w:bidi="ar-SA"/>
        </w:rPr>
        <w:t>.</w:t>
      </w:r>
      <w:bookmarkStart w:id="473" w:name="pg19718_239378"/>
    </w:p>
    <w:p>
      <w:pPr>
        <w:pStyle w:val="Heading5"/>
        <w:numPr>
          <w:ilvl w:val="4"/>
          <w:numId w:val="1"/>
        </w:numPr>
        <w:rPr/>
      </w:pPr>
      <w:bookmarkStart w:id="474" w:name="__RefHeading___Toc1986080_2314609296"/>
      <w:bookmarkStart w:id="475" w:name="_Toc186"/>
      <w:bookmarkEnd w:id="473"/>
      <w:bookmarkEnd w:id="474"/>
      <w:r>
        <w:rPr>
          <w:rtl w:val="true"/>
        </w:rPr>
        <w:t>الفصل الثالث</w:t>
      </w:r>
      <w:r>
        <w:rPr>
          <w:rtl w:val="true"/>
        </w:rPr>
        <w:t xml:space="preserve">: </w:t>
      </w:r>
      <w:r>
        <w:rPr>
          <w:rtl w:val="true"/>
        </w:rPr>
        <w:t>في نفقة المملوك</w:t>
      </w:r>
      <w:bookmarkEnd w:id="475"/>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تجب نفقته على المالك، و يتخيّر المولى بين الإنفاق من خاصته أو من كسبه، و لا تقدير بل عادة مماليك أمثاله من البلد، فإن امتنع اجبر عليه أو على البيع، و لو خارجه و لم يكفه الفاضل فالتمام على المولى، و لا تجوز المخارجة على أكثر من كسبه، و القنّ و المدبّر و أمّ الولد سواء، و تجب نفقة البهائم المملوكة بالرعي، فإن قصر علفها، فإن امتنع اجبر على البيع أو الإنفاق أو الذبح إن كانت من أهله، و يوفّر على ولدها كفايته من اللبن مع حاجته إليه</w:t>
      </w:r>
      <w:bookmarkStart w:id="476" w:name="pg19718_239379"/>
    </w:p>
    <w:p>
      <w:pPr>
        <w:pStyle w:val="Heading4"/>
        <w:numPr>
          <w:ilvl w:val="3"/>
          <w:numId w:val="1"/>
        </w:numPr>
        <w:rPr/>
      </w:pPr>
      <w:bookmarkStart w:id="477" w:name="__RefHeading___Toc1986082_2314609296"/>
      <w:bookmarkStart w:id="478" w:name="_Toc187"/>
      <w:bookmarkEnd w:id="476"/>
      <w:bookmarkEnd w:id="477"/>
      <w:r>
        <w:rPr>
          <w:rtl w:val="true"/>
        </w:rPr>
        <w:t>المطلب الثالث</w:t>
      </w:r>
      <w:r>
        <w:rPr>
          <w:rtl w:val="true"/>
        </w:rPr>
        <w:t xml:space="preserve">: </w:t>
      </w:r>
      <w:r>
        <w:rPr>
          <w:rtl w:val="true"/>
        </w:rPr>
        <w:t>في أحكام الأولاد</w:t>
      </w:r>
      <w:bookmarkEnd w:id="478"/>
    </w:p>
    <w:p>
      <w:pPr>
        <w:pStyle w:val="BookText"/>
        <w:rPr/>
      </w:pPr>
      <w:r>
        <w:rPr>
          <w:rFonts w:ascii="Amiri" w:hAnsi="Amiri" w:eastAsia="Amiri" w:cs="Amiri"/>
          <w:color w:val="111111"/>
          <w:sz w:val="28"/>
          <w:sz w:val="28"/>
          <w:szCs w:val="28"/>
          <w:rtl w:val="true"/>
          <w:lang w:bidi="ar-SA"/>
        </w:rPr>
        <w:t>من بلغ عشرا فما زاد و إن كان خصيا أو مجبوبا، ثم ولد له ولد بالعقد الدائم، بعد الدخول قبلا أو دبرا، و مضيّ ستة أشهر من حين الوطء إلى عشرة، لحق به و لم يجز له نفيه، و لا ينتفي عنه إلّا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يدخل، أو جاء لأقلّ من ستة حيا كاملا، أو لأكثر من عشرة، أو كان له دون عشر سنين، أو كان خصيا و مجبوبا لم يلحق به، و لا يجوز له إلحاقه به، و لو جاءت به كاملا لأقلّ من ستة أشهر من طلاق الأول فهو للأوّل، و إن كان لستة أشهر فللثاني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وطأها اثنان للشبهة، أو أحدهما للنكاح الصحيح و الآخر للشبهة ثم جاء الولد، أقرع و الحق بالخارج، كافرين أو مسلمين أو عبدين أو مختلفين، و يلحق النسب بالفراش المنفرد الدعوى المنفردة، و بالفراش المشترك و الدعوى المشتركة يقضى بالقرعة مع عدم البيّنة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ادّعى مولودا على فراش غيره، بأن ادّعى وطأه للشبهة و صدّقه</w:t>
      </w:r>
    </w:p>
    <w:p>
      <w:pPr>
        <w:pStyle w:val="BookText"/>
        <w:rPr/>
      </w:pPr>
      <w:r>
        <w:rPr>
          <w:rFonts w:ascii="Amiri" w:hAnsi="Amiri" w:eastAsia="Amiri" w:cs="Amiri"/>
          <w:color w:val="111111"/>
          <w:sz w:val="28"/>
          <w:sz w:val="28"/>
          <w:szCs w:val="28"/>
          <w:rtl w:val="true"/>
          <w:lang w:bidi="ar-SA"/>
        </w:rPr>
        <w:t>الزوجان، فلا بدّ من البيّنة لحقّ الولد، و لو استلحق و أنكرت زوجته ولادته لم يلحقها بإقرار الأب، و القول قول الزوج لو اختلفا في الدخول أو الولادة، و مع ثبوتهما لا يجوز له نفيه لفجورها، و لا ينتفي إلّا باللعان، و كذا لو اختلفا في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وطأها زان فالولد للزوج، و لو طلّقها فاعتدت و جاءت به لعشرة من حين الطلاق فما دون لحق به إن لم توطأ، و لو انخلق من زناه ولد لم يجز إلحاقه به و إن تزوّجها بعد، و لو ولدت أمته لستّة أشهر من حين وطئه إلى عشرة وجب إلحاقه به، فإن نفاه انتفى بغير لعان، فإن اعترف به بعد الحق به و لو وطأ المولى و أجنبي فالولد للمولى،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ظنّ انتفاءه لم يلحق و لم ينتف به، بل يوصي له بقسط دون نصيب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انتقلت من واطئ إلى آخر، فإن ولدت لستة أشهر فصاعدا من حين وطء الثاني فالولد له، و إلّا فللسابق، و لو وطأها الشركاء و تداعوا الولد الحق بمن تخرجه القرعة و يغرم حصص الباقين من قيمة الأمّ و قيمته يوم ولد، و لو ادعاه واحد الحق به و اغرم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نفي الولد للعزل، و لو تشبّهت عليه و حملت من وطئه الحق الولد به، فإن كانت أمة أغرم قيمة الولد يوم ولد حيا، و لو ظنّ الموت أو الطلاق فأحبلها ردّت إلى الأول بعد العدة و الولد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عند الولادة استبداد النساء بالمرأة أو الزوج</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المولود، و الأذان في اذنه اليمنى، و الإقامة في اليسرى، و تحنيكه بماء الفرات و بتربة الحسين عليه السلام، و التسمية بالأسماء الحسنة، و الكنية، و لا يجمع بين أبي القاسم 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التسمية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 حكيم، و حارث، و مالك، و ضرار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يوم السابع حلق رأسه و التصدق بوزنه ذهبا أو فضة، و الختان فيه و يجب عند البلوغ، و خفض الجواري و إن بلغن، و العقيقة عن الذكر أو الأنثى بالمثل بشرائط الأضحية، و لا تكفي الصدقة بثمنها، و تخصّ القابلة بالرجل و الورك، و لا يسقط عنه استحبابها لو أهمل الأب، و لا بموته بعد الزوال، و يكره للأبوين الأكل منها، و كسر العظام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محلّه منخرم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عنه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مقدّمات النكاح، 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تمامه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أباهي بكم الأمم يوم القيامة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الأوّل،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 الأوّل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نصّ الدعاء في الرواية المذكورة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 الأوّل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العامّة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نكاح في السرّ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الخطبة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الخبر المشار إليه في الصفحة المتقدّمة،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 الأوّل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محلّه منخرم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محله منخرم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دلالة الألفاظ و غيرها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استلزامه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محلّه منخرم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التمليك</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للتملك</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التمليك</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الفاضل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 الأوّل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و حمّاد بن عثمان و حفص بن البختري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مصححة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تمام النسخ، و لا يخفى عدم تماميّة العبارة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بما دلّ يظهر،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ذلك في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لكن كونه مراد المؤلّف قدّس سرّه من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متأخري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للمهر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محلّها منخرم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جواز النظر إلى الأجنبية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لاختيارها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اشترطنا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يطلع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لعل تذكير الضمير باعتبار رجوعه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يريد تزويجها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وردت العبارة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تزويجها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محل النقط منخرم بمقدار كلمتين، و لعلّهما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العلامة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حسنة محمد بن مسلم المتقدّمة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المحدث البحراني في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المحقق السبزواري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 الأوّل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 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السبزواري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المحقق البحراني في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البحراني في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لحاجة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تعالى قُلْ لِلْمُؤْمِنِينَ يَغُضُّوا مِنْ أَبْصٰارِهِمْ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يراد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 الأوّل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 الثاني،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فزنى العينين النظر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 الأوّل،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 من نظرة أورثت حسرة طويلة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إلى الفقيه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محله منخرم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بعين العبارة في المصادر الحديثية، نعم روي ما يقرب منه في المستدرك عن بعض نسخ الفقه المنسوب إلى الإمام الرضا عليه السلام، و ورد معناه في روايات العامة أيضا، انظر المستدرك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المنع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عنه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 و المسكة و هي القلب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دون الخمار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قال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دون الخمار، يعني ما يستره الخمار من الرأس و الرقبة، و هو ما عدا الوجه منهما، و ما دون السوارين يعني من اليدين، و هو ما عدا الكفين منهما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 الأوّل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نفس الباب،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يقدح</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لدليل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عن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الكفّ و موضع السوار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سيجي‌ء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العقصة، و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الناصية، و الجمع 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 الأوّل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منقولة بالمعنى، انظر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يجدي في ما نحن فيه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مكاتبة الصفّار المتقدّمة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و قد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لهذا الحديث لا يقرأ منه إلّا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الاعراض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الطاق في جواب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تتمّة الحديث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 كانت حلالا، و للناس إقدار و مراتب يرفعون أقدارهم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 الأوّل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منخرمة في مواضع، و ما يمكن قراءته فيها هو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تستحيون أنّ نساءكم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فعن الرجال في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يزاحمن العلوج في الأسواق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آكد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مظنة للشهوة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الاستحسان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محلّه منخرم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يا علي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يهلك الدين، و عنه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النكاح المحرم،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 في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فيدخل من الإثم عليّ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التسليم على النساء،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محلّه منخرم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يمكن قراءته فيها هو ما يلي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بحصول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احتماله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ما انخرم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أكثر ممّا أثبت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يخطر بالبال من النظر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محله منخرم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الريبة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وجه كان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المعبّر عنها بالضرورة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اضطرّوا 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مثل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حرم اللّٰه شيئا إلّا و أحلّه عند الاضطرار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القيام،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ينظر إليها،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إليها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 الأوّل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يريد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ليشهد بالزنا عليهما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عجوزة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 الأوّل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الرجل، و محله منخرم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سبع سنين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كتاب النكاح، الحديث </w:t>
      </w:r>
      <w:r>
        <w:rPr>
          <w:rFonts w:eastAsia="IRNazanin" w:cs="IRNazanin"/>
          <w:b w:val="false"/>
          <w:bCs w:val="false"/>
          <w:i w:val="false"/>
          <w:iCs w:val="false"/>
          <w:color w:val="333333"/>
          <w:sz w:val="20"/>
          <w:szCs w:val="20"/>
        </w:rPr>
        <w:t>4507</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و في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أبي الخطاب عن أحمد بن محمد بن أبي نصر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 الرواية في قرب الإسناد بعد ما حكيتها عن الحدائق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شعر الرأس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المحدث البحراني في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الروايتين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كتاب النكاح، الحديث الأوّل، و عنه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ورقتين تتعلّق بالمكاسب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غير مرتبطة بالمقام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تتمة المطلب في ما بعد الورقتين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إطلاق الأجنبيّ في كلماتهم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يلزمها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عموم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 الأوّل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الإمساك</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مالكتها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مولاتها، و الأخبار هي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الشيخ على التقية، انظر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الخصايا،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يعرف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 من قوله تعالى وَ لٰا يُبْدِينَ زِينَتَهُنَّ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مَلَكَتْ أَيْمٰانُهُنَّ، لكنّه قوّى عدم كونه محرما، انظر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كتاب النكاح،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وجب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 الأوّل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المسألة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قائل بالحرمة مطلقا عدا المحقق في الشرائع و العلّامة في بعض كتبه، و في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هذا القول إلى المحقق في الشرائع و العلّامة في القواعد و التحرير و الإرشاد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 الأوّل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فلدلالتها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 آدابه،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4940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مكارم أخلاقه صلّى اللّٰه عليه و آله و سلّم،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 الحديث الأوّل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استغنى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لمسه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يجري الاستصحاب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بالرجال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كتاب النكاح،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 الشهيد في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كتاب النكاح، 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تأتي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للحديث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 الأوّل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الوأد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أورده صاحب الحدائق في 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ورد في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 الأوّل، عن الإمام علي عليه السلام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كالمحدث البحراني في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صاحب الجواهر في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 الأوّل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كانت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الصحيح عن الحذّاء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فشطب المؤلف قدس سره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فأصبحت العبارة مضطربة، و الظاهر أنّه أراد الشطب على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الحذّاء قال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 الأوّل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 الأوّل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حدّة اللسان،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سليط، أي صخّاب بذي‌ء اللسان، و امرأة سليطة كذلك، راجع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 السيوري في التنقيح الرائع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الكاشاني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 الأوّل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للأصل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علما بأنّ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نجد فيه حكاية الاتفاق، بل حكايته موجودة في المسالك، و نقله عنه في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 الأوّل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16678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يكون بإذنها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من أبواب مقدمات النكاح، ذيل الحديث الأوّل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45917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كان كذا في نسخة المؤلّف قدّس سرّه، و في الإرشاد المطبوع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أركانه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السند في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السيد الطباطبائي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المحدث البحراني في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بالمضارع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التزويج على سورة من القرآن،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التزويج على العمل يعمل، الحديث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الرهن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فاللفظ الصريح في الإيجاب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تظهر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حصول الانخرام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زوّجتك و أنكحتك</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الباب الأوّل من أبواب عقد النكاح و أولياء العقد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بعدم الانعقاد ذهب إليه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عنه فخر المحققين في 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في 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الشيخ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القول بالانعقاد ذهب إليه الماتن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بمقدار كلمتين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زوّجتك، 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هذا الحديث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مسلم عن أبي جعفر عليه السلام، من دون ذكر لسهل الساعدي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تفاوت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الحلّي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قال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صحّ 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علّله في الشرائع بأنّ نعم يتضمّن إعادة السؤال، و الظاهر أنّ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أراد به الإنشاء، انظر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 الأوّل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للتزويج</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التزوّج</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للتسلّط</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المتزوّج</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زوّجتك</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 الأوّل، و فيه تقديم و تأخير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ريب 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كشف اللثام، 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محلها منخرم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تحقق الفصل أو انقضاء</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طويلة ذهب بعضها، و ما يمكن قراءته منها هو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العقد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مدلوله إلى تمام العقد المجلس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الثالث، بل يصير العقد بالنسبة إليه كالكتابة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المحتمل أن يكون المؤلف قدس سره قد أعرض عن هذه العبارة؛ فإنّ ناسخي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يوردا ذلك</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شروطه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ينعقد النكاح بكلّ لفظ يقتضي التمليك كالبيع و التمليك، و الهبة و الصدقة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المجموع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فجوّزه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ذكر المهر مع الألفاظ التي تقتضي التمليك انعقد بهما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المجموع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الثاني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 الحديث الأوّل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السند في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السبزواري في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يدلّ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القول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تقابل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حينئذ</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الجواهر قدّس سرّه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فجنّ القابل أو أغمي عليه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روي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التزويج الدائم لا يكون إلّا بوليّ و شاهدين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بعدهما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المطلب الثالث، 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أي إن لم يكن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 الحديث الأوّل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المسمّاة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المعقوفات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محل العبارة و النقاط منخرم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يخفى عدم تمامية العبارة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لا يسمع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للمدعي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السيّد السند في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الأزمنة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محلها منخرم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لم نقف على المعترف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كيفية الحكم و أحكام الدعوى،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 الأوّل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مرجع هذه الشهادة إلى أنّ اعتماد كلّ من البينتين فيما تشهدان به إنّما هو على ظاهر العقد مع عدم العلم حيث لم يعلموا بفسادها من جهة سبق عقد إحداهما على الأخرى</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 الأوّل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بكذبها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 أو ملّكه إيّاه بعد الإيقاع، فالعقد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تمليكه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و نكت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الإذن في الشراء للعبد تعلّق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كالمحدّث البحراني في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الجواهر في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للمولى، و إلّا فيتبعه حكم الملحوظ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بطلان العقد في الثاني ما لا يمنع من ملكية العبد و لو بالتمليك، فمتى ملك العبد زوجته بطل النكاح بينهما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أبواب ميراث الأزواج، الحديث الأوّل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 الأوّل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فيه سألت أبا عبد اللّٰه عليه السلام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غير مقروءة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الطرح</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 الأوّل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الاخبار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بعضها في الصفحة السابقة، انظر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و 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روايتا أبان و الفضل بن عبد الملك، المتقدّمتان في الصفحة السابقة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البالغ</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جوابات المسائل الموصلية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 الأوّل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فنكاحها باطل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الحديث الأوّل، و عنه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 الأوّل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الصحيحة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الرواية 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على الصغيرة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فيه اختلاف يسير عمّا في المتن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الكركي في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صاحب الجواهر في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يذكره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كتاب النكاح،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متأخر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حكاه عن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الجواهر في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طبقها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الجواهر قدّس سرّه، انظر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و شرحها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لا تزوّج</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الكركي في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المحدث البحراني في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المشهور المحدث البحراني في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لاشتمالها على جماعة من الواقفة، انظر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الجنيد على ما 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 الصدوق في 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الشيخ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 أبي الصلاح في الكافي في الفقه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موانع الإرث،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ولايتهما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المحدث البحراني في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حكاه عنه المحدث البحراني في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عجيب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فالأقوى</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و غيره من الأبواب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 الأوّل،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بمنزلة دين له استدانه بأمر سيّده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 الأوّل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الإباق</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صاحب الجواهر في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صاحب الجواهر في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 في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التكسب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صاحب الجواهر في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صاحب الجواهر في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بإذن مولاها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 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باستحقاق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كما ترى</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ينبغي الحكم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المحدّث البحراني في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المقاصد و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و الصداق</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و ردّه المحدث البحراني في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 في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 حكاه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مضافا إلى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المؤلّف قدّس سرّه فوقها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روايتي أبي بصير و علي بن حنظلة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 الأوّل و الثاني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كتاب النكاح، المسألة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كتاب النكاح، المسألة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حكاه عنه صاحب الجواهر في الجواهر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أعتق</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أفراد في كل زمان فردا له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الثابت للفرد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أو تحت عبد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صاحب المدارك في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 الأوّل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 اختلاف يسير عما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 الأوّل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سعيد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المحقق الكركي في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لوصيته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مال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الوكالة، ذيل الحديث الأوّل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 أبواب أحكام الوصايا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و عنهما في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الوصايا، الحديث الأوّل</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يثبت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 الأوّل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القاضي،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 أمناء الرسل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المجموع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دليل يساعدهما كما لا يخفى</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التزويج</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فيقتصر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 الحديث الأوّل، و 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 اختلاف يسير، و عنه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لو عمّ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محتاج</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حينهما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 الأوّل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صحتها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تظهر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الكلمات غير مقروءة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ابنه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فأيضا فإقراره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يوافقه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الأخرى</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فعقداها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الصحيح</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الصحيح</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حينئذ</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الصحيح</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هو الصحيح</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يزوجانها بالكف‌ء</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آدابه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المصلحة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ورد في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الطلاق</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سيّما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الاعتراض</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يؤذن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صاحب الجواهر في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تظهر في مصورة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بتلك</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كرضى المشتري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تزويجها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الجواهر في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الباب الأوّل من أبواب العيوب و التدليس</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يكون الفرج ملتحما ليس فيه للذكر 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ينبت في الفرج في مدخل الفرج، و قد يكون عظما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المحقق الكركي في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صاحب المدارك في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 الأوّل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موانع الإرث،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 كذا قالوا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 الأوّل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الشيخ الطوسي قدّس سرّه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المقاومة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 منها قاعدة قبح التصرّف بمال الغير بدون إذنه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الحجر، و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انظر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انظر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اشترط</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الأحاديث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 الأوّل</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أكرهها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لم يذكر جميل، بل رواه عن علي بن حديد عن بعض أصحابه عن أحدهما عليهما السلام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حكى هذا القول عن جماعة المحقق الكركي في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البحراني في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صاحب الجواهر في الجواهر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اللفظ، نعم في سنن 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نهى النبي صلّى اللّٰه عليه و آله و سلّم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 البغي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الكركي في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البحراني في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بمستحقه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باب الرجل يحلّ جاريته لأخيه، الحديث الأوّل، و عنه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 الأوّل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 الأوّل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التملك</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المؤلّف قدّس سرّه فوق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صحيحة لمحمد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 الأوّل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حكاه فخر المحققين في 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البراج</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حكاه فخر المحققين في 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حمزة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فخر المحققين في 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 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بالحرمة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4446</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زعموا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 الأوّل، و قد 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المصححة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المحدث البحراني في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مهر لها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 على ما نصّ عليه غير واحد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المحدث البحراني في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الأوّل، و انظر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لفوات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 الأوّل،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حديد عن بعض أصحابه عن أحدهما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 أبو الصلاح الحلبي في الكافي في الفقه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المدارك في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المحدث البحراني في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استدامة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المستلزمة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تزويج الحرّة نفسها من عبد بغير إذن مواليه، الحديث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نكاح المرأة التي بعضها حرّ و بعضها رقّ،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المحدّث البحراني في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في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الفاضل المقداد في التنقيح الرائع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 الأول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الفاضل المقداد في التنقيح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المحقق الثاني في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 المحدث البحراني في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السيد الطباطبائي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 شرائطه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الأوّل و الثاني،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 شرائطه، الحديث الأوّل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 صاحب الجواهر في الجواهر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كله يعلم ضعف المحكي عن الحلبي من أنّ للسيد إجباره على الطلاق محتجا بما دلّ من وجوب الطاعة عليه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 الأوّل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صاحب المدارك في نهاية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و حكاه عنه المحدّث البحراني في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الطوسي في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ابن إدريس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 حكاه المحدّث البحراني في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صاحب الجواهر في الجواهر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هذه العبارة في النسخ بدون شرح،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بمقدار نصف صفحة، و ما بين المعقوفتين من الإرشاد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التنقيح الرائع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يحيى بن سعيد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 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المحقق الثاني في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المطلب أخذناه من الإرشاد، و لم نقف على شرحه فيما بأيدينا من النسخ، و محله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بمقدار نصف صفحة،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 يشترط في محلّ المتعة إذا كان الزوج مسلما أن تكون الزوجة مسلمة، أو كتابية كاليهوديّة و النصرانيّة و المجوسيّة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يجوز للمسلم التمتّع بالوثنيّة، و لا بالناصبيّة المعلنة لعداوتها أهل البيت عليهم السلام كالخوارج؛ لكونها كافرة غير أهل الكتاب، و عدم جواز نكاح المسلم على الكافرة غير الكتابيّة لا دواما و لا متعة، و كذا المسلمة لا تستمتع إلّا بالمسلم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لا يستمتع أمة و عنده حرّة إلّا بإذنها، و لا يدخل عليها بنت أخيها و لا بنت أختها إلّا مع إذنها، إلى غير ذلك ممّا تشترك فيه الدائمة و المنقطعة، فراجع</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المحدث البحراني في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صاحب الجواهر في الجواهر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 المحقق الكركي في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الصلاح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 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 النكاح الباتّ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الدائم، انظر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الاستحياء</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الجواهر قدّس سرّه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الملكية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بالعوض</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الصلاح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 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ينعقد دائما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عبارة قد حصل انخرام في بعض كلماتها و الذي يمكن قراءته منها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اقتضتها العبارة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 الأوّل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صريحة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صاحب الجواهر فيما تقدم من كلامه، انظر الصفحة السابقة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رواية أبان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 حكاه عنه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المحدّث البحراني في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صاحب الجواهر في الجواهر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كان فيشترط</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 الأوّل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هي مستأجرة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 الأوّل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صاحب المدارك في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لا؟ قولان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منصرف</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بمنزلتها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أبو الصلاح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 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قد 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وطؤها بعد ذلك</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كون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 الأوّل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عقدها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النقط منخرم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محلّه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بعده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بعينه، و لعله يستفاد ممّا في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الأوّل، و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الخبر الثاني</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جماعة منهم أبو الصلاح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 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ابن الجنيد و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عنهما صاحب الجواهر في الجواهر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بابويه في 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يقع الظهار إلّا على موضع الطلاق</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الإيلاء الذي هو أحد الأمرين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شرطه لها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أبو الصلاح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ابن إدريس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 المحقق الكركي في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 حكاه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الكيدري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يدلّ على ذلك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 أبواب المتعة و غيره من الأبواب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 ذهب إليه أيضا الشيخ المفيد في المقنعة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 ابن إدريس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حرّة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أبي عقيل كما 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و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و 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الأحاديث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يستباح</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 الأوّل، و 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 نحوها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يحلّ لأحد أن يتصرف في مال غيره، بغير 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الغصب،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جمع من الأصحاب منهم شيخنا الشهيد الثاني في المسالك</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المالك عند اللّٰه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أحكام المصاهرة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الابن خاصّة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 الأوّل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 الأوّل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حسنة بكير و بريد المتقدّمة أعلاه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 الأول</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الذي عثرنا عليه في كلام ابن إدريس التعميم، انظر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 الأوّل، و انظر إسناد الكليني في ذيل الحديث الأوّل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و انظر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 الأوّل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 الأوّل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السيد الطباطبائي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المحدّث البحراني في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حكاها السبزواري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قدس سره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 أبو الصلاح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الشيخ 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كتاب النكاح،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4444</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 الأوّل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أوردها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من دون نسبة إلى التهذيب، هذا و قد قال صاحب المدارك في نهاية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جدي قدس سره في المسالك أوردها على غير هذا الوجه،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أقف على هذه الرواية في شي‌ء من كتب الحديث، و لا في كتب الاستدلال و لا يبعد أن تكون موهومة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ظاهر قول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الجنيد كما نقل عنه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 الأوّل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النسبة إلى المصنف</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 الأوّل</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الحديث الأوّل، و عنه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لمالكين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به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نكاح</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صرح غير واحد بعدم الكفاية منهم المحقق الثاني في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الشيخ في النهاية و أتباعه، و المرتضى و ابن زهرة و المصنف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لا يفيد 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ابن إدريس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 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و غيره من الأبواب</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الصفحات</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الثاني في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ما يحلّ للمملوك من النساء،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الأب على رأي</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4578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الباب الأوّل من أبواب المهور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 صاحب الجواهر في الجواهر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العموم مع مقيداته في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الباب الأوّل من أبواب المهور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 الأوّل من أبواب المهور، الحديث الأوّل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 أبواب المهور، الحديث الأوّل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به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كتاب الصداق،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المقنعة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و 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الشهيد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 الأوّل</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ظاهر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الباب الأوّل من أبواب المهور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العقد صحيح بلا إشكال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الدخول على رأي</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الشيخ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الشيخ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 الأوّل من أبواب المهور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 الأوّل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 الأوّل و الثاني</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xml:space="preserve">، و رواه في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أبي عمير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أبواب المهور، الحديث الأوّل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هي أي الزوجة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بالقراءة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 تعلّمها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هنا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الثاني في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 صاحب الجواهر في الجواهر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كتاب الصداق، المسألة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 صاحب الجواهر في الجواهر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قصده أو عدم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محله مخترم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 الأوّل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 في الإرشاد قبل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بعد الدخول على 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صاحب المدارك في نهاية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الأكثر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حكاه عنه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ابن زهرة في 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السيد الطباطبائي في 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الأشهر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نكاح</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قال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و ادّعى تواترها صاحب الجواهر، راجع الجواهر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الخاتم</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 انظر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طلّقها حينئذ</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 فيه عند جميع الأصحاب</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 الأول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غيرهم، راجع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صاحب المدارك في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 صاحب المدارك في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 غيرهما، و لكن لم نقف عليه في الخلاف</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تملّك</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 الأوّل</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 الأوّل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 الأوّل</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محله منخرم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المثل</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كتاب الصداق،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و غيرهما من الأبواب</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 أولياء العقد،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صاحب الجواهر في الجواهر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من أبواب ما يكتسب به،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 شي‌ء منها 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محلّها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الرهن أو التدبير أو العتق أو التلف</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ما وجد بخطّه الشريف قدّس سرّه في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كتاب النكاح و يتلوه كتاب الرضاع، الحمد للّٰه أوّلا و آخرا</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المطلب من الإرشاد، و لم نقف على شرح المؤلّف قدّس سرّه له في ما بأيدينا من النسخ</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المسائل من الإرشاد، و لم نقف على شرح المؤلّف قدّس سرّه لها في ما بأيدينا من النسخ</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من الإرشاد، و لم نقف على شرح المؤلّف قدّس سرّه له، و إنّما كتب في الرضاع رسالة مستقلّة نوردها في ما يلي</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المصوّرة من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أعرض عمّا كتبه إلى هنا، و بدأ بالكتابة من جديد، حيث كتب في هامش الصفحة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أجمع علماء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جعله أوّل الكتاب، ثمّ ربطه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ينشر على المعروف بين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يؤيّد الإعراض عدم ورود هذا المقدار في نسخة خطيّة أخرى، و لكن ورد المقدار المعرض عنه في النسخ المطبوعة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الباب الأوّل من أبواب ما يحرم بالرضاع</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ما بين المعقوفتين في النسخ المطبوعة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لم يخرج من مدارك الأحكام إلّا العبادات إلى آخر كتاب الحجّ، و ما نسبه إليه موجود في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لصاحب المدارك قدّس سرّه، و لعلّ المؤلف قدّس سرّه كان يراها تتمّة للمدارك، و اللّٰه أعلم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 الأوّل</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 السابقة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سبقتا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لصاحب المدارك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انظر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الشهيد الثاني قدّس سرّه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قدّس سرّه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ثمّ تردّد فيه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الاستدلال بذلك من كلام غير واحد مثل العلّامة في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 المحقّق الثاني في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ثاني الشهيدين في الروضة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السيّد الطباطبائي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أولاد المرضعة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 الأوّل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تمّت السنتان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الوسائل</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عن الصادقين عليهما السلام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ظاهر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إلى الليث من فقهاء العامّة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 الأوّل</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قوله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ينبت اللحم أو يشدّ العظم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 الأوّل</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في عدّة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فلأجل ما قلناه عملت الطائفة بأخبار الفطحيّة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تسمية الفقهاء من أصحاب أبي إبراهيم و أبي الحسن الرضا عليهما السلام، رقم الترجمة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رضعه رضعة ناقصة ثمّ أكملها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أنّها من سهو القلم، و إن كان توجيهها ممكنا</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تخلّل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 الأوّل</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زيادتها، إذ لم نعثر في المقام على رواية من السكوني إلّا العلويّ الآتي</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 روى العامّة عن عليّ عليه السلام أنّ النبيّ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 الرضعة ما يحرّم الحولان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المتقدمتان أعلاه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المتقدمتان أعلاه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المقدار المحرّم من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قوما قالوا فيه بعدم التحديد، و هو مذهب مالك و أصحابه، و روي عن عليّ و ابن مسعود، و هو قول ابن عمر و ابن عبّاس؛ و هؤلاء يحرم عندهم أيّ قدر كان، و به قال أبو حنيفة و أصحابه و الثوري و الأوزاعي</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كلّ من قال بوثاقة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في سند الرواية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التهذيبين و الفقيه، لكن في الوسائل في إحدى الروايتين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المخبورة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في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اضطربت النسخ في ذلك، ففي بعضها بالحاء المهملة و في بعضها بالجيم و في بعضها بالخاء المعجمة، و لعلّه الصواب، و يكون المخبور بمعنى المعلوم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هنا خلط بين الخبرين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هو الثاني</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الرضعة و الثنتان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العلّامة قدّس سرّه في الخلاصة في القسم الثاني، و نقل توثيق الشيخ المفيد رحمه اللّٰه و تضعيف الشيخ الطوسي و النجاشي و ابن الغضائري؛ ثمّ توقّف في الرجل استنادا إلى قول الفضل بن شاذان، انظر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رواية هارون بن مسلم، المتقدّمة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أيضا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استخفّت</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استحيا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قدّس سرّه في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فالمرجع في ذلك إلى 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 أصحابنا خاصّة قدّروا الرضع بما يروى الصبيّ منه و يمسك منه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التهذيب و الوسائل</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شبهة في اعتبار التوالي</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عنه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 الأوّل</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 الأوّل</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لا يخفى أنّه قدّس سرّه لم يذكر إلّا أربعة شروط</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فليس في كلامه التصريح بالمسألة و لا التمسّك برواية محمّد بن عبيدة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قدّس سرّه في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 حكاه عنه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صرّح بذلك من متأخّري المتأخّرين صاحب الجواهر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بالنسب</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أثبتناه</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السيّد الداماد في رسالته المسمّاة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ضوابط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المحقّقين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الآخوند الملّا أبو الحسن الشريف جدّ صاحب الجواهر، انظر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شمول العامّ،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شمولات العامّ</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يحرم من النسب فهو يحرم من الرضاع</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النسبيّتين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يحرم من النسب فهو يحرم من الرضاع</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المناسب لسياق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التمثيل بالفاعل، و العبارة لا تخلو من إغلاق</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الوسائل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سائر النسخ 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ارتضع</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لك ذلك</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لا تحلّ له</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خبري التهذيب و الكافي</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المحدّث البحراني في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انظر الخلاف، كتاب النكاح،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المسألة الاولى من كتاب الرضاع</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كونهما، و الظاهر أنّه سهو</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هامش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النهاية و الخلاف</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محكيّ عن الشهيد في بعض تحقيقاته، كما في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قوّاه المحقّق السبزواري في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كتاب الرضاع،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و يدلّ عليه أيضا أخبار 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جرى بقلم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أبناء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كتاب النكاح، المسألة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المسألة الاولى من كتاب الرضاع</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محكيّ عن الشهيد في بعض تحقيقاته، كما في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قوّاه المحقّق السبزواري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4670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رواه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كذا الذي قبله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ابنتها، و لعلّ تذكير الضمير باعتبار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بنتها، و لعلّ تذكير الضمير باعتبار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لأنّها أرضعت ابنته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بتبعيّة جماعة للشيخ، لكن لم نقف إلّا على العلّامة في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الضمان</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مشطوب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يرد في النسخ المطبوعة، و مقتضى السياق إثباته، و الظاهر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وسط الفقرة</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 ما بين المعقوفتين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لم يشهد لها عليه بذلك الذي قال له، حلّ لها أن تتزوّج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الرضاعيّة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الرضاعية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غير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كتاب الرضاع،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فكذا من 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سهو قلمه الشريف</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كتاب الرضاع،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الرضاع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المحقّقين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الرضاعية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السيّد الداماد في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الرضاع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المحقّقين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من سهو قلمه الشريف، و في النسخ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أوّلا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 عليها و كتب ثانيا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كتبه أوّلا، و لم نعلم وجه الإعراض عنه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موجبة، و المناسب ما أثبتناه، كما في النسخ المطبوعة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تنتهي 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الباقي موجود في النسخ المطبوعة</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إلى هنا من الإرشاد،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بمقدار كلمات</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لم يدخل</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الأحاديث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 الأوّل</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عليها بعد الفحص، و لم نجد الاستدلال بها في مثل الحدائق و الجواهر في مسألة الوطء بالشبهة</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نكاح،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النكاح</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 السيد الطباطبائي في 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ابن إدريس</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الأحاديث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 الأوّل</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الأحاديث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 الأوّل</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للشبهة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ابن إدريس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 الأوّل</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4435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كتاب النكاح،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 الأوّل</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سندا و إفادة</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الباب الأول من أبواب ما يحرم بالرضاع، الحديث الأول</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معناه كما مرّ أنّ العلاقة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حرّمه منه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أبواب ما يحرم بالمصاهرة</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نقلا عن المختلف</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الأحاديث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المتأخرين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الجواهر في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أكثر أخبار الباب المتقدّم</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الشيخين و أتباعهما،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نسبه غير واحد إلى الأكثر</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الإرشاد، و لم نقف على شرح المؤلّف قدّس سرّه له</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لم نعثر على غيرها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الإرسال، فلأنّه رواها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الضعف، فمن جهة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السندي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من أحلّ اللّٰه نكاحه من النساء، الحديث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الجمع بين الأختين،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باب ما أحلّ اللّٰه عزّ و جلّ من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 الأول</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هو رأي الشيخ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ابن إدريس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و 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أكثر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جامع 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بعدم الخلاف</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على من صرّح بالإجماع في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أرسلوها إرسال المسلّمات، انظر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 الأوّل</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مختلفة في العنوان من حيث الزيادة و النقصان، 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المحدث البحراني في 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غير واحد من المحقّقين</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الباب الأوّل من أبواب ما يحرم بالكفر و نحوه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المحدث البحراني في 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خامس الأقوال،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نقل عن أبي الصلاح و سلّار إنّه اختيار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استظهره من كلام الشيخ في المبسوط</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يحرم بالكفر،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نكاح المشركين و الكفّار، 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نقلا عن نوادر الرواندي</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الطباطبائي في 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صريح المرتضى و الغنية و ظاهر سلّار و التبيان و مجمع البيان و السرائر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 الأوّل</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مذهب المرتضى، و الشيخ في أحد قوليه و قوّاه ابن إدريس، كما في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منقول عن الصدوقين، و ابن أبي عقيل، كما في الحدائق أيضا</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 معاوية بن وهب المرويّ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 الأوّل</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خبر أبي بصير المرويّ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الأوّل، و روايات أخر، راجع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يحرم بالكفر،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يحرم بالكفر،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لابن قدامة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بين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بحمد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في حِلّ حرائر نساء أهل الكتاب</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الحديث الأول</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 الأوّل</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الجواهر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نبيّ</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قدّس سرّه في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السامرة و الصابئون، فقد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السامرة قوم من اليهود و الصابئون قوم من النصارى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في الصابئي أنّهم غير النصارى</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صبي</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صبأ</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في بعض الكلمات</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مع تفاوت في العبارة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المحقق الثاني في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المحدث البحراني في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صاحب الجواهر في الجواهر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انفسخ العقد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التصريح بذلك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النكاح، المسألة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 سندها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 الأوّل</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انفسخ العقد</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الإرشاد، و لم يرد في النسخ</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المرتدّ،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دامت فيه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مع تفاوت في العبارة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خلاف</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كون الفسخ طلاقا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المرأة</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رواه في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حدّ المرتدّ،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مهر ثان</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عبارة الشيخ هنا ليست بذلك التفصيل، فلاحظ</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آخر ما ورد في الصفحة اليمنى من الورقة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إرشاد الأذهان، و لم نجد شرحه فيما بأيدينا من النسخ؛ و لعلّ المؤلف قدّس سرّه لم يشرحه، و احتمال سقوط أوراق من النسخة الأصليّة أيضا غير بعيد</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بأكمله من الإرشاد، و لم نقف على شرح المؤلف قدّس سرّه له فيما بأيدينا من النسخ</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الخاتمة من الإرشاد، و لم نقف على شرح لها فيما بأيدينا من النسخ</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أوّل ما ورد في الصفحة اليسرى من الورقة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العنوان أخذناه من الإرشاد، و محله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قدّس سرّه في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و الشهيد الثاني قدّس سرّه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 من تأخّر عنهما، كصاحب الحدائق و صاحب الرياض و صاحب الجواهر قدّس سرّهم</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 الحديث الأوّل</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العلّامة قدّس سرّه في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 الشهيد الثاني قدّس سرّه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 الحديث الأوّل</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صاحب الجواهر في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واحد من الأصحاب</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السيّد الطباطبائي قدّس سرّه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موضع وفاق</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 السابق</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 الحديث الأوّل</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الطباطبائي قدّس سرّه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 الأوّل</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الشيخ الطوسي قدّس سرّه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 الحديث الأوّل</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بإجماعنا المستفيض نقله في كلام جماعة من أصحابنا</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فراقه</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للعدّة</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الحديث الأول</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في الفقيه، و لم ينقل عنه في الوسائل أيضا</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 الأول</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 الأول</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المستدرك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أحمد بن محمّد بن عيسى</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أبواب الثلاثين و ما فوقه،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ذيل تفسير الآية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الحديث عن المعلّى بن خنيس</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نكحت</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تخلّل</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العقد و استأنفه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بالعدّة</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قدّس سرّه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المساواة يصلح دليلا</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يقصر</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 الأوّل</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الصدر</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تفاوت</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 أبواب ما يحرم بالمصاهرة،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 نحوها،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ذلك من أبواب متفرّقة في النكاح و الطلاق و الإرث و الحدود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المحقّق الثاني قدّس سرّه في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يدلّ على أغلظيّة حرمة التغنّي بالقرآن، راجع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الإرشاد و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بغيرهما</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غيرها الخالية</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أبواب الثلاثين و ما فوقه،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 الأوّل</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الجواهر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تروك الإحرام، و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 الأوّل</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الانتصار و الخلاف، و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عن الغنية و التذكرة و غيرهما</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غيّره المؤلّف قدّس سرّه لتستقيم العبارة</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اقتضتها العبارة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تفاوت</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المحدث البحراني في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عن السيّد السند في شرح النافع</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المحقق الثاني في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غيرهم قدّس سرّهم</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قذفها</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في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رواية أبي بصير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الرواية دلّت على اعتبار الصمم و الخرس معا</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الغنية و السرائر السيد الطباطبائي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قدّس سرّه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من يحرم نكاحهنّ بالأسباب،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حكاه السيد الطباطبائي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اللعان،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من الإرشاد، و لم نقف على شرح المؤلف قدّس سرّه له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المحقّق الثاني في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المحدث البحراني في الحدائق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قدّس سرّه في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صيرورة مسلك البول و الحيض واحدا أو مسلك الحيض و الغائط على رأى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نسبه في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ابن سعيد، لكنّا لم نعثر عليه في الجامع للشرائع، و في نزهة الناظر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الإفضاء هو أن يصير مخرج المنيّ و الحيض و الولد واحدا، لأنّ بينهما حاجزا رقيقا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خلاف ما نسب إليه</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في 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يعقوب</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 الأول</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 الأوّل</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الباب الأوّل من أبواب النفقات</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من الإرشاد، و لم نقف على شرح المؤلف قدّس سرّه لها</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باب المدالسة في النكاح و ما تردّ منه المرأة،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فانا لم نجد فيه إلّا نسبة القول بردّ العرجاء إلى ابن الجنيد من دون تعرض لما إذا كان قبل العقد أو بعده، نعم نقل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حدث ما يوجب 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الدخول لم يفرّق بينهما إلّا الجنون فقط</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ففي الموضع الأوّل قوّى عدم الخيار لها، و في الثاني قوّى ثبوت الخيار للرجل و اكتفى في المرأة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فيه قولان</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الباب الأوّل من أبواب العيوب و التدليس، الحديث الأوّل</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العيوب و التدليس، الحديث الأوّل، و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قطع به الشيخ و الأكثر</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عن الشيخ و الأكثر عدم ثبوت الخيار أيضا</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يقوى إثبات الخيار مطلقا وفاقا لإطلاق الأكثر و نصّ المحقّق</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الباب الأوّل من أبواب العيوب و التدليس</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بشهادة طبيبين عدلين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فيه إلى طبيبين عارفين</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 الأوّل</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العيوب و التدليس،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ظاهر الشيخ في المبسوط و الخلاف و ابن البرّاج في المهذّب و الصدوق في المقنع، لأنّهم لم يعدّوه من عيوب المرأة</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الأوّل، و أورد صدره في الباب الأوّل،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4499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نسبه في 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أكثر القدماء</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 المحقّق الكركي في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ثاني الشهيدين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 الأوّل، بتفاوت يسير</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العيوب و التدليس،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المعترض هو المحدث البحراني قدّس سرّه في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التدليس في النكاح،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القاموس أنّه بمعنى الخصاء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النكاح، المسألة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أورده إيرادا لا اعتقادا، فراجع</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الحدائق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ظاهر كلام الفقهاء</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 الأوّل</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الثاني في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المحدّث البحراني في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الطباطبائي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و يستفاد ذلك من مفهوم كلامه، فراجع</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عليه السلام في رواية أبي حمزة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وصل إليها و إلّا فرّق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 الأوّل</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أبي بصير و الضبي و عمّار بن موسى،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الصدوق في 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الشيخ قدّس سرّه في الخلاف إلى رواية أصحابنا،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هو المعمول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الخلاف، كتاب النكاح، المسألة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الذي ورد هنا منقول بالمعنى</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 الأوّل</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التفصيل في الخلاف، نعم ادّعي الإجماع فيه على أنّ الجبّ من العيوب المجوّزة للفسخ،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النكاح،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فسخ</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التحرير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الأقرب في الجبّ المتجدّد بعد الوطء ثبوت الخيار</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 الأوّل</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 و لم نقف على شرح المؤلف قدّس سرّه له</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الباب الأوّل من أبواب العيوب و التدليس</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تملّك الصداق بالعقد على المشهور و استقرّ ملكها</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حصل العيب الحادث</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مستندهم في الحكم إطلاق صحيحة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العيوب و التدليس، الحديث الأوّل، و استدلّ عليه في الجواهر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بصحيح أبي عبيدة أيضا؛ و لم نعثر على غيرهما، فلاحظ</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حكاه عنه و عن الخلاف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رواه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العيوب و التدليس،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الحديث الأوّل</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 و نقل كلاما عن المبسوط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يدلّ على تردّده؛ راجع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لضرب</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العيوب و التدليس،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الحديث الأوّل</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الطباطبائي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و أكثر الأصحاب</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الطباطبائي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الصدوقين</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نقلا بالمعنى</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القول إلى ابن الجنيد، لكن الذي نقل عنه في المختلف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صورة الرجوع إلى الوليّ، فراجع</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تكن هي المدلّس</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النكاح، المسألة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الطباطبائي قدّس سرّه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الموالي</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لم يعيّن المعلّل</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أذن المولى لها في التزوّج</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أبواب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 الأوّل</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بنت أمة، فله الفسخ</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و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وجه القول الثاني بورود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ينقص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يخفى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سهو القلم، و إن كانت العبارة على جميع النسخ لا تخلو من إشكال</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في مصحّحة محمّد بن جزك، و 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ينتقص</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خيار بدون الشرط</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ما وجدناه من شرح المؤلف قدّس سرّه على الإرشاد، و لم نقف على شرح ما بعده من النكت المتفرقة و المقصد الخامس بأكمله</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الإرشاد</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هذه النكت من الإرشاد، و لم نقف على شرح المؤلف قدّس سرّه لها فيما بأيدينا من النسخ</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المقصد بأكمله إلى آخر الكتاب، من الإرشاد، و لم نقف على شرح المؤلف قدّس سرّه له فيما بأيدينا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تعرض قدّس سرّه للبحث عن مسألة القسمة بصورة مستقلة، و ستأتي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وردت هذه المسألة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الصفحة اليسرى من الورقة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الصفحة اليمنى من الورقة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أطبقت عليه المسلمون</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أبواب القسم و النشوز و الشقاق</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الشهيد الثاني قدّس سرّه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و المحدّث البحراني قدّس سرّه في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 السيّد الطباطبائي قدّس سرّه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السند صاحب المدارك، حكاه عنه صاحب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و الشقاق،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صحّح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وجوب قسم الحرّة بالثلثين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الأمة بالثلث</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11283</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كتاب الوصايا، و الزيادة من المصدر</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و الشقاق،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و الشقاق،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و الشقاق،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و الشقاق،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و الشقاق،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 النشوز و الشقاق،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يستفاد من كلام صاحب الحدائق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النفقات،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 الأوّل</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التضجّر و الملل، راجع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464</Pages>
  <Words>27066</Words>
  <Characters>109119</Characters>
  <CharactersWithSpaces>135236</CharactersWithSpaces>
  <Paragraphs>950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2026-08-26T01:21:58Z</dcterms:created>
  <dc:creator>ghaemiyeh.com</dc:creator>
  <dc:description/>
  <dc:language>en-US</dc:language>
  <cp:lastModifiedBy/>
  <dcterms:modified xsi:type="dcterms:W3CDTF">2026-08-26T04:52:17Z</dcterms:modified>
  <cp:revision>1</cp:revision>
  <dc:subject/>
  <dc:title>کتاب النکاح</dc:title>
</cp:coreProperties>
</file>

<file path=docProps/custom.xml><?xml version="1.0" encoding="utf-8"?>
<Properties xmlns="http://schemas.openxmlformats.org/officeDocument/2006/custom-properties" xmlns:vt="http://schemas.openxmlformats.org/officeDocument/2006/docPropsVTypes"/>
</file>