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عوائد القواعد الفقهیّة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44898_128044782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1944900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944902_1280447820">
            <w:r>
              <w:rPr>
                <w:webHidden/>
                <w:rStyle w:val="IndexLink"/>
                <w:rtl w:val="true"/>
              </w:rPr>
              <w:t>الفهرس الإجمالي</w:t>
            </w:r>
            <w:r>
              <w:rPr>
                <w:rStyle w:val="IndexLink"/>
                <w:rtl w:val="true"/>
              </w:rPr>
              <w:tab/>
            </w:r>
            <w:r>
              <w:rPr>
                <w:rStyle w:val="IndexLink"/>
              </w:rPr>
              <w:t>13</w:t>
            </w:r>
          </w:hyperlink>
        </w:p>
        <w:p>
          <w:pPr>
            <w:pStyle w:val="Contents2"/>
            <w:tabs>
              <w:tab w:val="clear" w:pos="8743"/>
              <w:tab w:val="right" w:pos="9026" w:leader="dot"/>
            </w:tabs>
            <w:rPr/>
          </w:pPr>
          <w:hyperlink w:anchor="__RefHeading___Toc11944904_128044782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1944906_1280447820">
            <w:r>
              <w:rPr>
                <w:webHidden/>
                <w:rStyle w:val="IndexLink"/>
                <w:rtl w:val="true"/>
              </w:rPr>
              <w:t>[</w:t>
            </w:r>
            <w:r>
              <w:rPr>
                <w:rStyle w:val="IndexLink"/>
              </w:rPr>
              <w:t>24</w:t>
            </w:r>
            <w:r>
              <w:rPr>
                <w:rStyle w:val="IndexLink"/>
                <w:rtl w:val="true"/>
              </w:rPr>
              <w:t xml:space="preserve">:] </w:t>
            </w:r>
            <w:r>
              <w:rPr>
                <w:rStyle w:val="IndexLink"/>
                <w:rtl w:val="true"/>
              </w:rPr>
              <w:t>قاعدة القرعةُ لكلِّ أمرٍ مشكلٍ‌</w:t>
            </w:r>
            <w:r>
              <w:rPr>
                <w:rStyle w:val="IndexLink"/>
                <w:rtl w:val="true"/>
              </w:rPr>
              <w:tab/>
            </w:r>
            <w:r>
              <w:rPr>
                <w:rStyle w:val="IndexLink"/>
              </w:rPr>
              <w:t>21</w:t>
            </w:r>
          </w:hyperlink>
        </w:p>
        <w:p>
          <w:pPr>
            <w:pStyle w:val="Contents3"/>
            <w:tabs>
              <w:tab w:val="clear" w:pos="8459"/>
              <w:tab w:val="right" w:pos="9026" w:leader="dot"/>
            </w:tabs>
            <w:rPr/>
          </w:pPr>
          <w:hyperlink w:anchor="__RefHeading___Toc11944908_1280447820">
            <w:r>
              <w:rPr>
                <w:webHidden/>
                <w:rStyle w:val="IndexLink"/>
                <w:rtl w:val="true"/>
              </w:rPr>
              <w:t>عناوين أُخرىٰ للقاعدة</w:t>
            </w:r>
            <w:r>
              <w:rPr>
                <w:rStyle w:val="IndexLink"/>
                <w:rtl w:val="true"/>
              </w:rPr>
              <w:t>:</w:t>
              <w:tab/>
            </w:r>
            <w:r>
              <w:rPr>
                <w:rStyle w:val="IndexLink"/>
              </w:rPr>
              <w:t>21</w:t>
            </w:r>
          </w:hyperlink>
        </w:p>
        <w:p>
          <w:pPr>
            <w:pStyle w:val="Contents3"/>
            <w:tabs>
              <w:tab w:val="clear" w:pos="8459"/>
              <w:tab w:val="right" w:pos="9026" w:leader="dot"/>
            </w:tabs>
            <w:rPr/>
          </w:pPr>
          <w:hyperlink w:anchor="__RefHeading___Toc11944910_1280447820">
            <w:r>
              <w:rPr>
                <w:webHidden/>
                <w:rStyle w:val="IndexLink"/>
                <w:rtl w:val="true"/>
              </w:rPr>
              <w:t>توضيح مفاد القاعدة</w:t>
            </w:r>
            <w:r>
              <w:rPr>
                <w:rStyle w:val="IndexLink"/>
                <w:rtl w:val="true"/>
              </w:rPr>
              <w:t>:</w:t>
              <w:tab/>
            </w:r>
            <w:r>
              <w:rPr>
                <w:rStyle w:val="IndexLink"/>
              </w:rPr>
              <w:t>21</w:t>
            </w:r>
          </w:hyperlink>
        </w:p>
        <w:p>
          <w:pPr>
            <w:pStyle w:val="Contents3"/>
            <w:tabs>
              <w:tab w:val="clear" w:pos="8459"/>
              <w:tab w:val="right" w:pos="9026" w:leader="dot"/>
            </w:tabs>
            <w:rPr/>
          </w:pPr>
          <w:hyperlink w:anchor="__RefHeading___Toc11944912_1280447820">
            <w:r>
              <w:rPr>
                <w:webHidden/>
                <w:rStyle w:val="IndexLink"/>
                <w:rtl w:val="true"/>
              </w:rPr>
              <w:t>مدركُ القاعدة</w:t>
            </w:r>
            <w:r>
              <w:rPr>
                <w:rStyle w:val="IndexLink"/>
                <w:rtl w:val="true"/>
              </w:rPr>
              <w:t>:</w:t>
              <w:tab/>
            </w:r>
            <w:r>
              <w:rPr>
                <w:rStyle w:val="IndexLink"/>
              </w:rPr>
              <w:t>22</w:t>
            </w:r>
          </w:hyperlink>
        </w:p>
        <w:p>
          <w:pPr>
            <w:pStyle w:val="Contents4"/>
            <w:tabs>
              <w:tab w:val="clear" w:pos="8176"/>
              <w:tab w:val="right" w:pos="9026" w:leader="dot"/>
            </w:tabs>
            <w:rPr/>
          </w:pPr>
          <w:hyperlink w:anchor="__RefHeading___Toc11944914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944916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22</w:t>
            </w:r>
          </w:hyperlink>
        </w:p>
        <w:p>
          <w:pPr>
            <w:pStyle w:val="Contents4"/>
            <w:tabs>
              <w:tab w:val="clear" w:pos="8176"/>
              <w:tab w:val="right" w:pos="9026" w:leader="dot"/>
            </w:tabs>
            <w:rPr/>
          </w:pPr>
          <w:hyperlink w:anchor="__RefHeading___Toc11944918_1280447820">
            <w:r>
              <w:rPr>
                <w:webHidden/>
                <w:rStyle w:val="IndexLink"/>
                <w:rtl w:val="true"/>
              </w:rPr>
              <w:t>ثانيًا</w:t>
            </w:r>
            <w:r>
              <w:rPr>
                <w:rStyle w:val="IndexLink"/>
                <w:rtl w:val="true"/>
              </w:rPr>
              <w:t xml:space="preserve">: </w:t>
            </w:r>
            <w:r>
              <w:rPr>
                <w:rStyle w:val="IndexLink"/>
                <w:rtl w:val="true"/>
              </w:rPr>
              <w:t>السُّنَّة</w:t>
            </w:r>
            <w:r>
              <w:rPr>
                <w:rStyle w:val="IndexLink"/>
                <w:rtl w:val="true"/>
              </w:rPr>
              <w:tab/>
            </w:r>
            <w:r>
              <w:rPr>
                <w:rStyle w:val="IndexLink"/>
              </w:rPr>
              <w:t>23</w:t>
            </w:r>
          </w:hyperlink>
        </w:p>
        <w:p>
          <w:pPr>
            <w:pStyle w:val="Contents4"/>
            <w:tabs>
              <w:tab w:val="clear" w:pos="8176"/>
              <w:tab w:val="right" w:pos="9026" w:leader="dot"/>
            </w:tabs>
            <w:rPr/>
          </w:pPr>
          <w:hyperlink w:anchor="__RefHeading___Toc11944920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29</w:t>
            </w:r>
          </w:hyperlink>
        </w:p>
        <w:p>
          <w:pPr>
            <w:pStyle w:val="Contents4"/>
            <w:tabs>
              <w:tab w:val="clear" w:pos="8176"/>
              <w:tab w:val="right" w:pos="9026" w:leader="dot"/>
            </w:tabs>
            <w:rPr/>
          </w:pPr>
          <w:hyperlink w:anchor="__RefHeading___Toc11944922_1280447820">
            <w:r>
              <w:rPr>
                <w:webHidden/>
                <w:rStyle w:val="IndexLink"/>
                <w:rtl w:val="true"/>
              </w:rPr>
              <w:t>رابعًا</w:t>
            </w:r>
            <w:r>
              <w:rPr>
                <w:rStyle w:val="IndexLink"/>
                <w:rtl w:val="true"/>
              </w:rPr>
              <w:t xml:space="preserve">: </w:t>
            </w:r>
            <w:r>
              <w:rPr>
                <w:rStyle w:val="IndexLink"/>
                <w:rtl w:val="true"/>
              </w:rPr>
              <w:t>العقل</w:t>
            </w:r>
            <w:r>
              <w:rPr>
                <w:rStyle w:val="IndexLink"/>
                <w:rtl w:val="true"/>
              </w:rPr>
              <w:tab/>
            </w:r>
            <w:r>
              <w:rPr>
                <w:rStyle w:val="IndexLink"/>
              </w:rPr>
              <w:t>30</w:t>
            </w:r>
          </w:hyperlink>
        </w:p>
        <w:p>
          <w:pPr>
            <w:pStyle w:val="Contents3"/>
            <w:tabs>
              <w:tab w:val="clear" w:pos="8459"/>
              <w:tab w:val="right" w:pos="9026" w:leader="dot"/>
            </w:tabs>
            <w:rPr/>
          </w:pPr>
          <w:hyperlink w:anchor="__RefHeading___Toc11944924_1280447820">
            <w:r>
              <w:rPr>
                <w:webHidden/>
                <w:rStyle w:val="IndexLink"/>
                <w:rtl w:val="true"/>
              </w:rPr>
              <w:t>تنبيهاتٌ‌</w:t>
            </w:r>
            <w:r>
              <w:rPr>
                <w:rStyle w:val="IndexLink"/>
                <w:rtl w:val="true"/>
              </w:rPr>
              <w:t>:</w:t>
              <w:tab/>
            </w:r>
            <w:r>
              <w:rPr>
                <w:rStyle w:val="IndexLink"/>
              </w:rPr>
              <w:t>31</w:t>
            </w:r>
          </w:hyperlink>
        </w:p>
        <w:p>
          <w:pPr>
            <w:pStyle w:val="Contents4"/>
            <w:tabs>
              <w:tab w:val="clear" w:pos="8176"/>
              <w:tab w:val="right" w:pos="9026" w:leader="dot"/>
            </w:tabs>
            <w:rPr/>
          </w:pPr>
          <w:hyperlink w:anchor="__RefHeading___Toc11944926_1280447820">
            <w:r>
              <w:rPr>
                <w:webHidden/>
                <w:rStyle w:val="IndexLink"/>
                <w:rtl w:val="true"/>
              </w:rPr>
              <w:t>التَّنبيه الأوَّل</w:t>
            </w:r>
            <w:r>
              <w:rPr>
                <w:rStyle w:val="IndexLink"/>
                <w:rtl w:val="true"/>
              </w:rPr>
              <w:t>:</w:t>
              <w:tab/>
            </w:r>
            <w:r>
              <w:rPr>
                <w:rStyle w:val="IndexLink"/>
              </w:rPr>
              <w:t>31</w:t>
            </w:r>
          </w:hyperlink>
        </w:p>
        <w:p>
          <w:pPr>
            <w:pStyle w:val="Contents4"/>
            <w:tabs>
              <w:tab w:val="clear" w:pos="8176"/>
              <w:tab w:val="right" w:pos="9026" w:leader="dot"/>
            </w:tabs>
            <w:rPr/>
          </w:pPr>
          <w:hyperlink w:anchor="__RefHeading___Toc11944928_1280447820">
            <w:r>
              <w:rPr>
                <w:webHidden/>
                <w:rStyle w:val="IndexLink"/>
                <w:rtl w:val="true"/>
              </w:rPr>
              <w:t>التَّنبيه الثَّاني</w:t>
            </w:r>
            <w:r>
              <w:rPr>
                <w:rStyle w:val="IndexLink"/>
                <w:rtl w:val="true"/>
              </w:rPr>
              <w:t>:</w:t>
              <w:tab/>
            </w:r>
            <w:r>
              <w:rPr>
                <w:rStyle w:val="IndexLink"/>
              </w:rPr>
              <w:t>32</w:t>
            </w:r>
          </w:hyperlink>
        </w:p>
        <w:p>
          <w:pPr>
            <w:pStyle w:val="Contents4"/>
            <w:tabs>
              <w:tab w:val="clear" w:pos="8176"/>
              <w:tab w:val="right" w:pos="9026" w:leader="dot"/>
            </w:tabs>
            <w:rPr/>
          </w:pPr>
          <w:hyperlink w:anchor="__RefHeading___Toc11944930_1280447820">
            <w:r>
              <w:rPr>
                <w:webHidden/>
                <w:rStyle w:val="IndexLink"/>
                <w:rtl w:val="true"/>
              </w:rPr>
              <w:t>التَّنبيه الثَّالث</w:t>
            </w:r>
            <w:r>
              <w:rPr>
                <w:rStyle w:val="IndexLink"/>
                <w:rtl w:val="true"/>
              </w:rPr>
              <w:t>:</w:t>
              <w:tab/>
            </w:r>
            <w:r>
              <w:rPr>
                <w:rStyle w:val="IndexLink"/>
              </w:rPr>
              <w:t>33</w:t>
            </w:r>
          </w:hyperlink>
        </w:p>
        <w:p>
          <w:pPr>
            <w:pStyle w:val="Contents4"/>
            <w:tabs>
              <w:tab w:val="clear" w:pos="8176"/>
              <w:tab w:val="right" w:pos="9026" w:leader="dot"/>
            </w:tabs>
            <w:rPr/>
          </w:pPr>
          <w:hyperlink w:anchor="__RefHeading___Toc11944932_1280447820">
            <w:r>
              <w:rPr>
                <w:webHidden/>
                <w:rStyle w:val="IndexLink"/>
                <w:rtl w:val="true"/>
              </w:rPr>
              <w:t>التَّنبيه الرَّابع</w:t>
            </w:r>
            <w:r>
              <w:rPr>
                <w:rStyle w:val="IndexLink"/>
                <w:rtl w:val="true"/>
              </w:rPr>
              <w:t>:</w:t>
              <w:tab/>
            </w:r>
            <w:r>
              <w:rPr>
                <w:rStyle w:val="IndexLink"/>
              </w:rPr>
              <w:t>46</w:t>
            </w:r>
          </w:hyperlink>
        </w:p>
        <w:p>
          <w:pPr>
            <w:pStyle w:val="Contents4"/>
            <w:tabs>
              <w:tab w:val="clear" w:pos="8176"/>
              <w:tab w:val="right" w:pos="9026" w:leader="dot"/>
            </w:tabs>
            <w:rPr/>
          </w:pPr>
          <w:hyperlink w:anchor="__RefHeading___Toc11944934_1280447820">
            <w:r>
              <w:rPr>
                <w:webHidden/>
                <w:rStyle w:val="IndexLink"/>
                <w:rtl w:val="true"/>
              </w:rPr>
              <w:t>التَّنبيه الخامس</w:t>
            </w:r>
            <w:r>
              <w:rPr>
                <w:rStyle w:val="IndexLink"/>
                <w:rtl w:val="true"/>
              </w:rPr>
              <w:t>:</w:t>
              <w:tab/>
            </w:r>
            <w:r>
              <w:rPr>
                <w:rStyle w:val="IndexLink"/>
              </w:rPr>
              <w:t>49</w:t>
            </w:r>
          </w:hyperlink>
        </w:p>
        <w:p>
          <w:pPr>
            <w:pStyle w:val="Contents4"/>
            <w:tabs>
              <w:tab w:val="clear" w:pos="8176"/>
              <w:tab w:val="right" w:pos="9026" w:leader="dot"/>
            </w:tabs>
            <w:rPr/>
          </w:pPr>
          <w:hyperlink w:anchor="__RefHeading___Toc11944936_1280447820">
            <w:r>
              <w:rPr>
                <w:webHidden/>
                <w:rStyle w:val="IndexLink"/>
                <w:rtl w:val="true"/>
              </w:rPr>
              <w:t>التَّنبيه السَّادس</w:t>
            </w:r>
            <w:r>
              <w:rPr>
                <w:rStyle w:val="IndexLink"/>
                <w:rtl w:val="true"/>
              </w:rPr>
              <w:t>:</w:t>
              <w:tab/>
            </w:r>
            <w:r>
              <w:rPr>
                <w:rStyle w:val="IndexLink"/>
              </w:rPr>
              <w:t>50</w:t>
            </w:r>
          </w:hyperlink>
        </w:p>
        <w:p>
          <w:pPr>
            <w:pStyle w:val="Contents4"/>
            <w:tabs>
              <w:tab w:val="clear" w:pos="8176"/>
              <w:tab w:val="right" w:pos="9026" w:leader="dot"/>
            </w:tabs>
            <w:rPr/>
          </w:pPr>
          <w:hyperlink w:anchor="__RefHeading___Toc11944938_1280447820">
            <w:r>
              <w:rPr>
                <w:webHidden/>
                <w:rStyle w:val="IndexLink"/>
                <w:rtl w:val="true"/>
              </w:rPr>
              <w:t>التَّنبيه السَّابع</w:t>
            </w:r>
            <w:r>
              <w:rPr>
                <w:rStyle w:val="IndexLink"/>
                <w:rtl w:val="true"/>
              </w:rPr>
              <w:t>:</w:t>
              <w:tab/>
            </w:r>
            <w:r>
              <w:rPr>
                <w:rStyle w:val="IndexLink"/>
              </w:rPr>
              <w:t>51</w:t>
            </w:r>
          </w:hyperlink>
        </w:p>
        <w:p>
          <w:pPr>
            <w:pStyle w:val="Contents3"/>
            <w:tabs>
              <w:tab w:val="clear" w:pos="8459"/>
              <w:tab w:val="right" w:pos="9026" w:leader="dot"/>
            </w:tabs>
            <w:rPr/>
          </w:pPr>
          <w:hyperlink w:anchor="__RefHeading___Toc11944940_1280447820">
            <w:r>
              <w:rPr>
                <w:webHidden/>
                <w:rStyle w:val="IndexLink"/>
                <w:rtl w:val="true"/>
              </w:rPr>
              <w:t>أمثلةٌ لاستعمال القاعدة في الفقه</w:t>
            </w:r>
            <w:r>
              <w:rPr>
                <w:rStyle w:val="IndexLink"/>
                <w:rtl w:val="true"/>
              </w:rPr>
              <w:t>:</w:t>
              <w:tab/>
            </w:r>
            <w:r>
              <w:rPr>
                <w:rStyle w:val="IndexLink"/>
              </w:rPr>
              <w:t>52</w:t>
            </w:r>
          </w:hyperlink>
        </w:p>
        <w:p>
          <w:pPr>
            <w:pStyle w:val="Contents2"/>
            <w:tabs>
              <w:tab w:val="clear" w:pos="8743"/>
              <w:tab w:val="right" w:pos="9026" w:leader="dot"/>
            </w:tabs>
            <w:rPr/>
          </w:pPr>
          <w:hyperlink w:anchor="__RefHeading___Toc11944942_1280447820">
            <w:r>
              <w:rPr>
                <w:webHidden/>
                <w:rStyle w:val="IndexLink"/>
                <w:rtl w:val="true"/>
              </w:rPr>
              <w:t>[</w:t>
            </w:r>
            <w:r>
              <w:rPr>
                <w:rStyle w:val="IndexLink"/>
              </w:rPr>
              <w:t>25</w:t>
            </w:r>
            <w:r>
              <w:rPr>
                <w:rStyle w:val="IndexLink"/>
                <w:rtl w:val="true"/>
              </w:rPr>
              <w:t xml:space="preserve">:] </w:t>
            </w:r>
            <w:r>
              <w:rPr>
                <w:rStyle w:val="IndexLink"/>
                <w:rtl w:val="true"/>
              </w:rPr>
              <w:t>قاعدة الميسور</w:t>
            </w:r>
            <w:r>
              <w:rPr>
                <w:rStyle w:val="IndexLink"/>
                <w:rtl w:val="true"/>
              </w:rPr>
              <w:tab/>
            </w:r>
            <w:r>
              <w:rPr>
                <w:rStyle w:val="IndexLink"/>
              </w:rPr>
              <w:t>53</w:t>
            </w:r>
          </w:hyperlink>
        </w:p>
        <w:p>
          <w:pPr>
            <w:pStyle w:val="Contents3"/>
            <w:tabs>
              <w:tab w:val="clear" w:pos="8459"/>
              <w:tab w:val="right" w:pos="9026" w:leader="dot"/>
            </w:tabs>
            <w:rPr/>
          </w:pPr>
          <w:hyperlink w:anchor="__RefHeading___Toc11944944_1280447820">
            <w:r>
              <w:rPr>
                <w:webHidden/>
                <w:rStyle w:val="IndexLink"/>
                <w:rtl w:val="true"/>
              </w:rPr>
              <w:t>عناوين أُخرىٰ للقاعدة</w:t>
            </w:r>
            <w:r>
              <w:rPr>
                <w:rStyle w:val="IndexLink"/>
                <w:rtl w:val="true"/>
              </w:rPr>
              <w:tab/>
            </w:r>
            <w:r>
              <w:rPr>
                <w:rStyle w:val="IndexLink"/>
              </w:rPr>
              <w:t>53</w:t>
            </w:r>
          </w:hyperlink>
        </w:p>
        <w:p>
          <w:pPr>
            <w:pStyle w:val="Contents3"/>
            <w:tabs>
              <w:tab w:val="clear" w:pos="8459"/>
              <w:tab w:val="right" w:pos="9026" w:leader="dot"/>
            </w:tabs>
            <w:rPr/>
          </w:pPr>
          <w:hyperlink w:anchor="__RefHeading___Toc11944946_1280447820">
            <w:r>
              <w:rPr>
                <w:webHidden/>
                <w:rStyle w:val="IndexLink"/>
                <w:rtl w:val="true"/>
              </w:rPr>
              <w:t>توضيح مفاد القاعدة</w:t>
            </w:r>
            <w:r>
              <w:rPr>
                <w:rStyle w:val="IndexLink"/>
                <w:rtl w:val="true"/>
              </w:rPr>
              <w:tab/>
            </w:r>
            <w:r>
              <w:rPr>
                <w:rStyle w:val="IndexLink"/>
              </w:rPr>
              <w:t>53</w:t>
            </w:r>
          </w:hyperlink>
        </w:p>
        <w:p>
          <w:pPr>
            <w:pStyle w:val="Contents3"/>
            <w:tabs>
              <w:tab w:val="clear" w:pos="8459"/>
              <w:tab w:val="right" w:pos="9026" w:leader="dot"/>
            </w:tabs>
            <w:rPr/>
          </w:pPr>
          <w:hyperlink w:anchor="__RefHeading___Toc11944948_1280447820">
            <w:r>
              <w:rPr>
                <w:webHidden/>
                <w:rStyle w:val="IndexLink"/>
                <w:rtl w:val="true"/>
              </w:rPr>
              <w:t>مدركُ القاعدة</w:t>
            </w:r>
            <w:r>
              <w:rPr>
                <w:rStyle w:val="IndexLink"/>
                <w:rtl w:val="true"/>
              </w:rPr>
              <w:tab/>
            </w:r>
            <w:r>
              <w:rPr>
                <w:rStyle w:val="IndexLink"/>
              </w:rPr>
              <w:t>54</w:t>
            </w:r>
          </w:hyperlink>
        </w:p>
        <w:p>
          <w:pPr>
            <w:pStyle w:val="Contents3"/>
            <w:tabs>
              <w:tab w:val="clear" w:pos="8459"/>
              <w:tab w:val="right" w:pos="9026" w:leader="dot"/>
            </w:tabs>
            <w:rPr/>
          </w:pPr>
          <w:hyperlink w:anchor="__RefHeading___Toc11944950_1280447820">
            <w:r>
              <w:rPr>
                <w:webHidden/>
                <w:rStyle w:val="IndexLink"/>
                <w:rtl w:val="true"/>
              </w:rPr>
              <w:t>تنبيهٌ‌</w:t>
            </w:r>
            <w:r>
              <w:rPr>
                <w:rStyle w:val="IndexLink"/>
                <w:rtl w:val="true"/>
              </w:rPr>
              <w:t>:</w:t>
              <w:tab/>
            </w:r>
            <w:r>
              <w:rPr>
                <w:rStyle w:val="IndexLink"/>
              </w:rPr>
              <w:t>63</w:t>
            </w:r>
          </w:hyperlink>
        </w:p>
        <w:p>
          <w:pPr>
            <w:pStyle w:val="Contents3"/>
            <w:tabs>
              <w:tab w:val="clear" w:pos="8459"/>
              <w:tab w:val="right" w:pos="9026" w:leader="dot"/>
            </w:tabs>
            <w:rPr/>
          </w:pPr>
          <w:hyperlink w:anchor="__RefHeading___Toc11944952_1280447820">
            <w:r>
              <w:rPr>
                <w:webHidden/>
                <w:rStyle w:val="IndexLink"/>
                <w:rtl w:val="true"/>
              </w:rPr>
              <w:t>أمثلةٌ لاستعمال القاعدة في الفقه</w:t>
            </w:r>
            <w:r>
              <w:rPr>
                <w:rStyle w:val="IndexLink"/>
                <w:rtl w:val="true"/>
              </w:rPr>
              <w:t>:</w:t>
              <w:tab/>
            </w:r>
            <w:r>
              <w:rPr>
                <w:rStyle w:val="IndexLink"/>
              </w:rPr>
              <w:t>65</w:t>
            </w:r>
          </w:hyperlink>
        </w:p>
        <w:p>
          <w:pPr>
            <w:pStyle w:val="Contents2"/>
            <w:tabs>
              <w:tab w:val="clear" w:pos="8743"/>
              <w:tab w:val="right" w:pos="9026" w:leader="dot"/>
            </w:tabs>
            <w:rPr/>
          </w:pPr>
          <w:hyperlink w:anchor="__RefHeading___Toc11944954_1280447820">
            <w:r>
              <w:rPr>
                <w:webHidden/>
                <w:rStyle w:val="IndexLink"/>
                <w:rtl w:val="true"/>
              </w:rPr>
              <w:t>[</w:t>
            </w:r>
            <w:r>
              <w:rPr>
                <w:rStyle w:val="IndexLink"/>
              </w:rPr>
              <w:t>26</w:t>
            </w:r>
            <w:r>
              <w:rPr>
                <w:rStyle w:val="IndexLink"/>
                <w:rtl w:val="true"/>
              </w:rPr>
              <w:t xml:space="preserve">:] </w:t>
            </w:r>
            <w:r>
              <w:rPr>
                <w:rStyle w:val="IndexLink"/>
                <w:rtl w:val="true"/>
              </w:rPr>
              <w:t>قاعدة المؤمنونَ عند شروطِهم</w:t>
            </w:r>
            <w:r>
              <w:rPr>
                <w:rStyle w:val="IndexLink"/>
                <w:rtl w:val="true"/>
              </w:rPr>
              <w:tab/>
            </w:r>
            <w:r>
              <w:rPr>
                <w:rStyle w:val="IndexLink"/>
              </w:rPr>
              <w:t>67</w:t>
            </w:r>
          </w:hyperlink>
        </w:p>
        <w:p>
          <w:pPr>
            <w:pStyle w:val="Contents3"/>
            <w:tabs>
              <w:tab w:val="clear" w:pos="8459"/>
              <w:tab w:val="right" w:pos="9026" w:leader="dot"/>
            </w:tabs>
            <w:rPr/>
          </w:pPr>
          <w:hyperlink w:anchor="__RefHeading___Toc11944956_1280447820">
            <w:r>
              <w:rPr>
                <w:webHidden/>
                <w:rStyle w:val="IndexLink"/>
                <w:rtl w:val="true"/>
              </w:rPr>
              <w:t>عناوين أُخرىٰ للقاعدة توضيح مفاد القاعدة</w:t>
            </w:r>
            <w:r>
              <w:rPr>
                <w:rStyle w:val="IndexLink"/>
                <w:rtl w:val="true"/>
              </w:rPr>
              <w:tab/>
            </w:r>
            <w:r>
              <w:rPr>
                <w:rStyle w:val="IndexLink"/>
              </w:rPr>
              <w:t>67</w:t>
            </w:r>
          </w:hyperlink>
        </w:p>
        <w:p>
          <w:pPr>
            <w:pStyle w:val="Contents3"/>
            <w:tabs>
              <w:tab w:val="clear" w:pos="8459"/>
              <w:tab w:val="right" w:pos="9026" w:leader="dot"/>
            </w:tabs>
            <w:rPr/>
          </w:pPr>
          <w:hyperlink w:anchor="__RefHeading___Toc11944958_1280447820">
            <w:r>
              <w:rPr>
                <w:webHidden/>
                <w:rStyle w:val="IndexLink"/>
                <w:rtl w:val="true"/>
              </w:rPr>
              <w:t>مدركُ القاعدة</w:t>
            </w:r>
            <w:r>
              <w:rPr>
                <w:rStyle w:val="IndexLink"/>
                <w:rtl w:val="true"/>
              </w:rPr>
              <w:tab/>
            </w:r>
            <w:r>
              <w:rPr>
                <w:rStyle w:val="IndexLink"/>
              </w:rPr>
              <w:t>68</w:t>
            </w:r>
          </w:hyperlink>
        </w:p>
        <w:p>
          <w:pPr>
            <w:pStyle w:val="Contents4"/>
            <w:tabs>
              <w:tab w:val="clear" w:pos="8176"/>
              <w:tab w:val="right" w:pos="9026" w:leader="dot"/>
            </w:tabs>
            <w:rPr/>
          </w:pPr>
          <w:hyperlink w:anchor="__RefHeading___Toc11944960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944962_1280447820">
            <w:r>
              <w:rPr>
                <w:webHidden/>
                <w:rStyle w:val="IndexLink"/>
                <w:rtl w:val="true"/>
              </w:rPr>
              <w:t>أوَّلًا</w:t>
            </w:r>
            <w:r>
              <w:rPr>
                <w:rStyle w:val="IndexLink"/>
                <w:rtl w:val="true"/>
              </w:rPr>
              <w:t xml:space="preserve">: </w:t>
            </w:r>
            <w:r>
              <w:rPr>
                <w:rStyle w:val="IndexLink"/>
                <w:rtl w:val="true"/>
              </w:rPr>
              <w:t>الكتاب العزيز</w:t>
            </w:r>
            <w:r>
              <w:rPr>
                <w:rStyle w:val="IndexLink"/>
                <w:rtl w:val="true"/>
              </w:rPr>
              <w:tab/>
            </w:r>
            <w:r>
              <w:rPr>
                <w:rStyle w:val="IndexLink"/>
              </w:rPr>
              <w:t>69</w:t>
            </w:r>
          </w:hyperlink>
        </w:p>
        <w:p>
          <w:pPr>
            <w:pStyle w:val="Contents4"/>
            <w:tabs>
              <w:tab w:val="clear" w:pos="8176"/>
              <w:tab w:val="right" w:pos="9026" w:leader="dot"/>
            </w:tabs>
            <w:rPr/>
          </w:pPr>
          <w:hyperlink w:anchor="__RefHeading___Toc11944964_1280447820">
            <w:r>
              <w:rPr>
                <w:webHidden/>
                <w:rStyle w:val="IndexLink"/>
                <w:rtl w:val="true"/>
              </w:rPr>
              <w:t>ثانيًا</w:t>
            </w:r>
            <w:r>
              <w:rPr>
                <w:rStyle w:val="IndexLink"/>
                <w:rtl w:val="true"/>
              </w:rPr>
              <w:t xml:space="preserve">: </w:t>
            </w:r>
            <w:r>
              <w:rPr>
                <w:rStyle w:val="IndexLink"/>
                <w:rtl w:val="true"/>
              </w:rPr>
              <w:t>روايات الباب</w:t>
            </w:r>
            <w:r>
              <w:rPr>
                <w:rStyle w:val="IndexLink"/>
                <w:rtl w:val="true"/>
              </w:rPr>
              <w:tab/>
            </w:r>
            <w:r>
              <w:rPr>
                <w:rStyle w:val="IndexLink"/>
              </w:rPr>
              <w:t>71</w:t>
            </w:r>
          </w:hyperlink>
        </w:p>
        <w:p>
          <w:pPr>
            <w:pStyle w:val="Contents4"/>
            <w:tabs>
              <w:tab w:val="clear" w:pos="8176"/>
              <w:tab w:val="right" w:pos="9026" w:leader="dot"/>
            </w:tabs>
            <w:rPr/>
          </w:pPr>
          <w:hyperlink w:anchor="__RefHeading___Toc11944966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73</w:t>
            </w:r>
          </w:hyperlink>
        </w:p>
        <w:p>
          <w:pPr>
            <w:pStyle w:val="Contents4"/>
            <w:tabs>
              <w:tab w:val="clear" w:pos="8176"/>
              <w:tab w:val="right" w:pos="9026" w:leader="dot"/>
            </w:tabs>
            <w:rPr/>
          </w:pPr>
          <w:hyperlink w:anchor="__RefHeading___Toc11944968_1280447820">
            <w:r>
              <w:rPr>
                <w:webHidden/>
                <w:rStyle w:val="IndexLink"/>
                <w:rtl w:val="true"/>
              </w:rPr>
              <w:t>رابعًا</w:t>
            </w:r>
            <w:r>
              <w:rPr>
                <w:rStyle w:val="IndexLink"/>
                <w:rtl w:val="true"/>
              </w:rPr>
              <w:t xml:space="preserve">: </w:t>
            </w:r>
            <w:r>
              <w:rPr>
                <w:rStyle w:val="IndexLink"/>
                <w:rtl w:val="true"/>
              </w:rPr>
              <w:t>بناء العقلاء</w:t>
            </w:r>
            <w:r>
              <w:rPr>
                <w:rStyle w:val="IndexLink"/>
                <w:rtl w:val="true"/>
              </w:rPr>
              <w:tab/>
            </w:r>
            <w:r>
              <w:rPr>
                <w:rStyle w:val="IndexLink"/>
              </w:rPr>
              <w:t>74</w:t>
            </w:r>
          </w:hyperlink>
        </w:p>
        <w:p>
          <w:pPr>
            <w:pStyle w:val="Contents3"/>
            <w:tabs>
              <w:tab w:val="clear" w:pos="8459"/>
              <w:tab w:val="right" w:pos="9026" w:leader="dot"/>
            </w:tabs>
            <w:rPr/>
          </w:pPr>
          <w:hyperlink w:anchor="__RefHeading___Toc11944970_1280447820">
            <w:r>
              <w:rPr>
                <w:webHidden/>
                <w:rStyle w:val="IndexLink"/>
                <w:rtl w:val="true"/>
              </w:rPr>
              <w:t>تنبيهاتٌ‌</w:t>
            </w:r>
            <w:r>
              <w:rPr>
                <w:rStyle w:val="IndexLink"/>
                <w:rtl w:val="true"/>
              </w:rPr>
              <w:t>:</w:t>
              <w:tab/>
            </w:r>
            <w:r>
              <w:rPr>
                <w:rStyle w:val="IndexLink"/>
              </w:rPr>
              <w:t>74</w:t>
            </w:r>
          </w:hyperlink>
        </w:p>
        <w:p>
          <w:pPr>
            <w:pStyle w:val="Contents4"/>
            <w:tabs>
              <w:tab w:val="clear" w:pos="8176"/>
              <w:tab w:val="right" w:pos="9026" w:leader="dot"/>
            </w:tabs>
            <w:rPr/>
          </w:pPr>
          <w:hyperlink w:anchor="__RefHeading___Toc11944972_1280447820">
            <w:r>
              <w:rPr>
                <w:webHidden/>
                <w:rStyle w:val="IndexLink"/>
                <w:rtl w:val="true"/>
              </w:rPr>
              <w:t>التَّنبيه الأوَّل</w:t>
            </w:r>
            <w:r>
              <w:rPr>
                <w:rStyle w:val="IndexLink"/>
                <w:rtl w:val="true"/>
              </w:rPr>
              <w:t>:</w:t>
              <w:tab/>
            </w:r>
            <w:r>
              <w:rPr>
                <w:rStyle w:val="IndexLink"/>
              </w:rPr>
              <w:t>74</w:t>
            </w:r>
          </w:hyperlink>
        </w:p>
        <w:p>
          <w:pPr>
            <w:pStyle w:val="Contents4"/>
            <w:tabs>
              <w:tab w:val="clear" w:pos="8176"/>
              <w:tab w:val="right" w:pos="9026" w:leader="dot"/>
            </w:tabs>
            <w:rPr/>
          </w:pPr>
          <w:hyperlink w:anchor="__RefHeading___Toc11944974_1280447820">
            <w:r>
              <w:rPr>
                <w:webHidden/>
                <w:rStyle w:val="IndexLink"/>
                <w:rtl w:val="true"/>
              </w:rPr>
              <w:t>التَّنبيه الثَّاني</w:t>
            </w:r>
            <w:r>
              <w:rPr>
                <w:rStyle w:val="IndexLink"/>
                <w:rtl w:val="true"/>
              </w:rPr>
              <w:t>:</w:t>
              <w:tab/>
            </w:r>
            <w:r>
              <w:rPr>
                <w:rStyle w:val="IndexLink"/>
              </w:rPr>
              <w:t>86</w:t>
            </w:r>
          </w:hyperlink>
        </w:p>
        <w:p>
          <w:pPr>
            <w:pStyle w:val="Contents4"/>
            <w:tabs>
              <w:tab w:val="clear" w:pos="8176"/>
              <w:tab w:val="right" w:pos="9026" w:leader="dot"/>
            </w:tabs>
            <w:rPr/>
          </w:pPr>
          <w:hyperlink w:anchor="__RefHeading___Toc11944976_1280447820">
            <w:r>
              <w:rPr>
                <w:webHidden/>
                <w:rStyle w:val="IndexLink"/>
                <w:rtl w:val="true"/>
              </w:rPr>
              <w:t>التَّنبيه الثَّالث</w:t>
            </w:r>
            <w:r>
              <w:rPr>
                <w:rStyle w:val="IndexLink"/>
                <w:rtl w:val="true"/>
              </w:rPr>
              <w:t>:</w:t>
              <w:tab/>
            </w:r>
            <w:r>
              <w:rPr>
                <w:rStyle w:val="IndexLink"/>
              </w:rPr>
              <w:t>87</w:t>
            </w:r>
          </w:hyperlink>
        </w:p>
        <w:p>
          <w:pPr>
            <w:pStyle w:val="Contents4"/>
            <w:tabs>
              <w:tab w:val="clear" w:pos="8176"/>
              <w:tab w:val="right" w:pos="9026" w:leader="dot"/>
            </w:tabs>
            <w:rPr/>
          </w:pPr>
          <w:hyperlink w:anchor="__RefHeading___Toc11944978_1280447820">
            <w:r>
              <w:rPr>
                <w:webHidden/>
                <w:rStyle w:val="IndexLink"/>
                <w:rtl w:val="true"/>
              </w:rPr>
              <w:t>التَّنبيه الرَّابع</w:t>
            </w:r>
            <w:r>
              <w:rPr>
                <w:rStyle w:val="IndexLink"/>
                <w:rtl w:val="true"/>
              </w:rPr>
              <w:t>:</w:t>
              <w:tab/>
            </w:r>
            <w:r>
              <w:rPr>
                <w:rStyle w:val="IndexLink"/>
              </w:rPr>
              <w:t>88</w:t>
            </w:r>
          </w:hyperlink>
        </w:p>
        <w:p>
          <w:pPr>
            <w:pStyle w:val="Contents3"/>
            <w:tabs>
              <w:tab w:val="clear" w:pos="8459"/>
              <w:tab w:val="right" w:pos="9026" w:leader="dot"/>
            </w:tabs>
            <w:rPr/>
          </w:pPr>
          <w:hyperlink w:anchor="__RefHeading___Toc11944980_1280447820">
            <w:r>
              <w:rPr>
                <w:webHidden/>
                <w:rStyle w:val="IndexLink"/>
                <w:rtl w:val="true"/>
              </w:rPr>
              <w:t>أمثلةٌ لاستعمال القاعدة في الفقه</w:t>
            </w:r>
            <w:r>
              <w:rPr>
                <w:rStyle w:val="IndexLink"/>
                <w:rtl w:val="true"/>
              </w:rPr>
              <w:t>:</w:t>
              <w:tab/>
            </w:r>
            <w:r>
              <w:rPr>
                <w:rStyle w:val="IndexLink"/>
              </w:rPr>
              <w:t>88</w:t>
            </w:r>
          </w:hyperlink>
        </w:p>
        <w:p>
          <w:pPr>
            <w:pStyle w:val="Contents2"/>
            <w:tabs>
              <w:tab w:val="clear" w:pos="8743"/>
              <w:tab w:val="right" w:pos="9026" w:leader="dot"/>
            </w:tabs>
            <w:rPr/>
          </w:pPr>
          <w:hyperlink w:anchor="__RefHeading___Toc11944982_1280447820">
            <w:r>
              <w:rPr>
                <w:webHidden/>
                <w:rStyle w:val="IndexLink"/>
                <w:rtl w:val="true"/>
              </w:rPr>
              <w:t>[</w:t>
            </w:r>
            <w:r>
              <w:rPr>
                <w:rStyle w:val="IndexLink"/>
              </w:rPr>
              <w:t>27</w:t>
            </w:r>
            <w:r>
              <w:rPr>
                <w:rStyle w:val="IndexLink"/>
                <w:rtl w:val="true"/>
              </w:rPr>
              <w:t xml:space="preserve">:] </w:t>
            </w:r>
            <w:r>
              <w:rPr>
                <w:rStyle w:val="IndexLink"/>
                <w:rtl w:val="true"/>
              </w:rPr>
              <w:t>قاعدة الوصيَّة حقٌّ علىٰ كلِّ مسلمٍ‌</w:t>
            </w:r>
            <w:r>
              <w:rPr>
                <w:rStyle w:val="IndexLink"/>
                <w:rtl w:val="true"/>
              </w:rPr>
              <w:tab/>
            </w:r>
            <w:r>
              <w:rPr>
                <w:rStyle w:val="IndexLink"/>
              </w:rPr>
              <w:t>91</w:t>
            </w:r>
          </w:hyperlink>
        </w:p>
        <w:p>
          <w:pPr>
            <w:pStyle w:val="Contents3"/>
            <w:tabs>
              <w:tab w:val="clear" w:pos="8459"/>
              <w:tab w:val="right" w:pos="9026" w:leader="dot"/>
            </w:tabs>
            <w:rPr/>
          </w:pPr>
          <w:hyperlink w:anchor="__RefHeading___Toc11944984_1280447820">
            <w:r>
              <w:rPr>
                <w:webHidden/>
                <w:rStyle w:val="IndexLink"/>
                <w:rtl w:val="true"/>
              </w:rPr>
              <w:t>عناوين أُخرىٰ للقاعدة</w:t>
            </w:r>
            <w:r>
              <w:rPr>
                <w:rStyle w:val="IndexLink"/>
                <w:rtl w:val="true"/>
              </w:rPr>
              <w:tab/>
            </w:r>
            <w:r>
              <w:rPr>
                <w:rStyle w:val="IndexLink"/>
              </w:rPr>
              <w:t>91</w:t>
            </w:r>
          </w:hyperlink>
        </w:p>
        <w:p>
          <w:pPr>
            <w:pStyle w:val="Contents3"/>
            <w:tabs>
              <w:tab w:val="clear" w:pos="8459"/>
              <w:tab w:val="right" w:pos="9026" w:leader="dot"/>
            </w:tabs>
            <w:rPr/>
          </w:pPr>
          <w:hyperlink w:anchor="__RefHeading___Toc11944986_1280447820">
            <w:r>
              <w:rPr>
                <w:webHidden/>
                <w:rStyle w:val="IndexLink"/>
                <w:rtl w:val="true"/>
              </w:rPr>
              <w:t>توضيح مفاد القاعدة</w:t>
            </w:r>
            <w:r>
              <w:rPr>
                <w:rStyle w:val="IndexLink"/>
                <w:rtl w:val="true"/>
              </w:rPr>
              <w:tab/>
            </w:r>
            <w:r>
              <w:rPr>
                <w:rStyle w:val="IndexLink"/>
              </w:rPr>
              <w:t>91</w:t>
            </w:r>
          </w:hyperlink>
        </w:p>
        <w:p>
          <w:pPr>
            <w:pStyle w:val="Contents3"/>
            <w:tabs>
              <w:tab w:val="clear" w:pos="8459"/>
              <w:tab w:val="right" w:pos="9026" w:leader="dot"/>
            </w:tabs>
            <w:rPr/>
          </w:pPr>
          <w:hyperlink w:anchor="__RefHeading___Toc11944988_1280447820">
            <w:r>
              <w:rPr>
                <w:webHidden/>
                <w:rStyle w:val="IndexLink"/>
                <w:rtl w:val="true"/>
              </w:rPr>
              <w:t>مدركُ القاعدة</w:t>
            </w:r>
            <w:r>
              <w:rPr>
                <w:rStyle w:val="IndexLink"/>
                <w:rtl w:val="true"/>
              </w:rPr>
              <w:tab/>
            </w:r>
            <w:r>
              <w:rPr>
                <w:rStyle w:val="IndexLink"/>
              </w:rPr>
              <w:t>92</w:t>
            </w:r>
          </w:hyperlink>
        </w:p>
        <w:p>
          <w:pPr>
            <w:pStyle w:val="Contents3"/>
            <w:tabs>
              <w:tab w:val="clear" w:pos="8459"/>
              <w:tab w:val="right" w:pos="9026" w:leader="dot"/>
            </w:tabs>
            <w:rPr/>
          </w:pPr>
          <w:hyperlink w:anchor="__RefHeading___Toc11944990_1280447820">
            <w:r>
              <w:rPr>
                <w:webHidden/>
                <w:rStyle w:val="IndexLink"/>
                <w:rtl w:val="true"/>
              </w:rPr>
              <w:t>تنبيهاتٌ‌</w:t>
            </w:r>
            <w:r>
              <w:rPr>
                <w:rStyle w:val="IndexLink"/>
                <w:rtl w:val="true"/>
              </w:rPr>
              <w:t>:</w:t>
              <w:tab/>
            </w:r>
            <w:r>
              <w:rPr>
                <w:rStyle w:val="IndexLink"/>
              </w:rPr>
              <w:t>93</w:t>
            </w:r>
          </w:hyperlink>
        </w:p>
        <w:p>
          <w:pPr>
            <w:pStyle w:val="Contents4"/>
            <w:tabs>
              <w:tab w:val="clear" w:pos="8176"/>
              <w:tab w:val="right" w:pos="9026" w:leader="dot"/>
            </w:tabs>
            <w:rPr/>
          </w:pPr>
          <w:hyperlink w:anchor="__RefHeading___Toc11944992_1280447820">
            <w:r>
              <w:rPr>
                <w:webHidden/>
                <w:rStyle w:val="IndexLink"/>
                <w:rtl w:val="true"/>
              </w:rPr>
              <w:t>التَّنبيه الأوَّل</w:t>
            </w:r>
            <w:r>
              <w:rPr>
                <w:rStyle w:val="IndexLink"/>
                <w:rtl w:val="true"/>
              </w:rPr>
              <w:t>:</w:t>
              <w:tab/>
            </w:r>
            <w:r>
              <w:rPr>
                <w:rStyle w:val="IndexLink"/>
              </w:rPr>
              <w:t>93</w:t>
            </w:r>
          </w:hyperlink>
        </w:p>
        <w:p>
          <w:pPr>
            <w:pStyle w:val="Contents4"/>
            <w:tabs>
              <w:tab w:val="clear" w:pos="8176"/>
              <w:tab w:val="right" w:pos="9026" w:leader="dot"/>
            </w:tabs>
            <w:rPr/>
          </w:pPr>
          <w:hyperlink w:anchor="__RefHeading___Toc11944994_1280447820">
            <w:r>
              <w:rPr>
                <w:webHidden/>
                <w:rStyle w:val="IndexLink"/>
                <w:rtl w:val="true"/>
              </w:rPr>
              <w:t>التَّنبيه الثَّاني</w:t>
            </w:r>
            <w:r>
              <w:rPr>
                <w:rStyle w:val="IndexLink"/>
                <w:rtl w:val="true"/>
              </w:rPr>
              <w:t>:</w:t>
              <w:tab/>
            </w:r>
            <w:r>
              <w:rPr>
                <w:rStyle w:val="IndexLink"/>
              </w:rPr>
              <w:t>96</w:t>
            </w:r>
          </w:hyperlink>
        </w:p>
        <w:p>
          <w:pPr>
            <w:pStyle w:val="Contents4"/>
            <w:tabs>
              <w:tab w:val="clear" w:pos="8176"/>
              <w:tab w:val="right" w:pos="9026" w:leader="dot"/>
            </w:tabs>
            <w:rPr/>
          </w:pPr>
          <w:hyperlink w:anchor="__RefHeading___Toc11944996_1280447820">
            <w:r>
              <w:rPr>
                <w:webHidden/>
                <w:rStyle w:val="IndexLink"/>
                <w:rtl w:val="true"/>
              </w:rPr>
              <w:t>التَّنبيه الثَّالث</w:t>
            </w:r>
            <w:r>
              <w:rPr>
                <w:rStyle w:val="IndexLink"/>
                <w:rtl w:val="true"/>
              </w:rPr>
              <w:t>:</w:t>
              <w:tab/>
            </w:r>
            <w:r>
              <w:rPr>
                <w:rStyle w:val="IndexLink"/>
              </w:rPr>
              <w:t>98</w:t>
            </w:r>
          </w:hyperlink>
        </w:p>
        <w:p>
          <w:pPr>
            <w:pStyle w:val="Contents4"/>
            <w:tabs>
              <w:tab w:val="clear" w:pos="8176"/>
              <w:tab w:val="right" w:pos="9026" w:leader="dot"/>
            </w:tabs>
            <w:rPr/>
          </w:pPr>
          <w:hyperlink w:anchor="__RefHeading___Toc11944998_1280447820">
            <w:r>
              <w:rPr>
                <w:webHidden/>
                <w:rStyle w:val="IndexLink"/>
                <w:rtl w:val="true"/>
              </w:rPr>
              <w:t>التَّنبيه الرَّابع</w:t>
            </w:r>
            <w:r>
              <w:rPr>
                <w:rStyle w:val="IndexLink"/>
                <w:rtl w:val="true"/>
              </w:rPr>
              <w:t>:</w:t>
              <w:tab/>
            </w:r>
            <w:r>
              <w:rPr>
                <w:rStyle w:val="IndexLink"/>
              </w:rPr>
              <w:t>100</w:t>
            </w:r>
          </w:hyperlink>
        </w:p>
        <w:p>
          <w:pPr>
            <w:pStyle w:val="Contents4"/>
            <w:tabs>
              <w:tab w:val="clear" w:pos="8176"/>
              <w:tab w:val="right" w:pos="9026" w:leader="dot"/>
            </w:tabs>
            <w:rPr/>
          </w:pPr>
          <w:hyperlink w:anchor="__RefHeading___Toc11945000_1280447820">
            <w:r>
              <w:rPr>
                <w:webHidden/>
                <w:rStyle w:val="IndexLink"/>
                <w:rtl w:val="true"/>
              </w:rPr>
              <w:t>التَّنبيه الخامس</w:t>
            </w:r>
            <w:r>
              <w:rPr>
                <w:rStyle w:val="IndexLink"/>
                <w:rtl w:val="true"/>
              </w:rPr>
              <w:t>:</w:t>
              <w:tab/>
            </w:r>
            <w:r>
              <w:rPr>
                <w:rStyle w:val="IndexLink"/>
              </w:rPr>
              <w:t>101</w:t>
            </w:r>
          </w:hyperlink>
        </w:p>
        <w:p>
          <w:pPr>
            <w:pStyle w:val="Contents4"/>
            <w:tabs>
              <w:tab w:val="clear" w:pos="8176"/>
              <w:tab w:val="right" w:pos="9026" w:leader="dot"/>
            </w:tabs>
            <w:rPr/>
          </w:pPr>
          <w:hyperlink w:anchor="__RefHeading___Toc11945002_1280447820">
            <w:r>
              <w:rPr>
                <w:webHidden/>
                <w:rStyle w:val="IndexLink"/>
                <w:rtl w:val="true"/>
              </w:rPr>
              <w:t>التَّنبيه السَّادس</w:t>
            </w:r>
            <w:r>
              <w:rPr>
                <w:rStyle w:val="IndexLink"/>
                <w:rtl w:val="true"/>
              </w:rPr>
              <w:t>:</w:t>
              <w:tab/>
            </w:r>
            <w:r>
              <w:rPr>
                <w:rStyle w:val="IndexLink"/>
              </w:rPr>
              <w:t>104</w:t>
            </w:r>
          </w:hyperlink>
        </w:p>
        <w:p>
          <w:pPr>
            <w:pStyle w:val="Contents4"/>
            <w:tabs>
              <w:tab w:val="clear" w:pos="8176"/>
              <w:tab w:val="right" w:pos="9026" w:leader="dot"/>
            </w:tabs>
            <w:rPr/>
          </w:pPr>
          <w:hyperlink w:anchor="__RefHeading___Toc11945004_1280447820">
            <w:r>
              <w:rPr>
                <w:webHidden/>
                <w:rStyle w:val="IndexLink"/>
                <w:rtl w:val="true"/>
              </w:rPr>
              <w:t>التَّنبيه السَّابع</w:t>
            </w:r>
            <w:r>
              <w:rPr>
                <w:rStyle w:val="IndexLink"/>
                <w:rtl w:val="true"/>
              </w:rPr>
              <w:t>:</w:t>
              <w:tab/>
            </w:r>
            <w:r>
              <w:rPr>
                <w:rStyle w:val="IndexLink"/>
              </w:rPr>
              <w:t>110</w:t>
            </w:r>
          </w:hyperlink>
        </w:p>
        <w:p>
          <w:pPr>
            <w:pStyle w:val="Contents4"/>
            <w:tabs>
              <w:tab w:val="clear" w:pos="8176"/>
              <w:tab w:val="right" w:pos="9026" w:leader="dot"/>
            </w:tabs>
            <w:rPr/>
          </w:pPr>
          <w:hyperlink w:anchor="__RefHeading___Toc11945006_1280447820">
            <w:r>
              <w:rPr>
                <w:webHidden/>
                <w:rStyle w:val="IndexLink"/>
                <w:rtl w:val="true"/>
              </w:rPr>
              <w:t>التَّنبيه الثَّامن</w:t>
            </w:r>
            <w:r>
              <w:rPr>
                <w:rStyle w:val="IndexLink"/>
                <w:rtl w:val="true"/>
              </w:rPr>
              <w:t>:</w:t>
              <w:tab/>
            </w:r>
            <w:r>
              <w:rPr>
                <w:rStyle w:val="IndexLink"/>
              </w:rPr>
              <w:t>113</w:t>
            </w:r>
          </w:hyperlink>
        </w:p>
        <w:p>
          <w:pPr>
            <w:pStyle w:val="Contents4"/>
            <w:tabs>
              <w:tab w:val="clear" w:pos="8176"/>
              <w:tab w:val="right" w:pos="9026" w:leader="dot"/>
            </w:tabs>
            <w:rPr/>
          </w:pPr>
          <w:hyperlink w:anchor="__RefHeading___Toc11945008_1280447820">
            <w:r>
              <w:rPr>
                <w:webHidden/>
                <w:rStyle w:val="IndexLink"/>
                <w:rtl w:val="true"/>
              </w:rPr>
              <w:t>التَّنبيه التَّاسع</w:t>
            </w:r>
            <w:r>
              <w:rPr>
                <w:rStyle w:val="IndexLink"/>
                <w:rtl w:val="true"/>
              </w:rPr>
              <w:t>:</w:t>
              <w:tab/>
            </w:r>
            <w:r>
              <w:rPr>
                <w:rStyle w:val="IndexLink"/>
              </w:rPr>
              <w:t>114</w:t>
            </w:r>
          </w:hyperlink>
        </w:p>
        <w:p>
          <w:pPr>
            <w:pStyle w:val="Contents3"/>
            <w:tabs>
              <w:tab w:val="clear" w:pos="8459"/>
              <w:tab w:val="right" w:pos="9026" w:leader="dot"/>
            </w:tabs>
            <w:rPr/>
          </w:pPr>
          <w:hyperlink w:anchor="__RefHeading___Toc11945010_1280447820">
            <w:r>
              <w:rPr>
                <w:webHidden/>
                <w:rStyle w:val="IndexLink"/>
                <w:rtl w:val="true"/>
              </w:rPr>
              <w:t>أمثلةٌ لاستعمال القاعدة في الفقه</w:t>
            </w:r>
            <w:r>
              <w:rPr>
                <w:rStyle w:val="IndexLink"/>
                <w:rtl w:val="true"/>
              </w:rPr>
              <w:t>:</w:t>
              <w:tab/>
            </w:r>
            <w:r>
              <w:rPr>
                <w:rStyle w:val="IndexLink"/>
              </w:rPr>
              <w:t>119</w:t>
            </w:r>
          </w:hyperlink>
        </w:p>
        <w:p>
          <w:pPr>
            <w:pStyle w:val="Contents2"/>
            <w:tabs>
              <w:tab w:val="clear" w:pos="8743"/>
              <w:tab w:val="right" w:pos="9026" w:leader="dot"/>
            </w:tabs>
            <w:rPr/>
          </w:pPr>
          <w:hyperlink w:anchor="__RefHeading___Toc11945012_1280447820">
            <w:r>
              <w:rPr>
                <w:webHidden/>
                <w:rStyle w:val="IndexLink"/>
                <w:rtl w:val="true"/>
              </w:rPr>
              <w:t>[</w:t>
            </w:r>
            <w:r>
              <w:rPr>
                <w:rStyle w:val="IndexLink"/>
              </w:rPr>
              <w:t>28</w:t>
            </w:r>
            <w:r>
              <w:rPr>
                <w:rStyle w:val="IndexLink"/>
                <w:rtl w:val="true"/>
              </w:rPr>
              <w:t xml:space="preserve">:] </w:t>
            </w:r>
            <w:r>
              <w:rPr>
                <w:rStyle w:val="IndexLink"/>
                <w:rtl w:val="true"/>
              </w:rPr>
              <w:t>قاعدة الوقوف علىٰ حسْبِ ما يُوقِفُها أهلُها</w:t>
            </w:r>
            <w:r>
              <w:rPr>
                <w:rStyle w:val="IndexLink"/>
                <w:rtl w:val="true"/>
              </w:rPr>
              <w:tab/>
            </w:r>
            <w:r>
              <w:rPr>
                <w:rStyle w:val="IndexLink"/>
              </w:rPr>
              <w:t>121</w:t>
            </w:r>
          </w:hyperlink>
        </w:p>
        <w:p>
          <w:pPr>
            <w:pStyle w:val="Contents3"/>
            <w:tabs>
              <w:tab w:val="clear" w:pos="8459"/>
              <w:tab w:val="right" w:pos="9026" w:leader="dot"/>
            </w:tabs>
            <w:rPr/>
          </w:pPr>
          <w:hyperlink w:anchor="__RefHeading___Toc11945014_1280447820">
            <w:r>
              <w:rPr>
                <w:webHidden/>
                <w:rStyle w:val="IndexLink"/>
                <w:rtl w:val="true"/>
              </w:rPr>
              <w:t>عناوين أُخرىٰ للقاعدة</w:t>
            </w:r>
            <w:r>
              <w:rPr>
                <w:rStyle w:val="IndexLink"/>
                <w:rtl w:val="true"/>
              </w:rPr>
              <w:tab/>
            </w:r>
            <w:r>
              <w:rPr>
                <w:rStyle w:val="IndexLink"/>
              </w:rPr>
              <w:t>121</w:t>
            </w:r>
          </w:hyperlink>
        </w:p>
        <w:p>
          <w:pPr>
            <w:pStyle w:val="Contents3"/>
            <w:tabs>
              <w:tab w:val="clear" w:pos="8459"/>
              <w:tab w:val="right" w:pos="9026" w:leader="dot"/>
            </w:tabs>
            <w:rPr/>
          </w:pPr>
          <w:hyperlink w:anchor="__RefHeading___Toc11945016_1280447820">
            <w:r>
              <w:rPr>
                <w:webHidden/>
                <w:rStyle w:val="IndexLink"/>
                <w:rtl w:val="true"/>
              </w:rPr>
              <w:t>توضيح مفاد القاعدة</w:t>
            </w:r>
            <w:r>
              <w:rPr>
                <w:rStyle w:val="IndexLink"/>
                <w:rtl w:val="true"/>
              </w:rPr>
              <w:tab/>
            </w:r>
            <w:r>
              <w:rPr>
                <w:rStyle w:val="IndexLink"/>
              </w:rPr>
              <w:t>121</w:t>
            </w:r>
          </w:hyperlink>
        </w:p>
        <w:p>
          <w:pPr>
            <w:pStyle w:val="Contents3"/>
            <w:tabs>
              <w:tab w:val="clear" w:pos="8459"/>
              <w:tab w:val="right" w:pos="9026" w:leader="dot"/>
            </w:tabs>
            <w:rPr/>
          </w:pPr>
          <w:hyperlink w:anchor="__RefHeading___Toc11945018_1280447820">
            <w:r>
              <w:rPr>
                <w:webHidden/>
                <w:rStyle w:val="IndexLink"/>
                <w:rtl w:val="true"/>
              </w:rPr>
              <w:t>مدركُ القاعدة</w:t>
            </w:r>
            <w:r>
              <w:rPr>
                <w:rStyle w:val="IndexLink"/>
                <w:rtl w:val="true"/>
              </w:rPr>
              <w:tab/>
            </w:r>
            <w:r>
              <w:rPr>
                <w:rStyle w:val="IndexLink"/>
              </w:rPr>
              <w:t>125</w:t>
            </w:r>
          </w:hyperlink>
        </w:p>
        <w:p>
          <w:pPr>
            <w:pStyle w:val="Contents4"/>
            <w:tabs>
              <w:tab w:val="clear" w:pos="8176"/>
              <w:tab w:val="right" w:pos="9026" w:leader="dot"/>
            </w:tabs>
            <w:rPr/>
          </w:pPr>
          <w:hyperlink w:anchor="__RefHeading___Toc11945020_1280447820">
            <w:r>
              <w:rPr>
                <w:webHidden/>
                <w:rStyle w:val="IndexLink"/>
                <w:rtl w:val="true"/>
              </w:rPr>
              <w:t>أوَّلًا</w:t>
            </w:r>
            <w:r>
              <w:rPr>
                <w:rStyle w:val="IndexLink"/>
                <w:rtl w:val="true"/>
              </w:rPr>
              <w:t xml:space="preserve">: </w:t>
            </w:r>
            <w:r>
              <w:rPr>
                <w:rStyle w:val="IndexLink"/>
                <w:rtl w:val="true"/>
              </w:rPr>
              <w:t>بناء العقلاء</w:t>
            </w:r>
            <w:r>
              <w:rPr>
                <w:rStyle w:val="IndexLink"/>
                <w:rtl w:val="true"/>
              </w:rPr>
              <w:tab/>
            </w:r>
            <w:r>
              <w:rPr>
                <w:rStyle w:val="IndexLink"/>
              </w:rPr>
              <w:t>125</w:t>
            </w:r>
          </w:hyperlink>
        </w:p>
        <w:p>
          <w:pPr>
            <w:pStyle w:val="Contents4"/>
            <w:tabs>
              <w:tab w:val="clear" w:pos="8176"/>
              <w:tab w:val="right" w:pos="9026" w:leader="dot"/>
            </w:tabs>
            <w:rPr/>
          </w:pPr>
          <w:hyperlink w:anchor="__RefHeading___Toc11945022_1280447820">
            <w:r>
              <w:rPr>
                <w:webHidden/>
                <w:rStyle w:val="IndexLink"/>
                <w:rtl w:val="true"/>
              </w:rPr>
              <w:t>ثانيًا</w:t>
            </w:r>
            <w:r>
              <w:rPr>
                <w:rStyle w:val="IndexLink"/>
                <w:rtl w:val="true"/>
              </w:rPr>
              <w:t xml:space="preserve">: </w:t>
            </w:r>
            <w:r>
              <w:rPr>
                <w:rStyle w:val="IndexLink"/>
                <w:rtl w:val="true"/>
              </w:rPr>
              <w:t>الرِّوايات</w:t>
            </w:r>
            <w:r>
              <w:rPr>
                <w:rStyle w:val="IndexLink"/>
                <w:rtl w:val="true"/>
              </w:rPr>
              <w:tab/>
            </w:r>
            <w:r>
              <w:rPr>
                <w:rStyle w:val="IndexLink"/>
              </w:rPr>
              <w:t>125</w:t>
            </w:r>
          </w:hyperlink>
        </w:p>
        <w:p>
          <w:pPr>
            <w:pStyle w:val="Contents3"/>
            <w:tabs>
              <w:tab w:val="clear" w:pos="8459"/>
              <w:tab w:val="right" w:pos="9026" w:leader="dot"/>
            </w:tabs>
            <w:rPr/>
          </w:pPr>
          <w:hyperlink w:anchor="__RefHeading___Toc11945024_1280447820">
            <w:r>
              <w:rPr>
                <w:webHidden/>
                <w:rStyle w:val="IndexLink"/>
                <w:rtl w:val="true"/>
              </w:rPr>
              <w:t>تنبيهاتٌ‌</w:t>
            </w:r>
            <w:r>
              <w:rPr>
                <w:rStyle w:val="IndexLink"/>
                <w:rtl w:val="true"/>
              </w:rPr>
              <w:t>:</w:t>
              <w:tab/>
            </w:r>
            <w:r>
              <w:rPr>
                <w:rStyle w:val="IndexLink"/>
              </w:rPr>
              <w:t>126</w:t>
            </w:r>
          </w:hyperlink>
        </w:p>
        <w:p>
          <w:pPr>
            <w:pStyle w:val="Contents4"/>
            <w:tabs>
              <w:tab w:val="clear" w:pos="8176"/>
              <w:tab w:val="right" w:pos="9026" w:leader="dot"/>
            </w:tabs>
            <w:rPr/>
          </w:pPr>
          <w:hyperlink w:anchor="__RefHeading___Toc11945026_1280447820">
            <w:r>
              <w:rPr>
                <w:webHidden/>
                <w:rStyle w:val="IndexLink"/>
                <w:rtl w:val="true"/>
              </w:rPr>
              <w:t>التَّنبيه الأوَّل</w:t>
            </w:r>
            <w:r>
              <w:rPr>
                <w:rStyle w:val="IndexLink"/>
                <w:rtl w:val="true"/>
              </w:rPr>
              <w:t>:</w:t>
              <w:tab/>
            </w:r>
            <w:r>
              <w:rPr>
                <w:rStyle w:val="IndexLink"/>
              </w:rPr>
              <w:t>126</w:t>
            </w:r>
          </w:hyperlink>
        </w:p>
        <w:p>
          <w:pPr>
            <w:pStyle w:val="Contents4"/>
            <w:tabs>
              <w:tab w:val="clear" w:pos="8176"/>
              <w:tab w:val="right" w:pos="9026" w:leader="dot"/>
            </w:tabs>
            <w:rPr/>
          </w:pPr>
          <w:hyperlink w:anchor="__RefHeading___Toc11945028_1280447820">
            <w:r>
              <w:rPr>
                <w:webHidden/>
                <w:rStyle w:val="IndexLink"/>
                <w:rtl w:val="true"/>
              </w:rPr>
              <w:t>التَّنبيه الثَّاني</w:t>
            </w:r>
            <w:r>
              <w:rPr>
                <w:rStyle w:val="IndexLink"/>
                <w:rtl w:val="true"/>
              </w:rPr>
              <w:t>:</w:t>
              <w:tab/>
            </w:r>
            <w:r>
              <w:rPr>
                <w:rStyle w:val="IndexLink"/>
              </w:rPr>
              <w:t>128</w:t>
            </w:r>
          </w:hyperlink>
        </w:p>
        <w:p>
          <w:pPr>
            <w:pStyle w:val="Contents4"/>
            <w:tabs>
              <w:tab w:val="clear" w:pos="8176"/>
              <w:tab w:val="right" w:pos="9026" w:leader="dot"/>
            </w:tabs>
            <w:rPr/>
          </w:pPr>
          <w:hyperlink w:anchor="__RefHeading___Toc11945030_1280447820">
            <w:r>
              <w:rPr>
                <w:webHidden/>
                <w:rStyle w:val="IndexLink"/>
                <w:rtl w:val="true"/>
              </w:rPr>
              <w:t>التَّنبيه الثَّالث</w:t>
            </w:r>
            <w:r>
              <w:rPr>
                <w:rStyle w:val="IndexLink"/>
                <w:rtl w:val="true"/>
              </w:rPr>
              <w:t>:</w:t>
              <w:tab/>
            </w:r>
            <w:r>
              <w:rPr>
                <w:rStyle w:val="IndexLink"/>
              </w:rPr>
              <w:t>131</w:t>
            </w:r>
          </w:hyperlink>
        </w:p>
        <w:p>
          <w:pPr>
            <w:pStyle w:val="Contents4"/>
            <w:tabs>
              <w:tab w:val="clear" w:pos="8176"/>
              <w:tab w:val="right" w:pos="9026" w:leader="dot"/>
            </w:tabs>
            <w:rPr/>
          </w:pPr>
          <w:hyperlink w:anchor="__RefHeading___Toc11945032_1280447820">
            <w:r>
              <w:rPr>
                <w:webHidden/>
                <w:rStyle w:val="IndexLink"/>
                <w:rtl w:val="true"/>
              </w:rPr>
              <w:t>التَّنبيه الرَّابع</w:t>
            </w:r>
            <w:r>
              <w:rPr>
                <w:rStyle w:val="IndexLink"/>
                <w:rtl w:val="true"/>
              </w:rPr>
              <w:t>:</w:t>
              <w:tab/>
            </w:r>
            <w:r>
              <w:rPr>
                <w:rStyle w:val="IndexLink"/>
              </w:rPr>
              <w:t>131</w:t>
            </w:r>
          </w:hyperlink>
        </w:p>
        <w:p>
          <w:pPr>
            <w:pStyle w:val="Contents4"/>
            <w:tabs>
              <w:tab w:val="clear" w:pos="8176"/>
              <w:tab w:val="right" w:pos="9026" w:leader="dot"/>
            </w:tabs>
            <w:rPr/>
          </w:pPr>
          <w:hyperlink w:anchor="__RefHeading___Toc11945034_1280447820">
            <w:r>
              <w:rPr>
                <w:webHidden/>
                <w:rStyle w:val="IndexLink"/>
                <w:rtl w:val="true"/>
              </w:rPr>
              <w:t>التَّنبيه الخامس</w:t>
            </w:r>
            <w:r>
              <w:rPr>
                <w:rStyle w:val="IndexLink"/>
                <w:rtl w:val="true"/>
              </w:rPr>
              <w:t>:</w:t>
              <w:tab/>
            </w:r>
            <w:r>
              <w:rPr>
                <w:rStyle w:val="IndexLink"/>
              </w:rPr>
              <w:t>142</w:t>
            </w:r>
          </w:hyperlink>
        </w:p>
        <w:p>
          <w:pPr>
            <w:pStyle w:val="Contents4"/>
            <w:tabs>
              <w:tab w:val="clear" w:pos="8176"/>
              <w:tab w:val="right" w:pos="9026" w:leader="dot"/>
            </w:tabs>
            <w:rPr/>
          </w:pPr>
          <w:hyperlink w:anchor="__RefHeading___Toc11945036_1280447820">
            <w:r>
              <w:rPr>
                <w:webHidden/>
                <w:rStyle w:val="IndexLink"/>
                <w:rtl w:val="true"/>
              </w:rPr>
              <w:t>التَّنبيه السَّادس</w:t>
            </w:r>
            <w:r>
              <w:rPr>
                <w:rStyle w:val="IndexLink"/>
                <w:rtl w:val="true"/>
              </w:rPr>
              <w:t>:</w:t>
              <w:tab/>
            </w:r>
            <w:r>
              <w:rPr>
                <w:rStyle w:val="IndexLink"/>
              </w:rPr>
              <w:t>147</w:t>
            </w:r>
          </w:hyperlink>
        </w:p>
        <w:p>
          <w:pPr>
            <w:pStyle w:val="Contents4"/>
            <w:tabs>
              <w:tab w:val="clear" w:pos="8176"/>
              <w:tab w:val="right" w:pos="9026" w:leader="dot"/>
            </w:tabs>
            <w:rPr/>
          </w:pPr>
          <w:hyperlink w:anchor="__RefHeading___Toc11945038_1280447820">
            <w:r>
              <w:rPr>
                <w:webHidden/>
                <w:rStyle w:val="IndexLink"/>
                <w:rtl w:val="true"/>
              </w:rPr>
              <w:t>التَّنبيه السَّابع</w:t>
            </w:r>
            <w:r>
              <w:rPr>
                <w:rStyle w:val="IndexLink"/>
                <w:rtl w:val="true"/>
              </w:rPr>
              <w:t>:</w:t>
              <w:tab/>
            </w:r>
            <w:r>
              <w:rPr>
                <w:rStyle w:val="IndexLink"/>
              </w:rPr>
              <w:t>148</w:t>
            </w:r>
          </w:hyperlink>
        </w:p>
        <w:p>
          <w:pPr>
            <w:pStyle w:val="Contents4"/>
            <w:tabs>
              <w:tab w:val="clear" w:pos="8176"/>
              <w:tab w:val="right" w:pos="9026" w:leader="dot"/>
            </w:tabs>
            <w:rPr/>
          </w:pPr>
          <w:hyperlink w:anchor="__RefHeading___Toc11945040_1280447820">
            <w:r>
              <w:rPr>
                <w:webHidden/>
                <w:rStyle w:val="IndexLink"/>
                <w:rtl w:val="true"/>
              </w:rPr>
              <w:t>التَّنبيه الثَّامن</w:t>
            </w:r>
            <w:r>
              <w:rPr>
                <w:rStyle w:val="IndexLink"/>
                <w:rtl w:val="true"/>
              </w:rPr>
              <w:t>:</w:t>
              <w:tab/>
            </w:r>
            <w:r>
              <w:rPr>
                <w:rStyle w:val="IndexLink"/>
              </w:rPr>
              <w:t>151</w:t>
            </w:r>
          </w:hyperlink>
        </w:p>
        <w:p>
          <w:pPr>
            <w:pStyle w:val="Contents4"/>
            <w:tabs>
              <w:tab w:val="clear" w:pos="8176"/>
              <w:tab w:val="right" w:pos="9026" w:leader="dot"/>
            </w:tabs>
            <w:rPr/>
          </w:pPr>
          <w:hyperlink w:anchor="__RefHeading___Toc11945042_1280447820">
            <w:r>
              <w:rPr>
                <w:webHidden/>
                <w:rStyle w:val="IndexLink"/>
                <w:rtl w:val="true"/>
              </w:rPr>
              <w:t>التَّنبيه التَّاسع</w:t>
            </w:r>
            <w:r>
              <w:rPr>
                <w:rStyle w:val="IndexLink"/>
                <w:rtl w:val="true"/>
              </w:rPr>
              <w:t>:</w:t>
              <w:tab/>
            </w:r>
            <w:r>
              <w:rPr>
                <w:rStyle w:val="IndexLink"/>
              </w:rPr>
              <w:t>153</w:t>
            </w:r>
          </w:hyperlink>
        </w:p>
        <w:p>
          <w:pPr>
            <w:pStyle w:val="Contents4"/>
            <w:tabs>
              <w:tab w:val="clear" w:pos="8176"/>
              <w:tab w:val="right" w:pos="9026" w:leader="dot"/>
            </w:tabs>
            <w:rPr/>
          </w:pPr>
          <w:hyperlink w:anchor="__RefHeading___Toc11945044_1280447820">
            <w:r>
              <w:rPr>
                <w:webHidden/>
                <w:rStyle w:val="IndexLink"/>
                <w:rtl w:val="true"/>
              </w:rPr>
              <w:t>التَّنبيه العاشر</w:t>
            </w:r>
            <w:r>
              <w:rPr>
                <w:rStyle w:val="IndexLink"/>
                <w:rtl w:val="true"/>
              </w:rPr>
              <w:t>:</w:t>
              <w:tab/>
            </w:r>
            <w:r>
              <w:rPr>
                <w:rStyle w:val="IndexLink"/>
              </w:rPr>
              <w:t>155</w:t>
            </w:r>
          </w:hyperlink>
        </w:p>
        <w:p>
          <w:pPr>
            <w:pStyle w:val="Contents4"/>
            <w:tabs>
              <w:tab w:val="clear" w:pos="8176"/>
              <w:tab w:val="right" w:pos="9026" w:leader="dot"/>
            </w:tabs>
            <w:rPr/>
          </w:pPr>
          <w:hyperlink w:anchor="__RefHeading___Toc11945046_1280447820">
            <w:r>
              <w:rPr>
                <w:webHidden/>
                <w:rStyle w:val="IndexLink"/>
                <w:rtl w:val="true"/>
              </w:rPr>
              <w:t>التَّنبيه الحادي عشر</w:t>
            </w:r>
            <w:r>
              <w:rPr>
                <w:rStyle w:val="IndexLink"/>
                <w:rtl w:val="true"/>
              </w:rPr>
              <w:t>:</w:t>
              <w:tab/>
            </w:r>
            <w:r>
              <w:rPr>
                <w:rStyle w:val="IndexLink"/>
              </w:rPr>
              <w:t>156</w:t>
            </w:r>
          </w:hyperlink>
        </w:p>
        <w:p>
          <w:pPr>
            <w:pStyle w:val="Contents3"/>
            <w:tabs>
              <w:tab w:val="clear" w:pos="8459"/>
              <w:tab w:val="right" w:pos="9026" w:leader="dot"/>
            </w:tabs>
            <w:rPr/>
          </w:pPr>
          <w:hyperlink w:anchor="__RefHeading___Toc11945048_1280447820">
            <w:r>
              <w:rPr>
                <w:webHidden/>
                <w:rStyle w:val="IndexLink"/>
                <w:rtl w:val="true"/>
              </w:rPr>
              <w:t>أمثلةٌ لاستعمال القاعدة في الفقه</w:t>
            </w:r>
            <w:r>
              <w:rPr>
                <w:rStyle w:val="IndexLink"/>
                <w:rtl w:val="true"/>
              </w:rPr>
              <w:t>:</w:t>
              <w:tab/>
            </w:r>
            <w:r>
              <w:rPr>
                <w:rStyle w:val="IndexLink"/>
              </w:rPr>
              <w:t>158</w:t>
            </w:r>
          </w:hyperlink>
        </w:p>
        <w:p>
          <w:pPr>
            <w:pStyle w:val="Contents2"/>
            <w:tabs>
              <w:tab w:val="clear" w:pos="8743"/>
              <w:tab w:val="right" w:pos="9026" w:leader="dot"/>
            </w:tabs>
            <w:rPr/>
          </w:pPr>
          <w:hyperlink w:anchor="__RefHeading___Toc11945050_1280447820">
            <w:r>
              <w:rPr>
                <w:webHidden/>
                <w:rStyle w:val="IndexLink"/>
                <w:rtl w:val="true"/>
              </w:rPr>
              <w:t>[</w:t>
            </w:r>
            <w:r>
              <w:rPr>
                <w:rStyle w:val="IndexLink"/>
              </w:rPr>
              <w:t>29</w:t>
            </w:r>
            <w:r>
              <w:rPr>
                <w:rStyle w:val="IndexLink"/>
                <w:rtl w:val="true"/>
              </w:rPr>
              <w:t xml:space="preserve">:] </w:t>
            </w:r>
            <w:r>
              <w:rPr>
                <w:rStyle w:val="IndexLink"/>
                <w:rtl w:val="true"/>
              </w:rPr>
              <w:t>قاعدة اليد</w:t>
            </w:r>
            <w:r>
              <w:rPr>
                <w:rStyle w:val="IndexLink"/>
                <w:rtl w:val="true"/>
              </w:rPr>
              <w:tab/>
            </w:r>
            <w:r>
              <w:rPr>
                <w:rStyle w:val="IndexLink"/>
              </w:rPr>
              <w:t>161</w:t>
            </w:r>
          </w:hyperlink>
        </w:p>
        <w:p>
          <w:pPr>
            <w:pStyle w:val="Contents3"/>
            <w:tabs>
              <w:tab w:val="clear" w:pos="8459"/>
              <w:tab w:val="right" w:pos="9026" w:leader="dot"/>
            </w:tabs>
            <w:rPr/>
          </w:pPr>
          <w:hyperlink w:anchor="__RefHeading___Toc11945052_1280447820">
            <w:r>
              <w:rPr>
                <w:webHidden/>
                <w:rStyle w:val="IndexLink"/>
                <w:rtl w:val="true"/>
              </w:rPr>
              <w:t>عناوين أُخرىٰ للقاعدة توضيح مفاد القاعدة</w:t>
            </w:r>
            <w:r>
              <w:rPr>
                <w:rStyle w:val="IndexLink"/>
                <w:rtl w:val="true"/>
              </w:rPr>
              <w:tab/>
            </w:r>
            <w:r>
              <w:rPr>
                <w:rStyle w:val="IndexLink"/>
              </w:rPr>
              <w:t>161</w:t>
            </w:r>
          </w:hyperlink>
        </w:p>
        <w:p>
          <w:pPr>
            <w:pStyle w:val="Contents3"/>
            <w:tabs>
              <w:tab w:val="clear" w:pos="8459"/>
              <w:tab w:val="right" w:pos="9026" w:leader="dot"/>
            </w:tabs>
            <w:rPr/>
          </w:pPr>
          <w:hyperlink w:anchor="__RefHeading___Toc11945054_1280447820">
            <w:r>
              <w:rPr>
                <w:webHidden/>
                <w:rStyle w:val="IndexLink"/>
                <w:rtl w:val="true"/>
              </w:rPr>
              <w:t>مدركُ القاعدة</w:t>
            </w:r>
            <w:r>
              <w:rPr>
                <w:rStyle w:val="IndexLink"/>
                <w:rtl w:val="true"/>
              </w:rPr>
              <w:tab/>
            </w:r>
            <w:r>
              <w:rPr>
                <w:rStyle w:val="IndexLink"/>
              </w:rPr>
              <w:t>162</w:t>
            </w:r>
          </w:hyperlink>
        </w:p>
        <w:p>
          <w:pPr>
            <w:pStyle w:val="Contents4"/>
            <w:tabs>
              <w:tab w:val="clear" w:pos="8176"/>
              <w:tab w:val="right" w:pos="9026" w:leader="dot"/>
            </w:tabs>
            <w:rPr/>
          </w:pPr>
          <w:hyperlink w:anchor="__RefHeading___Toc11945056_1280447820">
            <w:r>
              <w:rPr>
                <w:webHidden/>
                <w:rStyle w:val="IndexLink"/>
                <w:rtl w:val="true"/>
              </w:rPr>
              <w:t>أوَّلًا</w:t>
            </w:r>
            <w:r>
              <w:rPr>
                <w:rStyle w:val="IndexLink"/>
                <w:rtl w:val="true"/>
              </w:rPr>
              <w:t xml:space="preserve">: </w:t>
            </w:r>
            <w:r>
              <w:rPr>
                <w:rStyle w:val="IndexLink"/>
                <w:rtl w:val="true"/>
              </w:rPr>
              <w:t>سيرة العقلاء</w:t>
            </w:r>
            <w:r>
              <w:rPr>
                <w:rStyle w:val="IndexLink"/>
                <w:rtl w:val="true"/>
              </w:rPr>
              <w:tab/>
            </w:r>
            <w:r>
              <w:rPr>
                <w:rStyle w:val="IndexLink"/>
              </w:rPr>
              <w:t>162</w:t>
            </w:r>
          </w:hyperlink>
        </w:p>
        <w:p>
          <w:pPr>
            <w:pStyle w:val="Contents4"/>
            <w:tabs>
              <w:tab w:val="clear" w:pos="8176"/>
              <w:tab w:val="right" w:pos="9026" w:leader="dot"/>
            </w:tabs>
            <w:rPr/>
          </w:pPr>
          <w:hyperlink w:anchor="__RefHeading___Toc11945058_1280447820">
            <w:r>
              <w:rPr>
                <w:webHidden/>
                <w:rStyle w:val="IndexLink"/>
                <w:rtl w:val="true"/>
              </w:rPr>
              <w:t>ثانيًا</w:t>
            </w:r>
            <w:r>
              <w:rPr>
                <w:rStyle w:val="IndexLink"/>
                <w:rtl w:val="true"/>
              </w:rPr>
              <w:t xml:space="preserve">: </w:t>
            </w:r>
            <w:r>
              <w:rPr>
                <w:rStyle w:val="IndexLink"/>
                <w:rtl w:val="true"/>
              </w:rPr>
              <w:t>السُّنَّة المطهَّرة</w:t>
            </w:r>
            <w:r>
              <w:rPr>
                <w:rStyle w:val="IndexLink"/>
                <w:rtl w:val="true"/>
              </w:rPr>
              <w:tab/>
            </w:r>
            <w:r>
              <w:rPr>
                <w:rStyle w:val="IndexLink"/>
              </w:rPr>
              <w:t>162</w:t>
            </w:r>
          </w:hyperlink>
        </w:p>
        <w:p>
          <w:pPr>
            <w:pStyle w:val="Contents4"/>
            <w:tabs>
              <w:tab w:val="clear" w:pos="8176"/>
              <w:tab w:val="right" w:pos="9026" w:leader="dot"/>
            </w:tabs>
            <w:rPr/>
          </w:pPr>
          <w:hyperlink w:anchor="__RefHeading___Toc11945060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166</w:t>
            </w:r>
          </w:hyperlink>
        </w:p>
        <w:p>
          <w:pPr>
            <w:pStyle w:val="Contents3"/>
            <w:tabs>
              <w:tab w:val="clear" w:pos="8459"/>
              <w:tab w:val="right" w:pos="9026" w:leader="dot"/>
            </w:tabs>
            <w:rPr/>
          </w:pPr>
          <w:hyperlink w:anchor="__RefHeading___Toc11945062_1280447820">
            <w:r>
              <w:rPr>
                <w:webHidden/>
                <w:rStyle w:val="IndexLink"/>
                <w:rtl w:val="true"/>
              </w:rPr>
              <w:t>تنبيهاتٌ‌</w:t>
            </w:r>
            <w:r>
              <w:rPr>
                <w:rStyle w:val="IndexLink"/>
                <w:rtl w:val="true"/>
              </w:rPr>
              <w:t>:</w:t>
              <w:tab/>
            </w:r>
            <w:r>
              <w:rPr>
                <w:rStyle w:val="IndexLink"/>
              </w:rPr>
              <w:t>166</w:t>
            </w:r>
          </w:hyperlink>
        </w:p>
        <w:p>
          <w:pPr>
            <w:pStyle w:val="Contents4"/>
            <w:tabs>
              <w:tab w:val="clear" w:pos="8176"/>
              <w:tab w:val="right" w:pos="9026" w:leader="dot"/>
            </w:tabs>
            <w:rPr/>
          </w:pPr>
          <w:hyperlink w:anchor="__RefHeading___Toc11945064_1280447820">
            <w:r>
              <w:rPr>
                <w:webHidden/>
                <w:rStyle w:val="IndexLink"/>
                <w:rtl w:val="true"/>
              </w:rPr>
              <w:t>التَّنبيه الأوَّل</w:t>
            </w:r>
            <w:r>
              <w:rPr>
                <w:rStyle w:val="IndexLink"/>
                <w:rtl w:val="true"/>
              </w:rPr>
              <w:t>:</w:t>
              <w:tab/>
            </w:r>
            <w:r>
              <w:rPr>
                <w:rStyle w:val="IndexLink"/>
              </w:rPr>
              <w:t>166</w:t>
            </w:r>
          </w:hyperlink>
        </w:p>
        <w:p>
          <w:pPr>
            <w:pStyle w:val="Contents4"/>
            <w:tabs>
              <w:tab w:val="clear" w:pos="8176"/>
              <w:tab w:val="right" w:pos="9026" w:leader="dot"/>
            </w:tabs>
            <w:rPr/>
          </w:pPr>
          <w:hyperlink w:anchor="__RefHeading___Toc11945066_1280447820">
            <w:r>
              <w:rPr>
                <w:webHidden/>
                <w:rStyle w:val="IndexLink"/>
                <w:rtl w:val="true"/>
              </w:rPr>
              <w:t>التَّنبيه الثَّاني</w:t>
            </w:r>
            <w:r>
              <w:rPr>
                <w:rStyle w:val="IndexLink"/>
                <w:rtl w:val="true"/>
              </w:rPr>
              <w:t>:</w:t>
              <w:tab/>
            </w:r>
            <w:r>
              <w:rPr>
                <w:rStyle w:val="IndexLink"/>
              </w:rPr>
              <w:t>168</w:t>
            </w:r>
          </w:hyperlink>
        </w:p>
        <w:p>
          <w:pPr>
            <w:pStyle w:val="Contents4"/>
            <w:tabs>
              <w:tab w:val="clear" w:pos="8176"/>
              <w:tab w:val="right" w:pos="9026" w:leader="dot"/>
            </w:tabs>
            <w:rPr/>
          </w:pPr>
          <w:hyperlink w:anchor="__RefHeading___Toc11945068_1280447820">
            <w:r>
              <w:rPr>
                <w:webHidden/>
                <w:rStyle w:val="IndexLink"/>
                <w:rtl w:val="true"/>
              </w:rPr>
              <w:t>التَّنبيه الثَّالث</w:t>
            </w:r>
            <w:r>
              <w:rPr>
                <w:rStyle w:val="IndexLink"/>
                <w:rtl w:val="true"/>
              </w:rPr>
              <w:t>:</w:t>
              <w:tab/>
            </w:r>
            <w:r>
              <w:rPr>
                <w:rStyle w:val="IndexLink"/>
              </w:rPr>
              <w:t>170</w:t>
            </w:r>
          </w:hyperlink>
        </w:p>
        <w:p>
          <w:pPr>
            <w:pStyle w:val="Contents3"/>
            <w:tabs>
              <w:tab w:val="clear" w:pos="8459"/>
              <w:tab w:val="right" w:pos="9026" w:leader="dot"/>
            </w:tabs>
            <w:rPr/>
          </w:pPr>
          <w:hyperlink w:anchor="__RefHeading___Toc11945070_1280447820">
            <w:r>
              <w:rPr>
                <w:webHidden/>
                <w:rStyle w:val="IndexLink"/>
                <w:rtl w:val="true"/>
              </w:rPr>
              <w:t>أمثلةٌ لاستعمال القاعدة في الفقه</w:t>
            </w:r>
            <w:r>
              <w:rPr>
                <w:rStyle w:val="IndexLink"/>
                <w:rtl w:val="true"/>
              </w:rPr>
              <w:t>:</w:t>
              <w:tab/>
            </w:r>
            <w:r>
              <w:rPr>
                <w:rStyle w:val="IndexLink"/>
              </w:rPr>
              <w:t>173</w:t>
            </w:r>
          </w:hyperlink>
        </w:p>
        <w:p>
          <w:pPr>
            <w:pStyle w:val="Contents2"/>
            <w:tabs>
              <w:tab w:val="clear" w:pos="8743"/>
              <w:tab w:val="right" w:pos="9026" w:leader="dot"/>
            </w:tabs>
            <w:rPr/>
          </w:pPr>
          <w:hyperlink w:anchor="__RefHeading___Toc11945072_1280447820">
            <w:r>
              <w:rPr>
                <w:webHidden/>
                <w:rStyle w:val="IndexLink"/>
                <w:rtl w:val="true"/>
              </w:rPr>
              <w:t>[</w:t>
            </w:r>
            <w:r>
              <w:rPr>
                <w:rStyle w:val="IndexLink"/>
              </w:rPr>
              <w:t>30</w:t>
            </w:r>
            <w:r>
              <w:rPr>
                <w:rStyle w:val="IndexLink"/>
                <w:rtl w:val="true"/>
              </w:rPr>
              <w:t xml:space="preserve">:] </w:t>
            </w:r>
            <w:r>
              <w:rPr>
                <w:rStyle w:val="IndexLink"/>
                <w:rtl w:val="true"/>
              </w:rPr>
              <w:t>قاعدة إنَّ الإجارةَ أحدُ معايش العبادِ</w:t>
            </w:r>
            <w:r>
              <w:rPr>
                <w:rStyle w:val="IndexLink"/>
                <w:rtl w:val="true"/>
              </w:rPr>
              <w:tab/>
            </w:r>
            <w:r>
              <w:rPr>
                <w:rStyle w:val="IndexLink"/>
              </w:rPr>
              <w:t>175</w:t>
            </w:r>
          </w:hyperlink>
        </w:p>
        <w:p>
          <w:pPr>
            <w:pStyle w:val="Contents3"/>
            <w:tabs>
              <w:tab w:val="clear" w:pos="8459"/>
              <w:tab w:val="right" w:pos="9026" w:leader="dot"/>
            </w:tabs>
            <w:rPr/>
          </w:pPr>
          <w:hyperlink w:anchor="__RefHeading___Toc11945074_1280447820">
            <w:r>
              <w:rPr>
                <w:webHidden/>
                <w:rStyle w:val="IndexLink"/>
                <w:rtl w:val="true"/>
              </w:rPr>
              <w:t>عناوين أُخرىٰ للقاعدة</w:t>
            </w:r>
            <w:r>
              <w:rPr>
                <w:rStyle w:val="IndexLink"/>
                <w:rtl w:val="true"/>
              </w:rPr>
              <w:tab/>
            </w:r>
            <w:r>
              <w:rPr>
                <w:rStyle w:val="IndexLink"/>
              </w:rPr>
              <w:t>175</w:t>
            </w:r>
          </w:hyperlink>
        </w:p>
        <w:p>
          <w:pPr>
            <w:pStyle w:val="Contents3"/>
            <w:tabs>
              <w:tab w:val="clear" w:pos="8459"/>
              <w:tab w:val="right" w:pos="9026" w:leader="dot"/>
            </w:tabs>
            <w:rPr/>
          </w:pPr>
          <w:hyperlink w:anchor="__RefHeading___Toc11945076_1280447820">
            <w:r>
              <w:rPr>
                <w:webHidden/>
                <w:rStyle w:val="IndexLink"/>
                <w:rtl w:val="true"/>
              </w:rPr>
              <w:t>توضيح مفاد القاعدة</w:t>
            </w:r>
            <w:r>
              <w:rPr>
                <w:rStyle w:val="IndexLink"/>
                <w:rtl w:val="true"/>
              </w:rPr>
              <w:tab/>
            </w:r>
            <w:r>
              <w:rPr>
                <w:rStyle w:val="IndexLink"/>
              </w:rPr>
              <w:t>175</w:t>
            </w:r>
          </w:hyperlink>
        </w:p>
        <w:p>
          <w:pPr>
            <w:pStyle w:val="Contents3"/>
            <w:tabs>
              <w:tab w:val="clear" w:pos="8459"/>
              <w:tab w:val="right" w:pos="9026" w:leader="dot"/>
            </w:tabs>
            <w:rPr/>
          </w:pPr>
          <w:hyperlink w:anchor="__RefHeading___Toc11945078_1280447820">
            <w:r>
              <w:rPr>
                <w:webHidden/>
                <w:rStyle w:val="IndexLink"/>
                <w:rtl w:val="true"/>
              </w:rPr>
              <w:t>مدركُ القاعدة</w:t>
            </w:r>
            <w:r>
              <w:rPr>
                <w:rStyle w:val="IndexLink"/>
                <w:rtl w:val="true"/>
              </w:rPr>
              <w:tab/>
            </w:r>
            <w:r>
              <w:rPr>
                <w:rStyle w:val="IndexLink"/>
              </w:rPr>
              <w:t>177</w:t>
            </w:r>
          </w:hyperlink>
        </w:p>
        <w:p>
          <w:pPr>
            <w:pStyle w:val="Contents4"/>
            <w:tabs>
              <w:tab w:val="clear" w:pos="8176"/>
              <w:tab w:val="right" w:pos="9026" w:leader="dot"/>
            </w:tabs>
            <w:rPr/>
          </w:pPr>
          <w:hyperlink w:anchor="__RefHeading___Toc11945080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1945082_1280447820">
            <w:r>
              <w:rPr>
                <w:webHidden/>
                <w:rStyle w:val="IndexLink"/>
                <w:rtl w:val="true"/>
              </w:rPr>
              <w:t>أوَّلًا</w:t>
            </w:r>
            <w:r>
              <w:rPr>
                <w:rStyle w:val="IndexLink"/>
                <w:rtl w:val="true"/>
              </w:rPr>
              <w:t xml:space="preserve">: </w:t>
            </w:r>
            <w:r>
              <w:rPr>
                <w:rStyle w:val="IndexLink"/>
                <w:rtl w:val="true"/>
              </w:rPr>
              <w:t>الكتاب العزيز</w:t>
            </w:r>
            <w:r>
              <w:rPr>
                <w:rStyle w:val="IndexLink"/>
                <w:rtl w:val="true"/>
              </w:rPr>
              <w:tab/>
            </w:r>
            <w:r>
              <w:rPr>
                <w:rStyle w:val="IndexLink"/>
              </w:rPr>
              <w:t>177</w:t>
            </w:r>
          </w:hyperlink>
        </w:p>
        <w:p>
          <w:pPr>
            <w:pStyle w:val="Contents4"/>
            <w:tabs>
              <w:tab w:val="clear" w:pos="8176"/>
              <w:tab w:val="right" w:pos="9026" w:leader="dot"/>
            </w:tabs>
            <w:rPr/>
          </w:pPr>
          <w:hyperlink w:anchor="__RefHeading___Toc11945084_1280447820">
            <w:r>
              <w:rPr>
                <w:webHidden/>
                <w:rStyle w:val="IndexLink"/>
                <w:rtl w:val="true"/>
              </w:rPr>
              <w:t>ثانيًا</w:t>
            </w:r>
            <w:r>
              <w:rPr>
                <w:rStyle w:val="IndexLink"/>
                <w:rtl w:val="true"/>
              </w:rPr>
              <w:t xml:space="preserve">: </w:t>
            </w:r>
            <w:r>
              <w:rPr>
                <w:rStyle w:val="IndexLink"/>
                <w:rtl w:val="true"/>
              </w:rPr>
              <w:t>السُّنَّة المطهَّرة</w:t>
            </w:r>
            <w:r>
              <w:rPr>
                <w:rStyle w:val="IndexLink"/>
                <w:rtl w:val="true"/>
              </w:rPr>
              <w:tab/>
            </w:r>
            <w:r>
              <w:rPr>
                <w:rStyle w:val="IndexLink"/>
              </w:rPr>
              <w:t>178</w:t>
            </w:r>
          </w:hyperlink>
        </w:p>
        <w:p>
          <w:pPr>
            <w:pStyle w:val="Contents4"/>
            <w:tabs>
              <w:tab w:val="clear" w:pos="8176"/>
              <w:tab w:val="right" w:pos="9026" w:leader="dot"/>
            </w:tabs>
            <w:rPr/>
          </w:pPr>
          <w:hyperlink w:anchor="__RefHeading___Toc11945086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178</w:t>
            </w:r>
          </w:hyperlink>
        </w:p>
        <w:p>
          <w:pPr>
            <w:pStyle w:val="Contents4"/>
            <w:tabs>
              <w:tab w:val="clear" w:pos="8176"/>
              <w:tab w:val="right" w:pos="9026" w:leader="dot"/>
            </w:tabs>
            <w:rPr/>
          </w:pPr>
          <w:hyperlink w:anchor="__RefHeading___Toc11945088_1280447820">
            <w:r>
              <w:rPr>
                <w:webHidden/>
                <w:rStyle w:val="IndexLink"/>
                <w:rtl w:val="true"/>
              </w:rPr>
              <w:t>رابعًا</w:t>
            </w:r>
            <w:r>
              <w:rPr>
                <w:rStyle w:val="IndexLink"/>
                <w:rtl w:val="true"/>
              </w:rPr>
              <w:t xml:space="preserve">: </w:t>
            </w:r>
            <w:r>
              <w:rPr>
                <w:rStyle w:val="IndexLink"/>
                <w:rtl w:val="true"/>
              </w:rPr>
              <w:t>بناء العقلاء</w:t>
            </w:r>
            <w:r>
              <w:rPr>
                <w:rStyle w:val="IndexLink"/>
                <w:rtl w:val="true"/>
              </w:rPr>
              <w:tab/>
            </w:r>
            <w:r>
              <w:rPr>
                <w:rStyle w:val="IndexLink"/>
              </w:rPr>
              <w:t>179</w:t>
            </w:r>
          </w:hyperlink>
        </w:p>
        <w:p>
          <w:pPr>
            <w:pStyle w:val="Contents3"/>
            <w:tabs>
              <w:tab w:val="clear" w:pos="8459"/>
              <w:tab w:val="right" w:pos="9026" w:leader="dot"/>
            </w:tabs>
            <w:rPr/>
          </w:pPr>
          <w:hyperlink w:anchor="__RefHeading___Toc11945090_1280447820">
            <w:r>
              <w:rPr>
                <w:webHidden/>
                <w:rStyle w:val="IndexLink"/>
                <w:rtl w:val="true"/>
              </w:rPr>
              <w:t>تنبيهاتٌ‌</w:t>
            </w:r>
            <w:r>
              <w:rPr>
                <w:rStyle w:val="IndexLink"/>
                <w:rtl w:val="true"/>
              </w:rPr>
              <w:t>:</w:t>
              <w:tab/>
            </w:r>
            <w:r>
              <w:rPr>
                <w:rStyle w:val="IndexLink"/>
              </w:rPr>
              <w:t>179</w:t>
            </w:r>
          </w:hyperlink>
        </w:p>
        <w:p>
          <w:pPr>
            <w:pStyle w:val="Contents4"/>
            <w:tabs>
              <w:tab w:val="clear" w:pos="8176"/>
              <w:tab w:val="right" w:pos="9026" w:leader="dot"/>
            </w:tabs>
            <w:rPr/>
          </w:pPr>
          <w:hyperlink w:anchor="__RefHeading___Toc11945092_1280447820">
            <w:r>
              <w:rPr>
                <w:webHidden/>
                <w:rStyle w:val="IndexLink"/>
                <w:rtl w:val="true"/>
              </w:rPr>
              <w:t>التَّنبيه الأوَّل</w:t>
            </w:r>
            <w:r>
              <w:rPr>
                <w:rStyle w:val="IndexLink"/>
                <w:rtl w:val="true"/>
              </w:rPr>
              <w:t>:</w:t>
              <w:tab/>
            </w:r>
            <w:r>
              <w:rPr>
                <w:rStyle w:val="IndexLink"/>
              </w:rPr>
              <w:t>179</w:t>
            </w:r>
          </w:hyperlink>
        </w:p>
        <w:p>
          <w:pPr>
            <w:pStyle w:val="Contents4"/>
            <w:tabs>
              <w:tab w:val="clear" w:pos="8176"/>
              <w:tab w:val="right" w:pos="9026" w:leader="dot"/>
            </w:tabs>
            <w:rPr/>
          </w:pPr>
          <w:hyperlink w:anchor="__RefHeading___Toc11945094_1280447820">
            <w:r>
              <w:rPr>
                <w:webHidden/>
                <w:rStyle w:val="IndexLink"/>
                <w:rtl w:val="true"/>
              </w:rPr>
              <w:t>التَّنبيه الثَّاني</w:t>
            </w:r>
            <w:r>
              <w:rPr>
                <w:rStyle w:val="IndexLink"/>
                <w:rtl w:val="true"/>
              </w:rPr>
              <w:t>:</w:t>
              <w:tab/>
            </w:r>
            <w:r>
              <w:rPr>
                <w:rStyle w:val="IndexLink"/>
              </w:rPr>
              <w:t>180</w:t>
            </w:r>
          </w:hyperlink>
        </w:p>
        <w:p>
          <w:pPr>
            <w:pStyle w:val="Contents4"/>
            <w:tabs>
              <w:tab w:val="clear" w:pos="8176"/>
              <w:tab w:val="right" w:pos="9026" w:leader="dot"/>
            </w:tabs>
            <w:rPr/>
          </w:pPr>
          <w:hyperlink w:anchor="__RefHeading___Toc11945096_1280447820">
            <w:r>
              <w:rPr>
                <w:webHidden/>
                <w:rStyle w:val="IndexLink"/>
                <w:rtl w:val="true"/>
              </w:rPr>
              <w:t>التَّنبيه الثَّالث</w:t>
            </w:r>
            <w:r>
              <w:rPr>
                <w:rStyle w:val="IndexLink"/>
                <w:rtl w:val="true"/>
              </w:rPr>
              <w:t>:</w:t>
              <w:tab/>
            </w:r>
            <w:r>
              <w:rPr>
                <w:rStyle w:val="IndexLink"/>
              </w:rPr>
              <w:t>180</w:t>
            </w:r>
          </w:hyperlink>
        </w:p>
        <w:p>
          <w:pPr>
            <w:pStyle w:val="Contents4"/>
            <w:tabs>
              <w:tab w:val="clear" w:pos="8176"/>
              <w:tab w:val="right" w:pos="9026" w:leader="dot"/>
            </w:tabs>
            <w:rPr/>
          </w:pPr>
          <w:hyperlink w:anchor="__RefHeading___Toc11945098_1280447820">
            <w:r>
              <w:rPr>
                <w:webHidden/>
                <w:rStyle w:val="IndexLink"/>
                <w:rtl w:val="true"/>
              </w:rPr>
              <w:t>التَّنبيه الرَّابع</w:t>
            </w:r>
            <w:r>
              <w:rPr>
                <w:rStyle w:val="IndexLink"/>
                <w:rtl w:val="true"/>
              </w:rPr>
              <w:t>:</w:t>
              <w:tab/>
            </w:r>
            <w:r>
              <w:rPr>
                <w:rStyle w:val="IndexLink"/>
              </w:rPr>
              <w:t>182</w:t>
            </w:r>
          </w:hyperlink>
        </w:p>
        <w:p>
          <w:pPr>
            <w:pStyle w:val="Contents4"/>
            <w:tabs>
              <w:tab w:val="clear" w:pos="8176"/>
              <w:tab w:val="right" w:pos="9026" w:leader="dot"/>
            </w:tabs>
            <w:rPr/>
          </w:pPr>
          <w:hyperlink w:anchor="__RefHeading___Toc11945100_1280447820">
            <w:r>
              <w:rPr>
                <w:webHidden/>
                <w:rStyle w:val="IndexLink"/>
                <w:rtl w:val="true"/>
              </w:rPr>
              <w:t>التَّنبيه الخامس</w:t>
            </w:r>
            <w:r>
              <w:rPr>
                <w:rStyle w:val="IndexLink"/>
                <w:rtl w:val="true"/>
              </w:rPr>
              <w:t>:</w:t>
              <w:tab/>
            </w:r>
            <w:r>
              <w:rPr>
                <w:rStyle w:val="IndexLink"/>
              </w:rPr>
              <w:t>185</w:t>
            </w:r>
          </w:hyperlink>
        </w:p>
        <w:p>
          <w:pPr>
            <w:pStyle w:val="Contents4"/>
            <w:tabs>
              <w:tab w:val="clear" w:pos="8176"/>
              <w:tab w:val="right" w:pos="9026" w:leader="dot"/>
            </w:tabs>
            <w:rPr/>
          </w:pPr>
          <w:hyperlink w:anchor="__RefHeading___Toc11945102_1280447820">
            <w:r>
              <w:rPr>
                <w:webHidden/>
                <w:rStyle w:val="IndexLink"/>
                <w:rtl w:val="true"/>
              </w:rPr>
              <w:t>التَّنبيه السَّادس</w:t>
            </w:r>
            <w:r>
              <w:rPr>
                <w:rStyle w:val="IndexLink"/>
                <w:rtl w:val="true"/>
              </w:rPr>
              <w:t>:</w:t>
              <w:tab/>
            </w:r>
            <w:r>
              <w:rPr>
                <w:rStyle w:val="IndexLink"/>
              </w:rPr>
              <w:t>187</w:t>
            </w:r>
          </w:hyperlink>
        </w:p>
        <w:p>
          <w:pPr>
            <w:pStyle w:val="Contents4"/>
            <w:tabs>
              <w:tab w:val="clear" w:pos="8176"/>
              <w:tab w:val="right" w:pos="9026" w:leader="dot"/>
            </w:tabs>
            <w:rPr/>
          </w:pPr>
          <w:hyperlink w:anchor="__RefHeading___Toc11945104_1280447820">
            <w:r>
              <w:rPr>
                <w:webHidden/>
                <w:rStyle w:val="IndexLink"/>
                <w:rtl w:val="true"/>
              </w:rPr>
              <w:t>التَّنبيه السَّابع</w:t>
            </w:r>
            <w:r>
              <w:rPr>
                <w:rStyle w:val="IndexLink"/>
                <w:rtl w:val="true"/>
              </w:rPr>
              <w:t>:</w:t>
              <w:tab/>
            </w:r>
            <w:r>
              <w:rPr>
                <w:rStyle w:val="IndexLink"/>
              </w:rPr>
              <w:t>189</w:t>
            </w:r>
          </w:hyperlink>
        </w:p>
        <w:p>
          <w:pPr>
            <w:pStyle w:val="Contents4"/>
            <w:tabs>
              <w:tab w:val="clear" w:pos="8176"/>
              <w:tab w:val="right" w:pos="9026" w:leader="dot"/>
            </w:tabs>
            <w:rPr/>
          </w:pPr>
          <w:hyperlink w:anchor="__RefHeading___Toc11945106_1280447820">
            <w:r>
              <w:rPr>
                <w:webHidden/>
                <w:rStyle w:val="IndexLink"/>
                <w:rtl w:val="true"/>
              </w:rPr>
              <w:t>التَّنبيه الثَّامن</w:t>
            </w:r>
            <w:r>
              <w:rPr>
                <w:rStyle w:val="IndexLink"/>
                <w:rtl w:val="true"/>
              </w:rPr>
              <w:t>:</w:t>
              <w:tab/>
            </w:r>
            <w:r>
              <w:rPr>
                <w:rStyle w:val="IndexLink"/>
              </w:rPr>
              <w:t>192</w:t>
            </w:r>
          </w:hyperlink>
        </w:p>
        <w:p>
          <w:pPr>
            <w:pStyle w:val="Contents4"/>
            <w:tabs>
              <w:tab w:val="clear" w:pos="8176"/>
              <w:tab w:val="right" w:pos="9026" w:leader="dot"/>
            </w:tabs>
            <w:rPr/>
          </w:pPr>
          <w:hyperlink w:anchor="__RefHeading___Toc11945108_1280447820">
            <w:r>
              <w:rPr>
                <w:webHidden/>
                <w:rStyle w:val="IndexLink"/>
                <w:rtl w:val="true"/>
              </w:rPr>
              <w:t>التَّنبيه التَّاسع</w:t>
            </w:r>
            <w:r>
              <w:rPr>
                <w:rStyle w:val="IndexLink"/>
                <w:rtl w:val="true"/>
              </w:rPr>
              <w:t>:</w:t>
              <w:tab/>
            </w:r>
            <w:r>
              <w:rPr>
                <w:rStyle w:val="IndexLink"/>
              </w:rPr>
              <w:t>192</w:t>
            </w:r>
          </w:hyperlink>
        </w:p>
        <w:p>
          <w:pPr>
            <w:pStyle w:val="Contents3"/>
            <w:tabs>
              <w:tab w:val="clear" w:pos="8459"/>
              <w:tab w:val="right" w:pos="9026" w:leader="dot"/>
            </w:tabs>
            <w:rPr/>
          </w:pPr>
          <w:hyperlink w:anchor="__RefHeading___Toc11945110_1280447820">
            <w:r>
              <w:rPr>
                <w:webHidden/>
                <w:rStyle w:val="IndexLink"/>
                <w:rtl w:val="true"/>
              </w:rPr>
              <w:t>أمثلةٌ لاستعمال القاعدة في الفقه</w:t>
            </w:r>
            <w:r>
              <w:rPr>
                <w:rStyle w:val="IndexLink"/>
                <w:rtl w:val="true"/>
              </w:rPr>
              <w:t>:</w:t>
              <w:tab/>
            </w:r>
            <w:r>
              <w:rPr>
                <w:rStyle w:val="IndexLink"/>
              </w:rPr>
              <w:t>195</w:t>
            </w:r>
          </w:hyperlink>
        </w:p>
        <w:p>
          <w:pPr>
            <w:pStyle w:val="Contents2"/>
            <w:tabs>
              <w:tab w:val="clear" w:pos="8743"/>
              <w:tab w:val="right" w:pos="9026" w:leader="dot"/>
            </w:tabs>
            <w:rPr/>
          </w:pPr>
          <w:hyperlink w:anchor="__RefHeading___Toc11945112_1280447820">
            <w:r>
              <w:rPr>
                <w:webHidden/>
                <w:rStyle w:val="IndexLink"/>
                <w:rtl w:val="true"/>
              </w:rPr>
              <w:t>[</w:t>
            </w:r>
            <w:r>
              <w:rPr>
                <w:rStyle w:val="IndexLink"/>
              </w:rPr>
              <w:t>31</w:t>
            </w:r>
            <w:r>
              <w:rPr>
                <w:rStyle w:val="IndexLink"/>
                <w:rtl w:val="true"/>
              </w:rPr>
              <w:t xml:space="preserve">:] </w:t>
            </w:r>
            <w:r>
              <w:rPr>
                <w:rStyle w:val="IndexLink"/>
                <w:rtl w:val="true"/>
              </w:rPr>
              <w:t>قاعدة إنحلال العُقود إلى عقودٍ أُخَر</w:t>
            </w:r>
            <w:r>
              <w:rPr>
                <w:rStyle w:val="IndexLink"/>
                <w:rtl w:val="true"/>
              </w:rPr>
              <w:tab/>
            </w:r>
            <w:r>
              <w:rPr>
                <w:rStyle w:val="IndexLink"/>
              </w:rPr>
              <w:t>197</w:t>
            </w:r>
          </w:hyperlink>
        </w:p>
        <w:p>
          <w:pPr>
            <w:pStyle w:val="Contents3"/>
            <w:tabs>
              <w:tab w:val="clear" w:pos="8459"/>
              <w:tab w:val="right" w:pos="9026" w:leader="dot"/>
            </w:tabs>
            <w:rPr/>
          </w:pPr>
          <w:hyperlink w:anchor="__RefHeading___Toc11945114_1280447820">
            <w:r>
              <w:rPr>
                <w:webHidden/>
                <w:rStyle w:val="IndexLink"/>
                <w:rtl w:val="true"/>
              </w:rPr>
              <w:t>عناوين أُخرىٰ للقاعدة</w:t>
            </w:r>
            <w:r>
              <w:rPr>
                <w:rStyle w:val="IndexLink"/>
                <w:rtl w:val="true"/>
              </w:rPr>
              <w:tab/>
            </w:r>
            <w:r>
              <w:rPr>
                <w:rStyle w:val="IndexLink"/>
              </w:rPr>
              <w:t>197</w:t>
            </w:r>
          </w:hyperlink>
        </w:p>
        <w:p>
          <w:pPr>
            <w:pStyle w:val="Contents3"/>
            <w:tabs>
              <w:tab w:val="clear" w:pos="8459"/>
              <w:tab w:val="right" w:pos="9026" w:leader="dot"/>
            </w:tabs>
            <w:rPr/>
          </w:pPr>
          <w:hyperlink w:anchor="__RefHeading___Toc11945116_1280447820">
            <w:r>
              <w:rPr>
                <w:webHidden/>
                <w:rStyle w:val="IndexLink"/>
                <w:rtl w:val="true"/>
              </w:rPr>
              <w:t>توضيح مفاد القاعدة</w:t>
            </w:r>
            <w:r>
              <w:rPr>
                <w:rStyle w:val="IndexLink"/>
                <w:rtl w:val="true"/>
              </w:rPr>
              <w:tab/>
            </w:r>
            <w:r>
              <w:rPr>
                <w:rStyle w:val="IndexLink"/>
              </w:rPr>
              <w:t>197</w:t>
            </w:r>
          </w:hyperlink>
        </w:p>
        <w:p>
          <w:pPr>
            <w:pStyle w:val="Contents3"/>
            <w:tabs>
              <w:tab w:val="clear" w:pos="8459"/>
              <w:tab w:val="right" w:pos="9026" w:leader="dot"/>
            </w:tabs>
            <w:rPr/>
          </w:pPr>
          <w:hyperlink w:anchor="__RefHeading___Toc11945118_1280447820">
            <w:r>
              <w:rPr>
                <w:webHidden/>
                <w:rStyle w:val="IndexLink"/>
                <w:rtl w:val="true"/>
              </w:rPr>
              <w:t>مدركُ القاعدة</w:t>
            </w:r>
            <w:r>
              <w:rPr>
                <w:rStyle w:val="IndexLink"/>
                <w:rtl w:val="true"/>
              </w:rPr>
              <w:tab/>
            </w:r>
            <w:r>
              <w:rPr>
                <w:rStyle w:val="IndexLink"/>
              </w:rPr>
              <w:t>198</w:t>
            </w:r>
          </w:hyperlink>
        </w:p>
        <w:p>
          <w:pPr>
            <w:pStyle w:val="Contents4"/>
            <w:tabs>
              <w:tab w:val="clear" w:pos="8176"/>
              <w:tab w:val="right" w:pos="9026" w:leader="dot"/>
            </w:tabs>
            <w:rPr/>
          </w:pPr>
          <w:hyperlink w:anchor="__RefHeading___Toc11945120_1280447820">
            <w:r>
              <w:rPr>
                <w:webHidden/>
                <w:rStyle w:val="IndexLink"/>
                <w:rtl w:val="true"/>
              </w:rPr>
              <w:t>أوَّلًا</w:t>
            </w:r>
            <w:r>
              <w:rPr>
                <w:rStyle w:val="IndexLink"/>
                <w:rtl w:val="true"/>
              </w:rPr>
              <w:t xml:space="preserve">: </w:t>
            </w:r>
            <w:r>
              <w:rPr>
                <w:rStyle w:val="IndexLink"/>
                <w:rtl w:val="true"/>
              </w:rPr>
              <w:t>بناء العقلاء</w:t>
            </w:r>
            <w:r>
              <w:rPr>
                <w:rStyle w:val="IndexLink"/>
                <w:rtl w:val="true"/>
              </w:rPr>
              <w:tab/>
            </w:r>
            <w:r>
              <w:rPr>
                <w:rStyle w:val="IndexLink"/>
              </w:rPr>
              <w:t>198</w:t>
            </w:r>
          </w:hyperlink>
        </w:p>
        <w:p>
          <w:pPr>
            <w:pStyle w:val="Contents4"/>
            <w:tabs>
              <w:tab w:val="clear" w:pos="8176"/>
              <w:tab w:val="right" w:pos="9026" w:leader="dot"/>
            </w:tabs>
            <w:rPr/>
          </w:pPr>
          <w:hyperlink w:anchor="__RefHeading___Toc11945122_1280447820">
            <w:r>
              <w:rPr>
                <w:webHidden/>
                <w:rStyle w:val="IndexLink"/>
                <w:rtl w:val="true"/>
              </w:rPr>
              <w:t>ثانيًا</w:t>
            </w:r>
            <w:r>
              <w:rPr>
                <w:rStyle w:val="IndexLink"/>
                <w:rtl w:val="true"/>
              </w:rPr>
              <w:t xml:space="preserve">: </w:t>
            </w:r>
            <w:r>
              <w:rPr>
                <w:rStyle w:val="IndexLink"/>
                <w:rtl w:val="true"/>
              </w:rPr>
              <w:t>الإجماع</w:t>
            </w:r>
            <w:r>
              <w:rPr>
                <w:rStyle w:val="IndexLink"/>
                <w:rtl w:val="true"/>
              </w:rPr>
              <w:tab/>
            </w:r>
            <w:r>
              <w:rPr>
                <w:rStyle w:val="IndexLink"/>
              </w:rPr>
              <w:t>200</w:t>
            </w:r>
          </w:hyperlink>
        </w:p>
        <w:p>
          <w:pPr>
            <w:pStyle w:val="Contents4"/>
            <w:tabs>
              <w:tab w:val="clear" w:pos="8176"/>
              <w:tab w:val="right" w:pos="9026" w:leader="dot"/>
            </w:tabs>
            <w:rPr/>
          </w:pPr>
          <w:hyperlink w:anchor="__RefHeading___Toc11945124_1280447820">
            <w:r>
              <w:rPr>
                <w:webHidden/>
                <w:rStyle w:val="IndexLink"/>
                <w:rtl w:val="true"/>
              </w:rPr>
              <w:t>ثالثًا</w:t>
            </w:r>
            <w:r>
              <w:rPr>
                <w:rStyle w:val="IndexLink"/>
                <w:rtl w:val="true"/>
              </w:rPr>
              <w:t xml:space="preserve">: </w:t>
            </w:r>
            <w:r>
              <w:rPr>
                <w:rStyle w:val="IndexLink"/>
                <w:rtl w:val="true"/>
              </w:rPr>
              <w:t>دليل العقل</w:t>
            </w:r>
            <w:r>
              <w:rPr>
                <w:rStyle w:val="IndexLink"/>
                <w:rtl w:val="true"/>
              </w:rPr>
              <w:tab/>
            </w:r>
            <w:r>
              <w:rPr>
                <w:rStyle w:val="IndexLink"/>
              </w:rPr>
              <w:t>200</w:t>
            </w:r>
          </w:hyperlink>
        </w:p>
        <w:p>
          <w:pPr>
            <w:pStyle w:val="Contents3"/>
            <w:tabs>
              <w:tab w:val="clear" w:pos="8459"/>
              <w:tab w:val="right" w:pos="9026" w:leader="dot"/>
            </w:tabs>
            <w:rPr/>
          </w:pPr>
          <w:hyperlink w:anchor="__RefHeading___Toc11945126_1280447820">
            <w:r>
              <w:rPr>
                <w:webHidden/>
                <w:rStyle w:val="IndexLink"/>
                <w:rtl w:val="true"/>
              </w:rPr>
              <w:t>تنبيهاتٌ‌</w:t>
            </w:r>
            <w:r>
              <w:rPr>
                <w:rStyle w:val="IndexLink"/>
                <w:rtl w:val="true"/>
              </w:rPr>
              <w:t>:</w:t>
              <w:tab/>
            </w:r>
            <w:r>
              <w:rPr>
                <w:rStyle w:val="IndexLink"/>
              </w:rPr>
              <w:t>200</w:t>
            </w:r>
          </w:hyperlink>
        </w:p>
        <w:p>
          <w:pPr>
            <w:pStyle w:val="Contents4"/>
            <w:tabs>
              <w:tab w:val="clear" w:pos="8176"/>
              <w:tab w:val="right" w:pos="9026" w:leader="dot"/>
            </w:tabs>
            <w:rPr/>
          </w:pPr>
          <w:hyperlink w:anchor="__RefHeading___Toc11945128_1280447820">
            <w:r>
              <w:rPr>
                <w:webHidden/>
                <w:rStyle w:val="IndexLink"/>
                <w:rtl w:val="true"/>
              </w:rPr>
              <w:t>التَّنبيه الأوَّل</w:t>
            </w:r>
            <w:r>
              <w:rPr>
                <w:rStyle w:val="IndexLink"/>
                <w:rtl w:val="true"/>
              </w:rPr>
              <w:t>:</w:t>
              <w:tab/>
            </w:r>
            <w:r>
              <w:rPr>
                <w:rStyle w:val="IndexLink"/>
              </w:rPr>
              <w:t>200</w:t>
            </w:r>
          </w:hyperlink>
        </w:p>
        <w:p>
          <w:pPr>
            <w:pStyle w:val="Contents4"/>
            <w:tabs>
              <w:tab w:val="clear" w:pos="8176"/>
              <w:tab w:val="right" w:pos="9026" w:leader="dot"/>
            </w:tabs>
            <w:rPr/>
          </w:pPr>
          <w:hyperlink w:anchor="__RefHeading___Toc11945130_1280447820">
            <w:r>
              <w:rPr>
                <w:webHidden/>
                <w:rStyle w:val="IndexLink"/>
                <w:rtl w:val="true"/>
              </w:rPr>
              <w:t>التَّنبيه الثَّاني</w:t>
            </w:r>
            <w:r>
              <w:rPr>
                <w:rStyle w:val="IndexLink"/>
                <w:rtl w:val="true"/>
              </w:rPr>
              <w:t>:</w:t>
              <w:tab/>
            </w:r>
            <w:r>
              <w:rPr>
                <w:rStyle w:val="IndexLink"/>
              </w:rPr>
              <w:t>202</w:t>
            </w:r>
          </w:hyperlink>
        </w:p>
        <w:p>
          <w:pPr>
            <w:pStyle w:val="Contents4"/>
            <w:tabs>
              <w:tab w:val="clear" w:pos="8176"/>
              <w:tab w:val="right" w:pos="9026" w:leader="dot"/>
            </w:tabs>
            <w:rPr/>
          </w:pPr>
          <w:hyperlink w:anchor="__RefHeading___Toc11945132_1280447820">
            <w:r>
              <w:rPr>
                <w:webHidden/>
                <w:rStyle w:val="IndexLink"/>
                <w:rtl w:val="true"/>
              </w:rPr>
              <w:t>التَّنبيه الثَّالث</w:t>
            </w:r>
            <w:r>
              <w:rPr>
                <w:rStyle w:val="IndexLink"/>
                <w:rtl w:val="true"/>
              </w:rPr>
              <w:t>:</w:t>
              <w:tab/>
            </w:r>
            <w:r>
              <w:rPr>
                <w:rStyle w:val="IndexLink"/>
              </w:rPr>
              <w:t>203</w:t>
            </w:r>
          </w:hyperlink>
        </w:p>
        <w:p>
          <w:pPr>
            <w:pStyle w:val="Contents3"/>
            <w:tabs>
              <w:tab w:val="clear" w:pos="8459"/>
              <w:tab w:val="right" w:pos="9026" w:leader="dot"/>
            </w:tabs>
            <w:rPr/>
          </w:pPr>
          <w:hyperlink w:anchor="__RefHeading___Toc11945134_1280447820">
            <w:r>
              <w:rPr>
                <w:webHidden/>
                <w:rStyle w:val="IndexLink"/>
                <w:rtl w:val="true"/>
              </w:rPr>
              <w:t>أمثلةٌ لاستعمال القاعدة في الفقه</w:t>
            </w:r>
            <w:r>
              <w:rPr>
                <w:rStyle w:val="IndexLink"/>
                <w:rtl w:val="true"/>
              </w:rPr>
              <w:t>:</w:t>
              <w:tab/>
            </w:r>
            <w:r>
              <w:rPr>
                <w:rStyle w:val="IndexLink"/>
              </w:rPr>
              <w:t>205</w:t>
            </w:r>
          </w:hyperlink>
        </w:p>
        <w:p>
          <w:pPr>
            <w:pStyle w:val="Contents2"/>
            <w:tabs>
              <w:tab w:val="clear" w:pos="8743"/>
              <w:tab w:val="right" w:pos="9026" w:leader="dot"/>
            </w:tabs>
            <w:rPr/>
          </w:pPr>
          <w:hyperlink w:anchor="__RefHeading___Toc11945136_1280447820">
            <w:r>
              <w:rPr>
                <w:webHidden/>
                <w:rStyle w:val="IndexLink"/>
                <w:rtl w:val="true"/>
              </w:rPr>
              <w:t>[</w:t>
            </w:r>
            <w:r>
              <w:rPr>
                <w:rStyle w:val="IndexLink"/>
              </w:rPr>
              <w:t>32</w:t>
            </w:r>
            <w:r>
              <w:rPr>
                <w:rStyle w:val="IndexLink"/>
                <w:rtl w:val="true"/>
              </w:rPr>
              <w:t xml:space="preserve">:] </w:t>
            </w:r>
            <w:r>
              <w:rPr>
                <w:rStyle w:val="IndexLink"/>
                <w:rtl w:val="true"/>
              </w:rPr>
              <w:t>قاعدة أخذ الأُجرة علىٰ الواجبات</w:t>
            </w:r>
            <w:r>
              <w:rPr>
                <w:rStyle w:val="IndexLink"/>
                <w:rtl w:val="true"/>
              </w:rPr>
              <w:tab/>
            </w:r>
            <w:r>
              <w:rPr>
                <w:rStyle w:val="IndexLink"/>
              </w:rPr>
              <w:t>207</w:t>
            </w:r>
          </w:hyperlink>
        </w:p>
        <w:p>
          <w:pPr>
            <w:pStyle w:val="Contents3"/>
            <w:tabs>
              <w:tab w:val="clear" w:pos="8459"/>
              <w:tab w:val="right" w:pos="9026" w:leader="dot"/>
            </w:tabs>
            <w:rPr/>
          </w:pPr>
          <w:hyperlink w:anchor="__RefHeading___Toc11945138_1280447820">
            <w:r>
              <w:rPr>
                <w:webHidden/>
                <w:rStyle w:val="IndexLink"/>
                <w:rtl w:val="true"/>
              </w:rPr>
              <w:t>عناوين أُخرىٰ للقاعدة</w:t>
            </w:r>
            <w:r>
              <w:rPr>
                <w:rStyle w:val="IndexLink"/>
                <w:rtl w:val="true"/>
              </w:rPr>
              <w:tab/>
            </w:r>
            <w:r>
              <w:rPr>
                <w:rStyle w:val="IndexLink"/>
              </w:rPr>
              <w:t>207</w:t>
            </w:r>
          </w:hyperlink>
        </w:p>
        <w:p>
          <w:pPr>
            <w:pStyle w:val="Contents3"/>
            <w:tabs>
              <w:tab w:val="clear" w:pos="8459"/>
              <w:tab w:val="right" w:pos="9026" w:leader="dot"/>
            </w:tabs>
            <w:rPr/>
          </w:pPr>
          <w:hyperlink w:anchor="__RefHeading___Toc11945140_1280447820">
            <w:r>
              <w:rPr>
                <w:webHidden/>
                <w:rStyle w:val="IndexLink"/>
                <w:rtl w:val="true"/>
              </w:rPr>
              <w:t>توضيح مفاد القاعدة</w:t>
            </w:r>
            <w:r>
              <w:rPr>
                <w:rStyle w:val="IndexLink"/>
                <w:rtl w:val="true"/>
              </w:rPr>
              <w:tab/>
            </w:r>
            <w:r>
              <w:rPr>
                <w:rStyle w:val="IndexLink"/>
              </w:rPr>
              <w:t>207</w:t>
            </w:r>
          </w:hyperlink>
        </w:p>
        <w:p>
          <w:pPr>
            <w:pStyle w:val="Contents3"/>
            <w:tabs>
              <w:tab w:val="clear" w:pos="8459"/>
              <w:tab w:val="right" w:pos="9026" w:leader="dot"/>
            </w:tabs>
            <w:rPr/>
          </w:pPr>
          <w:hyperlink w:anchor="__RefHeading___Toc11945142_1280447820">
            <w:r>
              <w:rPr>
                <w:webHidden/>
                <w:rStyle w:val="IndexLink"/>
                <w:rtl w:val="true"/>
              </w:rPr>
              <w:t>مدركُ القاعدة</w:t>
            </w:r>
            <w:r>
              <w:rPr>
                <w:rStyle w:val="IndexLink"/>
                <w:rtl w:val="true"/>
              </w:rPr>
              <w:tab/>
            </w:r>
            <w:r>
              <w:rPr>
                <w:rStyle w:val="IndexLink"/>
              </w:rPr>
              <w:t>210</w:t>
            </w:r>
          </w:hyperlink>
        </w:p>
        <w:p>
          <w:pPr>
            <w:pStyle w:val="Contents4"/>
            <w:tabs>
              <w:tab w:val="clear" w:pos="8176"/>
              <w:tab w:val="right" w:pos="9026" w:leader="dot"/>
            </w:tabs>
            <w:rPr/>
          </w:pPr>
          <w:hyperlink w:anchor="__RefHeading___Toc11945144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1945146_1280447820">
            <w:r>
              <w:rPr>
                <w:webHidden/>
                <w:rStyle w:val="IndexLink"/>
                <w:rtl w:val="true"/>
              </w:rPr>
              <w:t>الأدلَّة الاِصطياديَّة القائلة بعدم جواز أخذ الاجرة علىٰ الواجبات</w:t>
            </w:r>
            <w:r>
              <w:rPr>
                <w:rStyle w:val="IndexLink"/>
                <w:rtl w:val="true"/>
              </w:rPr>
              <w:tab/>
            </w:r>
            <w:r>
              <w:rPr>
                <w:rStyle w:val="IndexLink"/>
              </w:rPr>
              <w:t>210</w:t>
            </w:r>
          </w:hyperlink>
        </w:p>
        <w:p>
          <w:pPr>
            <w:pStyle w:val="Contents5"/>
            <w:tabs>
              <w:tab w:val="clear" w:pos="7892"/>
              <w:tab w:val="right" w:pos="9026" w:leader="dot"/>
            </w:tabs>
            <w:rPr/>
          </w:pPr>
          <w:hyperlink w:anchor="__RefHeading___Toc11945148_1280447820">
            <w:r>
              <w:rPr>
                <w:webHidden/>
                <w:rStyle w:val="IndexLink"/>
                <w:rtl w:val="true"/>
              </w:rPr>
              <w:t>منها</w:t>
            </w:r>
            <w:r>
              <w:rPr>
                <w:rStyle w:val="IndexLink"/>
                <w:rtl w:val="true"/>
              </w:rPr>
              <w:t xml:space="preserve">: </w:t>
            </w:r>
            <w:r>
              <w:rPr>
                <w:rStyle w:val="IndexLink"/>
                <w:rtl w:val="true"/>
              </w:rPr>
              <w:t>خروج العمل عن قدرة العامل تشريعًا</w:t>
            </w:r>
            <w:r>
              <w:rPr>
                <w:rStyle w:val="IndexLink"/>
                <w:rtl w:val="true"/>
              </w:rPr>
              <w:tab/>
            </w:r>
            <w:r>
              <w:rPr>
                <w:rStyle w:val="IndexLink"/>
              </w:rPr>
              <w:t>210</w:t>
            </w:r>
          </w:hyperlink>
        </w:p>
        <w:p>
          <w:pPr>
            <w:pStyle w:val="Contents5"/>
            <w:tabs>
              <w:tab w:val="clear" w:pos="7892"/>
              <w:tab w:val="right" w:pos="9026" w:leader="dot"/>
            </w:tabs>
            <w:rPr/>
          </w:pPr>
          <w:hyperlink w:anchor="__RefHeading___Toc11945150_1280447820">
            <w:r>
              <w:rPr>
                <w:webHidden/>
                <w:rStyle w:val="IndexLink"/>
                <w:rtl w:val="true"/>
              </w:rPr>
              <w:t>ومنها</w:t>
            </w:r>
            <w:r>
              <w:rPr>
                <w:rStyle w:val="IndexLink"/>
                <w:rtl w:val="true"/>
              </w:rPr>
              <w:t xml:space="preserve">: </w:t>
            </w:r>
            <w:r>
              <w:rPr>
                <w:rStyle w:val="IndexLink"/>
                <w:rtl w:val="true"/>
              </w:rPr>
              <w:t>تنافي أخذ الأجرة مع الإخلاص</w:t>
            </w:r>
            <w:r>
              <w:rPr>
                <w:rStyle w:val="IndexLink"/>
                <w:rtl w:val="true"/>
              </w:rPr>
              <w:tab/>
            </w:r>
            <w:r>
              <w:rPr>
                <w:rStyle w:val="IndexLink"/>
              </w:rPr>
              <w:t>212</w:t>
            </w:r>
          </w:hyperlink>
        </w:p>
        <w:p>
          <w:pPr>
            <w:pStyle w:val="Contents5"/>
            <w:tabs>
              <w:tab w:val="clear" w:pos="7892"/>
              <w:tab w:val="right" w:pos="9026" w:leader="dot"/>
            </w:tabs>
            <w:rPr/>
          </w:pPr>
          <w:hyperlink w:anchor="__RefHeading___Toc11945152_1280447820">
            <w:r>
              <w:rPr>
                <w:webHidden/>
                <w:rStyle w:val="IndexLink"/>
                <w:rtl w:val="true"/>
              </w:rPr>
              <w:t>ومنها</w:t>
            </w:r>
            <w:r>
              <w:rPr>
                <w:rStyle w:val="IndexLink"/>
                <w:rtl w:val="true"/>
              </w:rPr>
              <w:t xml:space="preserve">: </w:t>
            </w:r>
            <w:r>
              <w:rPr>
                <w:rStyle w:val="IndexLink"/>
                <w:rtl w:val="true"/>
              </w:rPr>
              <w:t>إنَّ أخذ الأُجرة يساوي أكل المال بالباطل</w:t>
            </w:r>
            <w:r>
              <w:rPr>
                <w:rStyle w:val="IndexLink"/>
                <w:rtl w:val="true"/>
              </w:rPr>
              <w:tab/>
            </w:r>
            <w:r>
              <w:rPr>
                <w:rStyle w:val="IndexLink"/>
              </w:rPr>
              <w:t>215</w:t>
            </w:r>
          </w:hyperlink>
        </w:p>
        <w:p>
          <w:pPr>
            <w:pStyle w:val="Contents4"/>
            <w:tabs>
              <w:tab w:val="clear" w:pos="8176"/>
              <w:tab w:val="right" w:pos="9026" w:leader="dot"/>
            </w:tabs>
            <w:rPr/>
          </w:pPr>
          <w:hyperlink w:anchor="__RefHeading___Toc11945154_1280447820">
            <w:r>
              <w:rPr>
                <w:webHidden/>
                <w:rStyle w:val="IndexLink"/>
                <w:rtl w:val="true"/>
              </w:rPr>
              <w:t>الأدلَّة الاِصطياديَّة القائلة بجواز أخذ الاجرة علىٰ الواجبات منها</w:t>
            </w:r>
            <w:r>
              <w:rPr>
                <w:rStyle w:val="IndexLink"/>
                <w:rtl w:val="true"/>
              </w:rPr>
              <w:t xml:space="preserve">: </w:t>
            </w:r>
            <w:r>
              <w:rPr>
                <w:rStyle w:val="IndexLink"/>
                <w:rtl w:val="true"/>
              </w:rPr>
              <w:t>العامل لايعمل إلَّالنفسه</w:t>
            </w:r>
            <w:r>
              <w:rPr>
                <w:rStyle w:val="IndexLink"/>
                <w:rtl w:val="true"/>
              </w:rPr>
              <w:tab/>
            </w:r>
            <w:r>
              <w:rPr>
                <w:rStyle w:val="IndexLink"/>
              </w:rPr>
              <w:t>217</w:t>
            </w:r>
          </w:hyperlink>
        </w:p>
        <w:p>
          <w:pPr>
            <w:pStyle w:val="Contents5"/>
            <w:tabs>
              <w:tab w:val="clear" w:pos="7892"/>
              <w:tab w:val="right" w:pos="9026" w:leader="dot"/>
            </w:tabs>
            <w:rPr/>
          </w:pPr>
          <w:hyperlink w:anchor="__RefHeading___Toc11945156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945158_1280447820">
            <w:r>
              <w:rPr>
                <w:webHidden/>
                <w:rStyle w:val="IndexLink"/>
                <w:rtl w:val="true"/>
              </w:rPr>
              <w:t>منها</w:t>
            </w:r>
            <w:r>
              <w:rPr>
                <w:rStyle w:val="IndexLink"/>
                <w:rtl w:val="true"/>
              </w:rPr>
              <w:t xml:space="preserve">: </w:t>
            </w:r>
            <w:r>
              <w:rPr>
                <w:rStyle w:val="IndexLink"/>
                <w:rtl w:val="true"/>
              </w:rPr>
              <w:t>هذا العمل لايحتاج إلى قصد القربة أصلًا</w:t>
            </w:r>
            <w:r>
              <w:rPr>
                <w:rStyle w:val="IndexLink"/>
                <w:rtl w:val="true"/>
              </w:rPr>
              <w:tab/>
            </w:r>
            <w:r>
              <w:rPr>
                <w:rStyle w:val="IndexLink"/>
              </w:rPr>
              <w:t>218</w:t>
            </w:r>
          </w:hyperlink>
        </w:p>
        <w:p>
          <w:pPr>
            <w:pStyle w:val="Contents5"/>
            <w:tabs>
              <w:tab w:val="clear" w:pos="7892"/>
              <w:tab w:val="right" w:pos="9026" w:leader="dot"/>
            </w:tabs>
            <w:rPr/>
          </w:pPr>
          <w:hyperlink w:anchor="__RefHeading___Toc11945160_1280447820">
            <w:r>
              <w:rPr>
                <w:webHidden/>
                <w:rStyle w:val="IndexLink"/>
                <w:rtl w:val="true"/>
              </w:rPr>
              <w:t>منها</w:t>
            </w:r>
            <w:r>
              <w:rPr>
                <w:rStyle w:val="IndexLink"/>
                <w:rtl w:val="true"/>
              </w:rPr>
              <w:t xml:space="preserve">: </w:t>
            </w:r>
            <w:r>
              <w:rPr>
                <w:rStyle w:val="IndexLink"/>
                <w:rtl w:val="true"/>
              </w:rPr>
              <w:t>يكفي هذا القصد عن المؤجر له، ولا حاجة إلى قصد الأجير</w:t>
            </w:r>
            <w:r>
              <w:rPr>
                <w:rStyle w:val="IndexLink"/>
                <w:rtl w:val="true"/>
              </w:rPr>
              <w:tab/>
            </w:r>
            <w:r>
              <w:rPr>
                <w:rStyle w:val="IndexLink"/>
              </w:rPr>
              <w:t>219</w:t>
            </w:r>
          </w:hyperlink>
        </w:p>
        <w:p>
          <w:pPr>
            <w:pStyle w:val="Contents5"/>
            <w:tabs>
              <w:tab w:val="clear" w:pos="7892"/>
              <w:tab w:val="right" w:pos="9026" w:leader="dot"/>
            </w:tabs>
            <w:rPr/>
          </w:pPr>
          <w:hyperlink w:anchor="__RefHeading___Toc11945162_1280447820">
            <w:r>
              <w:rPr>
                <w:webHidden/>
                <w:rStyle w:val="IndexLink"/>
                <w:rtl w:val="true"/>
              </w:rPr>
              <w:t>منها</w:t>
            </w:r>
            <w:r>
              <w:rPr>
                <w:rStyle w:val="IndexLink"/>
                <w:rtl w:val="true"/>
              </w:rPr>
              <w:t xml:space="preserve">: </w:t>
            </w:r>
            <w:r>
              <w:rPr>
                <w:rStyle w:val="IndexLink"/>
                <w:rtl w:val="true"/>
              </w:rPr>
              <w:t>كفاية قصد القربة ممَّن هو أقوىٰ من الآخر</w:t>
            </w:r>
            <w:r>
              <w:rPr>
                <w:rStyle w:val="IndexLink"/>
                <w:rtl w:val="true"/>
              </w:rPr>
              <w:tab/>
            </w:r>
            <w:r>
              <w:rPr>
                <w:rStyle w:val="IndexLink"/>
              </w:rPr>
              <w:t>220</w:t>
            </w:r>
          </w:hyperlink>
        </w:p>
        <w:p>
          <w:pPr>
            <w:pStyle w:val="Contents5"/>
            <w:tabs>
              <w:tab w:val="clear" w:pos="7892"/>
              <w:tab w:val="right" w:pos="9026" w:leader="dot"/>
            </w:tabs>
            <w:rPr/>
          </w:pPr>
          <w:hyperlink w:anchor="__RefHeading___Toc11945164_1280447820">
            <w:r>
              <w:rPr>
                <w:webHidden/>
                <w:rStyle w:val="IndexLink"/>
                <w:rtl w:val="true"/>
              </w:rPr>
              <w:t>منها</w:t>
            </w:r>
            <w:r>
              <w:rPr>
                <w:rStyle w:val="IndexLink"/>
                <w:rtl w:val="true"/>
              </w:rPr>
              <w:t xml:space="preserve">: </w:t>
            </w:r>
            <w:r>
              <w:rPr>
                <w:rStyle w:val="IndexLink"/>
                <w:rtl w:val="true"/>
              </w:rPr>
              <w:t>لافرق بين الواجب والمندوب هيهنا</w:t>
            </w:r>
            <w:r>
              <w:rPr>
                <w:rStyle w:val="IndexLink"/>
                <w:rtl w:val="true"/>
              </w:rPr>
              <w:tab/>
            </w:r>
            <w:r>
              <w:rPr>
                <w:rStyle w:val="IndexLink"/>
              </w:rPr>
              <w:t>221</w:t>
            </w:r>
          </w:hyperlink>
        </w:p>
        <w:p>
          <w:pPr>
            <w:pStyle w:val="Contents3"/>
            <w:tabs>
              <w:tab w:val="clear" w:pos="8459"/>
              <w:tab w:val="right" w:pos="9026" w:leader="dot"/>
            </w:tabs>
            <w:rPr/>
          </w:pPr>
          <w:hyperlink w:anchor="__RefHeading___Toc11945166_1280447820">
            <w:r>
              <w:rPr>
                <w:webHidden/>
                <w:rStyle w:val="IndexLink"/>
                <w:rtl w:val="true"/>
              </w:rPr>
              <w:t>تنبيهٌ‌</w:t>
            </w:r>
            <w:r>
              <w:rPr>
                <w:rStyle w:val="IndexLink"/>
                <w:rtl w:val="true"/>
              </w:rPr>
              <w:t>:</w:t>
              <w:tab/>
            </w:r>
            <w:r>
              <w:rPr>
                <w:rStyle w:val="IndexLink"/>
              </w:rPr>
              <w:t>222</w:t>
            </w:r>
          </w:hyperlink>
        </w:p>
        <w:p>
          <w:pPr>
            <w:pStyle w:val="Contents3"/>
            <w:tabs>
              <w:tab w:val="clear" w:pos="8459"/>
              <w:tab w:val="right" w:pos="9026" w:leader="dot"/>
            </w:tabs>
            <w:rPr/>
          </w:pPr>
          <w:hyperlink w:anchor="__RefHeading___Toc11945168_1280447820">
            <w:r>
              <w:rPr>
                <w:webHidden/>
                <w:rStyle w:val="IndexLink"/>
                <w:rtl w:val="true"/>
              </w:rPr>
              <w:t>أمثلةٌ لاستعمال القاعدة في الفقه</w:t>
            </w:r>
            <w:r>
              <w:rPr>
                <w:rStyle w:val="IndexLink"/>
                <w:rtl w:val="true"/>
              </w:rPr>
              <w:t>:</w:t>
              <w:tab/>
            </w:r>
            <w:r>
              <w:rPr>
                <w:rStyle w:val="IndexLink"/>
              </w:rPr>
              <w:t>223</w:t>
            </w:r>
          </w:hyperlink>
        </w:p>
        <w:p>
          <w:pPr>
            <w:pStyle w:val="Contents2"/>
            <w:tabs>
              <w:tab w:val="clear" w:pos="8743"/>
              <w:tab w:val="right" w:pos="9026" w:leader="dot"/>
            </w:tabs>
            <w:rPr/>
          </w:pPr>
          <w:hyperlink w:anchor="__RefHeading___Toc11945170_1280447820">
            <w:r>
              <w:rPr>
                <w:webHidden/>
                <w:rStyle w:val="IndexLink"/>
                <w:rtl w:val="true"/>
              </w:rPr>
              <w:t>[</w:t>
            </w:r>
            <w:r>
              <w:rPr>
                <w:rStyle w:val="IndexLink"/>
              </w:rPr>
              <w:t>33</w:t>
            </w:r>
            <w:r>
              <w:rPr>
                <w:rStyle w:val="IndexLink"/>
                <w:rtl w:val="true"/>
              </w:rPr>
              <w:t xml:space="preserve">:] </w:t>
            </w:r>
            <w:r>
              <w:rPr>
                <w:rStyle w:val="IndexLink"/>
                <w:rtl w:val="true"/>
              </w:rPr>
              <w:t>قاعدة أصالة الصِّحَّة</w:t>
            </w:r>
            <w:r>
              <w:rPr>
                <w:rStyle w:val="IndexLink"/>
                <w:rtl w:val="true"/>
              </w:rPr>
              <w:tab/>
            </w:r>
            <w:r>
              <w:rPr>
                <w:rStyle w:val="IndexLink"/>
              </w:rPr>
              <w:t>225</w:t>
            </w:r>
          </w:hyperlink>
        </w:p>
        <w:p>
          <w:pPr>
            <w:pStyle w:val="Contents3"/>
            <w:tabs>
              <w:tab w:val="clear" w:pos="8459"/>
              <w:tab w:val="right" w:pos="9026" w:leader="dot"/>
            </w:tabs>
            <w:rPr/>
          </w:pPr>
          <w:hyperlink w:anchor="__RefHeading___Toc11945172_1280447820">
            <w:r>
              <w:rPr>
                <w:webHidden/>
                <w:rStyle w:val="IndexLink"/>
                <w:rtl w:val="true"/>
              </w:rPr>
              <w:t>عناوين أُخرىٰ للقاعدة</w:t>
            </w:r>
            <w:r>
              <w:rPr>
                <w:rStyle w:val="IndexLink"/>
                <w:rtl w:val="true"/>
              </w:rPr>
              <w:tab/>
            </w:r>
            <w:r>
              <w:rPr>
                <w:rStyle w:val="IndexLink"/>
              </w:rPr>
              <w:t>225</w:t>
            </w:r>
          </w:hyperlink>
        </w:p>
        <w:p>
          <w:pPr>
            <w:pStyle w:val="Contents3"/>
            <w:tabs>
              <w:tab w:val="clear" w:pos="8459"/>
              <w:tab w:val="right" w:pos="9026" w:leader="dot"/>
            </w:tabs>
            <w:rPr/>
          </w:pPr>
          <w:hyperlink w:anchor="__RefHeading___Toc11945174_1280447820">
            <w:r>
              <w:rPr>
                <w:webHidden/>
                <w:rStyle w:val="IndexLink"/>
                <w:rtl w:val="true"/>
              </w:rPr>
              <w:t>توضيح مفاد القاعدة</w:t>
            </w:r>
            <w:r>
              <w:rPr>
                <w:rStyle w:val="IndexLink"/>
                <w:rtl w:val="true"/>
              </w:rPr>
              <w:tab/>
            </w:r>
            <w:r>
              <w:rPr>
                <w:rStyle w:val="IndexLink"/>
              </w:rPr>
              <w:t>225</w:t>
            </w:r>
          </w:hyperlink>
        </w:p>
        <w:p>
          <w:pPr>
            <w:pStyle w:val="Contents3"/>
            <w:tabs>
              <w:tab w:val="clear" w:pos="8459"/>
              <w:tab w:val="right" w:pos="9026" w:leader="dot"/>
            </w:tabs>
            <w:rPr/>
          </w:pPr>
          <w:hyperlink w:anchor="__RefHeading___Toc11945176_1280447820">
            <w:r>
              <w:rPr>
                <w:webHidden/>
                <w:rStyle w:val="IndexLink"/>
                <w:rtl w:val="true"/>
              </w:rPr>
              <w:t>مدركُ القاعدة</w:t>
            </w:r>
            <w:r>
              <w:rPr>
                <w:rStyle w:val="IndexLink"/>
                <w:rtl w:val="true"/>
              </w:rPr>
              <w:tab/>
            </w:r>
            <w:r>
              <w:rPr>
                <w:rStyle w:val="IndexLink"/>
              </w:rPr>
              <w:t>227</w:t>
            </w:r>
          </w:hyperlink>
        </w:p>
        <w:p>
          <w:pPr>
            <w:pStyle w:val="Contents4"/>
            <w:tabs>
              <w:tab w:val="clear" w:pos="8176"/>
              <w:tab w:val="right" w:pos="9026" w:leader="dot"/>
            </w:tabs>
            <w:rPr/>
          </w:pPr>
          <w:hyperlink w:anchor="__RefHeading___Toc11945178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1945180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228</w:t>
            </w:r>
          </w:hyperlink>
        </w:p>
        <w:p>
          <w:pPr>
            <w:pStyle w:val="Contents4"/>
            <w:tabs>
              <w:tab w:val="clear" w:pos="8176"/>
              <w:tab w:val="right" w:pos="9026" w:leader="dot"/>
            </w:tabs>
            <w:rPr/>
          </w:pPr>
          <w:hyperlink w:anchor="__RefHeading___Toc11945182_1280447820">
            <w:r>
              <w:rPr>
                <w:webHidden/>
                <w:rStyle w:val="IndexLink"/>
                <w:rtl w:val="true"/>
              </w:rPr>
              <w:t>ثانيًا</w:t>
            </w:r>
            <w:r>
              <w:rPr>
                <w:rStyle w:val="IndexLink"/>
                <w:rtl w:val="true"/>
              </w:rPr>
              <w:t xml:space="preserve">: </w:t>
            </w:r>
            <w:r>
              <w:rPr>
                <w:rStyle w:val="IndexLink"/>
                <w:rtl w:val="true"/>
              </w:rPr>
              <w:t>السُّنَّة</w:t>
            </w:r>
            <w:r>
              <w:rPr>
                <w:rStyle w:val="IndexLink"/>
                <w:rtl w:val="true"/>
              </w:rPr>
              <w:tab/>
            </w:r>
            <w:r>
              <w:rPr>
                <w:rStyle w:val="IndexLink"/>
              </w:rPr>
              <w:t>228</w:t>
            </w:r>
          </w:hyperlink>
        </w:p>
        <w:p>
          <w:pPr>
            <w:pStyle w:val="Contents4"/>
            <w:tabs>
              <w:tab w:val="clear" w:pos="8176"/>
              <w:tab w:val="right" w:pos="9026" w:leader="dot"/>
            </w:tabs>
            <w:rPr/>
          </w:pPr>
          <w:hyperlink w:anchor="__RefHeading___Toc11945184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231</w:t>
            </w:r>
          </w:hyperlink>
        </w:p>
        <w:p>
          <w:pPr>
            <w:pStyle w:val="Contents4"/>
            <w:tabs>
              <w:tab w:val="clear" w:pos="8176"/>
              <w:tab w:val="right" w:pos="9026" w:leader="dot"/>
            </w:tabs>
            <w:rPr/>
          </w:pPr>
          <w:hyperlink w:anchor="__RefHeading___Toc11945186_1280447820">
            <w:r>
              <w:rPr>
                <w:webHidden/>
                <w:rStyle w:val="IndexLink"/>
                <w:rtl w:val="true"/>
              </w:rPr>
              <w:t>رابعًا</w:t>
            </w:r>
            <w:r>
              <w:rPr>
                <w:rStyle w:val="IndexLink"/>
                <w:rtl w:val="true"/>
              </w:rPr>
              <w:t xml:space="preserve">: </w:t>
            </w:r>
            <w:r>
              <w:rPr>
                <w:rStyle w:val="IndexLink"/>
                <w:rtl w:val="true"/>
              </w:rPr>
              <w:t>العقل</w:t>
            </w:r>
            <w:r>
              <w:rPr>
                <w:rStyle w:val="IndexLink"/>
                <w:rtl w:val="true"/>
              </w:rPr>
              <w:tab/>
            </w:r>
            <w:r>
              <w:rPr>
                <w:rStyle w:val="IndexLink"/>
              </w:rPr>
              <w:t>232</w:t>
            </w:r>
          </w:hyperlink>
        </w:p>
        <w:p>
          <w:pPr>
            <w:pStyle w:val="Contents3"/>
            <w:tabs>
              <w:tab w:val="clear" w:pos="8459"/>
              <w:tab w:val="right" w:pos="9026" w:leader="dot"/>
            </w:tabs>
            <w:rPr/>
          </w:pPr>
          <w:hyperlink w:anchor="__RefHeading___Toc11945188_1280447820">
            <w:r>
              <w:rPr>
                <w:webHidden/>
                <w:rStyle w:val="IndexLink"/>
                <w:rtl w:val="true"/>
              </w:rPr>
              <w:t>تنبيهاتٌ‌</w:t>
            </w:r>
            <w:r>
              <w:rPr>
                <w:rStyle w:val="IndexLink"/>
                <w:rtl w:val="true"/>
              </w:rPr>
              <w:t>:</w:t>
              <w:tab/>
            </w:r>
            <w:r>
              <w:rPr>
                <w:rStyle w:val="IndexLink"/>
              </w:rPr>
              <w:t>235</w:t>
            </w:r>
          </w:hyperlink>
        </w:p>
        <w:p>
          <w:pPr>
            <w:pStyle w:val="Contents4"/>
            <w:tabs>
              <w:tab w:val="clear" w:pos="8176"/>
              <w:tab w:val="right" w:pos="9026" w:leader="dot"/>
            </w:tabs>
            <w:rPr/>
          </w:pPr>
          <w:hyperlink w:anchor="__RefHeading___Toc11945190_1280447820">
            <w:r>
              <w:rPr>
                <w:webHidden/>
                <w:rStyle w:val="IndexLink"/>
                <w:rtl w:val="true"/>
              </w:rPr>
              <w:t>التَّنبيه الأوَّل</w:t>
            </w:r>
            <w:r>
              <w:rPr>
                <w:rStyle w:val="IndexLink"/>
                <w:rtl w:val="true"/>
              </w:rPr>
              <w:t>:</w:t>
              <w:tab/>
            </w:r>
            <w:r>
              <w:rPr>
                <w:rStyle w:val="IndexLink"/>
              </w:rPr>
              <w:t>235</w:t>
            </w:r>
          </w:hyperlink>
        </w:p>
        <w:p>
          <w:pPr>
            <w:pStyle w:val="Contents4"/>
            <w:tabs>
              <w:tab w:val="clear" w:pos="8176"/>
              <w:tab w:val="right" w:pos="9026" w:leader="dot"/>
            </w:tabs>
            <w:rPr/>
          </w:pPr>
          <w:hyperlink w:anchor="__RefHeading___Toc11945192_1280447820">
            <w:r>
              <w:rPr>
                <w:webHidden/>
                <w:rStyle w:val="IndexLink"/>
                <w:rtl w:val="true"/>
              </w:rPr>
              <w:t>التَّنبيه الثَّاني</w:t>
            </w:r>
            <w:r>
              <w:rPr>
                <w:rStyle w:val="IndexLink"/>
                <w:rtl w:val="true"/>
              </w:rPr>
              <w:t>:</w:t>
              <w:tab/>
            </w:r>
            <w:r>
              <w:rPr>
                <w:rStyle w:val="IndexLink"/>
              </w:rPr>
              <w:t>236</w:t>
            </w:r>
          </w:hyperlink>
        </w:p>
        <w:p>
          <w:pPr>
            <w:pStyle w:val="Contents4"/>
            <w:tabs>
              <w:tab w:val="clear" w:pos="8176"/>
              <w:tab w:val="right" w:pos="9026" w:leader="dot"/>
            </w:tabs>
            <w:rPr/>
          </w:pPr>
          <w:hyperlink w:anchor="__RefHeading___Toc11945194_1280447820">
            <w:r>
              <w:rPr>
                <w:webHidden/>
                <w:rStyle w:val="IndexLink"/>
                <w:rtl w:val="true"/>
              </w:rPr>
              <w:t>التَّنبيه الثَّالث</w:t>
            </w:r>
            <w:r>
              <w:rPr>
                <w:rStyle w:val="IndexLink"/>
                <w:rtl w:val="true"/>
              </w:rPr>
              <w:t>:</w:t>
              <w:tab/>
            </w:r>
            <w:r>
              <w:rPr>
                <w:rStyle w:val="IndexLink"/>
              </w:rPr>
              <w:t>238</w:t>
            </w:r>
          </w:hyperlink>
        </w:p>
        <w:p>
          <w:pPr>
            <w:pStyle w:val="Contents4"/>
            <w:tabs>
              <w:tab w:val="clear" w:pos="8176"/>
              <w:tab w:val="right" w:pos="9026" w:leader="dot"/>
            </w:tabs>
            <w:rPr/>
          </w:pPr>
          <w:hyperlink w:anchor="__RefHeading___Toc11945196_1280447820">
            <w:r>
              <w:rPr>
                <w:webHidden/>
                <w:rStyle w:val="IndexLink"/>
                <w:rtl w:val="true"/>
              </w:rPr>
              <w:t>التَّنبيه الرَّابع</w:t>
            </w:r>
            <w:r>
              <w:rPr>
                <w:rStyle w:val="IndexLink"/>
                <w:rtl w:val="true"/>
              </w:rPr>
              <w:t>:</w:t>
              <w:tab/>
            </w:r>
            <w:r>
              <w:rPr>
                <w:rStyle w:val="IndexLink"/>
              </w:rPr>
              <w:t>242</w:t>
            </w:r>
          </w:hyperlink>
        </w:p>
        <w:p>
          <w:pPr>
            <w:pStyle w:val="Contents4"/>
            <w:tabs>
              <w:tab w:val="clear" w:pos="8176"/>
              <w:tab w:val="right" w:pos="9026" w:leader="dot"/>
            </w:tabs>
            <w:rPr/>
          </w:pPr>
          <w:hyperlink w:anchor="__RefHeading___Toc11945198_1280447820">
            <w:r>
              <w:rPr>
                <w:webHidden/>
                <w:rStyle w:val="IndexLink"/>
                <w:rtl w:val="true"/>
              </w:rPr>
              <w:t>التَّنبيه الخامس</w:t>
            </w:r>
            <w:r>
              <w:rPr>
                <w:rStyle w:val="IndexLink"/>
                <w:rtl w:val="true"/>
              </w:rPr>
              <w:t>:</w:t>
              <w:tab/>
            </w:r>
            <w:r>
              <w:rPr>
                <w:rStyle w:val="IndexLink"/>
              </w:rPr>
              <w:t>244</w:t>
            </w:r>
          </w:hyperlink>
        </w:p>
        <w:p>
          <w:pPr>
            <w:pStyle w:val="Contents4"/>
            <w:tabs>
              <w:tab w:val="clear" w:pos="8176"/>
              <w:tab w:val="right" w:pos="9026" w:leader="dot"/>
            </w:tabs>
            <w:rPr/>
          </w:pPr>
          <w:hyperlink w:anchor="__RefHeading___Toc11945200_1280447820">
            <w:r>
              <w:rPr>
                <w:webHidden/>
                <w:rStyle w:val="IndexLink"/>
                <w:rtl w:val="true"/>
              </w:rPr>
              <w:t>أمثلةٌ لاستعمال القاعدة في الفقه</w:t>
            </w:r>
            <w:r>
              <w:rPr>
                <w:rStyle w:val="IndexLink"/>
                <w:rtl w:val="true"/>
              </w:rPr>
              <w:t>:</w:t>
              <w:tab/>
            </w:r>
            <w:r>
              <w:rPr>
                <w:rStyle w:val="IndexLink"/>
              </w:rPr>
              <w:t>245</w:t>
            </w:r>
          </w:hyperlink>
        </w:p>
        <w:p>
          <w:pPr>
            <w:pStyle w:val="Contents2"/>
            <w:tabs>
              <w:tab w:val="clear" w:pos="8743"/>
              <w:tab w:val="right" w:pos="9026" w:leader="dot"/>
            </w:tabs>
            <w:rPr/>
          </w:pPr>
          <w:hyperlink w:anchor="__RefHeading___Toc11945202_1280447820">
            <w:r>
              <w:rPr>
                <w:webHidden/>
                <w:rStyle w:val="IndexLink"/>
                <w:rtl w:val="true"/>
              </w:rPr>
              <w:t>[</w:t>
            </w:r>
            <w:r>
              <w:rPr>
                <w:rStyle w:val="IndexLink"/>
              </w:rPr>
              <w:t>34</w:t>
            </w:r>
            <w:r>
              <w:rPr>
                <w:rStyle w:val="IndexLink"/>
                <w:rtl w:val="true"/>
              </w:rPr>
              <w:t xml:space="preserve">:] </w:t>
            </w:r>
            <w:r>
              <w:rPr>
                <w:rStyle w:val="IndexLink"/>
                <w:rtl w:val="true"/>
              </w:rPr>
              <w:t>قاعدة أصالة اللُّزوم في العُقُود</w:t>
            </w:r>
            <w:r>
              <w:rPr>
                <w:rStyle w:val="IndexLink"/>
                <w:rtl w:val="true"/>
              </w:rPr>
              <w:tab/>
            </w:r>
            <w:r>
              <w:rPr>
                <w:rStyle w:val="IndexLink"/>
              </w:rPr>
              <w:t>247</w:t>
            </w:r>
          </w:hyperlink>
        </w:p>
        <w:p>
          <w:pPr>
            <w:pStyle w:val="Contents3"/>
            <w:tabs>
              <w:tab w:val="clear" w:pos="8459"/>
              <w:tab w:val="right" w:pos="9026" w:leader="dot"/>
            </w:tabs>
            <w:rPr/>
          </w:pPr>
          <w:hyperlink w:anchor="__RefHeading___Toc11945204_1280447820">
            <w:r>
              <w:rPr>
                <w:webHidden/>
                <w:rStyle w:val="IndexLink"/>
                <w:rtl w:val="true"/>
              </w:rPr>
              <w:t>عناوين أُخرىٰ للقاعدة</w:t>
            </w:r>
            <w:r>
              <w:rPr>
                <w:rStyle w:val="IndexLink"/>
                <w:rtl w:val="true"/>
              </w:rPr>
              <w:tab/>
            </w:r>
            <w:r>
              <w:rPr>
                <w:rStyle w:val="IndexLink"/>
              </w:rPr>
              <w:t>247</w:t>
            </w:r>
          </w:hyperlink>
        </w:p>
        <w:p>
          <w:pPr>
            <w:pStyle w:val="Contents3"/>
            <w:tabs>
              <w:tab w:val="clear" w:pos="8459"/>
              <w:tab w:val="right" w:pos="9026" w:leader="dot"/>
            </w:tabs>
            <w:rPr/>
          </w:pPr>
          <w:hyperlink w:anchor="__RefHeading___Toc11945206_1280447820">
            <w:r>
              <w:rPr>
                <w:webHidden/>
                <w:rStyle w:val="IndexLink"/>
                <w:rtl w:val="true"/>
              </w:rPr>
              <w:t>توضيح مفاد القاعدة</w:t>
            </w:r>
            <w:r>
              <w:rPr>
                <w:rStyle w:val="IndexLink"/>
                <w:rtl w:val="true"/>
              </w:rPr>
              <w:tab/>
            </w:r>
            <w:r>
              <w:rPr>
                <w:rStyle w:val="IndexLink"/>
              </w:rPr>
              <w:t>248</w:t>
            </w:r>
          </w:hyperlink>
        </w:p>
        <w:p>
          <w:pPr>
            <w:pStyle w:val="Contents3"/>
            <w:tabs>
              <w:tab w:val="clear" w:pos="8459"/>
              <w:tab w:val="right" w:pos="9026" w:leader="dot"/>
            </w:tabs>
            <w:rPr/>
          </w:pPr>
          <w:hyperlink w:anchor="__RefHeading___Toc11945208_1280447820">
            <w:r>
              <w:rPr>
                <w:webHidden/>
                <w:rStyle w:val="IndexLink"/>
                <w:rtl w:val="true"/>
              </w:rPr>
              <w:t>مدركُ القاعدة</w:t>
            </w:r>
            <w:r>
              <w:rPr>
                <w:rStyle w:val="IndexLink"/>
                <w:rtl w:val="true"/>
              </w:rPr>
              <w:tab/>
            </w:r>
            <w:r>
              <w:rPr>
                <w:rStyle w:val="IndexLink"/>
              </w:rPr>
              <w:t>249</w:t>
            </w:r>
          </w:hyperlink>
        </w:p>
        <w:p>
          <w:pPr>
            <w:pStyle w:val="Contents4"/>
            <w:tabs>
              <w:tab w:val="clear" w:pos="8176"/>
              <w:tab w:val="right" w:pos="9026" w:leader="dot"/>
            </w:tabs>
            <w:rPr/>
          </w:pPr>
          <w:hyperlink w:anchor="__RefHeading___Toc11945210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1945212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249</w:t>
            </w:r>
          </w:hyperlink>
        </w:p>
        <w:p>
          <w:pPr>
            <w:pStyle w:val="Contents4"/>
            <w:tabs>
              <w:tab w:val="clear" w:pos="8176"/>
              <w:tab w:val="right" w:pos="9026" w:leader="dot"/>
            </w:tabs>
            <w:rPr/>
          </w:pPr>
          <w:hyperlink w:anchor="__RefHeading___Toc11945214_1280447820">
            <w:r>
              <w:rPr>
                <w:webHidden/>
                <w:rStyle w:val="IndexLink"/>
                <w:rtl w:val="true"/>
              </w:rPr>
              <w:t>ثانيًا</w:t>
            </w:r>
            <w:r>
              <w:rPr>
                <w:rStyle w:val="IndexLink"/>
                <w:rtl w:val="true"/>
              </w:rPr>
              <w:t xml:space="preserve">: </w:t>
            </w:r>
            <w:r>
              <w:rPr>
                <w:rStyle w:val="IndexLink"/>
                <w:rtl w:val="true"/>
              </w:rPr>
              <w:t>الرِّوايات</w:t>
            </w:r>
            <w:r>
              <w:rPr>
                <w:rStyle w:val="IndexLink"/>
                <w:rtl w:val="true"/>
              </w:rPr>
              <w:tab/>
            </w:r>
            <w:r>
              <w:rPr>
                <w:rStyle w:val="IndexLink"/>
              </w:rPr>
              <w:t>251</w:t>
            </w:r>
          </w:hyperlink>
        </w:p>
        <w:p>
          <w:pPr>
            <w:pStyle w:val="Contents4"/>
            <w:tabs>
              <w:tab w:val="clear" w:pos="8176"/>
              <w:tab w:val="right" w:pos="9026" w:leader="dot"/>
            </w:tabs>
            <w:rPr/>
          </w:pPr>
          <w:hyperlink w:anchor="__RefHeading___Toc11945216_1280447820">
            <w:r>
              <w:rPr>
                <w:webHidden/>
                <w:rStyle w:val="IndexLink"/>
                <w:rtl w:val="true"/>
              </w:rPr>
              <w:t>ثالثًا</w:t>
            </w:r>
            <w:r>
              <w:rPr>
                <w:rStyle w:val="IndexLink"/>
                <w:rtl w:val="true"/>
              </w:rPr>
              <w:t xml:space="preserve">: </w:t>
            </w:r>
            <w:r>
              <w:rPr>
                <w:rStyle w:val="IndexLink"/>
                <w:rtl w:val="true"/>
              </w:rPr>
              <w:t>الأدلَّة العقليَّة</w:t>
            </w:r>
            <w:r>
              <w:rPr>
                <w:rStyle w:val="IndexLink"/>
                <w:rtl w:val="true"/>
              </w:rPr>
              <w:tab/>
            </w:r>
            <w:r>
              <w:rPr>
                <w:rStyle w:val="IndexLink"/>
              </w:rPr>
              <w:t>253</w:t>
            </w:r>
          </w:hyperlink>
        </w:p>
        <w:p>
          <w:pPr>
            <w:pStyle w:val="Contents3"/>
            <w:tabs>
              <w:tab w:val="clear" w:pos="8459"/>
              <w:tab w:val="right" w:pos="9026" w:leader="dot"/>
            </w:tabs>
            <w:rPr/>
          </w:pPr>
          <w:hyperlink w:anchor="__RefHeading___Toc11945218_1280447820">
            <w:r>
              <w:rPr>
                <w:webHidden/>
                <w:rStyle w:val="IndexLink"/>
                <w:rtl w:val="true"/>
              </w:rPr>
              <w:t>تنبيهاتٌ‌</w:t>
            </w:r>
            <w:r>
              <w:rPr>
                <w:rStyle w:val="IndexLink"/>
                <w:rtl w:val="true"/>
              </w:rPr>
              <w:t>:</w:t>
              <w:tab/>
            </w:r>
            <w:r>
              <w:rPr>
                <w:rStyle w:val="IndexLink"/>
              </w:rPr>
              <w:t>253</w:t>
            </w:r>
          </w:hyperlink>
        </w:p>
        <w:p>
          <w:pPr>
            <w:pStyle w:val="Contents4"/>
            <w:tabs>
              <w:tab w:val="clear" w:pos="8176"/>
              <w:tab w:val="right" w:pos="9026" w:leader="dot"/>
            </w:tabs>
            <w:rPr/>
          </w:pPr>
          <w:hyperlink w:anchor="__RefHeading___Toc11945220_1280447820">
            <w:r>
              <w:rPr>
                <w:webHidden/>
                <w:rStyle w:val="IndexLink"/>
                <w:rtl w:val="true"/>
              </w:rPr>
              <w:t>التَّنبيه الأوَّل</w:t>
            </w:r>
            <w:r>
              <w:rPr>
                <w:rStyle w:val="IndexLink"/>
                <w:rtl w:val="true"/>
              </w:rPr>
              <w:t>:</w:t>
              <w:tab/>
            </w:r>
            <w:r>
              <w:rPr>
                <w:rStyle w:val="IndexLink"/>
              </w:rPr>
              <w:t>253</w:t>
            </w:r>
          </w:hyperlink>
        </w:p>
        <w:p>
          <w:pPr>
            <w:pStyle w:val="Contents4"/>
            <w:tabs>
              <w:tab w:val="clear" w:pos="8176"/>
              <w:tab w:val="right" w:pos="9026" w:leader="dot"/>
            </w:tabs>
            <w:rPr/>
          </w:pPr>
          <w:hyperlink w:anchor="__RefHeading___Toc11945222_1280447820">
            <w:r>
              <w:rPr>
                <w:webHidden/>
                <w:rStyle w:val="IndexLink"/>
                <w:rtl w:val="true"/>
              </w:rPr>
              <w:t>التَّنبيه الثَّاني</w:t>
            </w:r>
            <w:r>
              <w:rPr>
                <w:rStyle w:val="IndexLink"/>
                <w:rtl w:val="true"/>
              </w:rPr>
              <w:t>:</w:t>
              <w:tab/>
            </w:r>
            <w:r>
              <w:rPr>
                <w:rStyle w:val="IndexLink"/>
              </w:rPr>
              <w:t>254</w:t>
            </w:r>
          </w:hyperlink>
        </w:p>
        <w:p>
          <w:pPr>
            <w:pStyle w:val="Contents4"/>
            <w:tabs>
              <w:tab w:val="clear" w:pos="8176"/>
              <w:tab w:val="right" w:pos="9026" w:leader="dot"/>
            </w:tabs>
            <w:rPr/>
          </w:pPr>
          <w:hyperlink w:anchor="__RefHeading___Toc11945224_1280447820">
            <w:r>
              <w:rPr>
                <w:webHidden/>
                <w:rStyle w:val="IndexLink"/>
                <w:rtl w:val="true"/>
              </w:rPr>
              <w:t>التَّنبيه الثَّالث</w:t>
            </w:r>
            <w:r>
              <w:rPr>
                <w:rStyle w:val="IndexLink"/>
                <w:rtl w:val="true"/>
              </w:rPr>
              <w:t>:</w:t>
              <w:tab/>
            </w:r>
            <w:r>
              <w:rPr>
                <w:rStyle w:val="IndexLink"/>
              </w:rPr>
              <w:t>255</w:t>
            </w:r>
          </w:hyperlink>
        </w:p>
        <w:p>
          <w:pPr>
            <w:pStyle w:val="Contents4"/>
            <w:tabs>
              <w:tab w:val="clear" w:pos="8176"/>
              <w:tab w:val="right" w:pos="9026" w:leader="dot"/>
            </w:tabs>
            <w:rPr/>
          </w:pPr>
          <w:hyperlink w:anchor="__RefHeading___Toc11945226_1280447820">
            <w:r>
              <w:rPr>
                <w:webHidden/>
                <w:rStyle w:val="IndexLink"/>
                <w:rtl w:val="true"/>
              </w:rPr>
              <w:t>أمثلةٌ لاستعمال القاعدة في الفقه</w:t>
            </w:r>
            <w:r>
              <w:rPr>
                <w:rStyle w:val="IndexLink"/>
                <w:rtl w:val="true"/>
              </w:rPr>
              <w:t>:</w:t>
              <w:tab/>
            </w:r>
            <w:r>
              <w:rPr>
                <w:rStyle w:val="IndexLink"/>
              </w:rPr>
              <w:t>257</w:t>
            </w:r>
          </w:hyperlink>
        </w:p>
        <w:p>
          <w:pPr>
            <w:pStyle w:val="Contents2"/>
            <w:tabs>
              <w:tab w:val="clear" w:pos="8743"/>
              <w:tab w:val="right" w:pos="9026" w:leader="dot"/>
            </w:tabs>
            <w:rPr/>
          </w:pPr>
          <w:hyperlink w:anchor="__RefHeading___Toc11945228_1280447820">
            <w:r>
              <w:rPr>
                <w:webHidden/>
                <w:rStyle w:val="IndexLink"/>
                <w:rtl w:val="true"/>
              </w:rPr>
              <w:t>[</w:t>
            </w:r>
            <w:r>
              <w:rPr>
                <w:rStyle w:val="IndexLink"/>
              </w:rPr>
              <w:t>35</w:t>
            </w:r>
            <w:r>
              <w:rPr>
                <w:rStyle w:val="IndexLink"/>
                <w:rtl w:val="true"/>
              </w:rPr>
              <w:t xml:space="preserve">:] </w:t>
            </w:r>
            <w:r>
              <w:rPr>
                <w:rStyle w:val="IndexLink"/>
                <w:rtl w:val="true"/>
              </w:rPr>
              <w:t>قاعدة بطلان كلِّ عقدٍ بتعذُّر الوفاءِ به</w:t>
            </w:r>
            <w:r>
              <w:rPr>
                <w:rStyle w:val="IndexLink"/>
                <w:rtl w:val="true"/>
              </w:rPr>
              <w:tab/>
            </w:r>
            <w:r>
              <w:rPr>
                <w:rStyle w:val="IndexLink"/>
              </w:rPr>
              <w:t>259</w:t>
            </w:r>
          </w:hyperlink>
        </w:p>
        <w:p>
          <w:pPr>
            <w:pStyle w:val="Contents3"/>
            <w:tabs>
              <w:tab w:val="clear" w:pos="8459"/>
              <w:tab w:val="right" w:pos="9026" w:leader="dot"/>
            </w:tabs>
            <w:rPr/>
          </w:pPr>
          <w:hyperlink w:anchor="__RefHeading___Toc11945230_1280447820">
            <w:r>
              <w:rPr>
                <w:webHidden/>
                <w:rStyle w:val="IndexLink"/>
                <w:rtl w:val="true"/>
              </w:rPr>
              <w:t>عناوين أُخرىٰ للقاعدة</w:t>
            </w:r>
            <w:r>
              <w:rPr>
                <w:rStyle w:val="IndexLink"/>
                <w:rtl w:val="true"/>
              </w:rPr>
              <w:tab/>
            </w:r>
            <w:r>
              <w:rPr>
                <w:rStyle w:val="IndexLink"/>
              </w:rPr>
              <w:t>259</w:t>
            </w:r>
          </w:hyperlink>
        </w:p>
        <w:p>
          <w:pPr>
            <w:pStyle w:val="Contents3"/>
            <w:tabs>
              <w:tab w:val="clear" w:pos="8459"/>
              <w:tab w:val="right" w:pos="9026" w:leader="dot"/>
            </w:tabs>
            <w:rPr/>
          </w:pPr>
          <w:hyperlink w:anchor="__RefHeading___Toc11945232_1280447820">
            <w:r>
              <w:rPr>
                <w:webHidden/>
                <w:rStyle w:val="IndexLink"/>
                <w:rtl w:val="true"/>
              </w:rPr>
              <w:t>توضيح مفاد القاعدة</w:t>
            </w:r>
            <w:r>
              <w:rPr>
                <w:rStyle w:val="IndexLink"/>
                <w:rtl w:val="true"/>
              </w:rPr>
              <w:tab/>
            </w:r>
            <w:r>
              <w:rPr>
                <w:rStyle w:val="IndexLink"/>
              </w:rPr>
              <w:t>259</w:t>
            </w:r>
          </w:hyperlink>
        </w:p>
        <w:p>
          <w:pPr>
            <w:pStyle w:val="Contents3"/>
            <w:tabs>
              <w:tab w:val="clear" w:pos="8459"/>
              <w:tab w:val="right" w:pos="9026" w:leader="dot"/>
            </w:tabs>
            <w:rPr/>
          </w:pPr>
          <w:hyperlink w:anchor="__RefHeading___Toc11945234_1280447820">
            <w:r>
              <w:rPr>
                <w:webHidden/>
                <w:rStyle w:val="IndexLink"/>
                <w:rtl w:val="true"/>
              </w:rPr>
              <w:t>مدركُ القاعدة</w:t>
            </w:r>
            <w:r>
              <w:rPr>
                <w:rStyle w:val="IndexLink"/>
                <w:rtl w:val="true"/>
              </w:rPr>
              <w:tab/>
            </w:r>
            <w:r>
              <w:rPr>
                <w:rStyle w:val="IndexLink"/>
              </w:rPr>
              <w:t>260</w:t>
            </w:r>
          </w:hyperlink>
        </w:p>
        <w:p>
          <w:pPr>
            <w:pStyle w:val="Contents3"/>
            <w:tabs>
              <w:tab w:val="clear" w:pos="8459"/>
              <w:tab w:val="right" w:pos="9026" w:leader="dot"/>
            </w:tabs>
            <w:rPr/>
          </w:pPr>
          <w:hyperlink w:anchor="__RefHeading___Toc11945236_1280447820">
            <w:r>
              <w:rPr>
                <w:webHidden/>
                <w:rStyle w:val="IndexLink"/>
                <w:rtl w:val="true"/>
              </w:rPr>
              <w:t>الأدلَّةُ العقليَّة</w:t>
            </w:r>
            <w:r>
              <w:rPr>
                <w:rStyle w:val="IndexLink"/>
                <w:rtl w:val="true"/>
              </w:rPr>
              <w:tab/>
            </w:r>
            <w:r>
              <w:rPr>
                <w:rStyle w:val="IndexLink"/>
              </w:rPr>
              <w:t>260</w:t>
            </w:r>
          </w:hyperlink>
        </w:p>
        <w:p>
          <w:pPr>
            <w:pStyle w:val="Contents3"/>
            <w:tabs>
              <w:tab w:val="clear" w:pos="8459"/>
              <w:tab w:val="right" w:pos="9026" w:leader="dot"/>
            </w:tabs>
            <w:rPr/>
          </w:pPr>
          <w:hyperlink w:anchor="__RefHeading___Toc11945238_1280447820">
            <w:r>
              <w:rPr>
                <w:webHidden/>
                <w:rStyle w:val="IndexLink"/>
                <w:rtl w:val="true"/>
              </w:rPr>
              <w:t>أمثلةٌ لاستعمال القاعدة في الفقه</w:t>
            </w:r>
            <w:r>
              <w:rPr>
                <w:rStyle w:val="IndexLink"/>
                <w:rtl w:val="true"/>
              </w:rPr>
              <w:t>:</w:t>
              <w:tab/>
            </w:r>
            <w:r>
              <w:rPr>
                <w:rStyle w:val="IndexLink"/>
              </w:rPr>
              <w:t>262</w:t>
            </w:r>
          </w:hyperlink>
        </w:p>
        <w:p>
          <w:pPr>
            <w:pStyle w:val="Contents2"/>
            <w:tabs>
              <w:tab w:val="clear" w:pos="8743"/>
              <w:tab w:val="right" w:pos="9026" w:leader="dot"/>
            </w:tabs>
            <w:rPr/>
          </w:pPr>
          <w:hyperlink w:anchor="__RefHeading___Toc11945240_1280447820">
            <w:r>
              <w:rPr>
                <w:webHidden/>
                <w:rStyle w:val="IndexLink"/>
                <w:rtl w:val="true"/>
              </w:rPr>
              <w:t>[</w:t>
            </w:r>
            <w:r>
              <w:rPr>
                <w:rStyle w:val="IndexLink"/>
              </w:rPr>
              <w:t>36</w:t>
            </w:r>
            <w:r>
              <w:rPr>
                <w:rStyle w:val="IndexLink"/>
                <w:rtl w:val="true"/>
              </w:rPr>
              <w:t xml:space="preserve">:] </w:t>
            </w:r>
            <w:r>
              <w:rPr>
                <w:rStyle w:val="IndexLink"/>
                <w:rtl w:val="true"/>
              </w:rPr>
              <w:t>قاعدة تلف المبيع قبل القبض</w:t>
            </w:r>
            <w:r>
              <w:rPr>
                <w:rStyle w:val="IndexLink"/>
                <w:rtl w:val="true"/>
              </w:rPr>
              <w:tab/>
            </w:r>
            <w:r>
              <w:rPr>
                <w:rStyle w:val="IndexLink"/>
              </w:rPr>
              <w:t>265</w:t>
            </w:r>
          </w:hyperlink>
        </w:p>
        <w:p>
          <w:pPr>
            <w:pStyle w:val="Contents3"/>
            <w:tabs>
              <w:tab w:val="clear" w:pos="8459"/>
              <w:tab w:val="right" w:pos="9026" w:leader="dot"/>
            </w:tabs>
            <w:rPr/>
          </w:pPr>
          <w:hyperlink w:anchor="__RefHeading___Toc11945242_1280447820">
            <w:r>
              <w:rPr>
                <w:webHidden/>
                <w:rStyle w:val="IndexLink"/>
                <w:rtl w:val="true"/>
              </w:rPr>
              <w:t>عناوين أُخرىٰ للقاعدة</w:t>
            </w:r>
            <w:r>
              <w:rPr>
                <w:rStyle w:val="IndexLink"/>
                <w:rtl w:val="true"/>
              </w:rPr>
              <w:tab/>
            </w:r>
            <w:r>
              <w:rPr>
                <w:rStyle w:val="IndexLink"/>
              </w:rPr>
              <w:t>265</w:t>
            </w:r>
          </w:hyperlink>
        </w:p>
        <w:p>
          <w:pPr>
            <w:pStyle w:val="Contents3"/>
            <w:tabs>
              <w:tab w:val="clear" w:pos="8459"/>
              <w:tab w:val="right" w:pos="9026" w:leader="dot"/>
            </w:tabs>
            <w:rPr/>
          </w:pPr>
          <w:hyperlink w:anchor="__RefHeading___Toc11945244_1280447820">
            <w:r>
              <w:rPr>
                <w:webHidden/>
                <w:rStyle w:val="IndexLink"/>
                <w:rtl w:val="true"/>
              </w:rPr>
              <w:t>توضيح مفاد القاعدة</w:t>
            </w:r>
            <w:r>
              <w:rPr>
                <w:rStyle w:val="IndexLink"/>
                <w:rtl w:val="true"/>
              </w:rPr>
              <w:tab/>
            </w:r>
            <w:r>
              <w:rPr>
                <w:rStyle w:val="IndexLink"/>
              </w:rPr>
              <w:t>266</w:t>
            </w:r>
          </w:hyperlink>
        </w:p>
        <w:p>
          <w:pPr>
            <w:pStyle w:val="Contents3"/>
            <w:tabs>
              <w:tab w:val="clear" w:pos="8459"/>
              <w:tab w:val="right" w:pos="9026" w:leader="dot"/>
            </w:tabs>
            <w:rPr/>
          </w:pPr>
          <w:hyperlink w:anchor="__RefHeading___Toc11945246_1280447820">
            <w:r>
              <w:rPr>
                <w:webHidden/>
                <w:rStyle w:val="IndexLink"/>
                <w:rtl w:val="true"/>
              </w:rPr>
              <w:t>مدركُ القاعدة</w:t>
            </w:r>
            <w:r>
              <w:rPr>
                <w:rStyle w:val="IndexLink"/>
                <w:rtl w:val="true"/>
              </w:rPr>
              <w:tab/>
            </w:r>
            <w:r>
              <w:rPr>
                <w:rStyle w:val="IndexLink"/>
              </w:rPr>
              <w:t>267</w:t>
            </w:r>
          </w:hyperlink>
        </w:p>
        <w:p>
          <w:pPr>
            <w:pStyle w:val="Contents4"/>
            <w:tabs>
              <w:tab w:val="clear" w:pos="8176"/>
              <w:tab w:val="right" w:pos="9026" w:leader="dot"/>
            </w:tabs>
            <w:rPr/>
          </w:pPr>
          <w:hyperlink w:anchor="__RefHeading___Toc11945248_1280447820">
            <w:r>
              <w:rPr>
                <w:webHidden/>
                <w:rStyle w:val="IndexLink"/>
                <w:rtl w:val="true"/>
              </w:rPr>
              <w:t>أوَّلًا</w:t>
            </w:r>
            <w:r>
              <w:rPr>
                <w:rStyle w:val="IndexLink"/>
                <w:rtl w:val="true"/>
              </w:rPr>
              <w:t xml:space="preserve">: </w:t>
            </w:r>
            <w:r>
              <w:rPr>
                <w:rStyle w:val="IndexLink"/>
                <w:rtl w:val="true"/>
              </w:rPr>
              <w:t>السُّنَّة</w:t>
            </w:r>
            <w:r>
              <w:rPr>
                <w:rStyle w:val="IndexLink"/>
                <w:rtl w:val="true"/>
              </w:rPr>
              <w:tab/>
            </w:r>
            <w:r>
              <w:rPr>
                <w:rStyle w:val="IndexLink"/>
              </w:rPr>
              <w:t>267</w:t>
            </w:r>
          </w:hyperlink>
        </w:p>
        <w:p>
          <w:pPr>
            <w:pStyle w:val="Contents4"/>
            <w:tabs>
              <w:tab w:val="clear" w:pos="8176"/>
              <w:tab w:val="right" w:pos="9026" w:leader="dot"/>
            </w:tabs>
            <w:rPr/>
          </w:pPr>
          <w:hyperlink w:anchor="__RefHeading___Toc11945250_1280447820">
            <w:r>
              <w:rPr>
                <w:webHidden/>
                <w:rStyle w:val="IndexLink"/>
                <w:rtl w:val="true"/>
              </w:rPr>
              <w:t>ثانيًا</w:t>
            </w:r>
            <w:r>
              <w:rPr>
                <w:rStyle w:val="IndexLink"/>
                <w:rtl w:val="true"/>
              </w:rPr>
              <w:t xml:space="preserve">: </w:t>
            </w:r>
            <w:r>
              <w:rPr>
                <w:rStyle w:val="IndexLink"/>
                <w:rtl w:val="true"/>
              </w:rPr>
              <w:t>الإجماع</w:t>
            </w:r>
            <w:r>
              <w:rPr>
                <w:rStyle w:val="IndexLink"/>
                <w:rtl w:val="true"/>
              </w:rPr>
              <w:tab/>
            </w:r>
            <w:r>
              <w:rPr>
                <w:rStyle w:val="IndexLink"/>
              </w:rPr>
              <w:t>269</w:t>
            </w:r>
          </w:hyperlink>
        </w:p>
        <w:p>
          <w:pPr>
            <w:pStyle w:val="Contents3"/>
            <w:tabs>
              <w:tab w:val="clear" w:pos="8459"/>
              <w:tab w:val="right" w:pos="9026" w:leader="dot"/>
            </w:tabs>
            <w:rPr/>
          </w:pPr>
          <w:hyperlink w:anchor="__RefHeading___Toc11945252_1280447820">
            <w:r>
              <w:rPr>
                <w:webHidden/>
                <w:rStyle w:val="IndexLink"/>
                <w:rtl w:val="true"/>
              </w:rPr>
              <w:t>تنبيهاتٌ‌</w:t>
            </w:r>
            <w:r>
              <w:rPr>
                <w:rStyle w:val="IndexLink"/>
                <w:rtl w:val="true"/>
              </w:rPr>
              <w:t>:</w:t>
              <w:tab/>
            </w:r>
            <w:r>
              <w:rPr>
                <w:rStyle w:val="IndexLink"/>
              </w:rPr>
              <w:t>272</w:t>
            </w:r>
          </w:hyperlink>
        </w:p>
        <w:p>
          <w:pPr>
            <w:pStyle w:val="Contents4"/>
            <w:tabs>
              <w:tab w:val="clear" w:pos="8176"/>
              <w:tab w:val="right" w:pos="9026" w:leader="dot"/>
            </w:tabs>
            <w:rPr/>
          </w:pPr>
          <w:hyperlink w:anchor="__RefHeading___Toc11945254_1280447820">
            <w:r>
              <w:rPr>
                <w:webHidden/>
                <w:rStyle w:val="IndexLink"/>
                <w:rtl w:val="true"/>
              </w:rPr>
              <w:t>التَّنبيه الأوَّل</w:t>
            </w:r>
            <w:r>
              <w:rPr>
                <w:rStyle w:val="IndexLink"/>
                <w:rtl w:val="true"/>
              </w:rPr>
              <w:t>:</w:t>
              <w:tab/>
            </w:r>
            <w:r>
              <w:rPr>
                <w:rStyle w:val="IndexLink"/>
              </w:rPr>
              <w:t>272</w:t>
            </w:r>
          </w:hyperlink>
        </w:p>
        <w:p>
          <w:pPr>
            <w:pStyle w:val="Contents4"/>
            <w:tabs>
              <w:tab w:val="clear" w:pos="8176"/>
              <w:tab w:val="right" w:pos="9026" w:leader="dot"/>
            </w:tabs>
            <w:rPr/>
          </w:pPr>
          <w:hyperlink w:anchor="__RefHeading___Toc11945256_1280447820">
            <w:r>
              <w:rPr>
                <w:webHidden/>
                <w:rStyle w:val="IndexLink"/>
                <w:rtl w:val="true"/>
              </w:rPr>
              <w:t>التَّنبيه الثَّاني</w:t>
            </w:r>
            <w:r>
              <w:rPr>
                <w:rStyle w:val="IndexLink"/>
                <w:rtl w:val="true"/>
              </w:rPr>
              <w:t>:</w:t>
              <w:tab/>
            </w:r>
            <w:r>
              <w:rPr>
                <w:rStyle w:val="IndexLink"/>
              </w:rPr>
              <w:t>274</w:t>
            </w:r>
          </w:hyperlink>
        </w:p>
        <w:p>
          <w:pPr>
            <w:pStyle w:val="Contents4"/>
            <w:tabs>
              <w:tab w:val="clear" w:pos="8176"/>
              <w:tab w:val="right" w:pos="9026" w:leader="dot"/>
            </w:tabs>
            <w:rPr/>
          </w:pPr>
          <w:hyperlink w:anchor="__RefHeading___Toc11945258_1280447820">
            <w:r>
              <w:rPr>
                <w:webHidden/>
                <w:rStyle w:val="IndexLink"/>
                <w:rtl w:val="true"/>
              </w:rPr>
              <w:t>التَّنبيه الثَّالث</w:t>
            </w:r>
            <w:r>
              <w:rPr>
                <w:rStyle w:val="IndexLink"/>
                <w:rtl w:val="true"/>
              </w:rPr>
              <w:t>:</w:t>
              <w:tab/>
            </w:r>
            <w:r>
              <w:rPr>
                <w:rStyle w:val="IndexLink"/>
              </w:rPr>
              <w:t>275</w:t>
            </w:r>
          </w:hyperlink>
        </w:p>
        <w:p>
          <w:pPr>
            <w:pStyle w:val="Contents4"/>
            <w:tabs>
              <w:tab w:val="clear" w:pos="8176"/>
              <w:tab w:val="right" w:pos="9026" w:leader="dot"/>
            </w:tabs>
            <w:rPr/>
          </w:pPr>
          <w:hyperlink w:anchor="__RefHeading___Toc11945260_1280447820">
            <w:r>
              <w:rPr>
                <w:webHidden/>
                <w:rStyle w:val="IndexLink"/>
                <w:rtl w:val="true"/>
              </w:rPr>
              <w:t>التَّنبيه الرَّابع</w:t>
            </w:r>
            <w:r>
              <w:rPr>
                <w:rStyle w:val="IndexLink"/>
                <w:rtl w:val="true"/>
              </w:rPr>
              <w:t>:</w:t>
              <w:tab/>
            </w:r>
            <w:r>
              <w:rPr>
                <w:rStyle w:val="IndexLink"/>
              </w:rPr>
              <w:t>277</w:t>
            </w:r>
          </w:hyperlink>
        </w:p>
        <w:p>
          <w:pPr>
            <w:pStyle w:val="Contents4"/>
            <w:tabs>
              <w:tab w:val="clear" w:pos="8176"/>
              <w:tab w:val="right" w:pos="9026" w:leader="dot"/>
            </w:tabs>
            <w:rPr/>
          </w:pPr>
          <w:hyperlink w:anchor="__RefHeading___Toc11945262_1280447820">
            <w:r>
              <w:rPr>
                <w:webHidden/>
                <w:rStyle w:val="IndexLink"/>
                <w:rtl w:val="true"/>
              </w:rPr>
              <w:t>التَّنبيه الخامس</w:t>
            </w:r>
            <w:r>
              <w:rPr>
                <w:rStyle w:val="IndexLink"/>
                <w:rtl w:val="true"/>
              </w:rPr>
              <w:t>:</w:t>
              <w:tab/>
            </w:r>
            <w:r>
              <w:rPr>
                <w:rStyle w:val="IndexLink"/>
              </w:rPr>
              <w:t>277</w:t>
            </w:r>
          </w:hyperlink>
        </w:p>
        <w:p>
          <w:pPr>
            <w:pStyle w:val="Contents4"/>
            <w:tabs>
              <w:tab w:val="clear" w:pos="8176"/>
              <w:tab w:val="right" w:pos="9026" w:leader="dot"/>
            </w:tabs>
            <w:rPr/>
          </w:pPr>
          <w:hyperlink w:anchor="__RefHeading___Toc11945264_1280447820">
            <w:r>
              <w:rPr>
                <w:webHidden/>
                <w:rStyle w:val="IndexLink"/>
                <w:rtl w:val="true"/>
              </w:rPr>
              <w:t>التَّنبيه السَّادس</w:t>
            </w:r>
            <w:r>
              <w:rPr>
                <w:rStyle w:val="IndexLink"/>
                <w:rtl w:val="true"/>
              </w:rPr>
              <w:t>:</w:t>
              <w:tab/>
            </w:r>
            <w:r>
              <w:rPr>
                <w:rStyle w:val="IndexLink"/>
              </w:rPr>
              <w:t>278</w:t>
            </w:r>
          </w:hyperlink>
        </w:p>
        <w:p>
          <w:pPr>
            <w:pStyle w:val="Contents3"/>
            <w:tabs>
              <w:tab w:val="clear" w:pos="8459"/>
              <w:tab w:val="right" w:pos="9026" w:leader="dot"/>
            </w:tabs>
            <w:rPr/>
          </w:pPr>
          <w:hyperlink w:anchor="__RefHeading___Toc11945266_1280447820">
            <w:r>
              <w:rPr>
                <w:webHidden/>
                <w:rStyle w:val="IndexLink"/>
                <w:rtl w:val="true"/>
              </w:rPr>
              <w:t>أمثلةٌ لاستعمال القاعدة في الفقه</w:t>
            </w:r>
            <w:r>
              <w:rPr>
                <w:rStyle w:val="IndexLink"/>
                <w:rtl w:val="true"/>
              </w:rPr>
              <w:t>:</w:t>
              <w:tab/>
            </w:r>
            <w:r>
              <w:rPr>
                <w:rStyle w:val="IndexLink"/>
              </w:rPr>
              <w:t>279</w:t>
            </w:r>
          </w:hyperlink>
        </w:p>
        <w:p>
          <w:pPr>
            <w:pStyle w:val="Contents2"/>
            <w:tabs>
              <w:tab w:val="clear" w:pos="8743"/>
              <w:tab w:val="right" w:pos="9026" w:leader="dot"/>
            </w:tabs>
            <w:rPr/>
          </w:pPr>
          <w:hyperlink w:anchor="__RefHeading___Toc11945268_1280447820">
            <w:r>
              <w:rPr>
                <w:webHidden/>
                <w:rStyle w:val="IndexLink"/>
                <w:rtl w:val="true"/>
              </w:rPr>
              <w:t>[</w:t>
            </w:r>
            <w:r>
              <w:rPr>
                <w:rStyle w:val="IndexLink"/>
              </w:rPr>
              <w:t>37</w:t>
            </w:r>
            <w:r>
              <w:rPr>
                <w:rStyle w:val="IndexLink"/>
                <w:rtl w:val="true"/>
              </w:rPr>
              <w:t xml:space="preserve">:] </w:t>
            </w:r>
            <w:r>
              <w:rPr>
                <w:rStyle w:val="IndexLink"/>
                <w:rtl w:val="true"/>
              </w:rPr>
              <w:t>قاعدة ثبوت الأحكام الوَضعيَّة علىٰ غير البالغِ المُكلَّف</w:t>
            </w:r>
            <w:r>
              <w:rPr>
                <w:rStyle w:val="IndexLink"/>
                <w:rtl w:val="true"/>
              </w:rPr>
              <w:tab/>
            </w:r>
            <w:r>
              <w:rPr>
                <w:rStyle w:val="IndexLink"/>
              </w:rPr>
              <w:t>281</w:t>
            </w:r>
          </w:hyperlink>
        </w:p>
        <w:p>
          <w:pPr>
            <w:pStyle w:val="Contents3"/>
            <w:tabs>
              <w:tab w:val="clear" w:pos="8459"/>
              <w:tab w:val="right" w:pos="9026" w:leader="dot"/>
            </w:tabs>
            <w:rPr/>
          </w:pPr>
          <w:hyperlink w:anchor="__RefHeading___Toc11945270_1280447820">
            <w:r>
              <w:rPr>
                <w:webHidden/>
                <w:rStyle w:val="IndexLink"/>
                <w:rtl w:val="true"/>
              </w:rPr>
              <w:t>عناوين أُخرىٰ للقاعدة</w:t>
            </w:r>
            <w:r>
              <w:rPr>
                <w:rStyle w:val="IndexLink"/>
                <w:rtl w:val="true"/>
              </w:rPr>
              <w:tab/>
            </w:r>
            <w:r>
              <w:rPr>
                <w:rStyle w:val="IndexLink"/>
              </w:rPr>
              <w:t>281</w:t>
            </w:r>
          </w:hyperlink>
        </w:p>
        <w:p>
          <w:pPr>
            <w:pStyle w:val="Contents3"/>
            <w:tabs>
              <w:tab w:val="clear" w:pos="8459"/>
              <w:tab w:val="right" w:pos="9026" w:leader="dot"/>
            </w:tabs>
            <w:rPr/>
          </w:pPr>
          <w:hyperlink w:anchor="__RefHeading___Toc11945272_1280447820">
            <w:r>
              <w:rPr>
                <w:webHidden/>
                <w:rStyle w:val="IndexLink"/>
                <w:rtl w:val="true"/>
              </w:rPr>
              <w:t>توضيح مفاد القاعدة</w:t>
            </w:r>
            <w:r>
              <w:rPr>
                <w:rStyle w:val="IndexLink"/>
                <w:rtl w:val="true"/>
              </w:rPr>
              <w:tab/>
            </w:r>
            <w:r>
              <w:rPr>
                <w:rStyle w:val="IndexLink"/>
              </w:rPr>
              <w:t>282</w:t>
            </w:r>
          </w:hyperlink>
        </w:p>
        <w:p>
          <w:pPr>
            <w:pStyle w:val="Contents3"/>
            <w:tabs>
              <w:tab w:val="clear" w:pos="8459"/>
              <w:tab w:val="right" w:pos="9026" w:leader="dot"/>
            </w:tabs>
            <w:rPr/>
          </w:pPr>
          <w:hyperlink w:anchor="__RefHeading___Toc11945274_1280447820">
            <w:r>
              <w:rPr>
                <w:webHidden/>
                <w:rStyle w:val="IndexLink"/>
                <w:rtl w:val="true"/>
              </w:rPr>
              <w:t>مدركُ القاعدة</w:t>
            </w:r>
            <w:r>
              <w:rPr>
                <w:rStyle w:val="IndexLink"/>
                <w:rtl w:val="true"/>
              </w:rPr>
              <w:tab/>
            </w:r>
            <w:r>
              <w:rPr>
                <w:rStyle w:val="IndexLink"/>
              </w:rPr>
              <w:t>286</w:t>
            </w:r>
          </w:hyperlink>
        </w:p>
        <w:p>
          <w:pPr>
            <w:pStyle w:val="Contents3"/>
            <w:tabs>
              <w:tab w:val="clear" w:pos="8459"/>
              <w:tab w:val="right" w:pos="9026" w:leader="dot"/>
            </w:tabs>
            <w:rPr/>
          </w:pPr>
          <w:hyperlink w:anchor="__RefHeading___Toc11945276_1280447820">
            <w:r>
              <w:rPr>
                <w:webHidden/>
                <w:rStyle w:val="IndexLink"/>
                <w:rtl w:val="true"/>
              </w:rPr>
              <w:t>أمثلةٌ لاستعمال القاعدة في الفقه</w:t>
            </w:r>
            <w:r>
              <w:rPr>
                <w:rStyle w:val="IndexLink"/>
                <w:rtl w:val="true"/>
              </w:rPr>
              <w:t>:</w:t>
              <w:tab/>
            </w:r>
            <w:r>
              <w:rPr>
                <w:rStyle w:val="IndexLink"/>
              </w:rPr>
              <w:t>287</w:t>
            </w:r>
          </w:hyperlink>
        </w:p>
        <w:p>
          <w:pPr>
            <w:pStyle w:val="Contents2"/>
            <w:tabs>
              <w:tab w:val="clear" w:pos="8743"/>
              <w:tab w:val="right" w:pos="9026" w:leader="dot"/>
            </w:tabs>
            <w:rPr/>
          </w:pPr>
          <w:hyperlink w:anchor="__RefHeading___Toc11945278_1280447820">
            <w:r>
              <w:rPr>
                <w:webHidden/>
                <w:rStyle w:val="IndexLink"/>
                <w:rtl w:val="true"/>
              </w:rPr>
              <w:t>[</w:t>
            </w:r>
            <w:r>
              <w:rPr>
                <w:rStyle w:val="IndexLink"/>
              </w:rPr>
              <w:t>38</w:t>
            </w:r>
            <w:r>
              <w:rPr>
                <w:rStyle w:val="IndexLink"/>
                <w:rtl w:val="true"/>
              </w:rPr>
              <w:t xml:space="preserve">:] </w:t>
            </w:r>
            <w:r>
              <w:rPr>
                <w:rStyle w:val="IndexLink"/>
                <w:rtl w:val="true"/>
              </w:rPr>
              <w:t>قاعدة حجِّيَّة البيِّنة</w:t>
            </w:r>
            <w:r>
              <w:rPr>
                <w:rStyle w:val="IndexLink"/>
                <w:rtl w:val="true"/>
              </w:rPr>
              <w:tab/>
            </w:r>
            <w:r>
              <w:rPr>
                <w:rStyle w:val="IndexLink"/>
              </w:rPr>
              <w:t>292</w:t>
            </w:r>
          </w:hyperlink>
        </w:p>
        <w:p>
          <w:pPr>
            <w:pStyle w:val="Contents3"/>
            <w:tabs>
              <w:tab w:val="clear" w:pos="8459"/>
              <w:tab w:val="right" w:pos="9026" w:leader="dot"/>
            </w:tabs>
            <w:rPr/>
          </w:pPr>
          <w:hyperlink w:anchor="__RefHeading___Toc11945280_1280447820">
            <w:r>
              <w:rPr>
                <w:webHidden/>
                <w:rStyle w:val="IndexLink"/>
                <w:rtl w:val="true"/>
              </w:rPr>
              <w:t>عناوين أُخرىٰ للقاعدة</w:t>
            </w:r>
            <w:r>
              <w:rPr>
                <w:rStyle w:val="IndexLink"/>
                <w:rtl w:val="true"/>
              </w:rPr>
              <w:tab/>
            </w:r>
            <w:r>
              <w:rPr>
                <w:rStyle w:val="IndexLink"/>
              </w:rPr>
              <w:t>292</w:t>
            </w:r>
          </w:hyperlink>
        </w:p>
        <w:p>
          <w:pPr>
            <w:pStyle w:val="Contents3"/>
            <w:tabs>
              <w:tab w:val="clear" w:pos="8459"/>
              <w:tab w:val="right" w:pos="9026" w:leader="dot"/>
            </w:tabs>
            <w:rPr/>
          </w:pPr>
          <w:hyperlink w:anchor="__RefHeading___Toc11945282_1280447820">
            <w:r>
              <w:rPr>
                <w:webHidden/>
                <w:rStyle w:val="IndexLink"/>
                <w:rtl w:val="true"/>
              </w:rPr>
              <w:t>توضيح مفاد القاعدة</w:t>
            </w:r>
            <w:r>
              <w:rPr>
                <w:rStyle w:val="IndexLink"/>
                <w:rtl w:val="true"/>
              </w:rPr>
              <w:tab/>
            </w:r>
            <w:r>
              <w:rPr>
                <w:rStyle w:val="IndexLink"/>
              </w:rPr>
              <w:t>292</w:t>
            </w:r>
          </w:hyperlink>
        </w:p>
        <w:p>
          <w:pPr>
            <w:pStyle w:val="Contents3"/>
            <w:tabs>
              <w:tab w:val="clear" w:pos="8459"/>
              <w:tab w:val="right" w:pos="9026" w:leader="dot"/>
            </w:tabs>
            <w:rPr/>
          </w:pPr>
          <w:hyperlink w:anchor="__RefHeading___Toc11945284_1280447820">
            <w:r>
              <w:rPr>
                <w:webHidden/>
                <w:rStyle w:val="IndexLink"/>
                <w:rtl w:val="true"/>
              </w:rPr>
              <w:t>مدركُ القاعدة</w:t>
            </w:r>
            <w:r>
              <w:rPr>
                <w:rStyle w:val="IndexLink"/>
                <w:rtl w:val="true"/>
              </w:rPr>
              <w:tab/>
            </w:r>
            <w:r>
              <w:rPr>
                <w:rStyle w:val="IndexLink"/>
              </w:rPr>
              <w:t>293</w:t>
            </w:r>
          </w:hyperlink>
        </w:p>
        <w:p>
          <w:pPr>
            <w:pStyle w:val="Contents4"/>
            <w:tabs>
              <w:tab w:val="clear" w:pos="8176"/>
              <w:tab w:val="right" w:pos="9026" w:leader="dot"/>
            </w:tabs>
            <w:rPr/>
          </w:pPr>
          <w:hyperlink w:anchor="__RefHeading___Toc11945286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1945288_1280447820">
            <w:r>
              <w:rPr>
                <w:webHidden/>
                <w:rStyle w:val="IndexLink"/>
                <w:rtl w:val="true"/>
              </w:rPr>
              <w:t>أوَّلًا</w:t>
            </w:r>
            <w:r>
              <w:rPr>
                <w:rStyle w:val="IndexLink"/>
                <w:rtl w:val="true"/>
              </w:rPr>
              <w:t xml:space="preserve">: </w:t>
            </w:r>
            <w:r>
              <w:rPr>
                <w:rStyle w:val="IndexLink"/>
                <w:rtl w:val="true"/>
              </w:rPr>
              <w:t>كون خبر الثِّقة حجَّةً في الموضوعات</w:t>
            </w:r>
            <w:r>
              <w:rPr>
                <w:rStyle w:val="IndexLink"/>
                <w:rtl w:val="true"/>
              </w:rPr>
              <w:tab/>
            </w:r>
            <w:r>
              <w:rPr>
                <w:rStyle w:val="IndexLink"/>
              </w:rPr>
              <w:t>294</w:t>
            </w:r>
          </w:hyperlink>
        </w:p>
        <w:p>
          <w:pPr>
            <w:pStyle w:val="Contents4"/>
            <w:tabs>
              <w:tab w:val="clear" w:pos="8176"/>
              <w:tab w:val="right" w:pos="9026" w:leader="dot"/>
            </w:tabs>
            <w:rPr/>
          </w:pPr>
          <w:hyperlink w:anchor="__RefHeading___Toc11945290_1280447820">
            <w:r>
              <w:rPr>
                <w:webHidden/>
                <w:rStyle w:val="IndexLink"/>
                <w:rtl w:val="true"/>
              </w:rPr>
              <w:t>ثانيًا</w:t>
            </w:r>
            <w:r>
              <w:rPr>
                <w:rStyle w:val="IndexLink"/>
                <w:rtl w:val="true"/>
              </w:rPr>
              <w:t xml:space="preserve">: </w:t>
            </w:r>
            <w:r>
              <w:rPr>
                <w:rStyle w:val="IndexLink"/>
                <w:rtl w:val="true"/>
              </w:rPr>
              <w:t>السُّنَّة</w:t>
            </w:r>
            <w:r>
              <w:rPr>
                <w:rStyle w:val="IndexLink"/>
                <w:rtl w:val="true"/>
              </w:rPr>
              <w:tab/>
            </w:r>
            <w:r>
              <w:rPr>
                <w:rStyle w:val="IndexLink"/>
              </w:rPr>
              <w:t>295</w:t>
            </w:r>
          </w:hyperlink>
        </w:p>
        <w:p>
          <w:pPr>
            <w:pStyle w:val="Contents3"/>
            <w:tabs>
              <w:tab w:val="clear" w:pos="8459"/>
              <w:tab w:val="right" w:pos="9026" w:leader="dot"/>
            </w:tabs>
            <w:rPr/>
          </w:pPr>
          <w:hyperlink w:anchor="__RefHeading___Toc11945292_1280447820">
            <w:r>
              <w:rPr>
                <w:webHidden/>
                <w:rStyle w:val="IndexLink"/>
                <w:rtl w:val="true"/>
              </w:rPr>
              <w:t>تنبيهاتٌ‌</w:t>
            </w:r>
            <w:r>
              <w:rPr>
                <w:rStyle w:val="IndexLink"/>
                <w:rtl w:val="true"/>
              </w:rPr>
              <w:t>:</w:t>
              <w:tab/>
            </w:r>
            <w:r>
              <w:rPr>
                <w:rStyle w:val="IndexLink"/>
              </w:rPr>
              <w:t>296</w:t>
            </w:r>
          </w:hyperlink>
        </w:p>
        <w:p>
          <w:pPr>
            <w:pStyle w:val="Contents3"/>
            <w:tabs>
              <w:tab w:val="clear" w:pos="8459"/>
              <w:tab w:val="right" w:pos="9026" w:leader="dot"/>
            </w:tabs>
            <w:rPr/>
          </w:pPr>
          <w:hyperlink w:anchor="__RefHeading___Toc11945294_1280447820">
            <w:r>
              <w:rPr>
                <w:webHidden/>
                <w:rStyle w:val="IndexLink"/>
                <w:rtl w:val="true"/>
              </w:rPr>
              <w:t>أمثلةٌ لاستعمال القاعدة في الفقه</w:t>
            </w:r>
            <w:r>
              <w:rPr>
                <w:rStyle w:val="IndexLink"/>
                <w:rtl w:val="true"/>
              </w:rPr>
              <w:t>:</w:t>
              <w:tab/>
            </w:r>
            <w:r>
              <w:rPr>
                <w:rStyle w:val="IndexLink"/>
              </w:rPr>
              <w:t>297</w:t>
            </w:r>
          </w:hyperlink>
        </w:p>
        <w:p>
          <w:pPr>
            <w:pStyle w:val="Contents2"/>
            <w:tabs>
              <w:tab w:val="clear" w:pos="8743"/>
              <w:tab w:val="right" w:pos="9026" w:leader="dot"/>
            </w:tabs>
            <w:rPr/>
          </w:pPr>
          <w:hyperlink w:anchor="__RefHeading___Toc11945296_1280447820">
            <w:r>
              <w:rPr>
                <w:webHidden/>
                <w:rStyle w:val="IndexLink"/>
                <w:rtl w:val="true"/>
              </w:rPr>
              <w:t>[</w:t>
            </w:r>
            <w:r>
              <w:rPr>
                <w:rStyle w:val="IndexLink"/>
              </w:rPr>
              <w:t>39</w:t>
            </w:r>
            <w:r>
              <w:rPr>
                <w:rStyle w:val="IndexLink"/>
                <w:rtl w:val="true"/>
              </w:rPr>
              <w:t xml:space="preserve">:] </w:t>
            </w:r>
            <w:r>
              <w:rPr>
                <w:rStyle w:val="IndexLink"/>
                <w:rtl w:val="true"/>
              </w:rPr>
              <w:t>قاعدة حجِّيَّة الظَّنِّ في الصَّلاة</w:t>
            </w:r>
            <w:r>
              <w:rPr>
                <w:rStyle w:val="IndexLink"/>
                <w:rtl w:val="true"/>
              </w:rPr>
              <w:tab/>
            </w:r>
            <w:r>
              <w:rPr>
                <w:rStyle w:val="IndexLink"/>
              </w:rPr>
              <w:t>298</w:t>
            </w:r>
          </w:hyperlink>
        </w:p>
        <w:p>
          <w:pPr>
            <w:pStyle w:val="Contents3"/>
            <w:tabs>
              <w:tab w:val="clear" w:pos="8459"/>
              <w:tab w:val="right" w:pos="9026" w:leader="dot"/>
            </w:tabs>
            <w:rPr/>
          </w:pPr>
          <w:hyperlink w:anchor="__RefHeading___Toc11945298_1280447820">
            <w:r>
              <w:rPr>
                <w:webHidden/>
                <w:rStyle w:val="IndexLink"/>
                <w:rtl w:val="true"/>
              </w:rPr>
              <w:t>عناوين أُخرىٰ للقاعدة توضيح مفاد القاعدة</w:t>
            </w:r>
            <w:r>
              <w:rPr>
                <w:rStyle w:val="IndexLink"/>
                <w:rtl w:val="true"/>
              </w:rPr>
              <w:tab/>
            </w:r>
            <w:r>
              <w:rPr>
                <w:rStyle w:val="IndexLink"/>
              </w:rPr>
              <w:t>298</w:t>
            </w:r>
          </w:hyperlink>
        </w:p>
        <w:p>
          <w:pPr>
            <w:pStyle w:val="Contents3"/>
            <w:tabs>
              <w:tab w:val="clear" w:pos="8459"/>
              <w:tab w:val="right" w:pos="9026" w:leader="dot"/>
            </w:tabs>
            <w:rPr/>
          </w:pPr>
          <w:hyperlink w:anchor="__RefHeading___Toc11945300_1280447820">
            <w:r>
              <w:rPr>
                <w:webHidden/>
                <w:rStyle w:val="IndexLink"/>
                <w:rtl w:val="true"/>
              </w:rPr>
              <w:t>مدركُ القاعدة</w:t>
            </w:r>
            <w:r>
              <w:rPr>
                <w:rStyle w:val="IndexLink"/>
                <w:rtl w:val="true"/>
              </w:rPr>
              <w:tab/>
            </w:r>
            <w:r>
              <w:rPr>
                <w:rStyle w:val="IndexLink"/>
              </w:rPr>
              <w:t>299</w:t>
            </w:r>
          </w:hyperlink>
        </w:p>
        <w:p>
          <w:pPr>
            <w:pStyle w:val="Contents4"/>
            <w:tabs>
              <w:tab w:val="clear" w:pos="8176"/>
              <w:tab w:val="right" w:pos="9026" w:leader="dot"/>
            </w:tabs>
            <w:rPr/>
          </w:pPr>
          <w:hyperlink w:anchor="__RefHeading___Toc11945302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1945304_1280447820">
            <w:r>
              <w:rPr>
                <w:webHidden/>
                <w:rStyle w:val="IndexLink"/>
                <w:rtl w:val="true"/>
              </w:rPr>
              <w:t>أوَّلًا</w:t>
            </w:r>
            <w:r>
              <w:rPr>
                <w:rStyle w:val="IndexLink"/>
                <w:rtl w:val="true"/>
              </w:rPr>
              <w:t xml:space="preserve">: </w:t>
            </w:r>
            <w:r>
              <w:rPr>
                <w:rStyle w:val="IndexLink"/>
                <w:rtl w:val="true"/>
              </w:rPr>
              <w:t>الإجماع</w:t>
            </w:r>
            <w:r>
              <w:rPr>
                <w:rStyle w:val="IndexLink"/>
                <w:rtl w:val="true"/>
              </w:rPr>
              <w:tab/>
            </w:r>
            <w:r>
              <w:rPr>
                <w:rStyle w:val="IndexLink"/>
              </w:rPr>
              <w:t>299</w:t>
            </w:r>
          </w:hyperlink>
        </w:p>
        <w:p>
          <w:pPr>
            <w:pStyle w:val="Contents4"/>
            <w:tabs>
              <w:tab w:val="clear" w:pos="8176"/>
              <w:tab w:val="right" w:pos="9026" w:leader="dot"/>
            </w:tabs>
            <w:rPr/>
          </w:pPr>
          <w:hyperlink w:anchor="__RefHeading___Toc11945306_1280447820">
            <w:r>
              <w:rPr>
                <w:webHidden/>
                <w:rStyle w:val="IndexLink"/>
                <w:rtl w:val="true"/>
              </w:rPr>
              <w:t>ثانيًا</w:t>
            </w:r>
            <w:r>
              <w:rPr>
                <w:rStyle w:val="IndexLink"/>
                <w:rtl w:val="true"/>
              </w:rPr>
              <w:t xml:space="preserve">: </w:t>
            </w:r>
            <w:r>
              <w:rPr>
                <w:rStyle w:val="IndexLink"/>
                <w:rtl w:val="true"/>
              </w:rPr>
              <w:t>السُّنَّة</w:t>
            </w:r>
            <w:r>
              <w:rPr>
                <w:rStyle w:val="IndexLink"/>
                <w:rtl w:val="true"/>
              </w:rPr>
              <w:tab/>
            </w:r>
            <w:r>
              <w:rPr>
                <w:rStyle w:val="IndexLink"/>
              </w:rPr>
              <w:t>301</w:t>
            </w:r>
          </w:hyperlink>
        </w:p>
        <w:p>
          <w:pPr>
            <w:pStyle w:val="Contents4"/>
            <w:tabs>
              <w:tab w:val="clear" w:pos="8176"/>
              <w:tab w:val="right" w:pos="9026" w:leader="dot"/>
            </w:tabs>
            <w:rPr/>
          </w:pPr>
          <w:hyperlink w:anchor="__RefHeading___Toc11945308_1280447820">
            <w:r>
              <w:rPr>
                <w:webHidden/>
                <w:rStyle w:val="IndexLink"/>
                <w:rtl w:val="true"/>
              </w:rPr>
              <w:t>ثالثاً</w:t>
            </w:r>
            <w:r>
              <w:rPr>
                <w:rStyle w:val="IndexLink"/>
                <w:rtl w:val="true"/>
              </w:rPr>
              <w:t xml:space="preserve">: </w:t>
            </w:r>
            <w:r>
              <w:rPr>
                <w:rStyle w:val="IndexLink"/>
                <w:rtl w:val="true"/>
              </w:rPr>
              <w:t>الأدلَّة الاِصطياديَّة</w:t>
            </w:r>
            <w:r>
              <w:rPr>
                <w:rStyle w:val="IndexLink"/>
                <w:rtl w:val="true"/>
              </w:rPr>
              <w:tab/>
            </w:r>
            <w:r>
              <w:rPr>
                <w:rStyle w:val="IndexLink"/>
              </w:rPr>
              <w:t>303</w:t>
            </w:r>
          </w:hyperlink>
        </w:p>
        <w:p>
          <w:pPr>
            <w:pStyle w:val="Contents3"/>
            <w:tabs>
              <w:tab w:val="clear" w:pos="8459"/>
              <w:tab w:val="right" w:pos="9026" w:leader="dot"/>
            </w:tabs>
            <w:rPr/>
          </w:pPr>
          <w:hyperlink w:anchor="__RefHeading___Toc11945310_1280447820">
            <w:r>
              <w:rPr>
                <w:webHidden/>
                <w:rStyle w:val="IndexLink"/>
                <w:rtl w:val="true"/>
              </w:rPr>
              <w:t>تنبيهاتٌ‌</w:t>
            </w:r>
            <w:r>
              <w:rPr>
                <w:rStyle w:val="IndexLink"/>
                <w:rtl w:val="true"/>
              </w:rPr>
              <w:t>:</w:t>
              <w:tab/>
            </w:r>
            <w:r>
              <w:rPr>
                <w:rStyle w:val="IndexLink"/>
              </w:rPr>
              <w:t>305</w:t>
            </w:r>
          </w:hyperlink>
        </w:p>
        <w:p>
          <w:pPr>
            <w:pStyle w:val="Contents4"/>
            <w:tabs>
              <w:tab w:val="clear" w:pos="8176"/>
              <w:tab w:val="right" w:pos="9026" w:leader="dot"/>
            </w:tabs>
            <w:rPr/>
          </w:pPr>
          <w:hyperlink w:anchor="__RefHeading___Toc11945312_1280447820">
            <w:r>
              <w:rPr>
                <w:webHidden/>
                <w:rStyle w:val="IndexLink"/>
                <w:rtl w:val="true"/>
              </w:rPr>
              <w:t>التَّنبيه الأوَّل</w:t>
            </w:r>
            <w:r>
              <w:rPr>
                <w:rStyle w:val="IndexLink"/>
                <w:rtl w:val="true"/>
              </w:rPr>
              <w:t>:</w:t>
              <w:tab/>
            </w:r>
            <w:r>
              <w:rPr>
                <w:rStyle w:val="IndexLink"/>
              </w:rPr>
              <w:t>305</w:t>
            </w:r>
          </w:hyperlink>
        </w:p>
        <w:p>
          <w:pPr>
            <w:pStyle w:val="Contents4"/>
            <w:tabs>
              <w:tab w:val="clear" w:pos="8176"/>
              <w:tab w:val="right" w:pos="9026" w:leader="dot"/>
            </w:tabs>
            <w:rPr/>
          </w:pPr>
          <w:hyperlink w:anchor="__RefHeading___Toc11945314_1280447820">
            <w:r>
              <w:rPr>
                <w:webHidden/>
                <w:rStyle w:val="IndexLink"/>
                <w:rtl w:val="true"/>
              </w:rPr>
              <w:t>التَّنبيه الثَّاني</w:t>
            </w:r>
            <w:r>
              <w:rPr>
                <w:rStyle w:val="IndexLink"/>
                <w:rtl w:val="true"/>
              </w:rPr>
              <w:t>:</w:t>
              <w:tab/>
            </w:r>
            <w:r>
              <w:rPr>
                <w:rStyle w:val="IndexLink"/>
              </w:rPr>
              <w:t>306</w:t>
            </w:r>
          </w:hyperlink>
        </w:p>
        <w:p>
          <w:pPr>
            <w:pStyle w:val="Contents3"/>
            <w:tabs>
              <w:tab w:val="clear" w:pos="8459"/>
              <w:tab w:val="right" w:pos="9026" w:leader="dot"/>
            </w:tabs>
            <w:rPr/>
          </w:pPr>
          <w:hyperlink w:anchor="__RefHeading___Toc11945316_1280447820">
            <w:r>
              <w:rPr>
                <w:webHidden/>
                <w:rStyle w:val="IndexLink"/>
                <w:rtl w:val="true"/>
              </w:rPr>
              <w:t>أمثلةٌ لاستعمال القاعدة في الفقه</w:t>
            </w:r>
            <w:r>
              <w:rPr>
                <w:rStyle w:val="IndexLink"/>
                <w:rtl w:val="true"/>
              </w:rPr>
              <w:t>:</w:t>
              <w:tab/>
            </w:r>
            <w:r>
              <w:rPr>
                <w:rStyle w:val="IndexLink"/>
              </w:rPr>
              <w:t>310</w:t>
            </w:r>
          </w:hyperlink>
        </w:p>
        <w:p>
          <w:pPr>
            <w:pStyle w:val="Contents2"/>
            <w:tabs>
              <w:tab w:val="clear" w:pos="8743"/>
              <w:tab w:val="right" w:pos="9026" w:leader="dot"/>
            </w:tabs>
            <w:rPr/>
          </w:pPr>
          <w:hyperlink w:anchor="__RefHeading___Toc11945318_1280447820">
            <w:r>
              <w:rPr>
                <w:webHidden/>
                <w:rStyle w:val="IndexLink"/>
                <w:rtl w:val="true"/>
              </w:rPr>
              <w:t>[</w:t>
            </w:r>
            <w:r>
              <w:rPr>
                <w:rStyle w:val="IndexLink"/>
              </w:rPr>
              <w:t>40</w:t>
            </w:r>
            <w:r>
              <w:rPr>
                <w:rStyle w:val="IndexLink"/>
                <w:rtl w:val="true"/>
              </w:rPr>
              <w:t xml:space="preserve">:] </w:t>
            </w:r>
            <w:r>
              <w:rPr>
                <w:rStyle w:val="IndexLink"/>
                <w:rtl w:val="true"/>
              </w:rPr>
              <w:t>قاعدة حرمة إبطال الواجبات</w:t>
            </w:r>
            <w:r>
              <w:rPr>
                <w:rStyle w:val="IndexLink"/>
                <w:rtl w:val="true"/>
              </w:rPr>
              <w:tab/>
            </w:r>
            <w:r>
              <w:rPr>
                <w:rStyle w:val="IndexLink"/>
              </w:rPr>
              <w:t>312</w:t>
            </w:r>
          </w:hyperlink>
        </w:p>
        <w:p>
          <w:pPr>
            <w:pStyle w:val="Contents3"/>
            <w:tabs>
              <w:tab w:val="clear" w:pos="8459"/>
              <w:tab w:val="right" w:pos="9026" w:leader="dot"/>
            </w:tabs>
            <w:rPr/>
          </w:pPr>
          <w:hyperlink w:anchor="__RefHeading___Toc11945320_1280447820">
            <w:r>
              <w:rPr>
                <w:webHidden/>
                <w:rStyle w:val="IndexLink"/>
                <w:rtl w:val="true"/>
              </w:rPr>
              <w:t>عناوين أُخرىٰ للقاعدة</w:t>
            </w:r>
            <w:r>
              <w:rPr>
                <w:rStyle w:val="IndexLink"/>
                <w:rtl w:val="true"/>
              </w:rPr>
              <w:tab/>
            </w:r>
            <w:r>
              <w:rPr>
                <w:rStyle w:val="IndexLink"/>
              </w:rPr>
              <w:t>312</w:t>
            </w:r>
          </w:hyperlink>
        </w:p>
        <w:p>
          <w:pPr>
            <w:pStyle w:val="Contents3"/>
            <w:tabs>
              <w:tab w:val="clear" w:pos="8459"/>
              <w:tab w:val="right" w:pos="9026" w:leader="dot"/>
            </w:tabs>
            <w:rPr/>
          </w:pPr>
          <w:hyperlink w:anchor="__RefHeading___Toc11945322_1280447820">
            <w:r>
              <w:rPr>
                <w:webHidden/>
                <w:rStyle w:val="IndexLink"/>
                <w:rtl w:val="true"/>
              </w:rPr>
              <w:t>توضيح مفاد القاعدة</w:t>
            </w:r>
            <w:r>
              <w:rPr>
                <w:rStyle w:val="IndexLink"/>
                <w:rtl w:val="true"/>
              </w:rPr>
              <w:tab/>
            </w:r>
            <w:r>
              <w:rPr>
                <w:rStyle w:val="IndexLink"/>
              </w:rPr>
              <w:t>313</w:t>
            </w:r>
          </w:hyperlink>
        </w:p>
        <w:p>
          <w:pPr>
            <w:pStyle w:val="Contents3"/>
            <w:tabs>
              <w:tab w:val="clear" w:pos="8459"/>
              <w:tab w:val="right" w:pos="9026" w:leader="dot"/>
            </w:tabs>
            <w:rPr/>
          </w:pPr>
          <w:hyperlink w:anchor="__RefHeading___Toc11945324_1280447820">
            <w:r>
              <w:rPr>
                <w:webHidden/>
                <w:rStyle w:val="IndexLink"/>
                <w:rtl w:val="true"/>
              </w:rPr>
              <w:t>مدركُ القاعدة</w:t>
            </w:r>
            <w:r>
              <w:rPr>
                <w:rStyle w:val="IndexLink"/>
                <w:rtl w:val="true"/>
              </w:rPr>
              <w:tab/>
            </w:r>
            <w:r>
              <w:rPr>
                <w:rStyle w:val="IndexLink"/>
              </w:rPr>
              <w:t>313</w:t>
            </w:r>
          </w:hyperlink>
        </w:p>
        <w:p>
          <w:pPr>
            <w:pStyle w:val="Contents4"/>
            <w:tabs>
              <w:tab w:val="clear" w:pos="8176"/>
              <w:tab w:val="right" w:pos="9026" w:leader="dot"/>
            </w:tabs>
            <w:rPr/>
          </w:pPr>
          <w:hyperlink w:anchor="__RefHeading___Toc11945326_1280447820">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1945328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313</w:t>
            </w:r>
          </w:hyperlink>
        </w:p>
        <w:p>
          <w:pPr>
            <w:pStyle w:val="Contents4"/>
            <w:tabs>
              <w:tab w:val="clear" w:pos="8176"/>
              <w:tab w:val="right" w:pos="9026" w:leader="dot"/>
            </w:tabs>
            <w:rPr/>
          </w:pPr>
          <w:hyperlink w:anchor="__RefHeading___Toc11945330_1280447820">
            <w:r>
              <w:rPr>
                <w:webHidden/>
                <w:rStyle w:val="IndexLink"/>
                <w:rtl w:val="true"/>
              </w:rPr>
              <w:t>ثانيًا</w:t>
            </w:r>
            <w:r>
              <w:rPr>
                <w:rStyle w:val="IndexLink"/>
                <w:rtl w:val="true"/>
              </w:rPr>
              <w:t xml:space="preserve">: </w:t>
            </w:r>
            <w:r>
              <w:rPr>
                <w:rStyle w:val="IndexLink"/>
                <w:rtl w:val="true"/>
              </w:rPr>
              <w:t>الإجماع</w:t>
            </w:r>
            <w:r>
              <w:rPr>
                <w:rStyle w:val="IndexLink"/>
                <w:rtl w:val="true"/>
              </w:rPr>
              <w:tab/>
            </w:r>
            <w:r>
              <w:rPr>
                <w:rStyle w:val="IndexLink"/>
              </w:rPr>
              <w:t>315</w:t>
            </w:r>
          </w:hyperlink>
        </w:p>
        <w:p>
          <w:pPr>
            <w:pStyle w:val="Contents4"/>
            <w:tabs>
              <w:tab w:val="clear" w:pos="8176"/>
              <w:tab w:val="right" w:pos="9026" w:leader="dot"/>
            </w:tabs>
            <w:rPr/>
          </w:pPr>
          <w:hyperlink w:anchor="__RefHeading___Toc11945332_1280447820">
            <w:r>
              <w:rPr>
                <w:webHidden/>
                <w:rStyle w:val="IndexLink"/>
                <w:rtl w:val="true"/>
              </w:rPr>
              <w:t>ثالثًا</w:t>
            </w:r>
            <w:r>
              <w:rPr>
                <w:rStyle w:val="IndexLink"/>
                <w:rtl w:val="true"/>
              </w:rPr>
              <w:t xml:space="preserve">: </w:t>
            </w:r>
            <w:r>
              <w:rPr>
                <w:rStyle w:val="IndexLink"/>
                <w:rtl w:val="true"/>
              </w:rPr>
              <w:t>الرِّوايات</w:t>
            </w:r>
            <w:r>
              <w:rPr>
                <w:rStyle w:val="IndexLink"/>
                <w:rtl w:val="true"/>
              </w:rPr>
              <w:tab/>
            </w:r>
            <w:r>
              <w:rPr>
                <w:rStyle w:val="IndexLink"/>
              </w:rPr>
              <w:t>316</w:t>
            </w:r>
          </w:hyperlink>
        </w:p>
        <w:p>
          <w:pPr>
            <w:pStyle w:val="Contents4"/>
            <w:tabs>
              <w:tab w:val="clear" w:pos="8176"/>
              <w:tab w:val="right" w:pos="9026" w:leader="dot"/>
            </w:tabs>
            <w:rPr/>
          </w:pPr>
          <w:hyperlink w:anchor="__RefHeading___Toc11945334_1280447820">
            <w:r>
              <w:rPr>
                <w:webHidden/>
                <w:rStyle w:val="IndexLink"/>
                <w:rtl w:val="true"/>
              </w:rPr>
              <w:t>رابعًا</w:t>
            </w:r>
            <w:r>
              <w:rPr>
                <w:rStyle w:val="IndexLink"/>
                <w:rtl w:val="true"/>
              </w:rPr>
              <w:t xml:space="preserve">: </w:t>
            </w:r>
            <w:r>
              <w:rPr>
                <w:rStyle w:val="IndexLink"/>
                <w:rtl w:val="true"/>
              </w:rPr>
              <w:t>الأدلَّة العقليَّة</w:t>
            </w:r>
            <w:r>
              <w:rPr>
                <w:rStyle w:val="IndexLink"/>
                <w:rtl w:val="true"/>
              </w:rPr>
              <w:tab/>
            </w:r>
            <w:r>
              <w:rPr>
                <w:rStyle w:val="IndexLink"/>
              </w:rPr>
              <w:t>318</w:t>
            </w:r>
          </w:hyperlink>
        </w:p>
        <w:p>
          <w:pPr>
            <w:pStyle w:val="Contents3"/>
            <w:tabs>
              <w:tab w:val="clear" w:pos="8459"/>
              <w:tab w:val="right" w:pos="9026" w:leader="dot"/>
            </w:tabs>
            <w:rPr/>
          </w:pPr>
          <w:hyperlink w:anchor="__RefHeading___Toc11945336_1280447820">
            <w:r>
              <w:rPr>
                <w:webHidden/>
                <w:rStyle w:val="IndexLink"/>
                <w:rtl w:val="true"/>
              </w:rPr>
              <w:t>تنبيهٌ‌</w:t>
            </w:r>
            <w:r>
              <w:rPr>
                <w:rStyle w:val="IndexLink"/>
                <w:rtl w:val="true"/>
              </w:rPr>
              <w:t>:</w:t>
              <w:tab/>
            </w:r>
            <w:r>
              <w:rPr>
                <w:rStyle w:val="IndexLink"/>
              </w:rPr>
              <w:t>318</w:t>
            </w:r>
          </w:hyperlink>
        </w:p>
        <w:p>
          <w:pPr>
            <w:pStyle w:val="Contents3"/>
            <w:tabs>
              <w:tab w:val="clear" w:pos="8459"/>
              <w:tab w:val="right" w:pos="9026" w:leader="dot"/>
            </w:tabs>
            <w:rPr/>
          </w:pPr>
          <w:hyperlink w:anchor="__RefHeading___Toc11945338_1280447820">
            <w:r>
              <w:rPr>
                <w:webHidden/>
                <w:rStyle w:val="IndexLink"/>
                <w:rtl w:val="true"/>
              </w:rPr>
              <w:t>أمثلةٌ لاستعمال القاعدة في الفقه</w:t>
            </w:r>
            <w:r>
              <w:rPr>
                <w:rStyle w:val="IndexLink"/>
                <w:rtl w:val="true"/>
              </w:rPr>
              <w:t>:</w:t>
              <w:tab/>
            </w:r>
            <w:r>
              <w:rPr>
                <w:rStyle w:val="IndexLink"/>
              </w:rPr>
              <w:t>320</w:t>
            </w:r>
          </w:hyperlink>
        </w:p>
        <w:p>
          <w:pPr>
            <w:pStyle w:val="Contents2"/>
            <w:tabs>
              <w:tab w:val="clear" w:pos="8743"/>
              <w:tab w:val="right" w:pos="9026" w:leader="dot"/>
            </w:tabs>
            <w:rPr/>
          </w:pPr>
          <w:hyperlink w:anchor="__RefHeading___Toc11945340_1280447820">
            <w:r>
              <w:rPr>
                <w:webHidden/>
                <w:rStyle w:val="IndexLink"/>
                <w:rtl w:val="true"/>
              </w:rPr>
              <w:t>[</w:t>
            </w:r>
            <w:r>
              <w:rPr>
                <w:rStyle w:val="IndexLink"/>
              </w:rPr>
              <w:t>41</w:t>
            </w:r>
            <w:r>
              <w:rPr>
                <w:rStyle w:val="IndexLink"/>
                <w:rtl w:val="true"/>
              </w:rPr>
              <w:t xml:space="preserve">:] </w:t>
            </w:r>
            <w:r>
              <w:rPr>
                <w:rStyle w:val="IndexLink"/>
                <w:rtl w:val="true"/>
              </w:rPr>
              <w:t>قاعدة حرمة الإهانة بالمقدَّسات</w:t>
            </w:r>
            <w:r>
              <w:rPr>
                <w:rStyle w:val="IndexLink"/>
                <w:rtl w:val="true"/>
              </w:rPr>
              <w:tab/>
            </w:r>
            <w:r>
              <w:rPr>
                <w:rStyle w:val="IndexLink"/>
              </w:rPr>
              <w:t>322</w:t>
            </w:r>
          </w:hyperlink>
        </w:p>
        <w:p>
          <w:pPr>
            <w:pStyle w:val="Contents3"/>
            <w:tabs>
              <w:tab w:val="clear" w:pos="8459"/>
              <w:tab w:val="right" w:pos="9026" w:leader="dot"/>
            </w:tabs>
            <w:rPr/>
          </w:pPr>
          <w:hyperlink w:anchor="__RefHeading___Toc11945342_1280447820">
            <w:r>
              <w:rPr>
                <w:webHidden/>
                <w:rStyle w:val="IndexLink"/>
                <w:rtl w:val="true"/>
              </w:rPr>
              <w:t>عناوين أُخرىٰ للقاعدة</w:t>
            </w:r>
            <w:r>
              <w:rPr>
                <w:rStyle w:val="IndexLink"/>
                <w:rtl w:val="true"/>
              </w:rPr>
              <w:tab/>
            </w:r>
            <w:r>
              <w:rPr>
                <w:rStyle w:val="IndexLink"/>
              </w:rPr>
              <w:t>322</w:t>
            </w:r>
          </w:hyperlink>
        </w:p>
        <w:p>
          <w:pPr>
            <w:pStyle w:val="Contents3"/>
            <w:tabs>
              <w:tab w:val="clear" w:pos="8459"/>
              <w:tab w:val="right" w:pos="9026" w:leader="dot"/>
            </w:tabs>
            <w:rPr/>
          </w:pPr>
          <w:hyperlink w:anchor="__RefHeading___Toc11945344_1280447820">
            <w:r>
              <w:rPr>
                <w:webHidden/>
                <w:rStyle w:val="IndexLink"/>
                <w:rtl w:val="true"/>
              </w:rPr>
              <w:t>توضيح مفاد القاعدة</w:t>
            </w:r>
            <w:r>
              <w:rPr>
                <w:rStyle w:val="IndexLink"/>
                <w:rtl w:val="true"/>
              </w:rPr>
              <w:tab/>
            </w:r>
            <w:r>
              <w:rPr>
                <w:rStyle w:val="IndexLink"/>
              </w:rPr>
              <w:t>323</w:t>
            </w:r>
          </w:hyperlink>
        </w:p>
        <w:p>
          <w:pPr>
            <w:pStyle w:val="Contents3"/>
            <w:tabs>
              <w:tab w:val="clear" w:pos="8459"/>
              <w:tab w:val="right" w:pos="9026" w:leader="dot"/>
            </w:tabs>
            <w:rPr/>
          </w:pPr>
          <w:hyperlink w:anchor="__RefHeading___Toc11945346_1280447820">
            <w:r>
              <w:rPr>
                <w:webHidden/>
                <w:rStyle w:val="IndexLink"/>
                <w:rtl w:val="true"/>
              </w:rPr>
              <w:t>مدركُ القاعدة</w:t>
            </w:r>
            <w:r>
              <w:rPr>
                <w:rStyle w:val="IndexLink"/>
                <w:rtl w:val="true"/>
              </w:rPr>
              <w:tab/>
            </w:r>
            <w:r>
              <w:rPr>
                <w:rStyle w:val="IndexLink"/>
              </w:rPr>
              <w:t>323</w:t>
            </w:r>
          </w:hyperlink>
        </w:p>
        <w:p>
          <w:pPr>
            <w:pStyle w:val="Contents4"/>
            <w:tabs>
              <w:tab w:val="clear" w:pos="8176"/>
              <w:tab w:val="right" w:pos="9026" w:leader="dot"/>
            </w:tabs>
            <w:rPr/>
          </w:pPr>
          <w:hyperlink w:anchor="__RefHeading___Toc11945348_1280447820">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1945350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323</w:t>
            </w:r>
          </w:hyperlink>
        </w:p>
        <w:p>
          <w:pPr>
            <w:pStyle w:val="Contents4"/>
            <w:tabs>
              <w:tab w:val="clear" w:pos="8176"/>
              <w:tab w:val="right" w:pos="9026" w:leader="dot"/>
            </w:tabs>
            <w:rPr/>
          </w:pPr>
          <w:hyperlink w:anchor="__RefHeading___Toc11945352_1280447820">
            <w:r>
              <w:rPr>
                <w:webHidden/>
                <w:rStyle w:val="IndexLink"/>
                <w:rtl w:val="true"/>
              </w:rPr>
              <w:t>ثانيًا</w:t>
            </w:r>
            <w:r>
              <w:rPr>
                <w:rStyle w:val="IndexLink"/>
                <w:rtl w:val="true"/>
              </w:rPr>
              <w:t xml:space="preserve">: </w:t>
            </w:r>
            <w:r>
              <w:rPr>
                <w:rStyle w:val="IndexLink"/>
                <w:rtl w:val="true"/>
              </w:rPr>
              <w:t>الرِّوايات</w:t>
            </w:r>
            <w:r>
              <w:rPr>
                <w:rStyle w:val="IndexLink"/>
                <w:rtl w:val="true"/>
              </w:rPr>
              <w:tab/>
            </w:r>
            <w:r>
              <w:rPr>
                <w:rStyle w:val="IndexLink"/>
              </w:rPr>
              <w:t>324</w:t>
            </w:r>
          </w:hyperlink>
        </w:p>
        <w:p>
          <w:pPr>
            <w:pStyle w:val="Contents4"/>
            <w:tabs>
              <w:tab w:val="clear" w:pos="8176"/>
              <w:tab w:val="right" w:pos="9026" w:leader="dot"/>
            </w:tabs>
            <w:rPr/>
          </w:pPr>
          <w:hyperlink w:anchor="__RefHeading___Toc11945354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327</w:t>
            </w:r>
          </w:hyperlink>
        </w:p>
        <w:p>
          <w:pPr>
            <w:pStyle w:val="Contents4"/>
            <w:tabs>
              <w:tab w:val="clear" w:pos="8176"/>
              <w:tab w:val="right" w:pos="9026" w:leader="dot"/>
            </w:tabs>
            <w:rPr/>
          </w:pPr>
          <w:hyperlink w:anchor="__RefHeading___Toc11945356_1280447820">
            <w:r>
              <w:rPr>
                <w:webHidden/>
                <w:rStyle w:val="IndexLink"/>
                <w:rtl w:val="true"/>
              </w:rPr>
              <w:t>رابعًا</w:t>
            </w:r>
            <w:r>
              <w:rPr>
                <w:rStyle w:val="IndexLink"/>
                <w:rtl w:val="true"/>
              </w:rPr>
              <w:t xml:space="preserve">: </w:t>
            </w:r>
            <w:r>
              <w:rPr>
                <w:rStyle w:val="IndexLink"/>
                <w:rtl w:val="true"/>
              </w:rPr>
              <w:t>العقل</w:t>
            </w:r>
            <w:r>
              <w:rPr>
                <w:rStyle w:val="IndexLink"/>
                <w:rtl w:val="true"/>
              </w:rPr>
              <w:tab/>
            </w:r>
            <w:r>
              <w:rPr>
                <w:rStyle w:val="IndexLink"/>
              </w:rPr>
              <w:t>328</w:t>
            </w:r>
          </w:hyperlink>
        </w:p>
        <w:p>
          <w:pPr>
            <w:pStyle w:val="Contents3"/>
            <w:tabs>
              <w:tab w:val="clear" w:pos="8459"/>
              <w:tab w:val="right" w:pos="9026" w:leader="dot"/>
            </w:tabs>
            <w:rPr/>
          </w:pPr>
          <w:hyperlink w:anchor="__RefHeading___Toc11945358_1280447820">
            <w:r>
              <w:rPr>
                <w:webHidden/>
                <w:rStyle w:val="IndexLink"/>
                <w:rtl w:val="true"/>
              </w:rPr>
              <w:t>تنبيهاتٌ‌</w:t>
            </w:r>
            <w:r>
              <w:rPr>
                <w:rStyle w:val="IndexLink"/>
                <w:rtl w:val="true"/>
              </w:rPr>
              <w:t>:</w:t>
              <w:tab/>
            </w:r>
            <w:r>
              <w:rPr>
                <w:rStyle w:val="IndexLink"/>
              </w:rPr>
              <w:t>329</w:t>
            </w:r>
          </w:hyperlink>
        </w:p>
        <w:p>
          <w:pPr>
            <w:pStyle w:val="Contents4"/>
            <w:tabs>
              <w:tab w:val="clear" w:pos="8176"/>
              <w:tab w:val="right" w:pos="9026" w:leader="dot"/>
            </w:tabs>
            <w:rPr/>
          </w:pPr>
          <w:hyperlink w:anchor="__RefHeading___Toc11945360_1280447820">
            <w:r>
              <w:rPr>
                <w:webHidden/>
                <w:rStyle w:val="IndexLink"/>
                <w:rtl w:val="true"/>
              </w:rPr>
              <w:t>التَّنبيه الأوَّل</w:t>
            </w:r>
            <w:r>
              <w:rPr>
                <w:rStyle w:val="IndexLink"/>
                <w:rtl w:val="true"/>
              </w:rPr>
              <w:t>:</w:t>
              <w:tab/>
            </w:r>
            <w:r>
              <w:rPr>
                <w:rStyle w:val="IndexLink"/>
              </w:rPr>
              <w:t>329</w:t>
            </w:r>
          </w:hyperlink>
        </w:p>
        <w:p>
          <w:pPr>
            <w:pStyle w:val="Contents4"/>
            <w:tabs>
              <w:tab w:val="clear" w:pos="8176"/>
              <w:tab w:val="right" w:pos="9026" w:leader="dot"/>
            </w:tabs>
            <w:rPr/>
          </w:pPr>
          <w:hyperlink w:anchor="__RefHeading___Toc11945362_1280447820">
            <w:r>
              <w:rPr>
                <w:webHidden/>
                <w:rStyle w:val="IndexLink"/>
                <w:rtl w:val="true"/>
              </w:rPr>
              <w:t>التَّنبيه الثَّاني</w:t>
            </w:r>
            <w:r>
              <w:rPr>
                <w:rStyle w:val="IndexLink"/>
                <w:rtl w:val="true"/>
              </w:rPr>
              <w:t>:</w:t>
              <w:tab/>
            </w:r>
            <w:r>
              <w:rPr>
                <w:rStyle w:val="IndexLink"/>
              </w:rPr>
              <w:t>330</w:t>
            </w:r>
          </w:hyperlink>
        </w:p>
        <w:p>
          <w:pPr>
            <w:pStyle w:val="Contents3"/>
            <w:tabs>
              <w:tab w:val="clear" w:pos="8459"/>
              <w:tab w:val="right" w:pos="9026" w:leader="dot"/>
            </w:tabs>
            <w:rPr/>
          </w:pPr>
          <w:hyperlink w:anchor="__RefHeading___Toc11945364_1280447820">
            <w:r>
              <w:rPr>
                <w:webHidden/>
                <w:rStyle w:val="IndexLink"/>
                <w:rtl w:val="true"/>
              </w:rPr>
              <w:t>أمثلةٌ لاستعمال القاعدة في الفقه</w:t>
            </w:r>
            <w:r>
              <w:rPr>
                <w:rStyle w:val="IndexLink"/>
                <w:rtl w:val="true"/>
              </w:rPr>
              <w:t>:</w:t>
              <w:tab/>
            </w:r>
            <w:r>
              <w:rPr>
                <w:rStyle w:val="IndexLink"/>
              </w:rPr>
              <w:t>331</w:t>
            </w:r>
          </w:hyperlink>
        </w:p>
        <w:p>
          <w:pPr>
            <w:pStyle w:val="Contents2"/>
            <w:tabs>
              <w:tab w:val="clear" w:pos="8743"/>
              <w:tab w:val="right" w:pos="9026" w:leader="dot"/>
            </w:tabs>
            <w:rPr/>
          </w:pPr>
          <w:hyperlink w:anchor="__RefHeading___Toc11945366_1280447820">
            <w:r>
              <w:rPr>
                <w:webHidden/>
                <w:rStyle w:val="IndexLink"/>
                <w:rtl w:val="true"/>
              </w:rPr>
              <w:t>[</w:t>
            </w:r>
            <w:r>
              <w:rPr>
                <w:rStyle w:val="IndexLink"/>
              </w:rPr>
              <w:t>42</w:t>
            </w:r>
            <w:r>
              <w:rPr>
                <w:rStyle w:val="IndexLink"/>
                <w:rtl w:val="true"/>
              </w:rPr>
              <w:t xml:space="preserve">:] </w:t>
            </w:r>
            <w:r>
              <w:rPr>
                <w:rStyle w:val="IndexLink"/>
                <w:rtl w:val="true"/>
              </w:rPr>
              <w:t>قاعدة حُرمة الرِّبا</w:t>
            </w:r>
            <w:r>
              <w:rPr>
                <w:rStyle w:val="IndexLink"/>
                <w:rtl w:val="true"/>
              </w:rPr>
              <w:tab/>
            </w:r>
            <w:r>
              <w:rPr>
                <w:rStyle w:val="IndexLink"/>
              </w:rPr>
              <w:t>334</w:t>
            </w:r>
          </w:hyperlink>
        </w:p>
        <w:p>
          <w:pPr>
            <w:pStyle w:val="Contents3"/>
            <w:tabs>
              <w:tab w:val="clear" w:pos="8459"/>
              <w:tab w:val="right" w:pos="9026" w:leader="dot"/>
            </w:tabs>
            <w:rPr/>
          </w:pPr>
          <w:hyperlink w:anchor="__RefHeading___Toc11945368_1280447820">
            <w:r>
              <w:rPr>
                <w:webHidden/>
                <w:rStyle w:val="IndexLink"/>
                <w:rtl w:val="true"/>
              </w:rPr>
              <w:t>عناوين أُخرىٰ للقاعدة</w:t>
            </w:r>
            <w:r>
              <w:rPr>
                <w:rStyle w:val="IndexLink"/>
                <w:rtl w:val="true"/>
              </w:rPr>
              <w:tab/>
            </w:r>
            <w:r>
              <w:rPr>
                <w:rStyle w:val="IndexLink"/>
              </w:rPr>
              <w:t>334</w:t>
            </w:r>
          </w:hyperlink>
        </w:p>
        <w:p>
          <w:pPr>
            <w:pStyle w:val="Contents3"/>
            <w:tabs>
              <w:tab w:val="clear" w:pos="8459"/>
              <w:tab w:val="right" w:pos="9026" w:leader="dot"/>
            </w:tabs>
            <w:rPr/>
          </w:pPr>
          <w:hyperlink w:anchor="__RefHeading___Toc11945370_1280447820">
            <w:r>
              <w:rPr>
                <w:webHidden/>
                <w:rStyle w:val="IndexLink"/>
                <w:rtl w:val="true"/>
              </w:rPr>
              <w:t>توضيح مفاد القاعدة</w:t>
            </w:r>
            <w:r>
              <w:rPr>
                <w:rStyle w:val="IndexLink"/>
                <w:rtl w:val="true"/>
              </w:rPr>
              <w:tab/>
            </w:r>
            <w:r>
              <w:rPr>
                <w:rStyle w:val="IndexLink"/>
              </w:rPr>
              <w:t>334</w:t>
            </w:r>
          </w:hyperlink>
        </w:p>
        <w:p>
          <w:pPr>
            <w:pStyle w:val="Contents3"/>
            <w:tabs>
              <w:tab w:val="clear" w:pos="8459"/>
              <w:tab w:val="right" w:pos="9026" w:leader="dot"/>
            </w:tabs>
            <w:rPr/>
          </w:pPr>
          <w:hyperlink w:anchor="__RefHeading___Toc11945372_1280447820">
            <w:r>
              <w:rPr>
                <w:webHidden/>
                <w:rStyle w:val="IndexLink"/>
                <w:rtl w:val="true"/>
              </w:rPr>
              <w:t>مدركُ القاعدة</w:t>
            </w:r>
            <w:r>
              <w:rPr>
                <w:rStyle w:val="IndexLink"/>
                <w:rtl w:val="true"/>
              </w:rPr>
              <w:tab/>
            </w:r>
            <w:r>
              <w:rPr>
                <w:rStyle w:val="IndexLink"/>
              </w:rPr>
              <w:t>338</w:t>
            </w:r>
          </w:hyperlink>
        </w:p>
        <w:p>
          <w:pPr>
            <w:pStyle w:val="Contents4"/>
            <w:tabs>
              <w:tab w:val="clear" w:pos="8176"/>
              <w:tab w:val="right" w:pos="9026" w:leader="dot"/>
            </w:tabs>
            <w:rPr/>
          </w:pPr>
          <w:hyperlink w:anchor="__RefHeading___Toc11945374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1945376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338</w:t>
            </w:r>
          </w:hyperlink>
        </w:p>
        <w:p>
          <w:pPr>
            <w:pStyle w:val="Contents4"/>
            <w:tabs>
              <w:tab w:val="clear" w:pos="8176"/>
              <w:tab w:val="right" w:pos="9026" w:leader="dot"/>
            </w:tabs>
            <w:rPr/>
          </w:pPr>
          <w:hyperlink w:anchor="__RefHeading___Toc11945378_1280447820">
            <w:r>
              <w:rPr>
                <w:webHidden/>
                <w:rStyle w:val="IndexLink"/>
                <w:rtl w:val="true"/>
              </w:rPr>
              <w:t>ثانيًا</w:t>
            </w:r>
            <w:r>
              <w:rPr>
                <w:rStyle w:val="IndexLink"/>
                <w:rtl w:val="true"/>
              </w:rPr>
              <w:t xml:space="preserve">: </w:t>
            </w:r>
            <w:r>
              <w:rPr>
                <w:rStyle w:val="IndexLink"/>
                <w:rtl w:val="true"/>
              </w:rPr>
              <w:t>الرِّوايات</w:t>
            </w:r>
            <w:r>
              <w:rPr>
                <w:rStyle w:val="IndexLink"/>
                <w:rtl w:val="true"/>
              </w:rPr>
              <w:tab/>
            </w:r>
            <w:r>
              <w:rPr>
                <w:rStyle w:val="IndexLink"/>
              </w:rPr>
              <w:t>341</w:t>
            </w:r>
          </w:hyperlink>
        </w:p>
        <w:p>
          <w:pPr>
            <w:pStyle w:val="Contents4"/>
            <w:tabs>
              <w:tab w:val="clear" w:pos="8176"/>
              <w:tab w:val="right" w:pos="9026" w:leader="dot"/>
            </w:tabs>
            <w:rPr/>
          </w:pPr>
          <w:hyperlink w:anchor="__RefHeading___Toc11945380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343</w:t>
            </w:r>
          </w:hyperlink>
        </w:p>
        <w:p>
          <w:pPr>
            <w:pStyle w:val="Contents4"/>
            <w:tabs>
              <w:tab w:val="clear" w:pos="8176"/>
              <w:tab w:val="right" w:pos="9026" w:leader="dot"/>
            </w:tabs>
            <w:rPr/>
          </w:pPr>
          <w:hyperlink w:anchor="__RefHeading___Toc11945382_1280447820">
            <w:r>
              <w:rPr>
                <w:webHidden/>
                <w:rStyle w:val="IndexLink"/>
                <w:rtl w:val="true"/>
              </w:rPr>
              <w:t>رابعًا</w:t>
            </w:r>
            <w:r>
              <w:rPr>
                <w:rStyle w:val="IndexLink"/>
                <w:rtl w:val="true"/>
              </w:rPr>
              <w:t xml:space="preserve">: </w:t>
            </w:r>
            <w:r>
              <w:rPr>
                <w:rStyle w:val="IndexLink"/>
                <w:rtl w:val="true"/>
              </w:rPr>
              <w:t>الأدلَّة العقليَّة</w:t>
            </w:r>
            <w:r>
              <w:rPr>
                <w:rStyle w:val="IndexLink"/>
                <w:rtl w:val="true"/>
              </w:rPr>
              <w:tab/>
            </w:r>
            <w:r>
              <w:rPr>
                <w:rStyle w:val="IndexLink"/>
              </w:rPr>
              <w:t>344</w:t>
            </w:r>
          </w:hyperlink>
        </w:p>
        <w:p>
          <w:pPr>
            <w:pStyle w:val="Contents3"/>
            <w:tabs>
              <w:tab w:val="clear" w:pos="8459"/>
              <w:tab w:val="right" w:pos="9026" w:leader="dot"/>
            </w:tabs>
            <w:rPr/>
          </w:pPr>
          <w:hyperlink w:anchor="__RefHeading___Toc11945384_1280447820">
            <w:r>
              <w:rPr>
                <w:webHidden/>
                <w:rStyle w:val="IndexLink"/>
                <w:rtl w:val="true"/>
              </w:rPr>
              <w:t>تنبيهاتٌ‌</w:t>
            </w:r>
            <w:r>
              <w:rPr>
                <w:rStyle w:val="IndexLink"/>
                <w:rtl w:val="true"/>
              </w:rPr>
              <w:t>:</w:t>
              <w:tab/>
            </w:r>
            <w:r>
              <w:rPr>
                <w:rStyle w:val="IndexLink"/>
              </w:rPr>
              <w:t>344</w:t>
            </w:r>
          </w:hyperlink>
        </w:p>
        <w:p>
          <w:pPr>
            <w:pStyle w:val="Contents4"/>
            <w:tabs>
              <w:tab w:val="clear" w:pos="8176"/>
              <w:tab w:val="right" w:pos="9026" w:leader="dot"/>
            </w:tabs>
            <w:rPr/>
          </w:pPr>
          <w:hyperlink w:anchor="__RefHeading___Toc11945386_1280447820">
            <w:r>
              <w:rPr>
                <w:webHidden/>
                <w:rStyle w:val="IndexLink"/>
                <w:rtl w:val="true"/>
              </w:rPr>
              <w:t>التَّنبيه الأوَّل</w:t>
            </w:r>
            <w:r>
              <w:rPr>
                <w:rStyle w:val="IndexLink"/>
                <w:rtl w:val="true"/>
              </w:rPr>
              <w:t>:</w:t>
              <w:tab/>
            </w:r>
            <w:r>
              <w:rPr>
                <w:rStyle w:val="IndexLink"/>
              </w:rPr>
              <w:t>344</w:t>
            </w:r>
          </w:hyperlink>
        </w:p>
        <w:p>
          <w:pPr>
            <w:pStyle w:val="Contents4"/>
            <w:tabs>
              <w:tab w:val="clear" w:pos="8176"/>
              <w:tab w:val="right" w:pos="9026" w:leader="dot"/>
            </w:tabs>
            <w:rPr/>
          </w:pPr>
          <w:hyperlink w:anchor="__RefHeading___Toc11945388_1280447820">
            <w:r>
              <w:rPr>
                <w:webHidden/>
                <w:rStyle w:val="IndexLink"/>
                <w:rtl w:val="true"/>
              </w:rPr>
              <w:t>التَّنبيه الثَّاني</w:t>
            </w:r>
            <w:r>
              <w:rPr>
                <w:rStyle w:val="IndexLink"/>
                <w:rtl w:val="true"/>
              </w:rPr>
              <w:t>:</w:t>
              <w:tab/>
            </w:r>
            <w:r>
              <w:rPr>
                <w:rStyle w:val="IndexLink"/>
              </w:rPr>
              <w:t>347</w:t>
            </w:r>
          </w:hyperlink>
        </w:p>
        <w:p>
          <w:pPr>
            <w:pStyle w:val="Contents4"/>
            <w:tabs>
              <w:tab w:val="clear" w:pos="8176"/>
              <w:tab w:val="right" w:pos="9026" w:leader="dot"/>
            </w:tabs>
            <w:rPr/>
          </w:pPr>
          <w:hyperlink w:anchor="__RefHeading___Toc11945390_1280447820">
            <w:r>
              <w:rPr>
                <w:webHidden/>
                <w:rStyle w:val="IndexLink"/>
                <w:rtl w:val="true"/>
              </w:rPr>
              <w:t>التَّنبيه الثَّالث</w:t>
            </w:r>
            <w:r>
              <w:rPr>
                <w:rStyle w:val="IndexLink"/>
                <w:rtl w:val="true"/>
              </w:rPr>
              <w:t>:</w:t>
              <w:tab/>
            </w:r>
            <w:r>
              <w:rPr>
                <w:rStyle w:val="IndexLink"/>
              </w:rPr>
              <w:t>351</w:t>
            </w:r>
          </w:hyperlink>
        </w:p>
        <w:p>
          <w:pPr>
            <w:pStyle w:val="Contents4"/>
            <w:tabs>
              <w:tab w:val="clear" w:pos="8176"/>
              <w:tab w:val="right" w:pos="9026" w:leader="dot"/>
            </w:tabs>
            <w:rPr/>
          </w:pPr>
          <w:hyperlink w:anchor="__RefHeading___Toc11945392_1280447820">
            <w:r>
              <w:rPr>
                <w:webHidden/>
                <w:rStyle w:val="IndexLink"/>
                <w:rtl w:val="true"/>
              </w:rPr>
              <w:t>التَّنبيه الرَّابع</w:t>
            </w:r>
            <w:r>
              <w:rPr>
                <w:rStyle w:val="IndexLink"/>
                <w:rtl w:val="true"/>
              </w:rPr>
              <w:t>:</w:t>
              <w:tab/>
            </w:r>
            <w:r>
              <w:rPr>
                <w:rStyle w:val="IndexLink"/>
              </w:rPr>
              <w:t>353</w:t>
            </w:r>
          </w:hyperlink>
        </w:p>
        <w:p>
          <w:pPr>
            <w:pStyle w:val="Contents4"/>
            <w:tabs>
              <w:tab w:val="clear" w:pos="8176"/>
              <w:tab w:val="right" w:pos="9026" w:leader="dot"/>
            </w:tabs>
            <w:rPr/>
          </w:pPr>
          <w:hyperlink w:anchor="__RefHeading___Toc11945394_1280447820">
            <w:r>
              <w:rPr>
                <w:webHidden/>
                <w:rStyle w:val="IndexLink"/>
                <w:rtl w:val="true"/>
              </w:rPr>
              <w:t>التَّنبيه الخامس</w:t>
            </w:r>
            <w:r>
              <w:rPr>
                <w:rStyle w:val="IndexLink"/>
                <w:rtl w:val="true"/>
              </w:rPr>
              <w:t>:</w:t>
              <w:tab/>
            </w:r>
            <w:r>
              <w:rPr>
                <w:rStyle w:val="IndexLink"/>
              </w:rPr>
              <w:t>357</w:t>
            </w:r>
          </w:hyperlink>
        </w:p>
        <w:p>
          <w:pPr>
            <w:pStyle w:val="Contents4"/>
            <w:tabs>
              <w:tab w:val="clear" w:pos="8176"/>
              <w:tab w:val="right" w:pos="9026" w:leader="dot"/>
            </w:tabs>
            <w:rPr/>
          </w:pPr>
          <w:hyperlink w:anchor="__RefHeading___Toc11945396_1280447820">
            <w:r>
              <w:rPr>
                <w:webHidden/>
                <w:rStyle w:val="IndexLink"/>
                <w:rtl w:val="true"/>
              </w:rPr>
              <w:t>التَّنبيه السَّادس</w:t>
            </w:r>
            <w:r>
              <w:rPr>
                <w:rStyle w:val="IndexLink"/>
                <w:rtl w:val="true"/>
              </w:rPr>
              <w:t>:</w:t>
              <w:tab/>
            </w:r>
            <w:r>
              <w:rPr>
                <w:rStyle w:val="IndexLink"/>
              </w:rPr>
              <w:t>361</w:t>
            </w:r>
          </w:hyperlink>
        </w:p>
        <w:p>
          <w:pPr>
            <w:pStyle w:val="Contents4"/>
            <w:tabs>
              <w:tab w:val="clear" w:pos="8176"/>
              <w:tab w:val="right" w:pos="9026" w:leader="dot"/>
            </w:tabs>
            <w:rPr/>
          </w:pPr>
          <w:hyperlink w:anchor="__RefHeading___Toc11945398_1280447820">
            <w:r>
              <w:rPr>
                <w:webHidden/>
                <w:rStyle w:val="IndexLink"/>
                <w:rtl w:val="true"/>
              </w:rPr>
              <w:t>التَّنبيه السَّابع</w:t>
            </w:r>
            <w:r>
              <w:rPr>
                <w:rStyle w:val="IndexLink"/>
                <w:rtl w:val="true"/>
              </w:rPr>
              <w:t>:</w:t>
              <w:tab/>
            </w:r>
            <w:r>
              <w:rPr>
                <w:rStyle w:val="IndexLink"/>
              </w:rPr>
              <w:t>365</w:t>
            </w:r>
          </w:hyperlink>
        </w:p>
        <w:p>
          <w:pPr>
            <w:pStyle w:val="Contents4"/>
            <w:tabs>
              <w:tab w:val="clear" w:pos="8176"/>
              <w:tab w:val="right" w:pos="9026" w:leader="dot"/>
            </w:tabs>
            <w:rPr/>
          </w:pPr>
          <w:hyperlink w:anchor="__RefHeading___Toc11945400_1280447820">
            <w:r>
              <w:rPr>
                <w:webHidden/>
                <w:rStyle w:val="IndexLink"/>
                <w:rtl w:val="true"/>
              </w:rPr>
              <w:t>التَّنبيه الثَّامن</w:t>
            </w:r>
            <w:r>
              <w:rPr>
                <w:rStyle w:val="IndexLink"/>
                <w:rtl w:val="true"/>
              </w:rPr>
              <w:t>:</w:t>
              <w:tab/>
            </w:r>
            <w:r>
              <w:rPr>
                <w:rStyle w:val="IndexLink"/>
              </w:rPr>
              <w:t>367</w:t>
            </w:r>
          </w:hyperlink>
        </w:p>
        <w:p>
          <w:pPr>
            <w:pStyle w:val="Contents4"/>
            <w:tabs>
              <w:tab w:val="clear" w:pos="8176"/>
              <w:tab w:val="right" w:pos="9026" w:leader="dot"/>
            </w:tabs>
            <w:rPr/>
          </w:pPr>
          <w:hyperlink w:anchor="__RefHeading___Toc11945402_1280447820">
            <w:r>
              <w:rPr>
                <w:webHidden/>
                <w:rStyle w:val="IndexLink"/>
                <w:rtl w:val="true"/>
              </w:rPr>
              <w:t>التَّنبيه التَّاسع</w:t>
            </w:r>
            <w:r>
              <w:rPr>
                <w:rStyle w:val="IndexLink"/>
                <w:rtl w:val="true"/>
              </w:rPr>
              <w:t>:</w:t>
              <w:tab/>
            </w:r>
            <w:r>
              <w:rPr>
                <w:rStyle w:val="IndexLink"/>
              </w:rPr>
              <w:t>368</w:t>
            </w:r>
          </w:hyperlink>
        </w:p>
        <w:p>
          <w:pPr>
            <w:pStyle w:val="Contents4"/>
            <w:tabs>
              <w:tab w:val="clear" w:pos="8176"/>
              <w:tab w:val="right" w:pos="9026" w:leader="dot"/>
            </w:tabs>
            <w:rPr/>
          </w:pPr>
          <w:hyperlink w:anchor="__RefHeading___Toc11945404_1280447820">
            <w:r>
              <w:rPr>
                <w:webHidden/>
                <w:rStyle w:val="IndexLink"/>
                <w:rtl w:val="true"/>
              </w:rPr>
              <w:t>التَّنبيه العاشر</w:t>
            </w:r>
            <w:r>
              <w:rPr>
                <w:rStyle w:val="IndexLink"/>
                <w:rtl w:val="true"/>
              </w:rPr>
              <w:t>:</w:t>
              <w:tab/>
            </w:r>
            <w:r>
              <w:rPr>
                <w:rStyle w:val="IndexLink"/>
              </w:rPr>
              <w:t>372</w:t>
            </w:r>
          </w:hyperlink>
        </w:p>
        <w:p>
          <w:pPr>
            <w:pStyle w:val="Contents3"/>
            <w:tabs>
              <w:tab w:val="clear" w:pos="8459"/>
              <w:tab w:val="right" w:pos="9026" w:leader="dot"/>
            </w:tabs>
            <w:rPr/>
          </w:pPr>
          <w:hyperlink w:anchor="__RefHeading___Toc11945406_1280447820">
            <w:r>
              <w:rPr>
                <w:webHidden/>
                <w:rStyle w:val="IndexLink"/>
                <w:rtl w:val="true"/>
              </w:rPr>
              <w:t>أمثلةٌ لاستعمال القاعدة في الفقه</w:t>
            </w:r>
            <w:r>
              <w:rPr>
                <w:rStyle w:val="IndexLink"/>
                <w:rtl w:val="true"/>
              </w:rPr>
              <w:t>:</w:t>
              <w:tab/>
            </w:r>
            <w:r>
              <w:rPr>
                <w:rStyle w:val="IndexLink"/>
              </w:rPr>
              <w:t>375</w:t>
            </w:r>
          </w:hyperlink>
        </w:p>
        <w:p>
          <w:pPr>
            <w:pStyle w:val="Contents2"/>
            <w:tabs>
              <w:tab w:val="clear" w:pos="8743"/>
              <w:tab w:val="right" w:pos="9026" w:leader="dot"/>
            </w:tabs>
            <w:rPr/>
          </w:pPr>
          <w:hyperlink w:anchor="__RefHeading___Toc11945408_1280447820">
            <w:r>
              <w:rPr>
                <w:webHidden/>
                <w:rStyle w:val="IndexLink"/>
                <w:rtl w:val="true"/>
              </w:rPr>
              <w:t>[</w:t>
            </w:r>
            <w:r>
              <w:rPr>
                <w:rStyle w:val="IndexLink"/>
              </w:rPr>
              <w:t>43</w:t>
            </w:r>
            <w:r>
              <w:rPr>
                <w:rStyle w:val="IndexLink"/>
                <w:rtl w:val="true"/>
              </w:rPr>
              <w:t xml:space="preserve">:] </w:t>
            </w:r>
            <w:r>
              <w:rPr>
                <w:rStyle w:val="IndexLink"/>
                <w:rtl w:val="true"/>
              </w:rPr>
              <w:t>قاعدة رجوع الإمام إلى المأموم في شكِّه وبالعكس</w:t>
            </w:r>
            <w:r>
              <w:rPr>
                <w:rStyle w:val="IndexLink"/>
                <w:rtl w:val="true"/>
              </w:rPr>
              <w:tab/>
            </w:r>
            <w:r>
              <w:rPr>
                <w:rStyle w:val="IndexLink"/>
              </w:rPr>
              <w:t>378</w:t>
            </w:r>
          </w:hyperlink>
        </w:p>
        <w:p>
          <w:pPr>
            <w:pStyle w:val="Contents3"/>
            <w:tabs>
              <w:tab w:val="clear" w:pos="8459"/>
              <w:tab w:val="right" w:pos="9026" w:leader="dot"/>
            </w:tabs>
            <w:rPr/>
          </w:pPr>
          <w:hyperlink w:anchor="__RefHeading___Toc11945410_1280447820">
            <w:r>
              <w:rPr>
                <w:webHidden/>
                <w:rStyle w:val="IndexLink"/>
                <w:rtl w:val="true"/>
              </w:rPr>
              <w:t>عناوين أُخرىٰ للقاعدة</w:t>
            </w:r>
            <w:r>
              <w:rPr>
                <w:rStyle w:val="IndexLink"/>
                <w:rtl w:val="true"/>
              </w:rPr>
              <w:tab/>
            </w:r>
            <w:r>
              <w:rPr>
                <w:rStyle w:val="IndexLink"/>
              </w:rPr>
              <w:t>378</w:t>
            </w:r>
          </w:hyperlink>
        </w:p>
        <w:p>
          <w:pPr>
            <w:pStyle w:val="Contents3"/>
            <w:tabs>
              <w:tab w:val="clear" w:pos="8459"/>
              <w:tab w:val="right" w:pos="9026" w:leader="dot"/>
            </w:tabs>
            <w:rPr/>
          </w:pPr>
          <w:hyperlink w:anchor="__RefHeading___Toc11945412_1280447820">
            <w:r>
              <w:rPr>
                <w:webHidden/>
                <w:rStyle w:val="IndexLink"/>
                <w:rtl w:val="true"/>
              </w:rPr>
              <w:t>توضيح مفاد القاعدة</w:t>
            </w:r>
            <w:r>
              <w:rPr>
                <w:rStyle w:val="IndexLink"/>
                <w:rtl w:val="true"/>
              </w:rPr>
              <w:tab/>
            </w:r>
            <w:r>
              <w:rPr>
                <w:rStyle w:val="IndexLink"/>
              </w:rPr>
              <w:t>379</w:t>
            </w:r>
          </w:hyperlink>
        </w:p>
        <w:p>
          <w:pPr>
            <w:pStyle w:val="Contents3"/>
            <w:tabs>
              <w:tab w:val="clear" w:pos="8459"/>
              <w:tab w:val="right" w:pos="9026" w:leader="dot"/>
            </w:tabs>
            <w:rPr/>
          </w:pPr>
          <w:hyperlink w:anchor="__RefHeading___Toc11945414_1280447820">
            <w:r>
              <w:rPr>
                <w:webHidden/>
                <w:rStyle w:val="IndexLink"/>
                <w:rtl w:val="true"/>
              </w:rPr>
              <w:t>مدركُ القاعدة</w:t>
            </w:r>
            <w:r>
              <w:rPr>
                <w:rStyle w:val="IndexLink"/>
                <w:rtl w:val="true"/>
              </w:rPr>
              <w:tab/>
            </w:r>
            <w:r>
              <w:rPr>
                <w:rStyle w:val="IndexLink"/>
              </w:rPr>
              <w:t>380</w:t>
            </w:r>
          </w:hyperlink>
        </w:p>
        <w:p>
          <w:pPr>
            <w:pStyle w:val="Contents4"/>
            <w:tabs>
              <w:tab w:val="clear" w:pos="8176"/>
              <w:tab w:val="right" w:pos="9026" w:leader="dot"/>
            </w:tabs>
            <w:rPr/>
          </w:pPr>
          <w:hyperlink w:anchor="__RefHeading___Toc11945416_1280447820">
            <w:r>
              <w:rPr>
                <w:webHidden/>
                <w:rStyle w:val="IndexLink"/>
                <w:rtl w:val="true"/>
              </w:rPr>
              <w:t>أوَّلًا</w:t>
            </w:r>
            <w:r>
              <w:rPr>
                <w:rStyle w:val="IndexLink"/>
                <w:rtl w:val="true"/>
              </w:rPr>
              <w:t xml:space="preserve">: </w:t>
            </w:r>
            <w:r>
              <w:rPr>
                <w:rStyle w:val="IndexLink"/>
                <w:rtl w:val="true"/>
              </w:rPr>
              <w:t>روايات الباب</w:t>
            </w:r>
            <w:r>
              <w:rPr>
                <w:rStyle w:val="IndexLink"/>
                <w:rtl w:val="true"/>
              </w:rPr>
              <w:tab/>
            </w:r>
            <w:r>
              <w:rPr>
                <w:rStyle w:val="IndexLink"/>
              </w:rPr>
              <w:t>380</w:t>
            </w:r>
          </w:hyperlink>
        </w:p>
        <w:p>
          <w:pPr>
            <w:pStyle w:val="Contents3"/>
            <w:tabs>
              <w:tab w:val="clear" w:pos="8459"/>
              <w:tab w:val="right" w:pos="9026" w:leader="dot"/>
            </w:tabs>
            <w:rPr/>
          </w:pPr>
          <w:hyperlink w:anchor="__RefHeading___Toc11945418_1280447820">
            <w:r>
              <w:rPr>
                <w:webHidden/>
                <w:rStyle w:val="IndexLink"/>
                <w:rtl w:val="true"/>
              </w:rPr>
              <w:t>تنبيهاتٌ‌</w:t>
            </w:r>
            <w:r>
              <w:rPr>
                <w:rStyle w:val="IndexLink"/>
                <w:rtl w:val="true"/>
              </w:rPr>
              <w:t>:</w:t>
              <w:tab/>
            </w:r>
            <w:r>
              <w:rPr>
                <w:rStyle w:val="IndexLink"/>
              </w:rPr>
              <w:t>381</w:t>
            </w:r>
          </w:hyperlink>
        </w:p>
        <w:p>
          <w:pPr>
            <w:pStyle w:val="Contents4"/>
            <w:tabs>
              <w:tab w:val="clear" w:pos="8176"/>
              <w:tab w:val="right" w:pos="9026" w:leader="dot"/>
            </w:tabs>
            <w:rPr/>
          </w:pPr>
          <w:hyperlink w:anchor="__RefHeading___Toc11945420_1280447820">
            <w:r>
              <w:rPr>
                <w:webHidden/>
                <w:rStyle w:val="IndexLink"/>
                <w:rtl w:val="true"/>
              </w:rPr>
              <w:t>التَّنبيه الأوَّل</w:t>
            </w:r>
            <w:r>
              <w:rPr>
                <w:rStyle w:val="IndexLink"/>
                <w:rtl w:val="true"/>
              </w:rPr>
              <w:t>:</w:t>
              <w:tab/>
            </w:r>
            <w:r>
              <w:rPr>
                <w:rStyle w:val="IndexLink"/>
              </w:rPr>
              <w:t>381</w:t>
            </w:r>
          </w:hyperlink>
        </w:p>
        <w:p>
          <w:pPr>
            <w:pStyle w:val="Contents4"/>
            <w:tabs>
              <w:tab w:val="clear" w:pos="8176"/>
              <w:tab w:val="right" w:pos="9026" w:leader="dot"/>
            </w:tabs>
            <w:rPr/>
          </w:pPr>
          <w:hyperlink w:anchor="__RefHeading___Toc11945422_1280447820">
            <w:r>
              <w:rPr>
                <w:webHidden/>
                <w:rStyle w:val="IndexLink"/>
                <w:rtl w:val="true"/>
              </w:rPr>
              <w:t>التَّنبيه الثَّاني</w:t>
            </w:r>
            <w:r>
              <w:rPr>
                <w:rStyle w:val="IndexLink"/>
                <w:rtl w:val="true"/>
              </w:rPr>
              <w:t>:</w:t>
              <w:tab/>
            </w:r>
            <w:r>
              <w:rPr>
                <w:rStyle w:val="IndexLink"/>
              </w:rPr>
              <w:t>382</w:t>
            </w:r>
          </w:hyperlink>
        </w:p>
        <w:p>
          <w:pPr>
            <w:pStyle w:val="Contents4"/>
            <w:tabs>
              <w:tab w:val="clear" w:pos="8176"/>
              <w:tab w:val="right" w:pos="9026" w:leader="dot"/>
            </w:tabs>
            <w:rPr/>
          </w:pPr>
          <w:hyperlink w:anchor="__RefHeading___Toc11945424_1280447820">
            <w:r>
              <w:rPr>
                <w:webHidden/>
                <w:rStyle w:val="IndexLink"/>
                <w:rtl w:val="true"/>
              </w:rPr>
              <w:t>التَّنبيه الثَّالث</w:t>
            </w:r>
            <w:r>
              <w:rPr>
                <w:rStyle w:val="IndexLink"/>
                <w:rtl w:val="true"/>
              </w:rPr>
              <w:t>:</w:t>
              <w:tab/>
            </w:r>
            <w:r>
              <w:rPr>
                <w:rStyle w:val="IndexLink"/>
              </w:rPr>
              <w:t>383</w:t>
            </w:r>
          </w:hyperlink>
        </w:p>
        <w:p>
          <w:pPr>
            <w:pStyle w:val="Contents4"/>
            <w:tabs>
              <w:tab w:val="clear" w:pos="8176"/>
              <w:tab w:val="right" w:pos="9026" w:leader="dot"/>
            </w:tabs>
            <w:rPr/>
          </w:pPr>
          <w:hyperlink w:anchor="__RefHeading___Toc11945426_1280447820">
            <w:r>
              <w:rPr>
                <w:webHidden/>
                <w:rStyle w:val="IndexLink"/>
                <w:rtl w:val="true"/>
              </w:rPr>
              <w:t>التَّنبيه الرَّابع</w:t>
            </w:r>
            <w:r>
              <w:rPr>
                <w:rStyle w:val="IndexLink"/>
                <w:rtl w:val="true"/>
              </w:rPr>
              <w:t>:</w:t>
              <w:tab/>
            </w:r>
            <w:r>
              <w:rPr>
                <w:rStyle w:val="IndexLink"/>
              </w:rPr>
              <w:t>384</w:t>
            </w:r>
          </w:hyperlink>
        </w:p>
        <w:p>
          <w:pPr>
            <w:pStyle w:val="Contents4"/>
            <w:tabs>
              <w:tab w:val="clear" w:pos="8176"/>
              <w:tab w:val="right" w:pos="9026" w:leader="dot"/>
            </w:tabs>
            <w:rPr/>
          </w:pPr>
          <w:hyperlink w:anchor="__RefHeading___Toc11945428_1280447820">
            <w:r>
              <w:rPr>
                <w:webHidden/>
                <w:rStyle w:val="IndexLink"/>
                <w:rtl w:val="true"/>
              </w:rPr>
              <w:t>التَّنبيه الخامس</w:t>
            </w:r>
            <w:r>
              <w:rPr>
                <w:rStyle w:val="IndexLink"/>
                <w:rtl w:val="true"/>
              </w:rPr>
              <w:t>:</w:t>
              <w:tab/>
            </w:r>
            <w:r>
              <w:rPr>
                <w:rStyle w:val="IndexLink"/>
              </w:rPr>
              <w:t>384</w:t>
            </w:r>
          </w:hyperlink>
        </w:p>
        <w:p>
          <w:pPr>
            <w:pStyle w:val="Contents3"/>
            <w:tabs>
              <w:tab w:val="clear" w:pos="8459"/>
              <w:tab w:val="right" w:pos="9026" w:leader="dot"/>
            </w:tabs>
            <w:rPr/>
          </w:pPr>
          <w:hyperlink w:anchor="__RefHeading___Toc11945430_1280447820">
            <w:r>
              <w:rPr>
                <w:webHidden/>
                <w:rStyle w:val="IndexLink"/>
                <w:rtl w:val="true"/>
              </w:rPr>
              <w:t>أمثلةٌ لاستعمال القاعدة في الفقه</w:t>
            </w:r>
            <w:r>
              <w:rPr>
                <w:rStyle w:val="IndexLink"/>
                <w:rtl w:val="true"/>
              </w:rPr>
              <w:t>:</w:t>
              <w:tab/>
            </w:r>
            <w:r>
              <w:rPr>
                <w:rStyle w:val="IndexLink"/>
              </w:rPr>
              <w:t>387</w:t>
            </w:r>
          </w:hyperlink>
        </w:p>
        <w:p>
          <w:pPr>
            <w:pStyle w:val="Contents2"/>
            <w:tabs>
              <w:tab w:val="clear" w:pos="8743"/>
              <w:tab w:val="right" w:pos="9026" w:leader="dot"/>
            </w:tabs>
            <w:rPr/>
          </w:pPr>
          <w:hyperlink w:anchor="__RefHeading___Toc11945432_1280447820">
            <w:r>
              <w:rPr>
                <w:webHidden/>
                <w:rStyle w:val="IndexLink"/>
                <w:rtl w:val="true"/>
              </w:rPr>
              <w:t>الفهرس التَّفصيلي</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37_261342"/>
      <w:bookmarkStart w:id="1" w:name="pg20337_261342"/>
      <w:bookmarkEnd w:id="1"/>
    </w:p>
    <w:p>
      <w:pPr>
        <w:pStyle w:val="Heading2"/>
        <w:numPr>
          <w:ilvl w:val="1"/>
          <w:numId w:val="1"/>
        </w:numPr>
        <w:rPr/>
      </w:pPr>
      <w:bookmarkStart w:id="2" w:name="pg20337_261342"/>
      <w:bookmarkStart w:id="3" w:name="__RefHeading___Toc11944898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عوائد القواعد الفقهیّة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4490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37_261346"/>
      <w:bookmarkStart w:id="8" w:name="pg20337_261346"/>
      <w:bookmarkEnd w:id="8"/>
    </w:p>
    <w:p>
      <w:pPr>
        <w:pStyle w:val="Heading2"/>
        <w:numPr>
          <w:ilvl w:val="1"/>
          <w:numId w:val="1"/>
        </w:numPr>
        <w:rPr/>
      </w:pPr>
      <w:bookmarkStart w:id="9" w:name="pg20337_261346"/>
      <w:bookmarkStart w:id="10" w:name="__RefHeading___Toc11944902_1280447820"/>
      <w:bookmarkStart w:id="11" w:name="_Toc3"/>
      <w:bookmarkEnd w:id="9"/>
      <w:bookmarkEnd w:id="10"/>
      <w:r>
        <w:rPr>
          <w:rtl w:val="true"/>
        </w:rPr>
        <w:t>الفهرس الإجمالي</w:t>
      </w:r>
      <w:bookmarkEnd w:id="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القرعةُ لكلِّ أمرٍ مشكلٍ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المؤمنونَ عند شروطِهم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الوصيَّة حقٌّ علىٰ كلِّ مسلمٍ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الوقوف علىٰ حسْبِ ما يُوقِفُها أهلُها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إنَّ الإجارةَ أحدُ معايش العبادِ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إنحلال العُقود إلى عقودٍ أُخَر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أخذ الأُجرة علىٰ الواجبات </w:t>
      </w:r>
      <w:r>
        <w:rPr>
          <w:rFonts w:eastAsia="Amiri" w:cs="Amiri" w:ascii="Amiri" w:hAnsi="Amiri"/>
          <w:color w:val="111111"/>
          <w:sz w:val="28"/>
          <w:szCs w:val="28"/>
          <w:lang w:bidi="ar-SA"/>
        </w:rPr>
        <w:t>199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أصالة الصِّحَّة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أصالة اللُّزوم في العُقُود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بطلان كلِّ عقدٍ بتعذُّر الوفاءِ به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تلف المبيع قبل القبض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ثبوت الأحكام الوَضعيَّة علىٰ غير البالغِ المُكلَّف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حجِّيَّة البيِّنة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حجِّيَّة الظَّنِّ في الصَّلاة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حرمة إبطال الواجبات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حرمة الإهانة بالمقدَّسات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حُرمة الرِّبا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رجوع الإمام إلى المأموم في شكِّه وبالعكس </w:t>
      </w:r>
      <w:r>
        <w:rPr>
          <w:rFonts w:eastAsia="Amiri" w:cs="Amiri" w:ascii="Amiri" w:hAnsi="Amiri"/>
          <w:color w:val="111111"/>
          <w:sz w:val="28"/>
          <w:szCs w:val="28"/>
          <w:lang w:bidi="ar-SA"/>
        </w:rPr>
        <w:t>369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bookmarkStart w:id="12" w:name="pg20337_261348"/>
    </w:p>
    <w:p>
      <w:pPr>
        <w:pStyle w:val="Heading2"/>
        <w:numPr>
          <w:ilvl w:val="1"/>
          <w:numId w:val="1"/>
        </w:numPr>
        <w:rPr/>
      </w:pPr>
      <w:bookmarkStart w:id="13" w:name="__RefHeading___Toc11944904_128044782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ومولانا محمَّدٍ المُصطفىٰ خاتم الأنبياء والمرسلين، وعلىٰ أهل بيته الطَّاهرين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كتاب عوائد القواعد الفقهيَّة، وقد قرَّرنا فيه ما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أن نستفيدَ من أبحاثٍ ألقاها شيخنا الأستاذ الفقيه آية اللَّه العُظمىٰ الشَّيخ حسين مظاهري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عزَّه وجعله في حفظه ورَعْيه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حوزة أصفهان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صينَتْ عن الحدثان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القواعد الفقهيَّة؛ وللَّه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والمنَّة حيث وفَّقنا لِما كنَّا نرومه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المجموعة الَّتي تقعُ في ثلاث مجلَّداتٍ في مقدَّمةٍ قدَّمتُها علىٰ الكتاب، وسمَّيتُها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الفوائد في التَّقديم علىٰ عوائد القواعد؛ فليُراجِع إليها من يريد التَّعريف بالكتاب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المجلَّد الثَّاني منه؛ نُقدِّمه إلى القُرَّاء الكرام، عسىٰ أن يجعل اللَّه فيه نفعًا وبركةً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التَّوفيق</w:t>
      </w:r>
      <w:r>
        <w:rPr>
          <w:rFonts w:eastAsia="Amiri" w:cs="Amiri" w:ascii="Amiri" w:hAnsi="Amiri"/>
          <w:color w:val="111111"/>
          <w:sz w:val="28"/>
          <w:szCs w:val="28"/>
          <w:rtl w:val="true"/>
          <w:lang w:bidi="ar-SA"/>
        </w:rPr>
        <w:t xml:space="preserve">! -.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337_261354"/>
      <w:bookmarkStart w:id="16" w:name="pg20337_261354"/>
      <w:bookmarkEnd w:id="16"/>
    </w:p>
    <w:p>
      <w:pPr>
        <w:pStyle w:val="Heading2"/>
        <w:numPr>
          <w:ilvl w:val="1"/>
          <w:numId w:val="1"/>
        </w:numPr>
        <w:rPr/>
      </w:pPr>
      <w:bookmarkStart w:id="17" w:name="pg20337_261354"/>
      <w:bookmarkStart w:id="18" w:name="__RefHeading___Toc11944906_1280447820"/>
      <w:bookmarkStart w:id="19" w:name="_Toc5"/>
      <w:bookmarkEnd w:id="17"/>
      <w:bookmarkEnd w:id="18"/>
      <w:r>
        <w:rPr>
          <w:rtl w:val="true"/>
        </w:rPr>
        <w:t>[</w:t>
      </w:r>
      <w:r>
        <w:rPr/>
        <w:t>24</w:t>
      </w:r>
      <w:r>
        <w:rPr>
          <w:rtl w:val="true"/>
        </w:rPr>
        <w:t xml:space="preserve">:] </w:t>
      </w:r>
      <w:r>
        <w:rPr>
          <w:rtl w:val="true"/>
        </w:rPr>
        <w:t>قاعدة القرعةُ لكلِّ أمرٍ مشكلٍ‌</w:t>
      </w:r>
      <w:bookmarkEnd w:id="19"/>
    </w:p>
    <w:p>
      <w:pPr>
        <w:pStyle w:val="Heading3"/>
        <w:numPr>
          <w:ilvl w:val="2"/>
          <w:numId w:val="1"/>
        </w:numPr>
        <w:rPr/>
      </w:pPr>
      <w:bookmarkStart w:id="20" w:name="__RefHeading___Toc11944908_1280447820"/>
      <w:bookmarkStart w:id="21" w:name="_Toc6"/>
      <w:bookmarkEnd w:id="20"/>
      <w:r>
        <w:rPr>
          <w:rtl w:val="true"/>
        </w:rPr>
        <w:t>عناوين أُخرىٰ للقاعدة</w:t>
      </w:r>
      <w:r>
        <w:rPr>
          <w:rtl w:val="true"/>
        </w:rPr>
        <w:t>:</w:t>
      </w:r>
      <w:bookmarkEnd w:id="21"/>
    </w:p>
    <w:p>
      <w:pPr>
        <w:pStyle w:val="BookText"/>
        <w:rPr/>
      </w:pPr>
      <w:r>
        <w:rPr>
          <w:rFonts w:ascii="Amiri" w:hAnsi="Amiri" w:eastAsia="Amiri" w:cs="Amiri"/>
          <w:color w:val="111111"/>
          <w:sz w:val="28"/>
          <w:sz w:val="28"/>
          <w:szCs w:val="28"/>
          <w:rtl w:val="true"/>
          <w:lang w:bidi="ar-SA"/>
        </w:rPr>
        <w:t>كلُّ أمرٍ مشكلٍ ففيه القرعةُ‌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1944910_1280447820"/>
      <w:bookmarkStart w:id="23" w:name="_Toc7"/>
      <w:bookmarkEnd w:id="22"/>
      <w:r>
        <w:rPr>
          <w:rtl w:val="true"/>
        </w:rPr>
        <w:t>توضيح مفاد القاعدة</w:t>
      </w:r>
      <w:r>
        <w:rPr>
          <w:rtl w:val="true"/>
        </w:rPr>
        <w:t>:</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لاإشكال في الجملة بين فقهاء الخاصَّة في حجِّيَّة القاعدة</w:t>
      </w:r>
      <w:r>
        <w:rPr>
          <w:rStyle w:val="FootnoteAnchor"/>
          <w:rtl w:val="true"/>
        </w:rPr>
        <w:footnoteReference w:id="3"/>
      </w:r>
      <w:r>
        <w:rPr>
          <w:rFonts w:ascii="Amiri" w:hAnsi="Amiri" w:eastAsia="Amiri" w:cs="Amiri"/>
          <w:color w:val="111111"/>
          <w:sz w:val="28"/>
          <w:sz w:val="28"/>
          <w:szCs w:val="28"/>
          <w:rtl w:val="true"/>
          <w:lang w:bidi="ar-SA"/>
        </w:rPr>
        <w:t>، وإن قالَ بعضُهم بوجوب العمل بها في مواردها؛ كما عن ابن 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أمرٍ مشكلٍ فاستعمال القرعة </w:t>
      </w:r>
      <w:bookmarkStart w:id="24" w:name="pg20337_261355"/>
    </w:p>
    <w:p>
      <w:pPr>
        <w:pStyle w:val="BookText"/>
        <w:rPr/>
      </w:pPr>
      <w:bookmarkEnd w:id="24"/>
      <w:r>
        <w:rPr>
          <w:rFonts w:ascii="Amiri" w:hAnsi="Amiri" w:eastAsia="Amiri" w:cs="Amiri"/>
          <w:color w:val="111111"/>
          <w:sz w:val="28"/>
          <w:sz w:val="28"/>
          <w:szCs w:val="28"/>
          <w:rtl w:val="true"/>
          <w:lang w:bidi="ar-SA"/>
        </w:rPr>
        <w:t>فيه هو الواجب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منها ثبوت حجِّيَّة القرعة بحسب أدلَّتها في كلِّ أمرٍ مشكلٍ حدَثَ ولا مفرَّ منها</w:t>
      </w:r>
      <w:r>
        <w:rPr>
          <w:rStyle w:val="FootnoteAnchor"/>
          <w:rtl w:val="true"/>
        </w:rPr>
        <w:footnoteReference w:id="5"/>
      </w:r>
      <w:r>
        <w:rPr>
          <w:rFonts w:ascii="Amiri" w:hAnsi="Amiri" w:eastAsia="Amiri" w:cs="Amiri"/>
          <w:color w:val="111111"/>
          <w:sz w:val="28"/>
          <w:sz w:val="28"/>
          <w:szCs w:val="28"/>
          <w:rtl w:val="true"/>
          <w:lang w:bidi="ar-SA"/>
        </w:rPr>
        <w:t>وأدلَّة القاعدة هي الَّتي تُعيِّن مواردها أوَّلًا، وتُعيِّن سعتها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عرفيٌّ لاخفاء فيه، وإنْ قال المحقِّق المراغيُّ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وتحقيق الكلام في معنىٰ المشكل المراد هنا وضبط موارده وتنقيح كلمة الأصحاب بحيث ينطبق علىٰ ضابطةٍ ويقف علىٰ رابطةٍ‌، من المشكلات</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فلنقدِّم البحثَ عن تلك الأدلَّة، ثمَّ ننظر في مفادها ومدىٰ السَّعَة المستفادَة منها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1944912_1280447820"/>
      <w:bookmarkStart w:id="26" w:name="_Toc8"/>
      <w:bookmarkEnd w:id="25"/>
      <w:r>
        <w:rPr>
          <w:rtl w:val="true"/>
        </w:rPr>
        <w:t>مدركُ القاعدة</w:t>
      </w:r>
      <w:r>
        <w:rPr>
          <w:rtl w:val="true"/>
        </w:rPr>
        <w:t>:</w:t>
      </w:r>
      <w:bookmarkEnd w:id="26"/>
    </w:p>
    <w:p>
      <w:pPr>
        <w:pStyle w:val="Heading4"/>
        <w:numPr>
          <w:ilvl w:val="3"/>
          <w:numId w:val="1"/>
        </w:numPr>
        <w:rPr/>
      </w:pPr>
      <w:bookmarkStart w:id="27" w:name="__RefHeading___Toc11944914_1280447820"/>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تدلُّ علىٰ ثبوت القاعدة وحجِّيَّتها الأدلَّة الأربعة</w:t>
      </w:r>
      <w:r>
        <w:rPr>
          <w:rStyle w:val="FootnoteAnchor"/>
          <w:rtl w:val="true"/>
        </w:rPr>
        <w:footnoteReference w:id="7"/>
      </w:r>
      <w:r>
        <w:rPr>
          <w:rFonts w:ascii="Amiri" w:hAnsi="Amiri" w:eastAsia="Amiri" w:cs="Amiri"/>
          <w:color w:val="111111"/>
          <w:sz w:val="28"/>
          <w:sz w:val="28"/>
          <w:szCs w:val="28"/>
          <w:rtl w:val="true"/>
          <w:lang w:bidi="ar-SA"/>
        </w:rPr>
        <w:t>وهي في المقام</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1944916_1280447820"/>
      <w:bookmarkStart w:id="30" w:name="_Toc10"/>
      <w:bookmarkEnd w:id="29"/>
      <w:r>
        <w:rPr>
          <w:rtl w:val="true"/>
        </w:rPr>
        <w:t>أوَّلًا</w:t>
      </w:r>
      <w:r>
        <w:rPr>
          <w:rtl w:val="true"/>
        </w:rPr>
        <w:t xml:space="preserve">: </w:t>
      </w:r>
      <w:r>
        <w:rPr>
          <w:rtl w:val="true"/>
        </w:rPr>
        <w:t>الكتاب</w:t>
      </w:r>
      <w:bookmarkEnd w:id="30"/>
    </w:p>
    <w:p>
      <w:pPr>
        <w:pStyle w:val="BookText"/>
        <w:rPr/>
      </w:pPr>
      <w:r>
        <w:rPr>
          <w:rFonts w:ascii="Amiri" w:hAnsi="Amiri" w:eastAsia="Amiri" w:cs="Amiri"/>
          <w:color w:val="111111"/>
          <w:sz w:val="28"/>
          <w:sz w:val="28"/>
          <w:szCs w:val="28"/>
          <w:rtl w:val="true"/>
          <w:lang w:bidi="ar-SA"/>
        </w:rPr>
        <w:t>فيدلُّ عليها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كُنْتَ لَدَيْهِمْ إِذْ يُلْقُونَ أَقْلاٰمَهُمْ أَيُّهُمْ يَكْفُلُ مَرْيَمَ‌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 يتمُّ بالنَّظر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ما فعلوه أوَّلًا مخاطِبًا لنبيِّه </w:t>
      </w:r>
      <w:bookmarkStart w:id="31" w:name="pg20337_261356"/>
    </w:p>
    <w:p>
      <w:pPr>
        <w:pStyle w:val="BookText"/>
        <w:rPr/>
      </w:pPr>
      <w:bookmarkEnd w:id="31"/>
      <w:r>
        <w:rPr>
          <w:rFonts w:ascii="Amiri" w:hAnsi="Amiri" w:eastAsia="Amiri" w:cs="Amiri"/>
          <w:color w:val="111111"/>
          <w:sz w:val="28"/>
          <w:sz w:val="28"/>
          <w:szCs w:val="28"/>
          <w:rtl w:val="true"/>
          <w:lang w:bidi="ar-SA"/>
        </w:rPr>
        <w:t>الكريم صلى الله عليه و آله، ثمَّ لم يردع عنه ثانيًا؛ ولم ينقل إلينا ردعٌ عنه من ناحيَة أهل العصمة الكُبرىٰ عليهم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عن الآية الكريمة وما قيل فيها من وجهة نظر الفقه إلى ما قاله ابنُالعربي</w:t>
      </w:r>
      <w:r>
        <w:rPr>
          <w:rStyle w:val="FootnoteAnchor"/>
          <w:rtl w:val="true"/>
        </w:rPr>
        <w:footnoteReference w:id="9"/>
      </w:r>
      <w:r>
        <w:rPr>
          <w:rFonts w:ascii="Amiri" w:hAnsi="Amiri" w:eastAsia="Amiri" w:cs="Amiri"/>
          <w:color w:val="111111"/>
          <w:sz w:val="28"/>
          <w:sz w:val="28"/>
          <w:szCs w:val="28"/>
          <w:rtl w:val="true"/>
          <w:lang w:bidi="ar-SA"/>
        </w:rPr>
        <w:t>، والجصَّاص</w:t>
      </w:r>
      <w:r>
        <w:rPr>
          <w:rStyle w:val="FootnoteAnchor"/>
          <w:rtl w:val="true"/>
        </w:rPr>
        <w:footnoteReference w:id="10"/>
      </w:r>
      <w:r>
        <w:rPr>
          <w:rFonts w:ascii="IRNazanin" w:hAnsi="IRNazanin" w:eastAsia="IRNazanin"/>
          <w:color w:val="111111"/>
          <w:sz w:val="28"/>
          <w:sz w:val="28"/>
          <w:szCs w:val="28"/>
          <w:rtl w:val="true"/>
          <w:lang w:bidi="fa-IR"/>
        </w:rPr>
        <w:t>، والفاضل المقداد</w:t>
      </w:r>
      <w:r>
        <w:rPr>
          <w:rStyle w:val="FootnoteAnchor"/>
          <w:rtl w:val="true"/>
        </w:rPr>
        <w:footnoteReference w:id="11"/>
      </w:r>
      <w:r>
        <w:rPr>
          <w:rFonts w:ascii="Amiri" w:hAnsi="Amiri" w:eastAsia="Amiri" w:cs="Amiri"/>
          <w:color w:val="111111"/>
          <w:sz w:val="28"/>
          <w:sz w:val="28"/>
          <w:szCs w:val="28"/>
          <w:rtl w:val="true"/>
          <w:lang w:bidi="ar-SA"/>
        </w:rPr>
        <w:t>، والعلَّامة الطَّبرسي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المُنبِىءُ عن سيرة نبي اللَّه يونس عليه السلام حيث شارك في إقراع أهل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عن الآية الكريمة إلى ما ذكره ابنُالعربي</w:t>
      </w:r>
      <w:r>
        <w:rPr>
          <w:rStyle w:val="FootnoteAnchor"/>
          <w:rtl w:val="true"/>
        </w:rPr>
        <w:footnoteReference w:id="14"/>
      </w:r>
      <w:r>
        <w:rPr>
          <w:rFonts w:ascii="Amiri" w:hAnsi="Amiri" w:eastAsia="Amiri" w:cs="Amiri"/>
          <w:color w:val="111111"/>
          <w:sz w:val="28"/>
          <w:sz w:val="28"/>
          <w:szCs w:val="28"/>
          <w:rtl w:val="true"/>
          <w:lang w:bidi="ar-SA"/>
        </w:rPr>
        <w:t>، وشيخنا الطُّوسي</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وسيرته عليه السلام حجَّةٌ بلاريبٍ‌؛ كما أنَّ عدم ردع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إيَّاه حجَّةٌ أُخرىٰ في المقام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1944918_1280447820"/>
      <w:bookmarkStart w:id="33" w:name="_Toc11"/>
      <w:bookmarkEnd w:id="32"/>
      <w:r>
        <w:rPr>
          <w:rtl w:val="true"/>
        </w:rPr>
        <w:t>ثانيًا</w:t>
      </w:r>
      <w:r>
        <w:rPr>
          <w:rtl w:val="true"/>
        </w:rPr>
        <w:t xml:space="preserve">: </w:t>
      </w:r>
      <w:r>
        <w:rPr>
          <w:rtl w:val="true"/>
        </w:rPr>
        <w:t>السُّنَّة</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فتدلُّ عليها جملةٌ من رواياتٍ أوردها المحدِّث المحقِّق الحرُّ قدس سره في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من كتاب القضاء</w:t>
      </w:r>
      <w:r>
        <w:rPr>
          <w:rStyle w:val="FootnoteAnchor"/>
          <w:rtl w:val="true"/>
        </w:rPr>
        <w:footnoteReference w:id="17"/>
      </w:r>
      <w:r>
        <w:rPr>
          <w:rFonts w:ascii="Amiri" w:hAnsi="Amiri" w:eastAsia="Amiri" w:cs="Amiri"/>
          <w:color w:val="111111"/>
          <w:sz w:val="28"/>
          <w:sz w:val="28"/>
          <w:szCs w:val="28"/>
          <w:rtl w:val="true"/>
          <w:lang w:bidi="ar-SA"/>
        </w:rPr>
        <w:t>، وادَّعىٰ المحقِّق المراغيُّ قدس سره أنَّها متواترة</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والعمدةُ منها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قضيَّةٍ أعدلُ من القُرعة إذا فُوِّضَ الأمرُ إلى اللَّه‌؟، أ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الصَّدوق قدس سره</w:t>
      </w:r>
      <w:r>
        <w:rPr>
          <w:rStyle w:val="FootnoteAnchor"/>
          <w:rtl w:val="true"/>
        </w:rPr>
        <w:footnoteReference w:id="19"/>
      </w:r>
      <w:r>
        <w:rPr>
          <w:rFonts w:ascii="Amiri" w:hAnsi="Amiri" w:eastAsia="Amiri" w:cs="Amiri"/>
          <w:color w:val="111111"/>
          <w:sz w:val="28"/>
          <w:sz w:val="28"/>
          <w:szCs w:val="28"/>
          <w:rtl w:val="true"/>
          <w:lang w:bidi="ar-SA"/>
        </w:rPr>
        <w:t>، والشَّيخ الحرُّ قدس سره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والمرسلة لا إشكال فيها سندًا، لأنَّها من جازمات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رواية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الباب</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البرقي أيضًا</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مع هذه في المضمون، بل الظَّاهر أنَّها هي نفسُها؛ وهي صحيحةٌ سندًا</w:t>
      </w:r>
      <w:r>
        <w:rPr>
          <w:rStyle w:val="FootnoteAnchor"/>
          <w:rtl w:val="true"/>
        </w:rPr>
        <w:footnoteReference w:id="23"/>
      </w:r>
      <w:r>
        <w:rPr>
          <w:rFonts w:ascii="Amiri" w:hAnsi="Amiri" w:eastAsia="Amiri" w:cs="Amiri"/>
          <w:color w:val="111111"/>
          <w:sz w:val="28"/>
          <w:sz w:val="28"/>
          <w:szCs w:val="28"/>
          <w:rtl w:val="true"/>
          <w:lang w:bidi="ar-SA"/>
        </w:rPr>
        <w:t>ولو لم نقل بحجِّيَّة جازمات الصَّدوق قدس سره، فهي تؤيِّد ما نحن بصدده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حريز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سُوهِم عليه مريمُ بنتُ عِمرانَ‌،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كُنْتَ لَدَيْهِمْ إِذْ يُلْقُونَ أَقْلاٰمَهُمْ أَيُّهُمْ يَكْفُلُ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والسِّهام ستَّةٌ ثمَّ استهموا في يونسَ‌</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صحيحٌ سندًا، لوجود حمَّاد بن عيسىٰ فيه</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ودلالته علىٰ المطلوب وإن لم تكن بمثابة دلالة الأوَّل وضوحًا، لكن لاإشكال في دلالته علىٰ المراد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من الأوَّلَين وأدلُّ عليه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رواه ثعلبة بن ميمون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مصحَّحةٌ‌، لمكان ابن فضَّالٍ‌</w:t>
      </w:r>
      <w:r>
        <w:rPr>
          <w:rStyle w:val="FootnoteAnchor"/>
          <w:rtl w:val="true"/>
        </w:rPr>
        <w:footnoteReference w:id="26"/>
      </w:r>
      <w:r>
        <w:rPr>
          <w:rFonts w:ascii="Amiri" w:hAnsi="Amiri" w:eastAsia="Amiri" w:cs="Amiri"/>
          <w:color w:val="111111"/>
          <w:sz w:val="28"/>
          <w:sz w:val="28"/>
          <w:szCs w:val="28"/>
          <w:rtl w:val="true"/>
          <w:lang w:bidi="ar-SA"/>
        </w:rPr>
        <w:t>في السَّند؛ ومن الغريب حُكْم المحقِّق المجلسيِّ قدس سره بكونه مرسلًا، من دون إشارةٍ إلى وقوع ابن فضَّالٍ فيه</w:t>
      </w:r>
      <w:r>
        <w:rPr>
          <w:rStyle w:val="FootnoteAnchor"/>
          <w:rtl w:val="true"/>
        </w:rPr>
        <w:footnoteReference w:id="27"/>
      </w:r>
      <w:r>
        <w:rPr>
          <w:rFonts w:ascii="Amiri" w:hAnsi="Amiri" w:eastAsia="Amiri" w:cs="Amiri"/>
          <w:color w:val="111111"/>
          <w:sz w:val="28"/>
          <w:sz w:val="28"/>
          <w:szCs w:val="28"/>
          <w:rtl w:val="true"/>
          <w:lang w:bidi="ar-SA"/>
        </w:rPr>
        <w:t>، ومثله ما فعله شارح المفاتيح قدس سره</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يروي عن أبي عبداللَّه عليه السلام في جملة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قضيَّةٍ أعدلُ من قضيَّةٍ تُجالُ عليها السِّهامُ؟،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أمرٍ يَختَلف فيه اثنانِ إلَّاوله أصلٌ في كتاب اللَّه، ولكن لاتبلغه عقولُ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مارواه البرقيُّ قدس سره</w:t>
      </w:r>
      <w:r>
        <w:rPr>
          <w:rStyle w:val="FootnoteAnchor"/>
          <w:rtl w:val="true"/>
        </w:rPr>
        <w:footnoteReference w:id="29"/>
      </w:r>
      <w:r>
        <w:rPr>
          <w:rFonts w:ascii="Amiri" w:hAnsi="Amiri" w:eastAsia="Amiri" w:cs="Amiri"/>
          <w:color w:val="111111"/>
          <w:sz w:val="28"/>
          <w:sz w:val="28"/>
          <w:szCs w:val="28"/>
          <w:rtl w:val="true"/>
          <w:lang w:bidi="ar-SA"/>
        </w:rPr>
        <w:t>، والشَّيخ قدس سره</w:t>
      </w:r>
      <w:r>
        <w:rPr>
          <w:rStyle w:val="FootnoteAnchor"/>
          <w:rtl w:val="true"/>
        </w:rPr>
        <w:footnoteReference w:id="30"/>
      </w:r>
      <w:r>
        <w:rPr>
          <w:rFonts w:ascii="Amiri" w:hAnsi="Amiri" w:eastAsia="Amiri" w:cs="Amiri"/>
          <w:color w:val="111111"/>
          <w:sz w:val="28"/>
          <w:sz w:val="28"/>
          <w:szCs w:val="28"/>
          <w:rtl w:val="true"/>
          <w:lang w:bidi="ar-SA"/>
        </w:rPr>
        <w:t>، والفيض قدس سره</w:t>
      </w:r>
      <w:r>
        <w:rPr>
          <w:rStyle w:val="FootnoteAnchor"/>
          <w:rtl w:val="true"/>
        </w:rPr>
        <w:footnoteReference w:id="31"/>
      </w:r>
      <w:r>
        <w:rPr>
          <w:rFonts w:ascii="Amiri" w:hAnsi="Amiri" w:eastAsia="Amiri" w:cs="Amiri"/>
          <w:color w:val="111111"/>
          <w:sz w:val="28"/>
          <w:sz w:val="28"/>
          <w:szCs w:val="28"/>
          <w:rtl w:val="true"/>
          <w:lang w:bidi="ar-SA"/>
        </w:rPr>
        <w:t>، والحرُّ قدس سره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يمكن أن يُدَّعىٰ بلوغ الرِّوايات في هذا المعنىٰ حدَّ التَّواتر المعنويِّ‌، وهي أيَّدتْ السِّيرة المستمرَّة عليها؛ إذ المستفادُ منها أنَّ أئمَّتنا المعصومين عليهم السلام كانوا </w:t>
      </w:r>
    </w:p>
    <w:p>
      <w:pPr>
        <w:pStyle w:val="BookText"/>
        <w:rPr/>
      </w:pPr>
      <w:r>
        <w:rPr>
          <w:rFonts w:ascii="Amiri" w:hAnsi="Amiri" w:eastAsia="Amiri" w:cs="Amiri"/>
          <w:color w:val="111111"/>
          <w:sz w:val="28"/>
          <w:sz w:val="28"/>
          <w:szCs w:val="28"/>
          <w:rtl w:val="true"/>
          <w:lang w:bidi="ar-SA"/>
        </w:rPr>
        <w:t>يعملون بها، بل يأمرون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الرِّوايات وردَتْ في موارد خاصَّةٍ‌، فلايمكن أن يُستفادَ منها العمومُ وجوازُ العمل بالإقتراع في غيرها من الموارد المشكلة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موارد خاصَّةٍ جزئيَّةٍ وردَتْ فيها، لكن للفقيه أن يستنبط منها عدمَ اختصاصها بها؛ ذلك نظرًا إلى كثرتها وورودها في موارد شتيتةٍ‌، بحيث لايمكن القول باختصاصها بهذه الموارد فقط؛ بل ليست هذه الموارد إلَّا مصاديق للقاعدة فقط، وللفقيه العدول عنها إلى غيرها ممَّا يُحتَاجُ فيه إلى الإقتراع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منها ما لم يرد في موردٍ خاصٍّ‌، بل هي بصدد بيان قاعدةٍ كلِّيَّةٍ لاتختصُّ بمقامٍ دون مقامٍ‌؛</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بعضُ أصحابنا أباعبداللَّه عليه السلام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تُخرَجُ في القرعة؛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قضيَّةٍ أعدل من القرعة إذا فوَّضُوا أمرَهم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البرقيُّ‌</w:t>
      </w:r>
      <w:r>
        <w:rPr>
          <w:rStyle w:val="FootnoteAnchor"/>
          <w:rtl w:val="true"/>
        </w:rPr>
        <w:footnoteReference w:id="33"/>
      </w:r>
      <w:r>
        <w:rPr>
          <w:rFonts w:ascii="Amiri" w:hAnsi="Amiri" w:eastAsia="Amiri" w:cs="Amiri"/>
          <w:color w:val="111111"/>
          <w:sz w:val="28"/>
          <w:sz w:val="28"/>
          <w:szCs w:val="28"/>
          <w:rtl w:val="true"/>
          <w:lang w:bidi="ar-SA"/>
        </w:rPr>
        <w:t>، والشَّيخ الحرُّ</w:t>
      </w:r>
      <w:r>
        <w:rPr>
          <w:rStyle w:val="FootnoteAnchor"/>
          <w:rtl w:val="true"/>
        </w:rPr>
        <w:footnoteReference w:id="34"/>
      </w:r>
      <w:r>
        <w:rPr>
          <w:rFonts w:ascii="Amiri" w:hAnsi="Amiri" w:eastAsia="Amiri" w:cs="Amiri"/>
          <w:color w:val="111111"/>
          <w:sz w:val="28"/>
          <w:sz w:val="28"/>
          <w:szCs w:val="28"/>
          <w:rtl w:val="true"/>
          <w:lang w:bidi="ar-SA"/>
        </w:rPr>
        <w:t>، وسيِّدُنا الأستاذ البروجرديُّ‌</w:t>
      </w:r>
      <w:r>
        <w:rPr>
          <w:rStyle w:val="FootnoteAnchor"/>
          <w:rtl w:val="true"/>
        </w:rPr>
        <w:footnoteReference w:id="35"/>
      </w:r>
      <w:r>
        <w:rPr>
          <w:rFonts w:ascii="Amiri" w:hAnsi="Amiri" w:eastAsia="Amiri" w:cs="Amiri"/>
          <w:color w:val="111111"/>
          <w:sz w:val="28"/>
          <w:sz w:val="28"/>
          <w:szCs w:val="28"/>
          <w:rtl w:val="true"/>
          <w:lang w:bidi="ar-SA"/>
        </w:rPr>
        <w:t>وقال ابن طاوسٍ بشأن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رويناه بعدَّة طُرُقٍ‌</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ونظيرها ما رواه الشَّيخ الحرُّ قدس سره في الحديث </w:t>
      </w:r>
      <w:r>
        <w:rPr>
          <w:rFonts w:eastAsia="Amiri" w:cs="Amiri" w:ascii="Amiri" w:hAnsi="Amiri"/>
          <w:color w:val="111111"/>
          <w:sz w:val="28"/>
          <w:szCs w:val="28"/>
          <w:lang w:bidi="ar-SA"/>
        </w:rPr>
        <w:t>13</w:t>
      </w:r>
      <w:r>
        <w:rPr>
          <w:rStyle w:val="FootnoteAnchor"/>
          <w:rtl w:val="true"/>
        </w:rPr>
        <w:footnoteReference w:id="37"/>
      </w:r>
      <w:r>
        <w:rPr>
          <w:rFonts w:ascii="IRNazanin" w:hAnsi="IRNazanin" w:eastAsia="IRNazanin"/>
          <w:color w:val="111111"/>
          <w:sz w:val="28"/>
          <w:sz w:val="28"/>
          <w:szCs w:val="28"/>
          <w:rtl w:val="true"/>
          <w:lang w:bidi="fa-IR"/>
        </w:rPr>
        <w:t>من نفس الباب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أبالحسن عليه السلام عن شيءٍ‌،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تُخطىءُ وتُصيبُ؟؛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به فليس بمُخطِىءٍ‌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مارواه الصَّدوق قدس سره</w:t>
      </w:r>
      <w:r>
        <w:rPr>
          <w:rStyle w:val="FootnoteAnchor"/>
          <w:rtl w:val="true"/>
        </w:rPr>
        <w:footnoteReference w:id="38"/>
      </w:r>
      <w:r>
        <w:rPr>
          <w:rFonts w:ascii="Amiri" w:hAnsi="Amiri" w:eastAsia="Amiri" w:cs="Amiri"/>
          <w:color w:val="111111"/>
          <w:sz w:val="28"/>
          <w:sz w:val="28"/>
          <w:szCs w:val="28"/>
          <w:rtl w:val="true"/>
          <w:lang w:bidi="ar-SA"/>
        </w:rPr>
        <w:t>، والشَّيخ قدس سره</w:t>
      </w:r>
      <w:r>
        <w:rPr>
          <w:rStyle w:val="FootnoteAnchor"/>
          <w:rtl w:val="true"/>
        </w:rPr>
        <w:footnoteReference w:id="39"/>
      </w:r>
      <w:r>
        <w:rPr>
          <w:rFonts w:ascii="Amiri" w:hAnsi="Amiri" w:eastAsia="Amiri" w:cs="Amiri"/>
          <w:color w:val="111111"/>
          <w:sz w:val="28"/>
          <w:sz w:val="28"/>
          <w:szCs w:val="28"/>
          <w:rtl w:val="true"/>
          <w:lang w:bidi="ar-SA"/>
        </w:rPr>
        <w:t>، والحرُّ قدس سره</w:t>
      </w:r>
      <w:r>
        <w:rPr>
          <w:rStyle w:val="FootnoteAnchor"/>
          <w:rtl w:val="true"/>
        </w:rPr>
        <w:footnoteReference w:id="40"/>
      </w:r>
      <w:r>
        <w:rPr>
          <w:rFonts w:ascii="Amiri" w:hAnsi="Amiri" w:eastAsia="Amiri" w:cs="Amiri"/>
          <w:color w:val="111111"/>
          <w:sz w:val="28"/>
          <w:sz w:val="28"/>
          <w:szCs w:val="28"/>
          <w:rtl w:val="true"/>
          <w:lang w:bidi="ar-SA"/>
        </w:rPr>
        <w:t>، والفيض قدس سره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والطَّريق إليه صحيحٌ في بعض وجوهه، وقويٌّ في بعضها الآخر، كما عن المجلسيِّ الأوَّل</w:t>
      </w:r>
      <w:r>
        <w:rPr>
          <w:rStyle w:val="FootnoteAnchor"/>
          <w:rtl w:val="true"/>
        </w:rPr>
        <w:footnoteReference w:id="42"/>
      </w:r>
      <w:r>
        <w:rPr>
          <w:rFonts w:ascii="Amiri" w:hAnsi="Amiri" w:eastAsia="Amiri" w:cs="Amiri"/>
          <w:color w:val="111111"/>
          <w:sz w:val="28"/>
          <w:sz w:val="28"/>
          <w:szCs w:val="28"/>
          <w:rtl w:val="true"/>
          <w:lang w:bidi="ar-SA"/>
        </w:rPr>
        <w:t>وقول ثانيهما بكونه مجهولًا</w:t>
      </w:r>
      <w:r>
        <w:rPr>
          <w:rStyle w:val="FootnoteAnchor"/>
          <w:rtl w:val="true"/>
        </w:rPr>
        <w:footnoteReference w:id="43"/>
      </w:r>
      <w:r>
        <w:rPr>
          <w:rFonts w:ascii="Amiri" w:hAnsi="Amiri" w:eastAsia="Amiri" w:cs="Amiri"/>
          <w:color w:val="111111"/>
          <w:sz w:val="28"/>
          <w:sz w:val="28"/>
          <w:szCs w:val="28"/>
          <w:rtl w:val="true"/>
          <w:lang w:bidi="ar-SA"/>
        </w:rPr>
        <w:t>،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عندنا صحيحٌ سندًا، لأنَّ الصَّدوق قدس سره رواه بسندٍ صحيحٍ‌</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وفي صحَّة السَّند نظرٌ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الشَّيخ إليه عليُّ بن عثمان، وهو مجهولٌ لايُحكَم بصحَّته؛ أمَّا محمَّد بن حكيمٍ فهو عندنا موثوقٌ به لاريب فيه، لأنَّه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الكشِّيُّ‌</w:t>
      </w:r>
      <w:r>
        <w:rPr>
          <w:rStyle w:val="FootnoteAnchor"/>
          <w:rtl w:val="true"/>
        </w:rPr>
        <w:footnoteReference w:id="45"/>
      </w:r>
      <w:r>
        <w:rPr>
          <w:rFonts w:ascii="Amiri" w:hAnsi="Amiri" w:eastAsia="Amiri" w:cs="Amiri"/>
          <w:color w:val="111111"/>
          <w:sz w:val="28"/>
          <w:sz w:val="28"/>
          <w:szCs w:val="28"/>
          <w:rtl w:val="true"/>
          <w:lang w:bidi="ar-SA"/>
        </w:rPr>
        <w:t xml:space="preserve">وروىٰ بسندٍ صحيحٍ أنَّه أمره أبوالحسن موسىٰ بن </w:t>
      </w:r>
    </w:p>
    <w:p>
      <w:pPr>
        <w:pStyle w:val="BookText"/>
        <w:rPr/>
      </w:pPr>
      <w:r>
        <w:rPr>
          <w:rFonts w:ascii="Amiri" w:hAnsi="Amiri" w:eastAsia="Amiri" w:cs="Amiri"/>
          <w:color w:val="111111"/>
          <w:sz w:val="28"/>
          <w:sz w:val="28"/>
          <w:szCs w:val="28"/>
          <w:rtl w:val="true"/>
          <w:lang w:bidi="ar-SA"/>
        </w:rPr>
        <w:t>جعفرٍ عليه السلام أن يُجالِس أهلَ المدينة ويتكلَّم معهم ويُناظِرَهم</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أجلَّاء الأصحاب، كصفوان</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وموارد عديدةٍ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وابنِأبي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وموارد عديدةٍ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وعليِّ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وموارد عديدةٍ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فالسَّند صحيحٌ بلا إرتيابٍ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دلالتها علىٰ المطلوب، فهي أيضًا تامَّةٌ‌، لوضوح دلالته علىٰ العموم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اختاره السَّيِّد الأستاذ قدس سره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عمومه، مستدِلَّا بأنَّه مسبوقٌ بسؤالٍ‌ </w:t>
      </w:r>
      <w:bookmarkStart w:id="34" w:name="pg20337_261362"/>
    </w:p>
    <w:p>
      <w:pPr>
        <w:pStyle w:val="BookText"/>
        <w:rPr/>
      </w:pPr>
      <w:bookmarkEnd w:id="34"/>
      <w:r>
        <w:rPr>
          <w:rFonts w:ascii="Amiri" w:hAnsi="Amiri" w:eastAsia="Amiri" w:cs="Amiri"/>
          <w:color w:val="111111"/>
          <w:sz w:val="28"/>
          <w:sz w:val="28"/>
          <w:szCs w:val="28"/>
          <w:rtl w:val="true"/>
          <w:lang w:bidi="ar-SA"/>
        </w:rPr>
        <w:t>لم يَذكُره الرَّاوي في متن الحديث، ولعلَّ السُّؤال يُخصِّصُها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لايُخصِّص المستفاد من المتن؛</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احتمال مسبوقيَّة قول الإمام عليه السلام بسؤالٍ‌، لايوجب رفع اليد عن عمومه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الرِّوايات المُشار إليها ورد في مصادر العامَّة أيضًا؛ فاستعملوها في مواردَ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والمشاهَد في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غيرها أيضًا، الَّتي أضربنا عن ذكرها خوفًا عن الإطالة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المعصوم عليه السلام حكَمَ بثبوت القُرعة في تلك الموارد، من غير أن ينكرَ عليه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1944920_1280447820"/>
      <w:bookmarkStart w:id="36" w:name="_Toc12"/>
      <w:bookmarkEnd w:id="35"/>
      <w:r>
        <w:rPr>
          <w:rtl w:val="true"/>
        </w:rPr>
        <w:t>ثالثًا</w:t>
      </w:r>
      <w:r>
        <w:rPr>
          <w:rtl w:val="true"/>
        </w:rPr>
        <w:t xml:space="preserve">: </w:t>
      </w:r>
      <w:r>
        <w:rPr>
          <w:rtl w:val="true"/>
        </w:rPr>
        <w:t>الإجماع</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خصائص الشِّيعة الإماميَّة، حيث انعقد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اللَّه برهانَهم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حجِّيَّة القرعة، سيَّما إذا انضُمَّ إليها حجِّيَّة الاِستخارة، أو جُعِلتْ هي من مصاديقها</w:t>
      </w:r>
      <w:r>
        <w:rPr>
          <w:rFonts w:eastAsia="Amiri" w:cs="Amiri" w:ascii="Amiri" w:hAnsi="Amiri"/>
          <w:color w:val="111111"/>
          <w:sz w:val="28"/>
          <w:szCs w:val="28"/>
          <w:rtl w:val="true"/>
          <w:lang w:bidi="ar-SA"/>
        </w:rPr>
        <w:t xml:space="preserve">. </w:t>
      </w:r>
      <w:bookmarkStart w:id="37" w:name="pg20337_261363"/>
    </w:p>
    <w:p>
      <w:pPr>
        <w:pStyle w:val="BookText"/>
        <w:rPr/>
      </w:pPr>
      <w:bookmarkEnd w:id="37"/>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ابنُإدريسٍ قدس سره في باب سماع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مشكلٍ مجهولٍ يشتبه الحكمُ فيه فينبغي أن يُستَعمَل فيه القرعةُ‌، لما رُوِي عن الأئمَّة الأطهار عليه السلام، وتواترتْ به الآثارُ، وأجمعَتْ عليه الشِّيعة الإماميَّة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قدس سره في الخلاف في تعارض البيِّنات بعد اختياره القرعةَ‌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إجماع الفرقة علىٰ أنَّ القرعةَ تُستَعمَل في كلِّ أمرٍ مجهولٍ مشتبهٍ‌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أوَّل الشَّهيدَين قدس سره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عندنا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فيه القرعةُ‌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فبهذه الأقوال المنقولة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وبنظائرها الكثيرة</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حجِّيَّة القرعةِ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المحقِّق المراغيُّ قدس سره ثبوتَ الإجماع المحصَّل فيها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1944922_1280447820"/>
      <w:bookmarkStart w:id="39" w:name="_Toc13"/>
      <w:bookmarkEnd w:id="38"/>
      <w:r>
        <w:rPr>
          <w:rtl w:val="true"/>
        </w:rPr>
        <w:t>رابعًا</w:t>
      </w:r>
      <w:r>
        <w:rPr>
          <w:rtl w:val="true"/>
        </w:rPr>
        <w:t xml:space="preserve">: </w:t>
      </w:r>
      <w:r>
        <w:rPr>
          <w:rtl w:val="true"/>
        </w:rPr>
        <w:t>العقل</w:t>
      </w:r>
      <w:bookmarkEnd w:id="39"/>
    </w:p>
    <w:p>
      <w:pPr>
        <w:pStyle w:val="BookText"/>
        <w:rPr/>
      </w:pPr>
      <w:r>
        <w:rPr>
          <w:rFonts w:ascii="Amiri" w:hAnsi="Amiri" w:eastAsia="Amiri" w:cs="Amiri"/>
          <w:color w:val="111111"/>
          <w:sz w:val="28"/>
          <w:sz w:val="28"/>
          <w:szCs w:val="28"/>
          <w:rtl w:val="true"/>
          <w:lang w:bidi="ar-SA"/>
        </w:rPr>
        <w:t>أمَّا العقل، فنستكشف حكمَه بثبوتها من خلال ثبوت سيرة العقلاء واستمرارها عليها، هذا من ناحيَةٍ‌؛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فإنَّ الآية المشار إليها آنفًا،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bookmarkStart w:id="40" w:name="pg20337_261364"/>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يدلَّان علىٰ إمضاء الشَّارع إيَّاها؛</w:t>
      </w:r>
    </w:p>
    <w:p>
      <w:pPr>
        <w:pStyle w:val="BookText"/>
        <w:rPr/>
      </w:pPr>
      <w:r>
        <w:rPr>
          <w:rFonts w:ascii="Amiri" w:hAnsi="Amiri" w:eastAsia="Amiri" w:cs="Amiri"/>
          <w:color w:val="111111"/>
          <w:sz w:val="28"/>
          <w:sz w:val="28"/>
          <w:szCs w:val="28"/>
          <w:rtl w:val="true"/>
          <w:lang w:bidi="ar-SA"/>
        </w:rPr>
        <w:t>أضِفْ إليهما هذه الطَّائفة الكبيرة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لوصرَفنا النَّظَر عن مثبِتاتها في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النُّصوص المقدَّسة القرآنيَّة والمعصوميَّة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لحجِّيَّتها عدمُ الرَّدع عنها؛ وهو واضحٌ بالنَّظر إلى ثبوت سيرة العقلاء قَبل ظهور الإسلام علىٰ حجِّيَّة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قلنا ظهر أنَّ العُمدة من أدلَّة القاعدة هي السِّيرة العُقلائيَّة؛ ومن الغريب غفلةُ الأصحاب عن هذا الدَّليل الرَّصين، فذهبوا إلى ما ذهبوا إليه واختاروا ما اختاروه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1944924_1280447820"/>
      <w:bookmarkStart w:id="42" w:name="_Toc14"/>
      <w:bookmarkEnd w:id="41"/>
      <w:r>
        <w:rPr>
          <w:rtl w:val="true"/>
        </w:rPr>
        <w:t>تنبيهاتٌ‌</w:t>
      </w:r>
      <w:r>
        <w:rPr>
          <w:rtl w:val="true"/>
        </w:rPr>
        <w:t>:</w:t>
      </w:r>
      <w:bookmarkEnd w:id="42"/>
    </w:p>
    <w:p>
      <w:pPr>
        <w:pStyle w:val="Heading4"/>
        <w:numPr>
          <w:ilvl w:val="3"/>
          <w:numId w:val="1"/>
        </w:numPr>
        <w:rPr/>
      </w:pPr>
      <w:bookmarkStart w:id="43" w:name="__RefHeading___Toc11944926_1280447820"/>
      <w:bookmarkStart w:id="44" w:name="_Toc15"/>
      <w:bookmarkEnd w:id="43"/>
      <w:r>
        <w:rPr>
          <w:rtl w:val="true"/>
        </w:rPr>
        <w:t>التَّنبيه الأوَّل</w:t>
      </w:r>
      <w:r>
        <w:rPr>
          <w:rtl w:val="true"/>
        </w:rPr>
        <w:t>:</w:t>
      </w:r>
      <w:bookmarkEnd w:id="44"/>
    </w:p>
    <w:p>
      <w:pPr>
        <w:pStyle w:val="BookText"/>
        <w:rPr/>
      </w:pPr>
      <w:r>
        <w:rPr>
          <w:rFonts w:ascii="Amiri" w:hAnsi="Amiri" w:eastAsia="Amiri" w:cs="Amiri"/>
          <w:color w:val="111111"/>
          <w:sz w:val="28"/>
          <w:sz w:val="28"/>
          <w:szCs w:val="28"/>
          <w:rtl w:val="true"/>
          <w:lang w:bidi="ar-SA"/>
        </w:rPr>
        <w:t>لاريب في اختصاص القرعة بالموضوعات، دون الأحكام، وقد فصَّل فيه الكلامَ المحقِّق القمِّيُّ قدس سره</w:t>
      </w:r>
      <w:r>
        <w:rPr>
          <w:rStyle w:val="FootnoteAnchor"/>
          <w:rtl w:val="true"/>
        </w:rPr>
        <w:footnoteReference w:id="56"/>
      </w:r>
      <w:r>
        <w:rPr>
          <w:rFonts w:ascii="Amiri" w:hAnsi="Amiri" w:eastAsia="Amiri" w:cs="Amiri"/>
          <w:color w:val="111111"/>
          <w:sz w:val="28"/>
          <w:sz w:val="28"/>
          <w:szCs w:val="28"/>
          <w:rtl w:val="true"/>
          <w:lang w:bidi="ar-SA"/>
        </w:rPr>
        <w:t>، وذكره ثاني المحقِّقَين قدس سرهما</w:t>
      </w:r>
      <w:r>
        <w:rPr>
          <w:rStyle w:val="FootnoteAnchor"/>
          <w:rtl w:val="true"/>
        </w:rPr>
        <w:footnoteReference w:id="57"/>
      </w:r>
      <w:r>
        <w:rPr>
          <w:rFonts w:ascii="Amiri" w:hAnsi="Amiri" w:eastAsia="Amiri" w:cs="Amiri"/>
          <w:color w:val="111111"/>
          <w:sz w:val="28"/>
          <w:sz w:val="28"/>
          <w:szCs w:val="28"/>
          <w:rtl w:val="true"/>
          <w:lang w:bidi="ar-SA"/>
        </w:rPr>
        <w:t>، وثاني المجلسيَّين قدس سرهما</w:t>
      </w:r>
      <w:r>
        <w:rPr>
          <w:rStyle w:val="FootnoteAnchor"/>
          <w:rtl w:val="true"/>
        </w:rPr>
        <w:footnoteReference w:id="58"/>
      </w:r>
      <w:r>
        <w:rPr>
          <w:rFonts w:ascii="Amiri" w:hAnsi="Amiri" w:eastAsia="Amiri" w:cs="Amiri"/>
          <w:color w:val="111111"/>
          <w:sz w:val="28"/>
          <w:sz w:val="28"/>
          <w:szCs w:val="28"/>
          <w:rtl w:val="true"/>
          <w:lang w:bidi="ar-SA"/>
        </w:rPr>
        <w:t>، والفقيهُ الهمدانيُّ قدس سره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وادَّعىٰ العلَّامة انعقاد الإجماع علىٰ جريانها في الأحكام،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مشروعةٌ إجماعًا في حقِّ الأحكام الشَّرعيَّة والقضايا 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 وغيرهم؛ و قد ادَّعىٰ المحقِّق الفيروزآباديُّ قدس سره ثبوت الإجماع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وادَّعىٰ العلَّامة انعقاد الإجماع علىٰ جريانها في الأحكام،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مشروعةٌ إجماعًا في حقِّ الأحكام الشَّرعيَّة والقضايا 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5" w:name="pg20337_261365"/>
    </w:p>
    <w:p>
      <w:pPr>
        <w:pStyle w:val="BookText"/>
        <w:rPr/>
      </w:pPr>
      <w:bookmarkEnd w:id="45"/>
      <w:r>
        <w:rPr>
          <w:rFonts w:ascii="Amiri" w:hAnsi="Amiri" w:eastAsia="Amiri" w:cs="Amiri"/>
          <w:color w:val="111111"/>
          <w:sz w:val="28"/>
          <w:sz w:val="28"/>
          <w:szCs w:val="28"/>
          <w:rtl w:val="true"/>
          <w:lang w:bidi="ar-SA"/>
        </w:rPr>
        <w:t>وعن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مشروعةٌ إجماعًا في حقِّ الأحكام الشَّرعيَّة والقضايا بين النَّاس</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فلاتجري فيها أصلًا؛ فلايمكن إثبات حكمٍ من الأحكام الخمسة أو نفيُها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والتَّطويل فيه تطويلٌ بلاطائلٍ‌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ولايُفرَض عند العقلاء أن يُغنِي الشَّارعُ الفقيهَ في عمليَّة الاستنباط عن الأخذ بالأدلَّة والأصول مكتفِيًا فيه بالقرعة، فيفتي طبقًا لها؛ هذا ممَّا تضحَكُ من توهُّمه الثَّكلىٰ‌، فضلًا عمَّن هو من 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موضوعةٌ لأن يُراجَع إليها في المتشابهات الموضوعيَّة، أو مشتبهاتها فقط</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1944928_1280447820"/>
      <w:bookmarkStart w:id="47" w:name="_Toc16"/>
      <w:bookmarkEnd w:id="46"/>
      <w:r>
        <w:rPr>
          <w:rtl w:val="true"/>
        </w:rPr>
        <w:t>التَّنبيه الثَّاني</w:t>
      </w:r>
      <w:r>
        <w:rPr>
          <w:rtl w:val="true"/>
        </w:rPr>
        <w:t>:</w:t>
      </w:r>
      <w:bookmarkEnd w:id="47"/>
    </w:p>
    <w:p>
      <w:pPr>
        <w:pStyle w:val="BookText"/>
        <w:rPr/>
      </w:pPr>
      <w:r>
        <w:rPr>
          <w:rFonts w:ascii="Amiri" w:hAnsi="Amiri" w:eastAsia="Amiri" w:cs="Amiri"/>
          <w:color w:val="111111"/>
          <w:sz w:val="28"/>
          <w:sz w:val="28"/>
          <w:szCs w:val="28"/>
          <w:rtl w:val="true"/>
          <w:lang w:bidi="ar-SA"/>
        </w:rPr>
        <w:t>القرعة تُعدُّ من الأصول العمليَّة؛ فهي أوَّلًا أصلٌ تجري عند الشَّكِّ وفي ظرفه، وثانيًا ليست إلَّاوظيفةً للشَّاكِّ‌؛ كما اشار إليه المحقِّق اللَّاريُّ قدس سره</w:t>
      </w:r>
      <w:r>
        <w:rPr>
          <w:rStyle w:val="FootnoteAnchor"/>
          <w:rtl w:val="true"/>
        </w:rPr>
        <w:footnoteReference w:id="61"/>
      </w:r>
      <w:r>
        <w:rPr>
          <w:rFonts w:ascii="Amiri" w:hAnsi="Amiri" w:eastAsia="Amiri" w:cs="Amiri"/>
          <w:color w:val="111111"/>
          <w:sz w:val="28"/>
          <w:sz w:val="28"/>
          <w:szCs w:val="28"/>
          <w:rtl w:val="true"/>
          <w:lang w:bidi="ar-SA"/>
        </w:rPr>
        <w:t>، والشَّيخ الحائريُّ قدس سره</w:t>
      </w:r>
      <w:r>
        <w:rPr>
          <w:rStyle w:val="FootnoteAnchor"/>
          <w:rtl w:val="true"/>
        </w:rPr>
        <w:footnoteReference w:id="6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عليها ورودَها علىٰ الشَّكِّ‌؛ إلَّاأنَّه في ظرف فقدانها تصلُ النَّوبة إلى القرعة، وهي ترفع الشَّكَّ‌، وليس لها بعد رفع الشَّكِّ شأنٌ آخر أصلًا؛ </w:t>
      </w:r>
      <w:bookmarkStart w:id="48" w:name="pg20337_261366"/>
    </w:p>
    <w:p>
      <w:pPr>
        <w:pStyle w:val="BookText"/>
        <w:rPr/>
      </w:pPr>
      <w:bookmarkEnd w:id="48"/>
      <w:r>
        <w:rPr>
          <w:rFonts w:ascii="Amiri" w:hAnsi="Amiri" w:eastAsia="Amiri" w:cs="Amiri"/>
          <w:color w:val="111111"/>
          <w:sz w:val="28"/>
          <w:sz w:val="28"/>
          <w:szCs w:val="28"/>
          <w:rtl w:val="true"/>
          <w:lang w:bidi="ar-SA"/>
        </w:rPr>
        <w:t xml:space="preserve">وكذلك الأصول، لأنَّها واردةٌ علىٰ القرعة، إذ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لفظيَّةً كانت أو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شأنُها رفعُ الإشكال عمَّا أشكل حكمُه أو جُهِل؛ وعلىٰ الفقيه الإفتاء علىٰ طبق مؤدَّاها، وبعد رفعها إيَّاه لايبقىٰ موردٌ للقرعة حتَّى تجري فيه أو يُعمَل بها؛</w:t>
      </w:r>
    </w:p>
    <w:p>
      <w:pPr>
        <w:pStyle w:val="BookText"/>
        <w:rPr/>
      </w:pPr>
      <w:r>
        <w:rPr>
          <w:rFonts w:ascii="Amiri" w:hAnsi="Amiri" w:eastAsia="Amiri" w:cs="Amiri"/>
          <w:color w:val="111111"/>
          <w:sz w:val="28"/>
          <w:sz w:val="28"/>
          <w:szCs w:val="28"/>
          <w:rtl w:val="true"/>
          <w:lang w:bidi="ar-SA"/>
        </w:rPr>
        <w:t>وهذا واضحٌ حسب العقل والشَّرع لاسترة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القرعة أصلٌ عمليٌّ مؤخَّرٌ عن جميع الأصول والأمارات في مقام الجريان؛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بعضَهم جعله في عداد الأمارات أوَّلًا، ثمَّ أشكل علىٰ نفسه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الأصول كالاِستصحاب واردٌ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أجاب عن إشكاله بأنَّ الاستصحاب لايجري في موردها، فلامورد لوروده عليها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لاأفهم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يكون المراد منه نفسَ ما ذكرناه؛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لوكانت القرعةُ أمارةً فهي مقدَّمةٌ علىٰ الاِستصحاب بلاريبٍ‌، فلاتصل النَّوبة إلى جريان الاِستصحاب في موردها؛</w:t>
      </w:r>
    </w:p>
    <w:p>
      <w:pPr>
        <w:pStyle w:val="BookText"/>
        <w:rPr/>
      </w:pPr>
      <w:r>
        <w:rPr>
          <w:rFonts w:ascii="Amiri" w:hAnsi="Amiri" w:eastAsia="Amiri" w:cs="Amiri"/>
          <w:color w:val="111111"/>
          <w:sz w:val="28"/>
          <w:sz w:val="28"/>
          <w:szCs w:val="28"/>
          <w:rtl w:val="true"/>
          <w:lang w:bidi="ar-SA"/>
        </w:rPr>
        <w:t xml:space="preserve">لكنَّ الكلام كلَّه في عدِّها في عداد الأمارات، إذ ليس لها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الشَّارع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الكاشفيَّة عن الواقع أو الاهتداء إليه، بل العقلاء جعلوا لها الحجِّيَّة تخلُّصًا عن موارد لاخلاص فيها بحسب الأدلَّة والأمارات؛</w:t>
      </w:r>
    </w:p>
    <w:p>
      <w:pPr>
        <w:pStyle w:val="BookText"/>
        <w:rPr/>
      </w:pPr>
      <w:r>
        <w:rPr>
          <w:rFonts w:ascii="Amiri" w:hAnsi="Amiri" w:eastAsia="Amiri" w:cs="Amiri"/>
          <w:color w:val="111111"/>
          <w:sz w:val="28"/>
          <w:sz w:val="28"/>
          <w:szCs w:val="28"/>
          <w:rtl w:val="true"/>
          <w:lang w:bidi="ar-SA"/>
        </w:rPr>
        <w:t>فلامورد لها إلَّاما لايجري فيه أصلٌ أو أمارةٌ‌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11944930_1280447820"/>
      <w:bookmarkStart w:id="50" w:name="_Toc17"/>
      <w:bookmarkEnd w:id="49"/>
      <w:r>
        <w:rPr>
          <w:rtl w:val="true"/>
        </w:rPr>
        <w:t>التَّنبيه الثَّالث</w:t>
      </w:r>
      <w:r>
        <w:rPr>
          <w:rtl w:val="true"/>
        </w:rPr>
        <w:t>:</w:t>
      </w:r>
      <w:bookmarkEnd w:id="50"/>
    </w:p>
    <w:p>
      <w:pPr>
        <w:pStyle w:val="BookText"/>
        <w:rPr/>
      </w:pPr>
      <w:r>
        <w:rPr>
          <w:rFonts w:ascii="Amiri" w:hAnsi="Amiri" w:eastAsia="Amiri" w:cs="Amiri"/>
          <w:color w:val="111111"/>
          <w:sz w:val="28"/>
          <w:sz w:val="28"/>
          <w:szCs w:val="28"/>
          <w:rtl w:val="true"/>
          <w:lang w:bidi="ar-SA"/>
        </w:rPr>
        <w:t>القرعة</w:t>
      </w:r>
      <w:r>
        <w:rPr>
          <w:rStyle w:val="FootnoteAnchor"/>
          <w:rtl w:val="true"/>
        </w:rPr>
        <w:footnoteReference w:id="64"/>
      </w:r>
      <w:r>
        <w:rPr>
          <w:rFonts w:ascii="Amiri" w:hAnsi="Amiri" w:eastAsia="Amiri" w:cs="Amiri"/>
          <w:color w:val="111111"/>
          <w:sz w:val="28"/>
          <w:sz w:val="28"/>
          <w:szCs w:val="28"/>
          <w:rtl w:val="true"/>
          <w:lang w:bidi="ar-SA"/>
        </w:rPr>
        <w:t>لايختصُّ جريانها بوقوعها بمحضرٍ من القاضي، كما عن بعض الأصحاب</w:t>
      </w:r>
      <w:r>
        <w:rPr>
          <w:rStyle w:val="FootnoteAnchor"/>
          <w:rtl w:val="true"/>
        </w:rPr>
        <w:footnoteReference w:id="65"/>
      </w:r>
      <w:r>
        <w:rPr>
          <w:rFonts w:ascii="Amiri" w:hAnsi="Amiri" w:eastAsia="Amiri" w:cs="Amiri"/>
          <w:color w:val="111111"/>
          <w:sz w:val="28"/>
          <w:sz w:val="28"/>
          <w:szCs w:val="28"/>
          <w:rtl w:val="true"/>
          <w:lang w:bidi="ar-SA"/>
        </w:rPr>
        <w:t>، بل هي كما تقع بحضرته تقع بحضرة المُتخالِفَين في الموضوع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هي من شؤون الحُكم والحكومة؛</w:t>
      </w:r>
    </w:p>
    <w:p>
      <w:pPr>
        <w:pStyle w:val="BookText"/>
        <w:rPr/>
      </w:pPr>
      <w:r>
        <w:rPr>
          <w:rFonts w:ascii="IRNazanin" w:hAnsi="IRNazanin" w:eastAsia="IRNazanin"/>
          <w:color w:val="111111"/>
          <w:sz w:val="28"/>
          <w:sz w:val="28"/>
          <w:szCs w:val="28"/>
          <w:rtl w:val="true"/>
          <w:lang w:bidi="fa-IR"/>
        </w:rPr>
        <w:t>بل لااِختصاص لها بباب الحقوق ومنازعاتها؛</w:t>
      </w:r>
    </w:p>
    <w:p>
      <w:pPr>
        <w:pStyle w:val="BookText"/>
        <w:rPr/>
      </w:pPr>
      <w:r>
        <w:rPr>
          <w:rFonts w:ascii="Amiri" w:hAnsi="Amiri" w:eastAsia="Amiri" w:cs="Amiri"/>
          <w:color w:val="111111"/>
          <w:sz w:val="28"/>
          <w:sz w:val="28"/>
          <w:szCs w:val="28"/>
          <w:rtl w:val="true"/>
          <w:lang w:bidi="ar-SA"/>
        </w:rPr>
        <w:t>وأعلىٰ من ذلك أنَّها لاتختصُّ بالمنازعات أصلًا، بل تجري في جميع مشاكل يحدثُ في الحياة الفرديِّ والجَماعيِّ‌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هيهنا عدَّة رواياتٍ تظهر منها خلاف ما اخترناه، فعلينا ذكرُ هذه الرِّوايات أوَّلًا، ثمَّ النَّظر فيها ليظهر جليًّا حقيقة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عدَّة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علَّمَني آيةً من كتاب اللَّه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واحدٌ منهم، ثمَّ مات المولىٰ ولم يُدرَ أيُّهم الَّذي علَّمَه‌؟؛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بالقرعة؛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ولايَستخرِجه إلَّاالإمام، لأنَّ له علىٰ القرعة كلامًا ودعاءً لايعلَمُه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الكلينيُّ قدس سره</w:t>
      </w:r>
      <w:r>
        <w:rPr>
          <w:rStyle w:val="FootnoteAnchor"/>
          <w:rtl w:val="true"/>
        </w:rPr>
        <w:footnoteReference w:id="66"/>
      </w:r>
      <w:r>
        <w:rPr>
          <w:rFonts w:ascii="Amiri" w:hAnsi="Amiri" w:eastAsia="Amiri" w:cs="Amiri"/>
          <w:color w:val="111111"/>
          <w:sz w:val="28"/>
          <w:sz w:val="28"/>
          <w:szCs w:val="28"/>
          <w:rtl w:val="true"/>
          <w:lang w:bidi="ar-SA"/>
        </w:rPr>
        <w:t>، والشَّيخ قدس سره</w:t>
      </w:r>
      <w:r>
        <w:rPr>
          <w:rStyle w:val="FootnoteAnchor"/>
          <w:rtl w:val="true"/>
        </w:rPr>
        <w:footnoteReference w:id="67"/>
      </w:r>
      <w:r>
        <w:rPr>
          <w:rFonts w:ascii="Amiri" w:hAnsi="Amiri" w:eastAsia="Amiri" w:cs="Amiri"/>
          <w:color w:val="111111"/>
          <w:sz w:val="28"/>
          <w:sz w:val="28"/>
          <w:szCs w:val="28"/>
          <w:rtl w:val="true"/>
          <w:lang w:bidi="ar-SA"/>
        </w:rPr>
        <w:t>، والحرُّ قدس سره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السَّند فهو موثَّقٌ‌، وذلك لأنَّ يونس وإن كان مشتركًا بين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يونس </w:t>
      </w:r>
    </w:p>
    <w:p>
      <w:pPr>
        <w:pStyle w:val="BookText"/>
        <w:rPr/>
      </w:pPr>
      <w:r>
        <w:rPr>
          <w:rFonts w:ascii="Amiri" w:hAnsi="Amiri" w:eastAsia="Amiri" w:cs="Amiri"/>
          <w:color w:val="111111"/>
          <w:sz w:val="28"/>
          <w:sz w:val="28"/>
          <w:szCs w:val="28"/>
          <w:rtl w:val="true"/>
          <w:lang w:bidi="ar-SA"/>
        </w:rPr>
        <w:t>بن عبدالرَّحمن، الَّذي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 عالمٌ خيرٌ قمِّيٌّ‌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ترجمة يونس في هذا الكتاب، لكنَّه واردٌ في عبدالعزيز بن المهتدي، لايونس؛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يونس بن ظبيان، الَّذي قال الكشِّيُّ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الكذَّابين المشهورين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والقول نفسه ورد في رجال ابن داود، 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لابأس به، نظرًا إلى أنَّ أجلَّاء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أبي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وصفوان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والبزنطيِّ‌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تأويل قول الكشِّيِّ علىٰ محملٍ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فيونس هيهنا يُعتَمَد عليه وإن لم يكن مبيَّنٌ لنا من هو بالضَّبط؟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فالسَّند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الدِّلالة فللنَّظر في الحديث مجالٌ واسعٌ‌؛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يُنسَب إلى معصومٍ‌، بل لعلَّه من كلام يونس نفسه؛</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 الرِّوايات الكثيرةُ الدالَّة علىٰ جواز قيام غير الإمام عليه السلام بأمر القرعة؛</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قبل القرعة ليس إلَّامستحبًّا، وذلك بضرورة الفقه المستفادة من إجماع الفقهاء</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يُستَخرَج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بعمومه علىٰ عدم اختصاصها بالإمام وإباحتِها لغيره؛</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لوعوَّلنا علىٰ ظهور الحديث فيجبُ اِختصاص جميع المنازعات بالإمام أو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واضح البطلان؛</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بين الحاكم وعموم النَّاس في عدم معرفتهم بالدُّعاء المشار إليه، فهي إذن تختصُّ بالإمام عليه السلام فقط، لا بالحاكم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وطَأَ رجلان أو ثلاثةٌ جاريةً في طُهرٍ واحدٍ فولدَتْ فادَّعوه جميعًا أقرَعَ الوالي بينَهم، فمن قُرِعَ كان </w:t>
      </w:r>
    </w:p>
    <w:p>
      <w:pPr>
        <w:pStyle w:val="BookText"/>
        <w:rPr/>
      </w:pPr>
      <w:r>
        <w:rPr>
          <w:rFonts w:ascii="Amiri" w:hAnsi="Amiri" w:eastAsia="Amiri" w:cs="Amiri"/>
          <w:color w:val="111111"/>
          <w:sz w:val="28"/>
          <w:sz w:val="28"/>
          <w:szCs w:val="28"/>
          <w:rtl w:val="true"/>
          <w:lang w:bidi="ar-SA"/>
        </w:rPr>
        <w:t>الولَدُ ولدَه ويُرَدُّ قيمةَ الولد علىٰ صاحب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الصَّدوق قدس سره</w:t>
      </w:r>
      <w:r>
        <w:rPr>
          <w:rStyle w:val="FootnoteAnchor"/>
          <w:rtl w:val="true"/>
        </w:rPr>
        <w:footnoteReference w:id="71"/>
      </w:r>
      <w:r>
        <w:rPr>
          <w:rFonts w:ascii="Amiri" w:hAnsi="Amiri" w:eastAsia="Amiri" w:cs="Amiri"/>
          <w:color w:val="111111"/>
          <w:sz w:val="28"/>
          <w:sz w:val="28"/>
          <w:szCs w:val="28"/>
          <w:rtl w:val="true"/>
          <w:lang w:bidi="ar-SA"/>
        </w:rPr>
        <w:t>، والشَّيخ قدس سره في تهذيبه</w:t>
      </w:r>
      <w:r>
        <w:rPr>
          <w:rStyle w:val="FootnoteAnchor"/>
          <w:rtl w:val="true"/>
        </w:rPr>
        <w:footnoteReference w:id="72"/>
      </w:r>
      <w:r>
        <w:rPr>
          <w:rFonts w:ascii="IRNazanin" w:hAnsi="IRNazanin" w:eastAsia="IRNazanin"/>
          <w:color w:val="111111"/>
          <w:sz w:val="28"/>
          <w:sz w:val="28"/>
          <w:szCs w:val="28"/>
          <w:rtl w:val="true"/>
          <w:lang w:bidi="fa-IR"/>
        </w:rPr>
        <w:t>، واستبصاره</w:t>
      </w:r>
      <w:r>
        <w:rPr>
          <w:rStyle w:val="FootnoteAnchor"/>
          <w:rtl w:val="true"/>
        </w:rPr>
        <w:footnoteReference w:id="73"/>
      </w:r>
      <w:r>
        <w:rPr>
          <w:rFonts w:ascii="Amiri" w:hAnsi="Amiri" w:eastAsia="Amiri" w:cs="Amiri"/>
          <w:color w:val="111111"/>
          <w:sz w:val="28"/>
          <w:sz w:val="28"/>
          <w:szCs w:val="28"/>
          <w:rtl w:val="true"/>
          <w:lang w:bidi="ar-SA"/>
        </w:rPr>
        <w:t>، والشَّيخ الحرِّ قدس سره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عندنا صحيحٌ لا إشكال فيه؛ حيث إنَّه وإن وقعَ فيه الحكَمُ بن مسكينٍ‌</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ونصَّ علىٰ ذلك المحقِّق الحكيم المير سيِّد احمد العلويُّ العامليُّ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بن مسكينٍ‌، وهو في الرِّجال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الأخيار،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أسانيد ابن أبي عُميرٍ</w:t>
      </w:r>
      <w:r>
        <w:rPr>
          <w:rStyle w:val="FootnoteAnchor"/>
          <w:rtl w:val="true"/>
        </w:rPr>
        <w:footnoteReference w:id="76"/>
      </w:r>
      <w:r>
        <w:rPr>
          <w:rFonts w:ascii="Amiri" w:hAnsi="Amiri" w:eastAsia="Amiri" w:cs="Amiri"/>
          <w:color w:val="111111"/>
          <w:sz w:val="28"/>
          <w:sz w:val="28"/>
          <w:szCs w:val="28"/>
          <w:rtl w:val="true"/>
          <w:lang w:bidi="ar-SA"/>
        </w:rPr>
        <w:t>، والبزنطيِّ‌</w:t>
      </w:r>
      <w:r>
        <w:rPr>
          <w:rStyle w:val="FootnoteAnchor"/>
          <w:rtl w:val="true"/>
        </w:rPr>
        <w:footnoteReference w:id="77"/>
      </w:r>
      <w:r>
        <w:rPr>
          <w:rFonts w:ascii="Amiri" w:hAnsi="Amiri" w:eastAsia="Amiri" w:cs="Amiri"/>
          <w:color w:val="111111"/>
          <w:sz w:val="28"/>
          <w:sz w:val="28"/>
          <w:szCs w:val="28"/>
          <w:rtl w:val="true"/>
          <w:lang w:bidi="ar-SA"/>
        </w:rPr>
        <w:t>، وعليِّ بن إبراهيم</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كثيرًا، فرواية هؤلاء الأجلَّاء عنه تدلُّ علىٰ توثيقه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جمعٍ من الأكابر إيَّاه، كالمحقِّقٖين الحلِّيِّ‌</w:t>
      </w:r>
      <w:r>
        <w:rPr>
          <w:rStyle w:val="FootnoteAnchor"/>
          <w:rtl w:val="true"/>
        </w:rPr>
        <w:footnoteReference w:id="79"/>
      </w:r>
      <w:r>
        <w:rPr>
          <w:rFonts w:ascii="Amiri" w:hAnsi="Amiri" w:eastAsia="Amiri" w:cs="Amiri"/>
          <w:color w:val="111111"/>
          <w:sz w:val="28"/>
          <w:sz w:val="28"/>
          <w:szCs w:val="28"/>
          <w:rtl w:val="true"/>
          <w:lang w:bidi="ar-SA"/>
        </w:rPr>
        <w:t>، والبهبهانيِّ‌</w:t>
      </w:r>
      <w:r>
        <w:rPr>
          <w:rStyle w:val="FootnoteAnchor"/>
          <w:rtl w:val="true"/>
        </w:rPr>
        <w:footnoteReference w:id="80"/>
      </w:r>
      <w:r>
        <w:rPr>
          <w:rFonts w:ascii="Amiri" w:hAnsi="Amiri" w:eastAsia="Amiri" w:cs="Amiri"/>
          <w:color w:val="111111"/>
          <w:sz w:val="28"/>
          <w:sz w:val="28"/>
          <w:szCs w:val="28"/>
          <w:rtl w:val="true"/>
          <w:lang w:bidi="ar-SA"/>
        </w:rPr>
        <w:t>، والفيض</w:t>
      </w:r>
      <w:r>
        <w:rPr>
          <w:rStyle w:val="FootnoteAnchor"/>
          <w:rtl w:val="true"/>
        </w:rPr>
        <w:footnoteReference w:id="81"/>
      </w:r>
      <w:r>
        <w:rPr>
          <w:rFonts w:ascii="Amiri" w:hAnsi="Amiri" w:eastAsia="Amiri" w:cs="Amiri"/>
          <w:color w:val="111111"/>
          <w:sz w:val="28"/>
          <w:sz w:val="28"/>
          <w:szCs w:val="28"/>
          <w:rtl w:val="true"/>
          <w:lang w:bidi="ar-SA"/>
        </w:rPr>
        <w:t>، والنُّوريِّ‌</w:t>
      </w:r>
      <w:r>
        <w:rPr>
          <w:rStyle w:val="FootnoteAnchor"/>
          <w:rtl w:val="true"/>
        </w:rPr>
        <w:footnoteReference w:id="82"/>
      </w:r>
      <w:r>
        <w:rPr>
          <w:rFonts w:ascii="Amiri" w:hAnsi="Amiri" w:eastAsia="Amiri" w:cs="Amiri"/>
          <w:color w:val="111111"/>
          <w:sz w:val="28"/>
          <w:sz w:val="28"/>
          <w:szCs w:val="28"/>
          <w:rtl w:val="true"/>
          <w:lang w:bidi="ar-SA"/>
        </w:rPr>
        <w:t>، والمامقانيِّ‌</w:t>
      </w:r>
      <w:r>
        <w:rPr>
          <w:rStyle w:val="FootnoteAnchor"/>
          <w:rtl w:val="true"/>
        </w:rPr>
        <w:footnoteReference w:id="83"/>
      </w:r>
      <w:r>
        <w:rPr>
          <w:rFonts w:ascii="Amiri" w:hAnsi="Amiri" w:eastAsia="Amiri" w:cs="Amiri"/>
          <w:color w:val="111111"/>
          <w:sz w:val="28"/>
          <w:sz w:val="28"/>
          <w:szCs w:val="28"/>
          <w:rtl w:val="true"/>
          <w:lang w:bidi="ar-SA"/>
        </w:rPr>
        <w:t>وهؤلاء وإن كانوا من متأخِّري الأصحاب إلَّا أنَّ توثيقَهم بانضمام الجهة الأولىٰ يفيد القطع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حكم بصحَّتِها الموسويُّ العامليُّ قدس سره</w:t>
      </w:r>
      <w:r>
        <w:rPr>
          <w:rStyle w:val="FootnoteAnchor"/>
          <w:rtl w:val="true"/>
        </w:rPr>
        <w:footnoteReference w:id="84"/>
      </w:r>
      <w:r>
        <w:rPr>
          <w:rFonts w:ascii="Amiri" w:hAnsi="Amiri" w:eastAsia="Amiri" w:cs="Amiri"/>
          <w:color w:val="111111"/>
          <w:sz w:val="28"/>
          <w:sz w:val="28"/>
          <w:szCs w:val="28"/>
          <w:rtl w:val="true"/>
          <w:lang w:bidi="ar-SA"/>
        </w:rPr>
        <w:t>، وثاني المجلسيَّين</w:t>
      </w:r>
      <w:r>
        <w:rPr>
          <w:rStyle w:val="FootnoteAnchor"/>
          <w:rtl w:val="true"/>
        </w:rPr>
        <w:footnoteReference w:id="85"/>
      </w:r>
      <w:r>
        <w:rPr>
          <w:rFonts w:ascii="Amiri" w:hAnsi="Amiri" w:eastAsia="Amiri" w:cs="Amiri"/>
          <w:color w:val="111111"/>
          <w:sz w:val="28"/>
          <w:sz w:val="28"/>
          <w:szCs w:val="28"/>
          <w:rtl w:val="true"/>
          <w:lang w:bidi="ar-SA"/>
        </w:rPr>
        <w:t>، وحكم أوَّلُهما قدس سرهما بكونها قويًّا</w:t>
      </w:r>
      <w:r>
        <w:rPr>
          <w:rStyle w:val="FootnoteAnchor"/>
          <w:rtl w:val="true"/>
        </w:rPr>
        <w:footnoteReference w:id="86"/>
      </w:r>
      <w:r>
        <w:rPr>
          <w:rFonts w:ascii="Amiri" w:hAnsi="Amiri" w:eastAsia="Amiri" w:cs="Amiri"/>
          <w:color w:val="111111"/>
          <w:sz w:val="28"/>
          <w:sz w:val="28"/>
          <w:szCs w:val="28"/>
          <w:rtl w:val="true"/>
          <w:lang w:bidi="ar-SA"/>
        </w:rPr>
        <w:t>، وذلك لاختلالف أسانيد الحديث عند المشايخ؛ ولذلك قال البحرانيُّ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مارواه في التَّهذيب عن معاوية بن عمَّارٍ في الصَّحيح والصَّدوق عنه في الضَّعيف</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المتن لايدلُّ علىٰ أزيدَ من وجوب الرُّجوع إلى الوالي في باب المنازعات الحقوقيَّة، ووجوب رفع المخاصمة عليه، والإقتراع من طرُق الرَّفع؛</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الرِّواية في مقام تخطئة المختار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عن أحدهما،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لاتكون إلَّاللإمام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علىٰ ما رواها الشَّيخُ قدس سره</w:t>
      </w:r>
      <w:r>
        <w:rPr>
          <w:rStyle w:val="FootnoteAnchor"/>
          <w:rtl w:val="true"/>
        </w:rPr>
        <w:footnoteReference w:id="89"/>
      </w:r>
      <w:r>
        <w:rPr>
          <w:rFonts w:ascii="Amiri" w:hAnsi="Amiri" w:eastAsia="Amiri" w:cs="Amiri"/>
          <w:color w:val="111111"/>
          <w:sz w:val="28"/>
          <w:sz w:val="28"/>
          <w:szCs w:val="28"/>
          <w:rtl w:val="true"/>
          <w:lang w:bidi="ar-SA"/>
        </w:rPr>
        <w:t>، والفيض قدس سره</w:t>
      </w:r>
      <w:r>
        <w:rPr>
          <w:rStyle w:val="FootnoteAnchor"/>
          <w:rtl w:val="true"/>
        </w:rPr>
        <w:footnoteReference w:id="90"/>
      </w:r>
      <w:r>
        <w:rPr>
          <w:rFonts w:ascii="Amiri" w:hAnsi="Amiri" w:eastAsia="Amiri" w:cs="Amiri"/>
          <w:color w:val="111111"/>
          <w:sz w:val="28"/>
          <w:sz w:val="28"/>
          <w:szCs w:val="28"/>
          <w:rtl w:val="true"/>
          <w:lang w:bidi="ar-SA"/>
        </w:rPr>
        <w:t>، والحرُّ قدس سره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فلابأس به بعد كون المرسِل هو حمَّاد، الَّذي يُعدُّ من أصحاب الإجماع</w:t>
      </w:r>
      <w:r>
        <w:rPr>
          <w:rStyle w:val="FootnoteAnchor"/>
          <w:rtl w:val="true"/>
        </w:rPr>
        <w:footnoteReference w:id="92"/>
      </w:r>
      <w:r>
        <w:rPr>
          <w:rFonts w:ascii="Amiri" w:hAnsi="Amiri" w:eastAsia="Amiri" w:cs="Amiri"/>
          <w:color w:val="111111"/>
          <w:sz w:val="28"/>
          <w:sz w:val="28"/>
          <w:szCs w:val="28"/>
          <w:rtl w:val="true"/>
          <w:lang w:bidi="ar-SA"/>
        </w:rPr>
        <w:t>، فهو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للمحقِّق المجلسيِّ قدس سره حيث اقتصر علىٰ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ووفاقًا للمحقِّق القمِّيِّ قدس سره حيث صحَّحه</w:t>
      </w:r>
      <w:r>
        <w:rPr>
          <w:rStyle w:val="FootnoteAnchor"/>
          <w:rtl w:val="true"/>
        </w:rPr>
        <w:footnoteReference w:id="94"/>
      </w:r>
      <w:r>
        <w:rPr>
          <w:rFonts w:ascii="Amiri" w:hAnsi="Amiri" w:eastAsia="Amiri" w:cs="Amiri"/>
          <w:color w:val="111111"/>
          <w:sz w:val="28"/>
          <w:sz w:val="28"/>
          <w:szCs w:val="28"/>
          <w:rtl w:val="true"/>
          <w:lang w:bidi="ar-SA"/>
        </w:rPr>
        <w:t>، وللمحقِّق الحائريِّ ابن الشَّيخ قدس سرهما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 حمَّاد المعتبر</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المتن فهو العمدة في الباب، لتعارضه الرِّوايات الكثيرة الواردة لبيان عدم اختصاص الإقتراع بالإمام عليه السلام، بل هو حجَّةٌ له عليه السلام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ولايمكن تخصيص تلك العمومات الكثيرة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للزوم التَّخصيص المستهجَن إذن أوَّلًا؛</w:t>
      </w:r>
    </w:p>
    <w:p>
      <w:pPr>
        <w:pStyle w:val="BookText"/>
        <w:rPr/>
      </w:pPr>
      <w:r>
        <w:rPr>
          <w:rFonts w:ascii="Amiri" w:hAnsi="Amiri" w:eastAsia="Amiri" w:cs="Amiri"/>
          <w:color w:val="111111"/>
          <w:sz w:val="28"/>
          <w:sz w:val="28"/>
          <w:szCs w:val="28"/>
          <w:rtl w:val="true"/>
          <w:lang w:bidi="ar-SA"/>
        </w:rPr>
        <w:t>ولمخالفتها الكتاب والسُّنَّة والإجماع ثانيًا؛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ولتخالفها مع السِّيرة العامَّة ثالثًا؛ </w:t>
      </w:r>
    </w:p>
    <w:p>
      <w:pPr>
        <w:pStyle w:val="BookText"/>
        <w:rPr/>
      </w:pPr>
      <w:r>
        <w:rPr>
          <w:rFonts w:ascii="Amiri" w:hAnsi="Amiri" w:eastAsia="Amiri" w:cs="Amiri"/>
          <w:color w:val="111111"/>
          <w:sz w:val="28"/>
          <w:sz w:val="28"/>
          <w:szCs w:val="28"/>
          <w:rtl w:val="true"/>
          <w:lang w:bidi="ar-SA"/>
        </w:rPr>
        <w:t>فإذن لا سبيل إلَّاإلى رفض الرِّواية وعدمِ جعلها 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عدَّةَ رواياتٍ تدلُّ علىٰ أنَّ القرعة يُخرَج بها سهمُ المحِقِّ له، قد أشرنا إلى بعضها،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عبدالرَّحمن بن أبي نجران عن عاصم بن حُمَيدٍ عن بعض أصحابنا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رسولُاللَّه صلى الله عليه و آله عليًّا عليه السلام إلى اليمن، فقال له حين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بأعجب ما ورد عليك‌؟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قومٌ قد تبايعوا جاريةً فوطأها جميعُهم في طُهرٍ واحدٍ، فولدَتْ غلامًا، فاحتجُّوا فيه كلُّهم يدَّعيه، فأسهمتُ بينَهم فجعلتُه للَّذي خرج سهمه وضمَّنتُه نصيبَهم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قومٍ تنازعوا ثمَّ فوَّضوا أمرَهم إلى اللَّه إلَّاخرج سهمُ الُمحِقِّ‌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الكلينيِّ قدس سره</w:t>
      </w:r>
      <w:r>
        <w:rPr>
          <w:rStyle w:val="FootnoteAnchor"/>
          <w:rtl w:val="true"/>
        </w:rPr>
        <w:footnoteReference w:id="96"/>
      </w:r>
      <w:r>
        <w:rPr>
          <w:rFonts w:ascii="Amiri" w:hAnsi="Amiri" w:eastAsia="Amiri" w:cs="Amiri"/>
          <w:color w:val="111111"/>
          <w:sz w:val="28"/>
          <w:sz w:val="28"/>
          <w:szCs w:val="28"/>
          <w:rtl w:val="true"/>
          <w:lang w:bidi="ar-SA"/>
        </w:rPr>
        <w:t>، والصَّدوق قدس سره</w:t>
      </w:r>
      <w:r>
        <w:rPr>
          <w:rStyle w:val="FootnoteAnchor"/>
          <w:rtl w:val="true"/>
        </w:rPr>
        <w:footnoteReference w:id="97"/>
      </w:r>
      <w:r>
        <w:rPr>
          <w:rFonts w:ascii="Amiri" w:hAnsi="Amiri" w:eastAsia="Amiri" w:cs="Amiri"/>
          <w:color w:val="111111"/>
          <w:sz w:val="28"/>
          <w:sz w:val="28"/>
          <w:szCs w:val="28"/>
          <w:rtl w:val="true"/>
          <w:lang w:bidi="ar-SA"/>
        </w:rPr>
        <w:t>، والشَّيخ قدس سره في تهذيبه</w:t>
      </w:r>
      <w:r>
        <w:rPr>
          <w:rStyle w:val="FootnoteAnchor"/>
          <w:rtl w:val="true"/>
        </w:rPr>
        <w:footnoteReference w:id="98"/>
      </w:r>
      <w:r>
        <w:rPr>
          <w:rFonts w:ascii="IRNazanin" w:hAnsi="IRNazanin" w:eastAsia="IRNazanin"/>
          <w:color w:val="111111"/>
          <w:sz w:val="28"/>
          <w:sz w:val="28"/>
          <w:szCs w:val="28"/>
          <w:rtl w:val="true"/>
          <w:lang w:bidi="fa-IR"/>
        </w:rPr>
        <w:t>، واستبصاره</w:t>
      </w:r>
      <w:r>
        <w:rPr>
          <w:rStyle w:val="FootnoteAnchor"/>
          <w:rtl w:val="true"/>
        </w:rPr>
        <w:footnoteReference w:id="99"/>
      </w:r>
      <w:r>
        <w:rPr>
          <w:rFonts w:ascii="Amiri" w:hAnsi="Amiri" w:eastAsia="Amiri" w:cs="Amiri"/>
          <w:color w:val="111111"/>
          <w:sz w:val="28"/>
          <w:sz w:val="28"/>
          <w:szCs w:val="28"/>
          <w:rtl w:val="true"/>
          <w:lang w:bidi="ar-SA"/>
        </w:rPr>
        <w:t>، والشَّيخ الحرِّ قدس سره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لابأس به وإنْ حسَّنَه ثاني الشَّهيدين قدس سرهما</w:t>
      </w:r>
      <w:r>
        <w:rPr>
          <w:rStyle w:val="FootnoteAnchor"/>
          <w:rtl w:val="true"/>
        </w:rPr>
        <w:footnoteReference w:id="101"/>
      </w:r>
      <w:r>
        <w:rPr>
          <w:rFonts w:ascii="Amiri" w:hAnsi="Amiri" w:eastAsia="Amiri" w:cs="Amiri"/>
          <w:color w:val="111111"/>
          <w:sz w:val="28"/>
          <w:sz w:val="28"/>
          <w:szCs w:val="28"/>
          <w:rtl w:val="true"/>
          <w:lang w:bidi="ar-SA"/>
        </w:rPr>
        <w:t>، وثاني المجلسيَّين قدس سرهما</w:t>
      </w:r>
      <w:r>
        <w:rPr>
          <w:rStyle w:val="FootnoteAnchor"/>
          <w:rtl w:val="true"/>
        </w:rPr>
        <w:footnoteReference w:id="102"/>
      </w:r>
      <w:r>
        <w:rPr>
          <w:rFonts w:ascii="Amiri" w:hAnsi="Amiri" w:eastAsia="Amiri" w:cs="Amiri"/>
          <w:color w:val="111111"/>
          <w:sz w:val="28"/>
          <w:sz w:val="28"/>
          <w:szCs w:val="28"/>
          <w:rtl w:val="true"/>
          <w:lang w:bidi="ar-SA"/>
        </w:rPr>
        <w:t xml:space="preserve">، ثمَّ‌ </w:t>
      </w:r>
    </w:p>
    <w:p>
      <w:pPr>
        <w:pStyle w:val="BookText"/>
        <w:rPr/>
      </w:pPr>
      <w:r>
        <w:rPr>
          <w:rFonts w:ascii="Amiri" w:hAnsi="Amiri" w:eastAsia="Amiri" w:cs="Amiri"/>
          <w:color w:val="111111"/>
          <w:sz w:val="28"/>
          <w:sz w:val="28"/>
          <w:szCs w:val="28"/>
          <w:rtl w:val="true"/>
          <w:lang w:bidi="ar-SA"/>
        </w:rPr>
        <w:t>جعل سنده في التَّهذيب مرسلًا</w:t>
      </w:r>
      <w:r>
        <w:rPr>
          <w:rStyle w:val="FootnoteAnchor"/>
          <w:rtl w:val="true"/>
        </w:rPr>
        <w:footnoteReference w:id="103"/>
      </w:r>
      <w:r>
        <w:rPr>
          <w:rFonts w:ascii="Amiri" w:hAnsi="Amiri" w:eastAsia="Amiri" w:cs="Amiri"/>
          <w:color w:val="111111"/>
          <w:sz w:val="28"/>
          <w:sz w:val="28"/>
          <w:szCs w:val="28"/>
          <w:rtl w:val="true"/>
          <w:lang w:bidi="ar-SA"/>
        </w:rPr>
        <w:t>وقد صحَّحه أوَّل المجلسيَّين قدس سرهما</w:t>
      </w:r>
      <w:r>
        <w:rPr>
          <w:rStyle w:val="FootnoteAnchor"/>
          <w:rtl w:val="true"/>
        </w:rPr>
        <w:footnoteReference w:id="104"/>
      </w:r>
      <w:r>
        <w:rPr>
          <w:rFonts w:ascii="Amiri" w:hAnsi="Amiri" w:eastAsia="Amiri" w:cs="Amiri"/>
          <w:color w:val="111111"/>
          <w:sz w:val="28"/>
          <w:sz w:val="28"/>
          <w:szCs w:val="28"/>
          <w:rtl w:val="true"/>
          <w:lang w:bidi="ar-SA"/>
        </w:rPr>
        <w:t>، والمحقِّق البحرانيُّ قدس سره</w:t>
      </w:r>
      <w:r>
        <w:rPr>
          <w:rStyle w:val="FootnoteAnchor"/>
          <w:rtl w:val="true"/>
        </w:rPr>
        <w:footnoteReference w:id="10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في تفسيره عن الُّثمالي عن أبي جعفرٍ عليه السلام في حديثِ يونسَ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فوقَعَتْ السِّهام عليه، فجرت السُّنَّة، أنَّ السِّهام إذا كانت ثلاثَ مرَّاتٍ أنَّها لاتُخطىءُ‌، فألقىٰ نفسَه فالتقمَه الحوتُ‌</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ورواه الشَّيخ الحرُّ</w:t>
      </w:r>
      <w:r>
        <w:rPr>
          <w:rStyle w:val="FootnoteAnchor"/>
          <w:rtl w:val="true"/>
        </w:rPr>
        <w:footnoteReference w:id="10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وتلك الطَّائفة صريحةٌ في أنَّ القرعة تُعيِّن المحقَّ من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عليها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غالب هذه الموارد حقٌّ أو واقعٌ معلومٌ في علم اللَّه حتَّى تُعيِّنه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التَّقرير لامناص من جعْل القرعةِ في عداد الأمارات؛ فهي أمارةٌ مُعيِّنة للواقع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كما تجري في ما إذا كان أحدُ المتخاصِمَين علىٰ الحقِّ‌، تجري في ما إذا كان المتخاصمان كِلاهما مبطِلَين في دعواهما غير مُحِقَّين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هو الَّذي أورده الطَّيَّار علىٰ الزُّرارة في الحديث الأوَّل المنقول من هذه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أجاب عن الإشكال السَّيِّد الأستاذ الإمام الخمينيُّ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من هذه الطَّائفة أنَّ القرعة تُعيِّن المنكرَ وتميِّزه عن المدَّعي، فإذن عليه اليمين وعلىٰ من أنكره في دعواه إقامة الحجَّة والبيِّنة لاثبات إنكاره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قدس سره استشهد بصحيحة الحلبيِّ الوارد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فأيُّهم قُرِعَ فعليه اليمينُ وهو أولىٰ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باختلافٍ يسيرٍ الصَّدوق قدس سره</w:t>
      </w:r>
      <w:r>
        <w:rPr>
          <w:rStyle w:val="FootnoteAnchor"/>
          <w:rtl w:val="true"/>
        </w:rPr>
        <w:footnoteReference w:id="109"/>
      </w:r>
      <w:r>
        <w:rPr>
          <w:rFonts w:ascii="Amiri" w:hAnsi="Amiri" w:eastAsia="Amiri" w:cs="Amiri"/>
          <w:color w:val="111111"/>
          <w:sz w:val="28"/>
          <w:sz w:val="28"/>
          <w:szCs w:val="28"/>
          <w:rtl w:val="true"/>
          <w:lang w:bidi="ar-SA"/>
        </w:rPr>
        <w:t>، والشَّيخ قدس سره في تهذيبه</w:t>
      </w:r>
      <w:r>
        <w:rPr>
          <w:rStyle w:val="FootnoteAnchor"/>
          <w:rtl w:val="true"/>
        </w:rPr>
        <w:footnoteReference w:id="110"/>
      </w:r>
      <w:r>
        <w:rPr>
          <w:rFonts w:ascii="IRNazanin" w:hAnsi="IRNazanin" w:eastAsia="IRNazanin"/>
          <w:color w:val="111111"/>
          <w:sz w:val="28"/>
          <w:sz w:val="28"/>
          <w:szCs w:val="28"/>
          <w:rtl w:val="true"/>
          <w:lang w:bidi="fa-IR"/>
        </w:rPr>
        <w:t>، واستبصاره</w:t>
      </w:r>
      <w:r>
        <w:rPr>
          <w:rStyle w:val="FootnoteAnchor"/>
          <w:rtl w:val="true"/>
        </w:rPr>
        <w:footnoteReference w:id="111"/>
      </w:r>
      <w:r>
        <w:rPr>
          <w:rFonts w:ascii="Amiri" w:hAnsi="Amiri" w:eastAsia="Amiri" w:cs="Amiri"/>
          <w:color w:val="111111"/>
          <w:sz w:val="28"/>
          <w:sz w:val="28"/>
          <w:szCs w:val="28"/>
          <w:rtl w:val="true"/>
          <w:lang w:bidi="ar-SA"/>
        </w:rPr>
        <w:t>، والشَّيخ الحرُّ قدس سره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ثاني الشَّهيدَين قدس سرهما</w:t>
      </w:r>
      <w:r>
        <w:rPr>
          <w:rStyle w:val="FootnoteAnchor"/>
          <w:rtl w:val="true"/>
        </w:rPr>
        <w:footnoteReference w:id="113"/>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114"/>
      </w:r>
      <w:r>
        <w:rPr>
          <w:rFonts w:ascii="Amiri" w:hAnsi="Amiri" w:eastAsia="Amiri" w:cs="Amiri"/>
          <w:color w:val="111111"/>
          <w:sz w:val="28"/>
          <w:sz w:val="28"/>
          <w:szCs w:val="28"/>
          <w:rtl w:val="true"/>
          <w:lang w:bidi="ar-SA"/>
        </w:rPr>
        <w:t>، والمجلسيِّ الأوَّل قدس سرهما</w:t>
      </w:r>
      <w:r>
        <w:rPr>
          <w:rStyle w:val="FootnoteAnchor"/>
          <w:rtl w:val="true"/>
        </w:rPr>
        <w:footnoteReference w:id="115"/>
      </w:r>
      <w:r>
        <w:rPr>
          <w:rFonts w:ascii="Amiri" w:hAnsi="Amiri" w:eastAsia="Amiri" w:cs="Amiri"/>
          <w:color w:val="111111"/>
          <w:sz w:val="28"/>
          <w:sz w:val="28"/>
          <w:szCs w:val="28"/>
          <w:rtl w:val="true"/>
          <w:lang w:bidi="ar-SA"/>
        </w:rPr>
        <w:t>، والمحقِّق السَّبزواريِّ قدس سره</w:t>
      </w:r>
      <w:r>
        <w:rPr>
          <w:rStyle w:val="FootnoteAnchor"/>
          <w:rtl w:val="true"/>
        </w:rPr>
        <w:footnoteReference w:id="116"/>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السَّادس</w:t>
      </w:r>
      <w:r>
        <w:rPr>
          <w:rStyle w:val="FootnoteAnchor"/>
          <w:rtl w:val="true"/>
        </w:rPr>
        <w:footnoteReference w:id="117"/>
      </w:r>
      <w:r>
        <w:rPr>
          <w:rFonts w:ascii="Amiri" w:hAnsi="Amiri" w:eastAsia="Amiri" w:cs="Amiri"/>
          <w:color w:val="111111"/>
          <w:sz w:val="28"/>
          <w:sz w:val="28"/>
          <w:szCs w:val="28"/>
          <w:rtl w:val="true"/>
          <w:lang w:bidi="ar-SA"/>
        </w:rPr>
        <w:t>والثَّامن</w:t>
      </w:r>
      <w:r>
        <w:rPr>
          <w:rStyle w:val="FootnoteAnchor"/>
          <w:rtl w:val="true"/>
        </w:rPr>
        <w:footnoteReference w:id="118"/>
      </w:r>
      <w:r>
        <w:rPr>
          <w:rFonts w:ascii="IRNazanin" w:hAnsi="IRNazanin" w:eastAsia="IRNazanin"/>
          <w:color w:val="111111"/>
          <w:sz w:val="28"/>
          <w:sz w:val="28"/>
          <w:szCs w:val="28"/>
          <w:rtl w:val="true"/>
          <w:lang w:bidi="fa-IR"/>
        </w:rPr>
        <w:t>من نفس الباب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علىٰ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مضافًا إلى أنَّ القرعة لاتختصُّ بباب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مرَّ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اِستظهاره هذا ينافي ما نصَّ عليه غيرُها من روايات نفس الباب؛</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عبدالرَّحمن بن أبي عبداللَّه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إذا أتاه رجلان بشهود عَدْلُهُم سواءٌ وعددُهُم أقرَعَ بينَهُم علىٰ أيِّهما تصيرُ اليمينُ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ربِّ السَّمواتِ السَّبعِ أيُّهُم كان له الحقُّ فأدِّه إليه ثمَّ يجعل الحقَّ للَّذي يصير عليه اليمينُ إذا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الكلينيِّ قدس سره</w:t>
      </w:r>
      <w:r>
        <w:rPr>
          <w:rStyle w:val="FootnoteAnchor"/>
          <w:rtl w:val="true"/>
        </w:rPr>
        <w:footnoteReference w:id="119"/>
      </w:r>
      <w:r>
        <w:rPr>
          <w:rFonts w:ascii="Amiri" w:hAnsi="Amiri" w:eastAsia="Amiri" w:cs="Amiri"/>
          <w:color w:val="111111"/>
          <w:sz w:val="28"/>
          <w:sz w:val="28"/>
          <w:szCs w:val="28"/>
          <w:rtl w:val="true"/>
          <w:lang w:bidi="ar-SA"/>
        </w:rPr>
        <w:t>، والشَّيخ قدس سره</w:t>
      </w:r>
      <w:r>
        <w:rPr>
          <w:rStyle w:val="FootnoteAnchor"/>
          <w:rtl w:val="true"/>
        </w:rPr>
        <w:footnoteReference w:id="120"/>
      </w:r>
      <w:r>
        <w:rPr>
          <w:rFonts w:ascii="Amiri" w:hAnsi="Amiri" w:eastAsia="Amiri" w:cs="Amiri"/>
          <w:color w:val="111111"/>
          <w:sz w:val="28"/>
          <w:sz w:val="28"/>
          <w:szCs w:val="28"/>
          <w:rtl w:val="true"/>
          <w:lang w:bidi="ar-SA"/>
        </w:rPr>
        <w:t>، والشَّيخ الحرِّ قدس سره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وإن ضعَّفه العلَّامة المجلسيُّ قدس سره في مرآته</w:t>
      </w:r>
      <w:r>
        <w:rPr>
          <w:rStyle w:val="FootnoteAnchor"/>
          <w:rtl w:val="true"/>
        </w:rPr>
        <w:footnoteReference w:id="122"/>
      </w:r>
      <w:r>
        <w:rPr>
          <w:rFonts w:ascii="IRNazanin" w:hAnsi="IRNazanin" w:eastAsia="IRNazanin"/>
          <w:color w:val="111111"/>
          <w:sz w:val="28"/>
          <w:sz w:val="28"/>
          <w:szCs w:val="28"/>
          <w:rtl w:val="true"/>
          <w:lang w:bidi="fa-IR"/>
        </w:rPr>
        <w:t>، وملاذه</w:t>
      </w:r>
      <w:r>
        <w:rPr>
          <w:rStyle w:val="FootnoteAnchor"/>
          <w:rtl w:val="true"/>
        </w:rPr>
        <w:footnoteReference w:id="123"/>
      </w:r>
      <w:r>
        <w:rPr>
          <w:rFonts w:ascii="Amiri" w:hAnsi="Amiri" w:eastAsia="Amiri" w:cs="Amiri"/>
          <w:color w:val="111111"/>
          <w:sz w:val="28"/>
          <w:sz w:val="28"/>
          <w:szCs w:val="28"/>
          <w:rtl w:val="true"/>
          <w:lang w:bidi="ar-SA"/>
        </w:rPr>
        <w:t>، لكنَّه صحيحٌ عندنا كما عن المحقِّق النَّراقيِّ قدس سره</w:t>
      </w:r>
      <w:r>
        <w:rPr>
          <w:rStyle w:val="FootnoteAnchor"/>
          <w:rtl w:val="true"/>
        </w:rPr>
        <w:footnoteReference w:id="124"/>
      </w:r>
      <w:r>
        <w:rPr>
          <w:rFonts w:ascii="Amiri" w:hAnsi="Amiri" w:eastAsia="Amiri" w:cs="Amiri"/>
          <w:color w:val="111111"/>
          <w:sz w:val="28"/>
          <w:sz w:val="28"/>
          <w:szCs w:val="28"/>
          <w:rtl w:val="true"/>
          <w:lang w:bidi="ar-SA"/>
        </w:rPr>
        <w:t>، والمراغيِّ قدس سره</w:t>
      </w:r>
      <w:r>
        <w:rPr>
          <w:rStyle w:val="FootnoteAnchor"/>
          <w:rtl w:val="true"/>
        </w:rPr>
        <w:footnoteReference w:id="125"/>
      </w:r>
      <w:r>
        <w:rPr>
          <w:rFonts w:ascii="Amiri" w:hAnsi="Amiri" w:eastAsia="Amiri" w:cs="Amiri"/>
          <w:color w:val="111111"/>
          <w:sz w:val="28"/>
          <w:sz w:val="28"/>
          <w:szCs w:val="28"/>
          <w:rtl w:val="true"/>
          <w:lang w:bidi="ar-SA"/>
        </w:rPr>
        <w:t>، وعن الفقيه بحرالعلوم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المصحَّحة في الفقيه المضعَّفة في الكافي</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من حيث المضمون ما ورد في الرواية الثَّانية عشرة</w:t>
      </w:r>
      <w:r>
        <w:rPr>
          <w:rStyle w:val="FootnoteAnchor"/>
          <w:rtl w:val="true"/>
        </w:rPr>
        <w:footnoteReference w:id="127"/>
      </w:r>
      <w:r>
        <w:rPr>
          <w:rFonts w:ascii="Amiri" w:hAnsi="Amiri" w:eastAsia="Amiri" w:cs="Amiri"/>
          <w:color w:val="111111"/>
          <w:sz w:val="28"/>
          <w:sz w:val="28"/>
          <w:szCs w:val="28"/>
          <w:rtl w:val="true"/>
          <w:lang w:bidi="ar-SA"/>
        </w:rPr>
        <w:t xml:space="preserve">من ذلك الباب؛ ضرورة أنَّ أميرالمؤمنين عليه السلام كان يدعو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يُخرِج للمُحِقِّ‌ </w:t>
      </w:r>
    </w:p>
    <w:p>
      <w:pPr>
        <w:pStyle w:val="BookText"/>
        <w:rPr/>
      </w:pPr>
      <w:r>
        <w:rPr>
          <w:rFonts w:ascii="Amiri" w:hAnsi="Amiri" w:eastAsia="Amiri" w:cs="Amiri"/>
          <w:color w:val="111111"/>
          <w:sz w:val="28"/>
          <w:sz w:val="28"/>
          <w:szCs w:val="28"/>
          <w:rtl w:val="true"/>
          <w:lang w:bidi="ar-SA"/>
        </w:rPr>
        <w:t>ويصيب له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زرارة قد أجاب عن الإشكالات الَّتي أشرنا إليها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بخروج سهم المحقِّ هو الإباحة الظَّاهريَّة؛ وقوله هذا ورد في ما نقله ابنُأبي عميرٍ عن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الطَّيَّارُ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المساهمة‌؟ أ ليس حقًّا؟،</w:t>
      </w:r>
    </w:p>
    <w:p>
      <w:pPr>
        <w:pStyle w:val="BookText"/>
        <w:rPr/>
      </w:pP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ورد أنَّه يخرج سهم المحقِّ؟،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حتَّى أدَّعي أنا وأنت شيئًا ثمَّ نُساهِم عليه وننظر هكذا هو؟</w:t>
      </w:r>
    </w:p>
    <w:p>
      <w:pPr>
        <w:pStyle w:val="BookText"/>
        <w:rPr/>
      </w:pP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الحديثُ بأنَّه ليس من قومٍ فوَّضوا أمرَهم إلى اللَّه ثمَّ اقترعوا إلَّاخرَج سهمُ المحقِّ‌، فأمَّا علىٰ التَّجارب فلم يُوضَع علىٰ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كانا جميعًا مدَّعين ادَّعَيا ما ليس لهما من أين يخرج سهمُ أحدِهما؟،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جعل معه سهمٌ مبيحٌ‌، فإن كان ادَّعَيا ما ليس لهما خرج سهمُ المبيح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الشَّيخ قدس سره</w:t>
      </w:r>
      <w:r>
        <w:rPr>
          <w:rStyle w:val="FootnoteAnchor"/>
          <w:rtl w:val="true"/>
        </w:rPr>
        <w:footnoteReference w:id="128"/>
      </w:r>
      <w:r>
        <w:rPr>
          <w:rFonts w:ascii="Amiri" w:hAnsi="Amiri" w:eastAsia="Amiri" w:cs="Amiri"/>
          <w:color w:val="111111"/>
          <w:sz w:val="28"/>
          <w:sz w:val="28"/>
          <w:szCs w:val="28"/>
          <w:rtl w:val="true"/>
          <w:lang w:bidi="ar-SA"/>
        </w:rPr>
        <w:t>، والفيض قدس سره</w:t>
      </w:r>
      <w:r>
        <w:rPr>
          <w:rStyle w:val="FootnoteAnchor"/>
          <w:rtl w:val="true"/>
        </w:rPr>
        <w:footnoteReference w:id="129"/>
      </w:r>
      <w:r>
        <w:rPr>
          <w:rFonts w:ascii="Amiri" w:hAnsi="Amiri" w:eastAsia="Amiri" w:cs="Amiri"/>
          <w:color w:val="111111"/>
          <w:sz w:val="28"/>
          <w:sz w:val="28"/>
          <w:szCs w:val="28"/>
          <w:rtl w:val="true"/>
          <w:lang w:bidi="ar-SA"/>
        </w:rPr>
        <w:t>، والشَّيخ الحرُّ قدس سره</w:t>
      </w:r>
      <w:r>
        <w:rPr>
          <w:rStyle w:val="FootnoteAnchor"/>
          <w:rtl w:val="true"/>
        </w:rPr>
        <w:footnoteReference w:id="130"/>
      </w:r>
      <w:r>
        <w:rPr>
          <w:rFonts w:ascii="Amiri" w:hAnsi="Amiri" w:eastAsia="Amiri" w:cs="Amiri"/>
          <w:color w:val="111111"/>
          <w:sz w:val="28"/>
          <w:sz w:val="28"/>
          <w:szCs w:val="28"/>
          <w:rtl w:val="true"/>
          <w:lang w:bidi="ar-SA"/>
        </w:rPr>
        <w:t>وقد صحَّحه العلَّامة المجلسيُّ قدس سره</w:t>
      </w:r>
      <w:r>
        <w:rPr>
          <w:rStyle w:val="FootnoteAnchor"/>
          <w:rtl w:val="true"/>
        </w:rPr>
        <w:footnoteReference w:id="131"/>
      </w:r>
      <w:r>
        <w:rPr>
          <w:rFonts w:ascii="Amiri" w:hAnsi="Amiri" w:eastAsia="Amiri" w:cs="Amiri"/>
          <w:color w:val="111111"/>
          <w:sz w:val="28"/>
          <w:sz w:val="28"/>
          <w:szCs w:val="28"/>
          <w:rtl w:val="true"/>
          <w:lang w:bidi="ar-SA"/>
        </w:rPr>
        <w:t>، والميرزا القمِّي قدس سره</w:t>
      </w:r>
      <w:r>
        <w:rPr>
          <w:rStyle w:val="FootnoteAnchor"/>
          <w:rtl w:val="true"/>
        </w:rPr>
        <w:footnoteReference w:id="132"/>
      </w:r>
      <w:r>
        <w:rPr>
          <w:rFonts w:ascii="Amiri" w:hAnsi="Amiri" w:eastAsia="Amiri" w:cs="Amiri"/>
          <w:color w:val="111111"/>
          <w:sz w:val="28"/>
          <w:sz w:val="28"/>
          <w:szCs w:val="28"/>
          <w:rtl w:val="true"/>
          <w:lang w:bidi="ar-SA"/>
        </w:rPr>
        <w:t>، والمحقِّق النَّراقي قدس سره</w:t>
      </w:r>
      <w:r>
        <w:rPr>
          <w:rStyle w:val="FootnoteAnchor"/>
          <w:rtl w:val="true"/>
        </w:rPr>
        <w:footnoteReference w:id="13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وجوابه عمَّا سأل عنه الطَّيَّار صحيحٌ لا غبار عليه، ولايرد عليه ما أورده عليه السَّيِّد الأستاذ قدس سره من كونه اقناعيًّا، بل فرارًا من أصل الإشكال</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لأنَّ مراده من المباح هو الإباحة الظَّاهريَّة، فهو كمن حصَّل علىٰ ما ليس له بالبيِّنة الكاذبة، أو اليمين الكاذب، لا الإباحة الواقعيَّة حتَّى يرد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لاترتفع مادَّة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الإجابة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روايات باب الإقتراع أنَّ القرعة كالاِستخارة، وهي تدلُّ الُمحِقَّ إلى ما هو الصَّواب له إذا فوَّض أمره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فكما أنَّ الاِستخارة لايُراد منها ظهور الغيب في عالم الشَّهادة، بل ليس معناها إلَّاكون الفعل مصلحةً لو أمرَتْ به الاستخارة، كما أنَّ تركه علىٰ مصحلةٍ لو نهَتْ عنه؛</w:t>
      </w:r>
    </w:p>
    <w:p>
      <w:pPr>
        <w:pStyle w:val="BookText"/>
        <w:rPr/>
      </w:pPr>
      <w:r>
        <w:rPr>
          <w:rFonts w:ascii="Amiri" w:hAnsi="Amiri" w:eastAsia="Amiri" w:cs="Amiri"/>
          <w:color w:val="111111"/>
          <w:sz w:val="28"/>
          <w:sz w:val="28"/>
          <w:szCs w:val="28"/>
          <w:rtl w:val="true"/>
          <w:lang w:bidi="ar-SA"/>
        </w:rPr>
        <w:t>فكذك القرعةُ فعلًا وتركًا</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فوَّض الأمر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يُهديه إلى ما هو الخير له، وإن لم يُوافِق الواقعَ‌؛</w:t>
      </w:r>
    </w:p>
    <w:p>
      <w:pPr>
        <w:pStyle w:val="BookText"/>
        <w:rPr/>
      </w:pPr>
      <w:r>
        <w:rPr>
          <w:rFonts w:ascii="Amiri" w:hAnsi="Amiri" w:eastAsia="Amiri" w:cs="Amiri"/>
          <w:color w:val="111111"/>
          <w:sz w:val="28"/>
          <w:sz w:val="28"/>
          <w:szCs w:val="28"/>
          <w:rtl w:val="true"/>
          <w:lang w:bidi="ar-SA"/>
        </w:rPr>
        <w:t>فلو لم يخرج السَّهم له وكان محقًّا له في الواقع، فهذا هو ما يُصلِحُه وإن منعه عن حقِّه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يحصم مادَّةَ الإشكال من أصلها ويرتفع جميعَ الشُّبَه </w:t>
      </w:r>
      <w:bookmarkStart w:id="51" w:name="pg20337_261379"/>
    </w:p>
    <w:p>
      <w:pPr>
        <w:pStyle w:val="BookText"/>
        <w:rPr/>
      </w:pPr>
      <w:bookmarkEnd w:id="51"/>
      <w:r>
        <w:rPr>
          <w:rFonts w:ascii="Amiri" w:hAnsi="Amiri" w:eastAsia="Amiri" w:cs="Amiri"/>
          <w:color w:val="111111"/>
          <w:sz w:val="28"/>
          <w:sz w:val="28"/>
          <w:szCs w:val="28"/>
          <w:rtl w:val="true"/>
          <w:lang w:bidi="ar-SA"/>
        </w:rPr>
        <w:t>الواردة علىٰ الإقتراع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قلنا ظهر ما في كلام سيِّدنا الإستاذ الإمام الخمينيِّ قدس سره، حيث خصَّصها أوَّلًا بالمنازعات الحقوقيَّة، ثمَّ خصَّصها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بالحاكم، فجعلها من شؤون الحُكم الخاصَّة به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الآيات والرِّوايات المارِّ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العقلاء في معايشهم، إذ من المشاهَد في جميع الأعصار والأمصار أنَّهم يرفعون بها موردَ النزاع في تقسيم الوظائف والأموال وما إلى ذلك؛ كما يدل عليه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لَدَيْهِمْ إِذْ يُلْقُونَ أَقْلاٰمَهُمْ أَيُّهُمْ يَكْفُلُ مَرْيَمَ‌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أيضًا، حيث رفعوا النِّزاع الواقع بينهم في تكفُّل أمر مريمَ عليها السلام بالخضوع لدىٰ حكم القرعة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1944932_1280447820"/>
      <w:bookmarkStart w:id="53" w:name="_Toc18"/>
      <w:bookmarkEnd w:id="52"/>
      <w:r>
        <w:rPr>
          <w:rtl w:val="true"/>
        </w:rPr>
        <w:t>التَّنبيه الرَّابع</w:t>
      </w:r>
      <w:r>
        <w:rPr>
          <w:rtl w:val="true"/>
        </w:rPr>
        <w:t>:</w:t>
      </w:r>
      <w:bookmarkEnd w:id="53"/>
    </w:p>
    <w:p>
      <w:pPr>
        <w:pStyle w:val="BookText"/>
        <w:rPr/>
      </w:pPr>
      <w:r>
        <w:rPr>
          <w:rFonts w:ascii="Amiri" w:hAnsi="Amiri" w:eastAsia="Amiri" w:cs="Amiri"/>
          <w:color w:val="111111"/>
          <w:sz w:val="28"/>
          <w:sz w:val="28"/>
          <w:szCs w:val="28"/>
          <w:rtl w:val="true"/>
          <w:lang w:bidi="ar-SA"/>
        </w:rPr>
        <w:t xml:space="preserve">قد يُقال بأنَّ القرعة ليستْ بحجَّةٍ إلَّافي موردٍ عمل بها الأصحاب فيه، لورود مخصِّصاتٍ عليها لوقلنا بحجِّيَّتها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عمِل بها الأصحاب أم لم يعملوا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التَّخصيصَ المستَهْجنَ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فاحتفافها بقرائن وقيودٍ لم تصل إلينا، يدلُّ علىٰ عدم جواز الَّتمسُّك بها في غير موردٍ نجد استقرار عملِ الأصحاب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والمخصِّصات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تخصيصها بالموضوعات دون الأحكام؛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تخصيصها بموردٍ لم يوجَد فيه أصلٌ أو أمارةٌ أصلًا؛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تخصيصها بالحاكم في جملةٍ من موارد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القول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لم نجد حتَّى الآن مخصِّصًا واحدًا يُخصَّصُ به القرعة، فضلًا عن مخصِّصاتٍ تُخصِّصُه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اختصاصها بالموضوعات دون الأحكام، فلأنَّها وُضِعت لذلك؛ فخروج الأحكام عن حيطتها خروجٌ تخصُّصيٌّ‌، لا تخصيصيٌّ‌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تقدُّم الأمارت والأصول عليها، فللورود أيضًا، لا للتَّخصيص؛ فهو أيضًا خروجٌ تخصُّصيٌّ تعبُّديٌّ‌، لا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اختصاصها بالحاكم، فلانجد عليه دليلًا، بل الآيتان المذكورتان أعلاه وكذلك رواياتُ الباب تُنفِيه؛ فلامجال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أشرنا إليه من أنَّ جميع الأدلَّة الأربعة هيهنا وردتْ لإمضاء ما استقرَّتْ عليه سيرةُ العقلاء بما هم عقلاءٌ‌، لا بما هم أصحاب المذهب؛ فالقاعدة تابعةٌ لهذه السِّيرة في العموم والإطلاق، وفي كيفيَّتها أيضًا؛</w:t>
      </w:r>
    </w:p>
    <w:p>
      <w:pPr>
        <w:pStyle w:val="BookText"/>
        <w:rPr/>
      </w:pPr>
      <w:r>
        <w:rPr>
          <w:rFonts w:ascii="Amiri" w:hAnsi="Amiri" w:eastAsia="Amiri" w:cs="Amiri"/>
          <w:color w:val="111111"/>
          <w:sz w:val="28"/>
          <w:sz w:val="28"/>
          <w:szCs w:val="28"/>
          <w:rtl w:val="true"/>
          <w:lang w:bidi="ar-SA"/>
        </w:rPr>
        <w:t>فبما أنَّ العقلاء يخضعون قِبَلها أوَّلًا؛</w:t>
      </w:r>
    </w:p>
    <w:p>
      <w:pPr>
        <w:pStyle w:val="BookText"/>
        <w:rPr/>
      </w:pPr>
      <w:r>
        <w:rPr>
          <w:rFonts w:ascii="Amiri" w:hAnsi="Amiri" w:eastAsia="Amiri" w:cs="Amiri"/>
          <w:color w:val="111111"/>
          <w:sz w:val="28"/>
          <w:sz w:val="28"/>
          <w:szCs w:val="28"/>
          <w:rtl w:val="true"/>
          <w:lang w:bidi="ar-SA"/>
        </w:rPr>
        <w:t>ثمَّ يُخصِّصونها بالموضوعات دون الأحكام ثانيًا؛</w:t>
      </w:r>
    </w:p>
    <w:p>
      <w:pPr>
        <w:pStyle w:val="BookText"/>
        <w:rPr/>
      </w:pPr>
      <w:r>
        <w:rPr>
          <w:rFonts w:ascii="Amiri" w:hAnsi="Amiri" w:eastAsia="Amiri" w:cs="Amiri"/>
          <w:color w:val="111111"/>
          <w:sz w:val="28"/>
          <w:sz w:val="28"/>
          <w:szCs w:val="28"/>
          <w:rtl w:val="true"/>
          <w:lang w:bidi="ar-SA"/>
        </w:rPr>
        <w:t>وبالموضوعات الَّتي لا مُبيِّن لها من الأمارات والأصول ثالثًا؛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عملُ الأصحاب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بخصوصه، بل هو تابعٌ لما يُفهَم من السِّيرة العقلائيَّة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نصوصٌ خاصَّةٌ في موارد من الموضوعات المشتبهَة تدلُّ علىٰ جواز الَّتمسُّك بالقرعة في تلك الموارد، كاشتباه القبلة، حيث أجمعوا علىٰ وجوب الإحتياط فيه؛ كما عن ابن زهرة قدس سره</w:t>
      </w:r>
      <w:r>
        <w:rPr>
          <w:rStyle w:val="FootnoteAnchor"/>
          <w:rtl w:val="true"/>
        </w:rPr>
        <w:footnoteReference w:id="138"/>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139"/>
      </w:r>
      <w:r>
        <w:rPr>
          <w:rFonts w:ascii="Amiri" w:hAnsi="Amiri" w:eastAsia="Amiri" w:cs="Amiri"/>
          <w:color w:val="111111"/>
          <w:sz w:val="28"/>
          <w:sz w:val="28"/>
          <w:szCs w:val="28"/>
          <w:rtl w:val="true"/>
          <w:lang w:bidi="ar-SA"/>
        </w:rPr>
        <w:t>، والشَّهيد الأوَّل قدس سرهما</w:t>
      </w:r>
      <w:r>
        <w:rPr>
          <w:rStyle w:val="FootnoteAnchor"/>
          <w:rtl w:val="true"/>
        </w:rPr>
        <w:footnoteReference w:id="140"/>
      </w:r>
      <w:r>
        <w:rPr>
          <w:rFonts w:ascii="Amiri" w:hAnsi="Amiri" w:eastAsia="Amiri" w:cs="Amiri"/>
          <w:color w:val="111111"/>
          <w:sz w:val="28"/>
          <w:sz w:val="28"/>
          <w:szCs w:val="28"/>
          <w:rtl w:val="true"/>
          <w:lang w:bidi="ar-SA"/>
        </w:rPr>
        <w:t xml:space="preserve">ولو لم يتمكَّن المكلَّف من الإحتياط فيه فالإجماع ثابتٌ علىٰ التَّخيير، لا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به النَّصُّ أيضًا، كما عن الشَّهيد الثَّاني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لكن يمكن أن يُدَّعىٰ أنَّ التَّخيير هيهنا ليس إلَّالأجل أنَّ الشَّارع رفع يدَه عن شرطيَّة القبلة، نظرًا إلى الحرَج فيها، فإذن ينتفي موضوع المشتبَه، فلامورد للقرعة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الحكمُ مخصِّصًا لحكم القرعة وحجِّيَّتها، بل هو رافعٌ لموضوعها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الإشتباه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 التَّخصيص في حكم الإقتراع فهو في غاية القلَّة، بل النُّدرة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وأنَّه يُستغنىٰ عن عمل الأصحاب في كلِّ موردٍ وردَ فيه النَّصُّ الخاصُّ‌، فهو المخصِّص لحجِّيَّتها في هذا المورد، لا أنَّ عمل الأصحاب يخصِّصُها؛</w:t>
      </w:r>
    </w:p>
    <w:p>
      <w:pPr>
        <w:pStyle w:val="BookText"/>
        <w:rPr/>
      </w:pPr>
      <w:r>
        <w:rPr>
          <w:rFonts w:ascii="Amiri" w:hAnsi="Amiri" w:eastAsia="Amiri" w:cs="Amiri"/>
          <w:color w:val="111111"/>
          <w:sz w:val="28"/>
          <w:sz w:val="28"/>
          <w:szCs w:val="28"/>
          <w:rtl w:val="true"/>
          <w:lang w:bidi="ar-SA"/>
        </w:rPr>
        <w:t xml:space="preserve">كما ويمكن أن يُقال ثالثًا بأنَّ الإجماع المُدَّعىٰ في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تخصيصَهم لها في بعض الأحيان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فلايمكن المصير إلى هذا التَّخصيص أصلًا، فضلًا عن أن يكون تخصيصًا </w:t>
      </w:r>
      <w:bookmarkStart w:id="54" w:name="pg20337_261382"/>
    </w:p>
    <w:p>
      <w:pPr>
        <w:pStyle w:val="BookText"/>
        <w:rPr/>
      </w:pPr>
      <w:bookmarkEnd w:id="54"/>
      <w:r>
        <w:rPr>
          <w:rFonts w:ascii="Amiri" w:hAnsi="Amiri" w:eastAsia="Amiri" w:cs="Amiri"/>
          <w:color w:val="111111"/>
          <w:sz w:val="28"/>
          <w:sz w:val="28"/>
          <w:szCs w:val="28"/>
          <w:rtl w:val="true"/>
          <w:lang w:bidi="ar-SA"/>
        </w:rPr>
        <w:t>مستهجنًا في حجِّيَّتها</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1944934_1280447820"/>
      <w:bookmarkStart w:id="56" w:name="_Toc19"/>
      <w:bookmarkEnd w:id="55"/>
      <w:r>
        <w:rPr>
          <w:rtl w:val="true"/>
        </w:rPr>
        <w:t>التَّنبيه الخامس</w:t>
      </w:r>
      <w:r>
        <w:rPr>
          <w:rtl w:val="true"/>
        </w:rPr>
        <w:t>:</w:t>
      </w:r>
      <w:bookmarkEnd w:id="56"/>
    </w:p>
    <w:p>
      <w:pPr>
        <w:pStyle w:val="BookText"/>
        <w:rPr/>
      </w:pPr>
      <w:r>
        <w:rPr>
          <w:rFonts w:ascii="Amiri" w:hAnsi="Amiri" w:eastAsia="Amiri" w:cs="Amiri"/>
          <w:color w:val="111111"/>
          <w:sz w:val="28"/>
          <w:sz w:val="28"/>
          <w:szCs w:val="28"/>
          <w:rtl w:val="true"/>
          <w:lang w:bidi="ar-SA"/>
        </w:rPr>
        <w:t xml:space="preserve">طلب الخير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عليه بالاستخارة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مصاديق القرعة أيضًا، كما هو الظَّاهر من رواياتها؛</w:t>
      </w:r>
    </w:p>
    <w:p>
      <w:pPr>
        <w:pStyle w:val="BookText"/>
        <w:rPr/>
      </w:pPr>
      <w:r>
        <w:rPr>
          <w:rFonts w:ascii="Amiri" w:hAnsi="Amiri" w:eastAsia="Amiri" w:cs="Amiri"/>
          <w:color w:val="111111"/>
          <w:sz w:val="28"/>
          <w:sz w:val="28"/>
          <w:szCs w:val="28"/>
          <w:rtl w:val="true"/>
          <w:lang w:bidi="ar-SA"/>
        </w:rPr>
        <w:t>إلَّا أنَّ الاِستخارة تختصُّ بالمستخير وحده، بينما أنَّ القرعة تشترك فيها المتخاصمان،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المراد من الاِستخارة الإتيان بأمرٍ تعبُّديٍّ حتَّى يُقال بحرمتها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المحقِّق الأردبيليِّ قدس سره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البجنوردي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بحوث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حسين الحلِّي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وحرمتها منسوبةٌ إلى بعض العامَّة أيضًا؛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عبدالحسين اللَّاري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أنَّها لاتُكشِف عن الواقع، بل لا طريق 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بعضهم، وكما هو المستفاد من سيرة عموم النَّاس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من مصاديق القُرعة يُتُمسَّك بها لرفع المشاكل فقط إذا لم يكن هناك دليلٌ من العقل أو طريقٌ حاصلٌ من مشاورة ذي الاختصاص بذلك الأمر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حجِّيَّتها نفس الدَّليل الدَّالِّ علىٰ حجِّيَّة الإقتراع، وهي السِّيرةُ‌، إذ كما أنَّ النَّاس يقرعون في أحيانٍ‌، يستخيرون في مواردَ أُخَر، وعدم ردع الشَّارع 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أقسامٍ منها في الشَّريعة الغرَّاء يدلُّ علىٰ‌ </w:t>
      </w:r>
      <w:bookmarkStart w:id="57" w:name="pg20337_261383"/>
    </w:p>
    <w:p>
      <w:pPr>
        <w:pStyle w:val="BookText"/>
        <w:rPr/>
      </w:pPr>
      <w:bookmarkEnd w:id="57"/>
      <w:r>
        <w:rPr>
          <w:rFonts w:ascii="Amiri" w:hAnsi="Amiri" w:eastAsia="Amiri" w:cs="Amiri"/>
          <w:color w:val="111111"/>
          <w:sz w:val="28"/>
          <w:sz w:val="28"/>
          <w:szCs w:val="28"/>
          <w:rtl w:val="true"/>
          <w:lang w:bidi="ar-SA"/>
        </w:rPr>
        <w:t>تأييدها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العارف عليِّ بن موسىٰ ابن طاوس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 بين ذوي الألباب وبين ربِّالأرباب في الاِستخارات</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ذكر فيه أقسامًا كثيرةً منها، وإن ذكَر فيه روايات بابَي الإقتراع والاِستخارة خلطًا بعضها ببعضٍ‌؛ كما فعله صاحب الوسائل قدس سره حيث ذكر المجموع في بابٍ واحدٍ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1944936_1280447820"/>
      <w:bookmarkStart w:id="59" w:name="_Toc20"/>
      <w:bookmarkEnd w:id="58"/>
      <w:r>
        <w:rPr>
          <w:rtl w:val="true"/>
        </w:rPr>
        <w:t>التَّنبيه السَّادس</w:t>
      </w:r>
      <w:r>
        <w:rPr>
          <w:rtl w:val="true"/>
        </w:rPr>
        <w:t>:</w:t>
      </w:r>
      <w:bookmarkEnd w:id="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روايةٌ صعبةٌ بحسب المعنىٰ صحيحةٌ بحسب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المجلسي قدس سره</w:t>
      </w:r>
      <w:r>
        <w:rPr>
          <w:rStyle w:val="FootnoteAnchor"/>
          <w:rtl w:val="true"/>
        </w:rPr>
        <w:footnoteReference w:id="146"/>
      </w:r>
      <w:r>
        <w:rPr>
          <w:rFonts w:ascii="Amiri" w:hAnsi="Amiri" w:eastAsia="Amiri" w:cs="Amiri"/>
          <w:color w:val="111111"/>
          <w:sz w:val="28"/>
          <w:sz w:val="28"/>
          <w:szCs w:val="28"/>
          <w:rtl w:val="true"/>
          <w:lang w:bidi="ar-SA"/>
        </w:rPr>
        <w:t>، والفقيه الطَّباطبائيِّ قدس سره</w:t>
      </w:r>
      <w:r>
        <w:rPr>
          <w:rStyle w:val="FootnoteAnchor"/>
          <w:rtl w:val="true"/>
        </w:rPr>
        <w:footnoteReference w:id="147"/>
      </w:r>
      <w:r>
        <w:rPr>
          <w:rFonts w:ascii="Amiri" w:hAnsi="Amiri" w:eastAsia="Amiri" w:cs="Amiri"/>
          <w:color w:val="111111"/>
          <w:sz w:val="28"/>
          <w:sz w:val="28"/>
          <w:szCs w:val="28"/>
          <w:rtl w:val="true"/>
          <w:lang w:bidi="ar-SA"/>
        </w:rPr>
        <w:t>، والعلَّامة النَّراقي قدس سره</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تدلُّ علىٰ جريان القرعة في أطراف العلم الإجماليِّ‌؛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عن الرَّجل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الإمام الهاديُّ عليه السلام أو مولانا العسكريُّ عليه السلام، كما عن صاحب الجواهر قدس سره</w:t>
      </w:r>
      <w:r>
        <w:rPr>
          <w:rStyle w:val="FootnoteAnchor"/>
          <w:rtl w:val="true"/>
        </w:rPr>
        <w:footnoteReference w:id="149"/>
      </w:r>
      <w:r>
        <w:rPr>
          <w:rFonts w:ascii="Amiri" w:hAnsi="Amiri" w:eastAsia="Amiri" w:cs="Amiri"/>
          <w:color w:val="111111"/>
          <w:sz w:val="28"/>
          <w:sz w:val="28"/>
          <w:szCs w:val="28"/>
          <w:rtl w:val="true"/>
          <w:lang w:bidi="ar-SA"/>
        </w:rPr>
        <w:t>، والفقيه الأصفهانيِّ قدس سره</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رجلٍ نظر إلى راعٍ نزٰا علىٰ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عرَفَها ذبَحَها وأحرَقَها، وإن لم يعرِفْها قسَمَها نصفين أبدًا حتَّى يقع السَّهم </w:t>
      </w:r>
      <w:bookmarkStart w:id="60" w:name="pg20337_261384"/>
    </w:p>
    <w:p>
      <w:pPr>
        <w:pStyle w:val="BookText"/>
        <w:rPr/>
      </w:pPr>
      <w:bookmarkEnd w:id="60"/>
      <w:r>
        <w:rPr>
          <w:rFonts w:ascii="Amiri" w:hAnsi="Amiri" w:eastAsia="Amiri" w:cs="Amiri"/>
          <w:color w:val="111111"/>
          <w:sz w:val="28"/>
          <w:sz w:val="28"/>
          <w:szCs w:val="28"/>
          <w:rtl w:val="true"/>
          <w:lang w:bidi="ar-SA"/>
        </w:rPr>
        <w:t>بها فتُذبَح وتُحرَق وقد نجَتْ سائرُها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رواها الشَّيخُ قدس سره</w:t>
      </w:r>
      <w:r>
        <w:rPr>
          <w:rStyle w:val="FootnoteAnchor"/>
          <w:rtl w:val="true"/>
        </w:rPr>
        <w:footnoteReference w:id="151"/>
      </w:r>
      <w:r>
        <w:rPr>
          <w:rFonts w:ascii="Amiri" w:hAnsi="Amiri" w:eastAsia="Amiri" w:cs="Amiri"/>
          <w:color w:val="111111"/>
          <w:sz w:val="28"/>
          <w:sz w:val="28"/>
          <w:szCs w:val="28"/>
          <w:rtl w:val="true"/>
          <w:lang w:bidi="ar-SA"/>
        </w:rPr>
        <w:t>، والفيض قدس سره</w:t>
      </w:r>
      <w:r>
        <w:rPr>
          <w:rStyle w:val="FootnoteAnchor"/>
          <w:rtl w:val="true"/>
        </w:rPr>
        <w:footnoteReference w:id="152"/>
      </w:r>
      <w:r>
        <w:rPr>
          <w:rFonts w:ascii="Amiri" w:hAnsi="Amiri" w:eastAsia="Amiri" w:cs="Amiri"/>
          <w:color w:val="111111"/>
          <w:sz w:val="28"/>
          <w:sz w:val="28"/>
          <w:szCs w:val="28"/>
          <w:rtl w:val="true"/>
          <w:lang w:bidi="ar-SA"/>
        </w:rPr>
        <w:t>، والشَّيخ الحرُّ قدس سره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أنَّه لمَّا سُئِل الإمام عليه السلام عن حكم بهيمةٍ موطوئةٍ دخلتْ في عدَّة بهائم، أمَرَ عليه السلام بالإقتراع بين البهائم وإخراج واحدةٍ منها بالقُرعة كأنَّها هي الموطوئة؛</w:t>
      </w:r>
    </w:p>
    <w:p>
      <w:pPr>
        <w:pStyle w:val="BookText"/>
        <w:rPr/>
      </w:pPr>
      <w:r>
        <w:rPr>
          <w:rFonts w:ascii="Amiri" w:hAnsi="Amiri" w:eastAsia="Amiri" w:cs="Amiri"/>
          <w:color w:val="111111"/>
          <w:sz w:val="28"/>
          <w:sz w:val="28"/>
          <w:szCs w:val="28"/>
          <w:rtl w:val="true"/>
          <w:lang w:bidi="ar-SA"/>
        </w:rPr>
        <w:t>بينما أنَّ القاعدة تقتضي هيهنا العملُ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نقل بتنجُّز العلم الإجماليِّ هيهنا، فالأصل يتقتضي حلِّيَّة الأغنام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وتخلُّصًا عن هذا الإشكال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حكم الإمام عليه السلام هيهنا بالإقتراع ليس إلَّاحكمًا حكوميًّا من قِبَله عليه السلام، مستنِدًا فيه بقاعدة الحرج والضَّرر المنفيَّان في الشَّرع، وليس بفتوىً فقهيٍّ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أبَيتَ عن المختار فلامناص عن الذِّهاب إلى أنَّ الرِّواية تخالف القواعد المعمول بها في الفقه، بل السِّيرة العُقلائيَّة أيضًا؛ فلوثبت عملُ الأصحاب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بعضُهم</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عدم التَّعدِّي عن المورد إلى غيره من الموارد؛</w:t>
      </w:r>
    </w:p>
    <w:p>
      <w:pPr>
        <w:pStyle w:val="BookText"/>
        <w:rPr/>
      </w:pPr>
      <w:r>
        <w:rPr>
          <w:rFonts w:ascii="Amiri" w:hAnsi="Amiri" w:eastAsia="Amiri" w:cs="Amiri"/>
          <w:color w:val="111111"/>
          <w:sz w:val="28"/>
          <w:sz w:val="28"/>
          <w:szCs w:val="28"/>
          <w:rtl w:val="true"/>
          <w:lang w:bidi="ar-SA"/>
        </w:rPr>
        <w:t>وإلَّا فتُطرَح الرِّواية عن الحجِّيَّة رأسًا، وهذا ممَّا لابُدَّ منه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1944938_1280447820"/>
      <w:bookmarkStart w:id="62" w:name="_Toc21"/>
      <w:bookmarkEnd w:id="61"/>
      <w:r>
        <w:rPr>
          <w:rtl w:val="true"/>
        </w:rPr>
        <w:t>التَّنبيه السَّابع</w:t>
      </w:r>
      <w:r>
        <w:rPr>
          <w:rtl w:val="true"/>
        </w:rPr>
        <w:t>:</w:t>
      </w:r>
      <w:bookmarkEnd w:id="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للحاكم في موضوعٍ أشكل عليه حكمُه أن يستند إلى القرعة‌؟؛ </w:t>
      </w:r>
      <w:bookmarkStart w:id="63" w:name="pg20337_261385"/>
    </w:p>
    <w:p>
      <w:pPr>
        <w:pStyle w:val="BookText"/>
        <w:rPr/>
      </w:pPr>
      <w:bookmarkEnd w:id="63"/>
      <w:r>
        <w:rPr>
          <w:rFonts w:ascii="Amiri" w:hAnsi="Amiri" w:eastAsia="Amiri" w:cs="Amiri"/>
          <w:color w:val="111111"/>
          <w:sz w:val="28"/>
          <w:sz w:val="28"/>
          <w:szCs w:val="28"/>
          <w:rtl w:val="true"/>
          <w:lang w:bidi="ar-SA"/>
        </w:rPr>
        <w:t xml:space="preserve">القاعدة تقتضي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ادَّعىٰ الشَّيخ قدس سره أنَّه الَّذي يقتضيه مذهبُنا</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والإحتياط يقتضي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الموارد مختلفةٌ فلاحكم كلِّيٍّ في المسألة بالنِّسبة إلى جميع الموارد، لايخلو عن قوَّةٍ‌، وهو المختار في المقام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1944940_1280447820"/>
      <w:bookmarkStart w:id="65" w:name="_Toc22"/>
      <w:bookmarkEnd w:id="64"/>
      <w:r>
        <w:rPr>
          <w:rtl w:val="true"/>
        </w:rPr>
        <w:t>أمثلةٌ لاستعمال القاعدة في الفقه</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ابنُحمزة قدس سره في ميراث مولودٍ اشتبه كونُه ذَكَرًا أو أُنثىٰ‌، بعد بيان طرق الَّتمييز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اشتَبَه فالحكم للقُرعة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ثاني الشَّهيدَين قدس سرهما في حكم مواراة المقتول المُسلِم في المعركة إذا اشتبه بالكافر، تمييزًا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وللقرعة وجهٌ‌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الأردبيليُّ قدس سره في حكم الحاق ولَدٍ وُلِد من أَمَةٍ وطَئَها في طهرٍ واحدٍ رجلان وهما يدَّعيانَه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 أيضًا للقُرعة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66" w:name="pg20337_261386"/>
    </w:p>
    <w:p>
      <w:pPr>
        <w:pStyle w:val="Heading2"/>
        <w:numPr>
          <w:ilvl w:val="1"/>
          <w:numId w:val="1"/>
        </w:numPr>
        <w:rPr/>
      </w:pPr>
      <w:bookmarkStart w:id="67" w:name="__RefHeading___Toc11944942_1280447820"/>
      <w:bookmarkStart w:id="68" w:name="_Toc23"/>
      <w:bookmarkEnd w:id="66"/>
      <w:bookmarkEnd w:id="67"/>
      <w:r>
        <w:rPr>
          <w:rtl w:val="true"/>
        </w:rPr>
        <w:t>[</w:t>
      </w:r>
      <w:r>
        <w:rPr/>
        <w:t>25</w:t>
      </w:r>
      <w:r>
        <w:rPr>
          <w:rtl w:val="true"/>
        </w:rPr>
        <w:t xml:space="preserve">:] </w:t>
      </w:r>
      <w:r>
        <w:rPr>
          <w:rtl w:val="true"/>
        </w:rPr>
        <w:t>قاعدة الميسور</w:t>
      </w:r>
      <w:bookmarkEnd w:id="68"/>
    </w:p>
    <w:p>
      <w:pPr>
        <w:pStyle w:val="Heading3"/>
        <w:numPr>
          <w:ilvl w:val="2"/>
          <w:numId w:val="1"/>
        </w:numPr>
        <w:rPr/>
      </w:pPr>
      <w:bookmarkStart w:id="69" w:name="__RefHeading___Toc11944944_1280447820"/>
      <w:bookmarkStart w:id="70" w:name="_Toc24"/>
      <w:bookmarkEnd w:id="69"/>
      <w:r>
        <w:rPr>
          <w:rtl w:val="true"/>
        </w:rPr>
        <w:t>عناوين أُخرىٰ للقاعدة</w:t>
      </w:r>
      <w:bookmarkEnd w:id="70"/>
    </w:p>
    <w:p>
      <w:pPr>
        <w:pStyle w:val="BookText"/>
        <w:rPr/>
      </w:pPr>
      <w:r>
        <w:rPr>
          <w:rFonts w:ascii="Amiri" w:hAnsi="Amiri" w:eastAsia="Amiri" w:cs="Amiri"/>
          <w:color w:val="111111"/>
          <w:sz w:val="28"/>
          <w:sz w:val="28"/>
          <w:szCs w:val="28"/>
          <w:rtl w:val="true"/>
          <w:lang w:bidi="ar-SA"/>
        </w:rPr>
        <w:t>لايسقط الميسورُ بالمعسورِ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الميسور لايسقط بالمعسورِ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1944946_1280447820"/>
      <w:bookmarkStart w:id="72" w:name="_Toc25"/>
      <w:bookmarkEnd w:id="71"/>
      <w:r>
        <w:rPr>
          <w:rtl w:val="true"/>
        </w:rPr>
        <w:t>توضيح مفاد القاعدة</w:t>
      </w:r>
      <w:bookmarkEnd w:id="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لوأمر المولىٰ عبدَه بأمرٍ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والغسل، والصَّلوة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 العبدَ لم يقدر علىٰ الإتيان بالمركَّب بجميعه، فهل يجب عليه أن يأتي بما يتيسَّر منه‌؟، أم يسقط منه الأمر أصلًا؟</w:t>
      </w:r>
      <w:r>
        <w:rPr>
          <w:rFonts w:eastAsia="Amiri" w:cs="Amiri" w:ascii="Amiri" w:hAnsi="Amiri"/>
          <w:color w:val="111111"/>
          <w:sz w:val="28"/>
          <w:szCs w:val="28"/>
          <w:rtl w:val="true"/>
          <w:lang w:bidi="ar-SA"/>
        </w:rPr>
        <w:t xml:space="preserve">. </w:t>
      </w:r>
      <w:bookmarkStart w:id="73" w:name="pg20337_261387"/>
    </w:p>
    <w:p>
      <w:pPr>
        <w:pStyle w:val="BookText"/>
        <w:rPr/>
      </w:pPr>
      <w:bookmarkEnd w:id="73"/>
      <w:r>
        <w:rPr>
          <w:rFonts w:ascii="Amiri" w:hAnsi="Amiri" w:eastAsia="Amiri" w:cs="Amiri"/>
          <w:color w:val="111111"/>
          <w:sz w:val="28"/>
          <w:sz w:val="28"/>
          <w:szCs w:val="28"/>
          <w:rtl w:val="true"/>
          <w:lang w:bidi="ar-SA"/>
        </w:rPr>
        <w:t xml:space="preserve">فليس الكلام في الإتيان بالأمر المطلق بعد عدم إمكان الإتيان به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فلوأمَرَ المولىٰ بأنْ يتوضَّأَ للصَّلوة ثمَّ لم يقدر العبدُ علىٰ الإتيان بالوضوء لصلوةٍ‌، فلاكلام و لاإشكال في وجوب الإتيان به للصَّلوة الَّتي تليها، فوجوب التَّوضُّىء في سائر الأوقات مع القدرة عليه ضروريٌّ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الكلام في المركَّب الَّذي لايقدر العبد علىٰ الإتيان بجميع أجزائه؛ فهل يسقط عنه التَّكليف رأسًا؟، أو عليه أن يأتي بما يمكن له منه‌؟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1944948_1280447820"/>
      <w:bookmarkStart w:id="75" w:name="_Toc26"/>
      <w:bookmarkEnd w:id="74"/>
      <w:r>
        <w:rPr>
          <w:rtl w:val="true"/>
        </w:rPr>
        <w:t>مدركُ القاعدة</w:t>
      </w:r>
      <w:bookmarkEnd w:id="75"/>
    </w:p>
    <w:p>
      <w:pPr>
        <w:pStyle w:val="BookText"/>
        <w:rPr/>
      </w:pPr>
      <w:r>
        <w:rPr>
          <w:rFonts w:ascii="Amiri" w:hAnsi="Amiri" w:eastAsia="Amiri" w:cs="Amiri"/>
          <w:color w:val="111111"/>
          <w:sz w:val="28"/>
          <w:sz w:val="28"/>
          <w:szCs w:val="28"/>
          <w:rtl w:val="true"/>
          <w:lang w:bidi="ar-SA"/>
        </w:rPr>
        <w:t>هناك قاعدتان يجب أن نشيرَ إليهما أوَّلًا، ثمَّ نبحث عن مدرك القاعدة، للتَّزاحم الواقع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انتقىٰ الجزءُ انتفىٰ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وجوب الباقي إذا تعذَّر جزءٌ من الكلِّ‌؛</w:t>
      </w:r>
    </w:p>
    <w:p>
      <w:pPr>
        <w:pStyle w:val="BookText"/>
        <w:rPr/>
      </w:pPr>
      <w:r>
        <w:rPr>
          <w:rFonts w:ascii="Amiri" w:hAnsi="Amiri" w:eastAsia="Amiri" w:cs="Amiri"/>
          <w:color w:val="111111"/>
          <w:sz w:val="28"/>
          <w:sz w:val="28"/>
          <w:szCs w:val="28"/>
          <w:rtl w:val="true"/>
          <w:lang w:bidi="ar-SA"/>
        </w:rPr>
        <w:t xml:space="preserve">كما وأنَّ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انتفىٰ الجزئيُّ لاينتفي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وجوبَ الباقي؛ وهذا ما يُعبَّر عنه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لايُدرَك كلُّه لايُترَك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القاعدتين من الضَّروريَّات العقليَّة الَّتي لاتحتاج إلى دليلٍ‌، ولا إلى الإكثار من القيل والقال؛ فخُذْ هذا وانتظر حتَّى نرجع إليهما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هناك دليلٌ في المسألة يُخصِّص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انتفىٰ الجزءُ انتفىٰ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لاحاجة بنا إلى نقلِهِما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المختارَ أنَّه لوكان هناك دليلٌ يُثبِت </w:t>
      </w:r>
    </w:p>
    <w:p>
      <w:pPr>
        <w:pStyle w:val="BookText"/>
        <w:rPr/>
      </w:pPr>
      <w:r>
        <w:rPr>
          <w:rFonts w:ascii="Amiri" w:hAnsi="Amiri" w:eastAsia="Amiri" w:cs="Amiri"/>
          <w:color w:val="111111"/>
          <w:sz w:val="28"/>
          <w:sz w:val="28"/>
          <w:szCs w:val="28"/>
          <w:rtl w:val="true"/>
          <w:lang w:bidi="ar-SA"/>
        </w:rPr>
        <w:t>القاعدةَ فليس معناه تخصيص القاعدة العقليَّة أصلًا، بل معناه تقبُّل المولىٰ الناقصَ بدلًا عن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المركَّب له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كاملٌ يشمل علىٰ جميع أجزاء المركَّب، وهو يُوجَد في فرض استطاعة العبد من الإتيان به؛</w:t>
      </w:r>
    </w:p>
    <w:p>
      <w:pPr>
        <w:pStyle w:val="BookText"/>
        <w:rPr/>
      </w:pPr>
      <w:r>
        <w:rPr>
          <w:rFonts w:ascii="Amiri" w:hAnsi="Amiri" w:eastAsia="Amiri" w:cs="Amiri"/>
          <w:color w:val="111111"/>
          <w:sz w:val="28"/>
          <w:sz w:val="28"/>
          <w:szCs w:val="28"/>
          <w:rtl w:val="true"/>
          <w:lang w:bidi="ar-SA"/>
        </w:rPr>
        <w:t>وفردٌ ناقصٌ يشمل علىٰ بعض أجزائه، وهو الَّذي تمكَّن العبدُ من الإتيان به في فرض تعذُّره من الإتيان بجميع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كالشَّرط الذُّكرِيِّ الَّذي هو شرطٌ إذا علِمَ العبدُ به، وليس بشرطٍ إذا 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للقاعدة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طائفةٌ من الأحاديث الَّتي اشتهر انتسابُها إلى النَّبيِّ الكريم صلى الله عليه و آله، وهي لم تُوجَد في مصادرنا أصلًا؛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احمدُ</w:t>
      </w:r>
      <w:r>
        <w:rPr>
          <w:rStyle w:val="FootnoteAnchor"/>
          <w:rtl w:val="true"/>
        </w:rPr>
        <w:footnoteReference w:id="161"/>
      </w:r>
      <w:r>
        <w:rPr>
          <w:rFonts w:ascii="Amiri" w:hAnsi="Amiri" w:eastAsia="Amiri" w:cs="Amiri"/>
          <w:color w:val="111111"/>
          <w:sz w:val="28"/>
          <w:sz w:val="28"/>
          <w:szCs w:val="28"/>
          <w:rtl w:val="true"/>
          <w:lang w:bidi="ar-SA"/>
        </w:rPr>
        <w:t>، والبخاريُّ‌</w:t>
      </w:r>
      <w:r>
        <w:rPr>
          <w:rStyle w:val="FootnoteAnchor"/>
          <w:rtl w:val="true"/>
        </w:rPr>
        <w:footnoteReference w:id="162"/>
      </w:r>
      <w:r>
        <w:rPr>
          <w:rFonts w:ascii="Amiri" w:hAnsi="Amiri" w:eastAsia="Amiri" w:cs="Amiri"/>
          <w:color w:val="111111"/>
          <w:sz w:val="28"/>
          <w:sz w:val="28"/>
          <w:szCs w:val="28"/>
          <w:rtl w:val="true"/>
          <w:lang w:bidi="ar-SA"/>
        </w:rPr>
        <w:t>، ومسلمٌ‌</w:t>
      </w:r>
      <w:r>
        <w:rPr>
          <w:rStyle w:val="FootnoteAnchor"/>
          <w:rtl w:val="true"/>
        </w:rPr>
        <w:footnoteReference w:id="163"/>
      </w:r>
      <w:r>
        <w:rPr>
          <w:rFonts w:ascii="Amiri" w:hAnsi="Amiri" w:eastAsia="Amiri" w:cs="Amiri"/>
          <w:color w:val="111111"/>
          <w:sz w:val="28"/>
          <w:sz w:val="28"/>
          <w:szCs w:val="28"/>
          <w:rtl w:val="true"/>
          <w:lang w:bidi="ar-SA"/>
        </w:rPr>
        <w:t>، والبَيهَقيُّ‌</w:t>
      </w:r>
      <w:r>
        <w:rPr>
          <w:rStyle w:val="FootnoteAnchor"/>
          <w:rtl w:val="true"/>
        </w:rPr>
        <w:footnoteReference w:id="16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في بعض المصادر ورد كما 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شرح النَّوَويِّ علىٰ صحيح مسلمٍ‌</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وفي بعضها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متَّحدٌ في جميع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المجلسيَّ قدس سره أورده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فقال</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ولم أجد من ذَكَره غيره بين مصادرنا الرِّوائيَّة، إلَّاابن أبي جمهورٍ قدس سره حيث نسَبَه إليه صلى الله عليه و آله صريحًا في 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أُمِرتُم بأمرٍ فأْتُوا منه بما استطعتم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الفقهاء فقد أوسعوا في انتِسابه إلى النَّبيِّ الكريم صلى الله عليه و آله؛ والظَّاهر أنَّهم تابعوا في هذا الاِنتساب المرتضىٰ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منهم العلَّامة قدس سره في تذكرته</w:t>
      </w:r>
      <w:r>
        <w:rPr>
          <w:rStyle w:val="FootnoteAnchor"/>
          <w:rtl w:val="true"/>
        </w:rPr>
        <w:footnoteReference w:id="169"/>
      </w:r>
      <w:r>
        <w:rPr>
          <w:rFonts w:ascii="IRNazanin" w:hAnsi="IRNazanin" w:eastAsia="IRNazanin"/>
          <w:color w:val="111111"/>
          <w:sz w:val="28"/>
          <w:sz w:val="28"/>
          <w:szCs w:val="28"/>
          <w:rtl w:val="true"/>
          <w:lang w:bidi="fa-IR"/>
        </w:rPr>
        <w:t>، ومنتهاه</w:t>
      </w:r>
      <w:r>
        <w:rPr>
          <w:rStyle w:val="FootnoteAnchor"/>
          <w:rtl w:val="true"/>
        </w:rPr>
        <w:footnoteReference w:id="170"/>
      </w:r>
      <w:r>
        <w:rPr>
          <w:rFonts w:ascii="Amiri" w:hAnsi="Amiri" w:eastAsia="Amiri" w:cs="Amiri"/>
          <w:color w:val="111111"/>
          <w:sz w:val="28"/>
          <w:sz w:val="28"/>
          <w:szCs w:val="28"/>
          <w:rtl w:val="true"/>
          <w:lang w:bidi="ar-SA"/>
        </w:rPr>
        <w:t>، ونهايته</w:t>
      </w:r>
      <w:r>
        <w:rPr>
          <w:rStyle w:val="FootnoteAnchor"/>
          <w:rtl w:val="true"/>
        </w:rPr>
        <w:footnoteReference w:id="171"/>
      </w:r>
      <w:r>
        <w:rPr>
          <w:rFonts w:ascii="Amiri" w:hAnsi="Amiri" w:eastAsia="Amiri" w:cs="Amiri"/>
          <w:color w:val="111111"/>
          <w:sz w:val="28"/>
          <w:sz w:val="28"/>
          <w:szCs w:val="28"/>
          <w:rtl w:val="true"/>
          <w:lang w:bidi="ar-SA"/>
        </w:rPr>
        <w:t>، والشَّهيد قدس سره</w:t>
      </w:r>
      <w:r>
        <w:rPr>
          <w:rStyle w:val="FootnoteAnchor"/>
          <w:rtl w:val="true"/>
        </w:rPr>
        <w:footnoteReference w:id="172"/>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173"/>
      </w:r>
      <w:r>
        <w:rPr>
          <w:rFonts w:ascii="Amiri" w:hAnsi="Amiri" w:eastAsia="Amiri" w:cs="Amiri"/>
          <w:color w:val="111111"/>
          <w:sz w:val="28"/>
          <w:sz w:val="28"/>
          <w:szCs w:val="28"/>
          <w:rtl w:val="true"/>
          <w:lang w:bidi="ar-SA"/>
        </w:rPr>
        <w:t>، والمحقِّق الثَّاني قدس سرهما</w:t>
      </w:r>
      <w:r>
        <w:rPr>
          <w:rStyle w:val="FootnoteAnchor"/>
          <w:rtl w:val="true"/>
        </w:rPr>
        <w:footnoteReference w:id="174"/>
      </w:r>
      <w:r>
        <w:rPr>
          <w:rFonts w:ascii="Amiri" w:hAnsi="Amiri" w:eastAsia="Amiri" w:cs="Amiri"/>
          <w:color w:val="111111"/>
          <w:sz w:val="28"/>
          <w:sz w:val="28"/>
          <w:szCs w:val="28"/>
          <w:rtl w:val="true"/>
          <w:lang w:bidi="ar-SA"/>
        </w:rPr>
        <w:t>، وثاني الشَّهيدَين قدس سرهما في روضه</w:t>
      </w:r>
      <w:r>
        <w:rPr>
          <w:rStyle w:val="FootnoteAnchor"/>
          <w:rtl w:val="true"/>
        </w:rPr>
        <w:footnoteReference w:id="175"/>
      </w:r>
      <w:r>
        <w:rPr>
          <w:rFonts w:ascii="Amiri" w:hAnsi="Amiri" w:eastAsia="Amiri" w:cs="Amiri"/>
          <w:color w:val="111111"/>
          <w:sz w:val="28"/>
          <w:sz w:val="28"/>
          <w:szCs w:val="28"/>
          <w:rtl w:val="true"/>
          <w:lang w:bidi="ar-SA"/>
        </w:rPr>
        <w:t>، ومسالكه</w:t>
      </w:r>
      <w:r>
        <w:rPr>
          <w:rStyle w:val="FootnoteAnchor"/>
          <w:rtl w:val="true"/>
        </w:rPr>
        <w:footnoteReference w:id="176"/>
      </w:r>
      <w:r>
        <w:rPr>
          <w:rFonts w:ascii="IRNazanin" w:hAnsi="IRNazanin" w:eastAsia="IRNazanin"/>
          <w:color w:val="111111"/>
          <w:sz w:val="28"/>
          <w:sz w:val="28"/>
          <w:szCs w:val="28"/>
          <w:rtl w:val="true"/>
          <w:lang w:bidi="fa-IR"/>
        </w:rPr>
        <w:t xml:space="preserve">، وصاحب </w:t>
      </w:r>
    </w:p>
    <w:p>
      <w:pPr>
        <w:pStyle w:val="BookText"/>
        <w:rPr/>
      </w:pPr>
      <w:r>
        <w:rPr>
          <w:rFonts w:ascii="IRNazanin" w:hAnsi="IRNazanin" w:eastAsia="IRNazanin"/>
          <w:color w:val="111111"/>
          <w:sz w:val="28"/>
          <w:sz w:val="28"/>
          <w:szCs w:val="28"/>
          <w:rtl w:val="true"/>
          <w:lang w:bidi="fa-IR"/>
        </w:rPr>
        <w:t>الجوهر قدس سره</w:t>
      </w:r>
      <w:r>
        <w:rPr>
          <w:rStyle w:val="FootnoteAnchor"/>
          <w:rtl w:val="true"/>
        </w:rPr>
        <w:footnoteReference w:id="177"/>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وهذا يُنبِىءُ عن اعتمادهم عليه، لموافقته للقواعد؛ وإليه أشار المحقِّق المراغيُّ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في عوالي اللَّآلىء، ورواه الأصحاب في كتب الفروع</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حيث لم يجده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اشتهر في الألسنة باسمه صلى الله عليه و آله، لكن لم أجده لا في مصادرنا الرِّوائيَّة ولا في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ابنُحجرٍ قدس سره ونسبه لبعض الفقهاء</w:t>
      </w:r>
      <w:r>
        <w:rPr>
          <w:rStyle w:val="FootnoteAnchor"/>
          <w:rtl w:val="true"/>
        </w:rPr>
        <w:footnoteReference w:id="179"/>
      </w:r>
      <w:r>
        <w:rPr>
          <w:rFonts w:ascii="Amiri" w:hAnsi="Amiri" w:eastAsia="Amiri" w:cs="Amiri"/>
          <w:color w:val="111111"/>
          <w:sz w:val="28"/>
          <w:sz w:val="28"/>
          <w:szCs w:val="28"/>
          <w:rtl w:val="true"/>
          <w:lang w:bidi="ar-SA"/>
        </w:rPr>
        <w:t>، وكذا أورده الشَّعرانيُّ قدس سره</w:t>
      </w:r>
      <w:r>
        <w:rPr>
          <w:rStyle w:val="FootnoteAnchor"/>
          <w:rtl w:val="true"/>
        </w:rPr>
        <w:footnoteReference w:id="180"/>
      </w:r>
      <w:r>
        <w:rPr>
          <w:rFonts w:ascii="Amiri" w:hAnsi="Amiri" w:eastAsia="Amiri" w:cs="Amiri"/>
          <w:color w:val="111111"/>
          <w:sz w:val="28"/>
          <w:sz w:val="28"/>
          <w:szCs w:val="28"/>
          <w:rtl w:val="true"/>
          <w:lang w:bidi="ar-SA"/>
        </w:rPr>
        <w:t>، والمناويُّ قدس سره</w:t>
      </w:r>
      <w:r>
        <w:rPr>
          <w:rStyle w:val="FootnoteAnchor"/>
          <w:rtl w:val="true"/>
        </w:rPr>
        <w:footnoteReference w:id="181"/>
      </w:r>
      <w:r>
        <w:rPr>
          <w:rFonts w:ascii="Amiri" w:hAnsi="Amiri" w:eastAsia="Amiri" w:cs="Amiri"/>
          <w:color w:val="111111"/>
          <w:sz w:val="28"/>
          <w:sz w:val="28"/>
          <w:szCs w:val="28"/>
          <w:rtl w:val="true"/>
          <w:lang w:bidi="ar-SA"/>
        </w:rPr>
        <w:t>، وقد صرَّحا بأنَّه من القواعد أو من المشهورات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أبي جمهورٍ قدس سره ناسبًا إيَّاه صريحًا إليه صلى الله عليه و آله في 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لايُترَك الميسور بالمعسور</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الفقهاء فإن ذكروا هذا القول، لكن قلَّ منهم مَن عامل معه معاملة الحديث، كالشَّهيد الثَّاني قدس سرهما في روضه</w:t>
      </w:r>
      <w:r>
        <w:rPr>
          <w:rStyle w:val="FootnoteAnchor"/>
          <w:rtl w:val="true"/>
        </w:rPr>
        <w:footnoteReference w:id="183"/>
      </w:r>
      <w:r>
        <w:rPr>
          <w:rFonts w:ascii="Amiri" w:hAnsi="Amiri" w:eastAsia="Amiri" w:cs="Amiri"/>
          <w:color w:val="111111"/>
          <w:sz w:val="28"/>
          <w:sz w:val="28"/>
          <w:szCs w:val="28"/>
          <w:rtl w:val="true"/>
          <w:lang w:bidi="ar-SA"/>
        </w:rPr>
        <w:t>، وكالوحيد قدس سره في حاشيته علىٰ المجمع</w:t>
      </w:r>
      <w:r>
        <w:rPr>
          <w:rStyle w:val="FootnoteAnchor"/>
          <w:rtl w:val="true"/>
        </w:rPr>
        <w:footnoteReference w:id="184"/>
      </w:r>
      <w:r>
        <w:rPr>
          <w:rFonts w:ascii="Amiri" w:hAnsi="Amiri" w:eastAsia="Amiri" w:cs="Amiri"/>
          <w:color w:val="111111"/>
          <w:sz w:val="28"/>
          <w:sz w:val="28"/>
          <w:szCs w:val="28"/>
          <w:rtl w:val="true"/>
          <w:lang w:bidi="ar-SA"/>
        </w:rPr>
        <w:t>، ومصابيحه</w:t>
      </w:r>
      <w:r>
        <w:rPr>
          <w:rStyle w:val="FootnoteAnchor"/>
          <w:rtl w:val="true"/>
        </w:rPr>
        <w:footnoteReference w:id="185"/>
      </w:r>
      <w:r>
        <w:rPr>
          <w:rFonts w:ascii="Amiri" w:hAnsi="Amiri" w:eastAsia="Amiri" w:cs="Amiri"/>
          <w:color w:val="111111"/>
          <w:sz w:val="28"/>
          <w:sz w:val="28"/>
          <w:szCs w:val="28"/>
          <w:rtl w:val="true"/>
          <w:lang w:bidi="ar-SA"/>
        </w:rPr>
        <w:t>، والمحقِّق الكبير الكاشاني قدس سره</w:t>
      </w:r>
      <w:r>
        <w:rPr>
          <w:rStyle w:val="FootnoteAnchor"/>
          <w:rtl w:val="true"/>
        </w:rPr>
        <w:footnoteReference w:id="186"/>
      </w:r>
      <w:r>
        <w:rPr>
          <w:rFonts w:ascii="Amiri" w:hAnsi="Amiri" w:eastAsia="Amiri" w:cs="Amiri"/>
          <w:color w:val="111111"/>
          <w:sz w:val="28"/>
          <w:sz w:val="28"/>
          <w:szCs w:val="28"/>
          <w:rtl w:val="true"/>
          <w:lang w:bidi="ar-SA"/>
        </w:rPr>
        <w:t>، وشُبَّر الحسينيِّ قدس سره</w:t>
      </w:r>
      <w:r>
        <w:rPr>
          <w:rStyle w:val="FootnoteAnchor"/>
          <w:rtl w:val="true"/>
        </w:rPr>
        <w:footnoteReference w:id="187"/>
      </w:r>
      <w:r>
        <w:rPr>
          <w:rFonts w:ascii="Amiri" w:hAnsi="Amiri" w:eastAsia="Amiri" w:cs="Amiri"/>
          <w:color w:val="111111"/>
          <w:sz w:val="28"/>
          <w:sz w:val="28"/>
          <w:szCs w:val="28"/>
          <w:rtl w:val="true"/>
          <w:lang w:bidi="ar-SA"/>
        </w:rPr>
        <w:t xml:space="preserve">، والشَّيخ </w:t>
      </w:r>
    </w:p>
    <w:p>
      <w:pPr>
        <w:pStyle w:val="BookText"/>
        <w:rPr/>
      </w:pPr>
      <w:r>
        <w:rPr>
          <w:rFonts w:ascii="Amiri" w:hAnsi="Amiri" w:eastAsia="Amiri" w:cs="Amiri"/>
          <w:color w:val="111111"/>
          <w:sz w:val="28"/>
          <w:sz w:val="28"/>
          <w:szCs w:val="28"/>
          <w:rtl w:val="true"/>
          <w:lang w:bidi="ar-SA"/>
        </w:rPr>
        <w:t>عليٍّ آل كاشف الغطاء قدس سره</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وأمَّا غير هؤلاء من الأعلام فقد استندوا إليه من غير إسناده إلى الحديث، ولاحاجة إلى سرد أسمائهم بعد كثرتهم واشتهاره بينهم،</w:t>
      </w:r>
    </w:p>
    <w:p>
      <w:pPr>
        <w:pStyle w:val="BookText"/>
        <w:rPr/>
      </w:pPr>
      <w:r>
        <w:rPr>
          <w:rFonts w:ascii="Amiri" w:hAnsi="Amiri" w:eastAsia="Amiri" w:cs="Amiri"/>
          <w:color w:val="111111"/>
          <w:sz w:val="28"/>
          <w:sz w:val="28"/>
          <w:szCs w:val="28"/>
          <w:rtl w:val="true"/>
          <w:lang w:bidi="ar-SA"/>
        </w:rPr>
        <w:t>لكونه موافقًا للعقل أوَّلًا،</w:t>
      </w:r>
    </w:p>
    <w:p>
      <w:pPr>
        <w:pStyle w:val="BookText"/>
        <w:rPr/>
      </w:pPr>
      <w:r>
        <w:rPr>
          <w:rFonts w:ascii="Amiri" w:hAnsi="Amiri" w:eastAsia="Amiri" w:cs="Amiri"/>
          <w:color w:val="111111"/>
          <w:sz w:val="28"/>
          <w:sz w:val="28"/>
          <w:szCs w:val="28"/>
          <w:rtl w:val="true"/>
          <w:lang w:bidi="ar-SA"/>
        </w:rPr>
        <w:t>وللقواعد والعمومات ثانيًا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له صلى الله عليه و آله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لايُدرَك كلُّه لايُترَك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أعثر عليه في مصادر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القارىء</w:t>
      </w:r>
      <w:r>
        <w:rPr>
          <w:rStyle w:val="FootnoteAnchor"/>
          <w:rtl w:val="true"/>
        </w:rPr>
        <w:footnoteReference w:id="189"/>
      </w:r>
      <w:r>
        <w:rPr>
          <w:rFonts w:ascii="Amiri" w:hAnsi="Amiri" w:eastAsia="Amiri" w:cs="Amiri"/>
          <w:color w:val="111111"/>
          <w:sz w:val="28"/>
          <w:sz w:val="28"/>
          <w:szCs w:val="28"/>
          <w:rtl w:val="true"/>
          <w:lang w:bidi="ar-SA"/>
        </w:rPr>
        <w:t>والألبانيُّ‌</w:t>
      </w:r>
      <w:r>
        <w:rPr>
          <w:rStyle w:val="FootnoteAnchor"/>
          <w:rtl w:val="true"/>
        </w:rPr>
        <w:footnoteReference w:id="190"/>
      </w:r>
      <w:r>
        <w:rPr>
          <w:rFonts w:ascii="Amiri" w:hAnsi="Amiri" w:eastAsia="Amiri" w:cs="Amiri"/>
          <w:color w:val="111111"/>
          <w:sz w:val="28"/>
          <w:sz w:val="28"/>
          <w:szCs w:val="28"/>
          <w:rtl w:val="true"/>
          <w:lang w:bidi="ar-SA"/>
        </w:rPr>
        <w:t>والعظيم آباديُّ‌</w:t>
      </w:r>
      <w:r>
        <w:rPr>
          <w:rStyle w:val="FootnoteAnchor"/>
          <w:rtl w:val="true"/>
        </w:rPr>
        <w:footnoteReference w:id="191"/>
      </w:r>
      <w:r>
        <w:rPr>
          <w:rFonts w:ascii="Amiri" w:hAnsi="Amiri" w:eastAsia="Amiri" w:cs="Amiri"/>
          <w:color w:val="111111"/>
          <w:sz w:val="28"/>
          <w:sz w:val="28"/>
          <w:szCs w:val="28"/>
          <w:rtl w:val="true"/>
          <w:lang w:bidi="ar-SA"/>
        </w:rPr>
        <w:t>من غير إشارةٍ إلى كونه حديثًا؛ وقد نصَّ العِجْلُونيُّ على أنَّه ليس بحديثٍ‌</w:t>
      </w:r>
      <w:r>
        <w:rPr>
          <w:rStyle w:val="FootnoteAnchor"/>
          <w:rtl w:val="true"/>
        </w:rPr>
        <w:footnoteReference w:id="192"/>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لايُدرَك كلُّه</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ذكره العلَّامة المجلسيُّ قدس سره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لايُدرَك كلُّه</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ابن أبي جمهورٍ قدس سره أورَدَه ونسبه إليه صلى الله عليه و آله صريحًا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أجِد من الفقهاء من ينسبه إلى أحدٍ من المعصومين غير الوحيد الفريد قدس سره في حاشيته علىٰ المجمع</w:t>
      </w:r>
      <w:r>
        <w:rPr>
          <w:rStyle w:val="FootnoteAnchor"/>
          <w:rtl w:val="true"/>
        </w:rPr>
        <w:footnoteReference w:id="196"/>
      </w:r>
      <w:r>
        <w:rPr>
          <w:rFonts w:ascii="Amiri" w:hAnsi="Amiri" w:eastAsia="Amiri" w:cs="Amiri"/>
          <w:color w:val="111111"/>
          <w:sz w:val="28"/>
          <w:sz w:val="28"/>
          <w:szCs w:val="28"/>
          <w:rtl w:val="true"/>
          <w:lang w:bidi="ar-SA"/>
        </w:rPr>
        <w:t>، ومصابيحه</w:t>
      </w:r>
      <w:r>
        <w:rPr>
          <w:rStyle w:val="FootnoteAnchor"/>
          <w:rtl w:val="true"/>
        </w:rPr>
        <w:footnoteReference w:id="197"/>
      </w:r>
      <w:r>
        <w:rPr>
          <w:rFonts w:ascii="IRNazanin" w:hAnsi="IRNazanin" w:eastAsia="IRNazanin"/>
          <w:color w:val="111111"/>
          <w:sz w:val="28"/>
          <w:sz w:val="28"/>
          <w:szCs w:val="28"/>
          <w:rtl w:val="true"/>
          <w:lang w:bidi="fa-IR"/>
        </w:rPr>
        <w:t>فقط؛</w:t>
      </w:r>
    </w:p>
    <w:p>
      <w:pPr>
        <w:pStyle w:val="BookText"/>
        <w:rPr/>
      </w:pPr>
      <w:r>
        <w:rPr>
          <w:rFonts w:ascii="Amiri" w:hAnsi="Amiri" w:eastAsia="Amiri" w:cs="Amiri"/>
          <w:color w:val="111111"/>
          <w:sz w:val="28"/>
          <w:sz w:val="28"/>
          <w:szCs w:val="28"/>
          <w:rtl w:val="true"/>
          <w:lang w:bidi="ar-SA"/>
        </w:rPr>
        <w:t>وهذا يُنبىءُ عن عدم اعتمادهم عليه كحديثٍ‌، وإن اِعتمدوا عليه كقاعدةٍ عقليَّةٍ موافقةٍ لغيرها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قلنا ظهر ما في كلام المحقِّق البجنورديِّ قدس سره حيث قال بعد ذكر هذه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الرِّوايات الثَّلاث لكثرة اشتهارها بين الفقهاء وعملهم بها لايحتاج إلى التَّكلُّم عن سندها، أو الإشكال عليه بالضَّعف</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غضِّ البصر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بأجمَعِها إرشادٌ إلى حكم العقل، فهي تُشيرُ إلى حكم الجزئيِّ من الكلِّيِّ‌، لا إلى حكم الجزء من الكلِّ‌، لأنَّ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 بذلك فيهما، كما وأنَّه يستقلُّ بالإنتفاء في الجزء والكلِّ‌؛</w:t>
      </w:r>
    </w:p>
    <w:p>
      <w:pPr>
        <w:pStyle w:val="BookText"/>
        <w:rPr/>
      </w:pPr>
      <w:r>
        <w:rPr>
          <w:rFonts w:ascii="Amiri" w:hAnsi="Amiri" w:eastAsia="Amiri" w:cs="Amiri"/>
          <w:color w:val="111111"/>
          <w:sz w:val="28"/>
          <w:sz w:val="28"/>
          <w:szCs w:val="28"/>
          <w:rtl w:val="true"/>
          <w:lang w:bidi="ar-SA"/>
        </w:rPr>
        <w:t>وحيث إنَّ الرِّوايات إرشاديَّةٌ‌، فهي تابعةٌ لما يُرشِد إليه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دلالتها علىٰ الجزئيِّ و الأجزاء معًا، سالبةٌ بانتفاء الموضوع قطعًا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الجزء والجزئيَّة معًا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أيضًا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لايُدرَك كلُّه لايُترَك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جائزٌ لاإشكال فيه، حيث ليس من باب الجمع بين لحاظين مختلفين في لفظٍ واحدٍ،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عامٌّ يشمل الكلَّ و الكلِّيَّ‌، والجزءَ والجزئيَّ في 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ظهورَه البَدْويَّ في الجزئيِّ‌، لا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هذا الظُّهور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ثبوت الشَّكِّ في المراد منه؛ والأخذ بالقدر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الكلام لاإطلاق له، حيث إنَّه ليس في مقام بيان تمام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الجزئيُّ‌، لا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اُستُدلَّ بالإجماع الثَّابت من الفريقين علىٰ القاعدة أيضًا، لكنَّ الإجماع انعَقَدَ علىٰ عدم وجوب الكلِّ إذا تعذَّر بعضُ أجزائه، لا علىٰ وجوب الإتيان بالكلِّ بعد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أخرجه الدَّليل، كالصَّلوة</w:t>
      </w:r>
      <w:r>
        <w:rPr>
          <w:rStyle w:val="FootnoteAnchor"/>
          <w:rtl w:val="true"/>
        </w:rPr>
        <w:footnoteReference w:id="199"/>
      </w:r>
      <w:r>
        <w:rPr>
          <w:rFonts w:ascii="Amiri" w:hAnsi="Amiri" w:eastAsia="Amiri" w:cs="Amiri"/>
          <w:color w:val="111111"/>
          <w:sz w:val="28"/>
          <w:sz w:val="28"/>
          <w:szCs w:val="28"/>
          <w:rtl w:val="true"/>
          <w:lang w:bidi="ar-SA"/>
        </w:rPr>
        <w:t>الَّتي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لاتُترَك بحالٍ‌</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والنَّوَويُّ وإن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كالعظيم آباديِّ‌،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المعبود،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لكنَّهما لم ينسباه إلى الرَّسول صلى الله عليه و آله؛</w:t>
      </w:r>
    </w:p>
    <w:p>
      <w:pPr>
        <w:pStyle w:val="BookText"/>
        <w:rPr/>
      </w:pPr>
      <w:r>
        <w:rPr>
          <w:rFonts w:ascii="Amiri" w:hAnsi="Amiri" w:eastAsia="Amiri" w:cs="Amiri"/>
          <w:color w:val="111111"/>
          <w:sz w:val="28"/>
          <w:sz w:val="28"/>
          <w:szCs w:val="28"/>
          <w:rtl w:val="true"/>
          <w:lang w:bidi="ar-SA"/>
        </w:rPr>
        <w:t>ولذلك فإنَّ السَّيِّد الإمام الخمينيَّ قدس سره قال بعد أن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فرض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فإذن ادِّعاء ثبوت الإجماع في المسألة غريبٌ جدًّا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الإجماع علىٰ مفاد القاعدة في بعض الفروع الفقهيَّة لابأس به</w:t>
      </w:r>
      <w:r>
        <w:rPr>
          <w:rStyle w:val="FootnoteAnchor"/>
          <w:rtl w:val="true"/>
        </w:rPr>
        <w:footnoteReference w:id="201"/>
      </w:r>
      <w:r>
        <w:rPr>
          <w:rFonts w:ascii="Amiri" w:hAnsi="Amiri" w:eastAsia="Amiri" w:cs="Amiri"/>
          <w:color w:val="111111"/>
          <w:sz w:val="28"/>
          <w:sz w:val="28"/>
          <w:szCs w:val="28"/>
          <w:rtl w:val="true"/>
          <w:lang w:bidi="ar-SA"/>
        </w:rPr>
        <w:t xml:space="preserve">، أمَّا </w:t>
      </w:r>
    </w:p>
    <w:p>
      <w:pPr>
        <w:pStyle w:val="BookText"/>
        <w:rPr/>
      </w:pPr>
      <w:r>
        <w:rPr>
          <w:rFonts w:ascii="Amiri" w:hAnsi="Amiri" w:eastAsia="Amiri" w:cs="Amiri"/>
          <w:color w:val="111111"/>
          <w:sz w:val="28"/>
          <w:sz w:val="28"/>
          <w:szCs w:val="28"/>
          <w:rtl w:val="true"/>
          <w:lang w:bidi="ar-SA"/>
        </w:rPr>
        <w:t>ثبوته علىٰ الإطلاق فغير ثابتٍ قطعًا؛ وهذا ممَّا صرَّح به الشَّيخ الأعظم قدس سره</w:t>
      </w:r>
      <w:r>
        <w:rPr>
          <w:rStyle w:val="FootnoteAnchor"/>
          <w:rtl w:val="true"/>
        </w:rPr>
        <w:footnoteReference w:id="20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هيهنا باطلاق دليل المركَّب، كما عن البجنورديِّ قدس سره</w:t>
      </w:r>
      <w:r>
        <w:rPr>
          <w:rStyle w:val="FootnoteAnchor"/>
          <w:rtl w:val="true"/>
        </w:rPr>
        <w:footnoteReference w:id="203"/>
      </w:r>
      <w:r>
        <w:rPr>
          <w:rFonts w:ascii="Amiri" w:hAnsi="Amiri" w:eastAsia="Amiri" w:cs="Amiri"/>
          <w:color w:val="111111"/>
          <w:sz w:val="28"/>
          <w:sz w:val="28"/>
          <w:szCs w:val="28"/>
          <w:rtl w:val="true"/>
          <w:lang w:bidi="ar-SA"/>
        </w:rPr>
        <w:t>والمراغيِّ قدس سره</w:t>
      </w:r>
      <w:r>
        <w:rPr>
          <w:rStyle w:val="FootnoteAnchor"/>
          <w:rtl w:val="true"/>
        </w:rPr>
        <w:footnoteReference w:id="204"/>
      </w:r>
      <w:r>
        <w:rPr>
          <w:rFonts w:ascii="Amiri" w:hAnsi="Amiri" w:eastAsia="Amiri" w:cs="Amiri"/>
          <w:color w:val="111111"/>
          <w:sz w:val="28"/>
          <w:sz w:val="28"/>
          <w:szCs w:val="28"/>
          <w:rtl w:val="true"/>
          <w:lang w:bidi="ar-SA"/>
        </w:rPr>
        <w:t>وهذا خارجٌ عن نِطاق الكتاب، لوجوب الرُّجوع إلى كلِّ مسألةٍ في الفقه ليُرىٰ هل يُوجَد هذا الإطلاق في دليله لوكان مركَّبًا؟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بقولٍ مجمَلٍ‌، فسنُشير إلى أنَّه لاإطلاق هناك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بالاِستصحاب أيضًا</w:t>
      </w:r>
      <w:r>
        <w:rPr>
          <w:rStyle w:val="FootnoteAnchor"/>
          <w:rtl w:val="true"/>
        </w:rPr>
        <w:footnoteReference w:id="205"/>
      </w:r>
      <w:r>
        <w:rPr>
          <w:rFonts w:ascii="Amiri" w:hAnsi="Amiri" w:eastAsia="Amiri" w:cs="Amiri"/>
          <w:color w:val="111111"/>
          <w:sz w:val="28"/>
          <w:sz w:val="28"/>
          <w:szCs w:val="28"/>
          <w:rtl w:val="true"/>
          <w:lang w:bidi="ar-SA"/>
        </w:rPr>
        <w:t>، بتقريراتٍ العمدة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الكلِّيُّ الجامع بين الكامل والنَّاقص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في الشَّريعة الغرَّاء موردٌ ينطبق علىٰ الكلِّيِّ الجامع بين الكامل والنَّاقص، بل الواجبات بأجمعها وردتْ علىٰ العناوين الَّتي لا كامل ولا ناقص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الاِستصحاب ليس إلَّامن ثالث أقسام الاِستصحاب الكُّلِّي، وهو غير حجَّةٍ وغير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فيه في محلِّه من علم الأصول</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العقول إلى مباحث الأصول،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الذُّخر في علم الأصول،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وغيرها من مصادر الأصوليِّين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الصَّلوة كانت واجبةً بلاريبٍ واِرتيابٍ‌، ثمَّ بعد تعذُّر جزءٍ منها يُشكُّ في وجوب الباقي، والاِستصحاب يدلُّ علىٰ بقاء الوجوب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 لوأُخِذ موضوع هذا الاِستصحاب من العُرف، وحيث إنَّ العُرف لايفهم من الموضوعات الاِختراعيَّة شيئًا، فلايثبت لهذا الاِستصحاب موضوعًا؛ فهذا الاِستصحاب لاجريان له أصلًا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إلى الشَّكِّ في وجود موضوعه، بينما أنَّ إحراز الموضوع ووحدته بين المُتَيَقَّن والمشكوك عرفًا ممَّا لابُدَّ منه في جريانه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يشمُلُ جميع أجزاء المركَّب كلَّها، فكلُّ جزءٍ كأنَّه مستقلٌّ في كونه مرادًا للمولىٰ وموضوعًا للوجوب؛ فإذا تعذَّر جزءٌ خاصٌّ وشكَكنا في بقاء وجوب الباقي أو عدم بقائه، فإنَّ الاِستصحاب حينئذٍ يحكم ببقاء الوجوب علىٰ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لايتعلَّق الأمر بهما بالأمر المركَّب، بل الأمر فيهما أمرٌ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استقلال كلِّ جزءٍ في كونه مرادًا فواجبًا؛</w:t>
      </w:r>
    </w:p>
    <w:p>
      <w:pPr>
        <w:pStyle w:val="BookText"/>
        <w:rPr/>
      </w:pPr>
      <w:r>
        <w:rPr>
          <w:rFonts w:ascii="Amiri" w:hAnsi="Amiri" w:eastAsia="Amiri" w:cs="Amiri"/>
          <w:color w:val="111111"/>
          <w:sz w:val="28"/>
          <w:sz w:val="28"/>
          <w:szCs w:val="28"/>
          <w:rtl w:val="true"/>
          <w:lang w:bidi="ar-SA"/>
        </w:rPr>
        <w:t>ليس بسديدٍ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مختارنا في الكلِّيَّات، فضلًا عن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الحقَّ أنَّ الأوامر والنَّواهي تتعلَّق بالعناوين من حيث هي هي، ولانظر لها إلى الأجزاء والجزئيَّات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فعبَّرتَ عمَّا قلنا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الجزئيَّات والأجزاء ظروفٌ لسقوط الوجوب، لا ظروف لتعلُّقه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في المسألة لايفيد شيئًا، وليس له محلٌّ أصلًا؛ </w:t>
      </w:r>
      <w:bookmarkStart w:id="76" w:name="pg20337_261396"/>
    </w:p>
    <w:p>
      <w:pPr>
        <w:pStyle w:val="BookText"/>
        <w:rPr/>
      </w:pPr>
      <w:bookmarkEnd w:id="76"/>
      <w:r>
        <w:rPr>
          <w:rFonts w:ascii="Amiri" w:hAnsi="Amiri" w:eastAsia="Amiri" w:cs="Amiri"/>
          <w:color w:val="111111"/>
          <w:sz w:val="28"/>
          <w:sz w:val="28"/>
          <w:szCs w:val="28"/>
          <w:rtl w:val="true"/>
          <w:lang w:bidi="ar-SA"/>
        </w:rPr>
        <w:t>خلافًا للمحقِّق المراغيِّ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ولاشبهة في جريانه في هذا المقام عند مَن قال بحجِّيَّته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بغيرها أيضًا</w:t>
      </w:r>
      <w:r>
        <w:rPr>
          <w:rStyle w:val="FootnoteAnchor"/>
          <w:rtl w:val="true"/>
        </w:rPr>
        <w:footnoteReference w:id="208"/>
      </w:r>
      <w:r>
        <w:rPr>
          <w:rFonts w:ascii="IRNazanin" w:hAnsi="IRNazanin" w:eastAsia="IRNazanin"/>
          <w:color w:val="111111"/>
          <w:sz w:val="28"/>
          <w:sz w:val="28"/>
          <w:szCs w:val="28"/>
          <w:rtl w:val="true"/>
          <w:lang w:bidi="fa-IR"/>
        </w:rPr>
        <w:t>والإعراض عنه أجدَر وأولىٰ‌، لوضوح وهنِه وضعفه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وهيهنا تنبيهٌ‌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1944950_1280447820"/>
      <w:bookmarkStart w:id="78" w:name="_Toc27"/>
      <w:bookmarkEnd w:id="77"/>
      <w:r>
        <w:rPr>
          <w:rtl w:val="true"/>
        </w:rPr>
        <w:t>تنبيهٌ‌</w:t>
      </w:r>
      <w:r>
        <w:rPr>
          <w:rtl w:val="true"/>
        </w:rPr>
        <w:t>:</w:t>
      </w:r>
      <w:bookmarkEnd w:id="78"/>
    </w:p>
    <w:p>
      <w:pPr>
        <w:pStyle w:val="BookText"/>
        <w:rPr/>
      </w:pPr>
      <w:r>
        <w:rPr>
          <w:rFonts w:ascii="Amiri" w:hAnsi="Amiri" w:eastAsia="Amiri" w:cs="Amiri"/>
          <w:color w:val="111111"/>
          <w:sz w:val="28"/>
          <w:sz w:val="28"/>
          <w:szCs w:val="28"/>
          <w:rtl w:val="true"/>
          <w:lang w:bidi="ar-SA"/>
        </w:rPr>
        <w:t>هل في المسألة موردٌ تنطبق القاعدة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لايُوجَد موردٌ تنطبق عليه، لأنَّا لانجد في الفقه موردًا يبقىٰ وجوب الباقي بعد تعذُّر بعض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الفقه إلى آخر مسائله إذا تعذَّر جزءٌ من المركَّب يسقط الوجوب عن الكلِّ‌؛ أمَّا وجوب الإتيان بالباقي بعد تعذُّر البعض فالظَّاهر أنَّه غير موجودٍ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موارد كثيرةٌ في المندوبات تنطبق عليها هذه القاعدة، لكنَّ الموارد هذه ليست من باب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عنها هيهنا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باب قاعد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فرغنا عن البحث عنها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بجريان القاعدة في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نصَّ عليه الشَّيخ الأعظم قدس 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 علىٰ قاعدة الميسور لايسقط بالمعسور في خصوص الصَّلاة، كما يُستفاد من التَّتبُّع</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وكما يظهر من الفاضل الأصفهانيِّ قدس سره</w:t>
      </w:r>
      <w:r>
        <w:rPr>
          <w:rStyle w:val="FootnoteAnchor"/>
          <w:rtl w:val="true"/>
        </w:rPr>
        <w:footnoteReference w:id="210"/>
      </w:r>
      <w:r>
        <w:rPr>
          <w:rFonts w:ascii="Amiri" w:hAnsi="Amiri" w:eastAsia="Amiri" w:cs="Amiri"/>
          <w:color w:val="111111"/>
          <w:sz w:val="28"/>
          <w:sz w:val="28"/>
          <w:szCs w:val="28"/>
          <w:rtl w:val="true"/>
          <w:lang w:bidi="ar-SA"/>
        </w:rPr>
        <w:t>، والوحيد الفريد قدس سره</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المختار أنَّ الصَّلوة أيضًا تسقُطُ إلَّاإذا دلَّ دليلٌ علىٰ وجوب ما تمكَّن العبدُ من الإتيان به من أجزائها؛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لاتُترَك بحالٍ‌</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فلودلَّ هذا الدَّليل علىٰ وجوب الباقي، فهو؛</w:t>
      </w:r>
    </w:p>
    <w:p>
      <w:pPr>
        <w:pStyle w:val="BookText"/>
        <w:rPr/>
      </w:pPr>
      <w:r>
        <w:rPr>
          <w:rFonts w:ascii="Amiri" w:hAnsi="Amiri" w:eastAsia="Amiri" w:cs="Amiri"/>
          <w:color w:val="111111"/>
          <w:sz w:val="28"/>
          <w:sz w:val="28"/>
          <w:szCs w:val="28"/>
          <w:rtl w:val="true"/>
          <w:lang w:bidi="ar-SA"/>
        </w:rPr>
        <w:t>وإلَّا فلاكلام عندنا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قد اشتهر بين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فاقِدَ الطَّهورَين تسقُطُ عنه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بسقوطها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الشَّهيد قدس سره عن المفيد قدس سره</w:t>
      </w:r>
      <w:r>
        <w:rPr>
          <w:rStyle w:val="FootnoteAnchor"/>
          <w:rtl w:val="true"/>
        </w:rPr>
        <w:footnoteReference w:id="213"/>
      </w:r>
      <w:r>
        <w:rPr>
          <w:rFonts w:ascii="Amiri" w:hAnsi="Amiri" w:eastAsia="Amiri" w:cs="Amiri"/>
          <w:color w:val="111111"/>
          <w:sz w:val="28"/>
          <w:sz w:val="28"/>
          <w:szCs w:val="28"/>
          <w:rtl w:val="true"/>
          <w:lang w:bidi="ar-SA"/>
        </w:rPr>
        <w:t>، وعن المحقِّق قدس سره</w:t>
      </w:r>
      <w:r>
        <w:rPr>
          <w:rStyle w:val="FootnoteAnchor"/>
          <w:rtl w:val="true"/>
        </w:rPr>
        <w:footnoteReference w:id="214"/>
      </w:r>
      <w:r>
        <w:rPr>
          <w:rFonts w:ascii="Amiri" w:hAnsi="Amiri" w:eastAsia="Amiri" w:cs="Amiri"/>
          <w:color w:val="111111"/>
          <w:sz w:val="28"/>
          <w:sz w:val="28"/>
          <w:szCs w:val="28"/>
          <w:rtl w:val="true"/>
          <w:lang w:bidi="ar-SA"/>
        </w:rPr>
        <w:t>، وفي معتبره</w:t>
      </w:r>
      <w:r>
        <w:rPr>
          <w:rStyle w:val="FootnoteAnchor"/>
          <w:rtl w:val="true"/>
        </w:rPr>
        <w:footnoteReference w:id="215"/>
      </w:r>
      <w:r>
        <w:rPr>
          <w:rFonts w:ascii="Amiri" w:hAnsi="Amiri" w:eastAsia="Amiri" w:cs="Amiri"/>
          <w:color w:val="111111"/>
          <w:sz w:val="28"/>
          <w:sz w:val="28"/>
          <w:szCs w:val="28"/>
          <w:rtl w:val="true"/>
          <w:lang w:bidi="ar-SA"/>
        </w:rPr>
        <w:t>، والعلَّامة قدس سره في تذكرته</w:t>
      </w:r>
      <w:r>
        <w:rPr>
          <w:rStyle w:val="FootnoteAnchor"/>
          <w:rtl w:val="true"/>
        </w:rPr>
        <w:footnoteReference w:id="216"/>
      </w:r>
      <w:r>
        <w:rPr>
          <w:rFonts w:ascii="Amiri" w:hAnsi="Amiri" w:eastAsia="Amiri" w:cs="Amiri"/>
          <w:color w:val="111111"/>
          <w:sz w:val="28"/>
          <w:sz w:val="28"/>
          <w:szCs w:val="28"/>
          <w:rtl w:val="true"/>
          <w:lang w:bidi="ar-SA"/>
        </w:rPr>
        <w:t>، ونهايته</w:t>
      </w:r>
      <w:r>
        <w:rPr>
          <w:rStyle w:val="FootnoteAnchor"/>
          <w:rtl w:val="true"/>
        </w:rPr>
        <w:footnoteReference w:id="217"/>
      </w:r>
      <w:r>
        <w:rPr>
          <w:rFonts w:ascii="IRNazanin" w:hAnsi="IRNazanin" w:eastAsia="IRNazanin"/>
          <w:color w:val="111111"/>
          <w:sz w:val="28"/>
          <w:sz w:val="28"/>
          <w:szCs w:val="28"/>
          <w:rtl w:val="true"/>
          <w:lang w:bidi="fa-IR"/>
        </w:rPr>
        <w:t>، وإرشاده</w:t>
      </w:r>
      <w:r>
        <w:rPr>
          <w:rStyle w:val="FootnoteAnchor"/>
          <w:rtl w:val="true"/>
        </w:rPr>
        <w:footnoteReference w:id="21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بسقطوها ووجوب قضاءها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 قدس سره نفسه في البيان</w:t>
      </w:r>
      <w:r>
        <w:rPr>
          <w:rStyle w:val="FootnoteAnchor"/>
          <w:rtl w:val="true"/>
        </w:rPr>
        <w:footnoteReference w:id="219"/>
      </w:r>
      <w:r>
        <w:rPr>
          <w:rFonts w:ascii="IRNazanin" w:hAnsi="IRNazanin" w:eastAsia="IRNazanin"/>
          <w:color w:val="111111"/>
          <w:sz w:val="28"/>
          <w:sz w:val="28"/>
          <w:szCs w:val="28"/>
          <w:rtl w:val="true"/>
          <w:lang w:bidi="fa-IR"/>
        </w:rPr>
        <w:t xml:space="preserve">، </w:t>
      </w:r>
      <w:bookmarkStart w:id="79" w:name="pg20337_261398"/>
    </w:p>
    <w:p>
      <w:pPr>
        <w:pStyle w:val="BookText"/>
        <w:rPr/>
      </w:pPr>
      <w:bookmarkEnd w:id="79"/>
      <w:r>
        <w:rPr>
          <w:rFonts w:ascii="Amiri" w:hAnsi="Amiri" w:eastAsia="Amiri" w:cs="Amiri"/>
          <w:color w:val="111111"/>
          <w:sz w:val="28"/>
          <w:sz w:val="28"/>
          <w:szCs w:val="28"/>
          <w:rtl w:val="true"/>
          <w:lang w:bidi="ar-SA"/>
        </w:rPr>
        <w:t>وفي الدُّروس</w:t>
      </w:r>
      <w:r>
        <w:rPr>
          <w:rStyle w:val="FootnoteAnchor"/>
          <w:rtl w:val="true"/>
        </w:rPr>
        <w:footnoteReference w:id="220"/>
      </w:r>
      <w:r>
        <w:rPr>
          <w:rFonts w:ascii="IRNazanin" w:hAnsi="IRNazanin" w:eastAsia="IRNazanin"/>
          <w:color w:val="111111"/>
          <w:sz w:val="28"/>
          <w:sz w:val="28"/>
          <w:szCs w:val="28"/>
          <w:rtl w:val="true"/>
          <w:lang w:bidi="fa-IR"/>
        </w:rPr>
        <w:t>، وقواعده</w:t>
      </w:r>
      <w:r>
        <w:rPr>
          <w:rStyle w:val="FootnoteAnchor"/>
          <w:rtl w:val="true"/>
        </w:rPr>
        <w:footnoteReference w:id="221"/>
      </w:r>
      <w:r>
        <w:rPr>
          <w:rFonts w:ascii="Amiri" w:hAnsi="Amiri" w:eastAsia="Amiri" w:cs="Amiri"/>
          <w:color w:val="111111"/>
          <w:sz w:val="28"/>
          <w:sz w:val="28"/>
          <w:szCs w:val="28"/>
          <w:rtl w:val="true"/>
          <w:lang w:bidi="ar-SA"/>
        </w:rPr>
        <w:t>، والصَّيمُريِّ قدس سره</w:t>
      </w:r>
      <w:r>
        <w:rPr>
          <w:rStyle w:val="FootnoteAnchor"/>
          <w:rtl w:val="true"/>
        </w:rPr>
        <w:footnoteReference w:id="222"/>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223"/>
      </w:r>
      <w:r>
        <w:rPr>
          <w:rFonts w:ascii="Amiri" w:hAnsi="Amiri" w:eastAsia="Amiri" w:cs="Amiri"/>
          <w:color w:val="111111"/>
          <w:sz w:val="28"/>
          <w:sz w:val="28"/>
          <w:szCs w:val="28"/>
          <w:rtl w:val="true"/>
          <w:lang w:bidi="ar-SA"/>
        </w:rPr>
        <w:t>، والفيض قدس سره</w:t>
      </w:r>
      <w:r>
        <w:rPr>
          <w:rStyle w:val="FootnoteAnchor"/>
          <w:rtl w:val="true"/>
        </w:rPr>
        <w:footnoteReference w:id="224"/>
      </w:r>
      <w:r>
        <w:rPr>
          <w:rFonts w:ascii="Amiri" w:hAnsi="Amiri" w:eastAsia="Amiri" w:cs="Amiri"/>
          <w:color w:val="111111"/>
          <w:sz w:val="28"/>
          <w:sz w:val="28"/>
          <w:szCs w:val="28"/>
          <w:rtl w:val="true"/>
          <w:lang w:bidi="ar-SA"/>
        </w:rPr>
        <w:t>، والعلَّامة المجلسيِّ قدس سره في مرآته</w:t>
      </w:r>
      <w:r>
        <w:rPr>
          <w:rStyle w:val="FootnoteAnchor"/>
          <w:rtl w:val="true"/>
        </w:rPr>
        <w:footnoteReference w:id="225"/>
      </w:r>
      <w:r>
        <w:rPr>
          <w:rFonts w:ascii="IRNazanin" w:hAnsi="IRNazanin" w:eastAsia="IRNazanin"/>
          <w:color w:val="111111"/>
          <w:sz w:val="28"/>
          <w:sz w:val="28"/>
          <w:szCs w:val="28"/>
          <w:rtl w:val="true"/>
          <w:lang w:bidi="fa-IR"/>
        </w:rPr>
        <w:t>، وملاذه</w:t>
      </w:r>
      <w:r>
        <w:rPr>
          <w:rStyle w:val="FootnoteAnchor"/>
          <w:rtl w:val="true"/>
        </w:rPr>
        <w:footnoteReference w:id="226"/>
      </w:r>
      <w:r>
        <w:rPr>
          <w:rFonts w:ascii="Amiri" w:hAnsi="Amiri" w:eastAsia="Amiri" w:cs="Amiri"/>
          <w:color w:val="111111"/>
          <w:sz w:val="28"/>
          <w:sz w:val="28"/>
          <w:szCs w:val="28"/>
          <w:rtl w:val="true"/>
          <w:lang w:bidi="ar-SA"/>
        </w:rPr>
        <w:t>، والبحرانيِّ قدس سره</w:t>
      </w:r>
      <w:r>
        <w:rPr>
          <w:rStyle w:val="FootnoteAnchor"/>
          <w:rtl w:val="true"/>
        </w:rPr>
        <w:footnoteReference w:id="227"/>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228"/>
      </w:r>
      <w:r>
        <w:rPr>
          <w:rFonts w:ascii="Amiri" w:hAnsi="Amiri" w:eastAsia="Amiri" w:cs="Amiri"/>
          <w:color w:val="111111"/>
          <w:sz w:val="28"/>
          <w:sz w:val="28"/>
          <w:szCs w:val="28"/>
          <w:rtl w:val="true"/>
          <w:lang w:bidi="ar-SA"/>
        </w:rPr>
        <w:t>، وغيرهم أيضًا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944952_1280447820"/>
      <w:bookmarkStart w:id="81" w:name="_Toc28"/>
      <w:bookmarkEnd w:id="80"/>
      <w:r>
        <w:rPr>
          <w:rtl w:val="true"/>
        </w:rPr>
        <w:t>أمثلةٌ لاستعمال القاعدة في الفقه</w:t>
      </w:r>
      <w:r>
        <w:rPr>
          <w:rtl w:val="true"/>
        </w:rPr>
        <w:t>:</w:t>
      </w:r>
      <w:bookmarkEnd w:id="81"/>
    </w:p>
    <w:p>
      <w:pPr>
        <w:pStyle w:val="BookText"/>
        <w:rPr/>
      </w:pPr>
      <w:r>
        <w:rPr>
          <w:rFonts w:ascii="Amiri" w:hAnsi="Amiri" w:eastAsia="Amiri" w:cs="Amiri"/>
          <w:color w:val="111111"/>
          <w:sz w:val="28"/>
          <w:sz w:val="28"/>
          <w:szCs w:val="28"/>
          <w:rtl w:val="true"/>
          <w:lang w:bidi="ar-SA"/>
        </w:rPr>
        <w:t>أشرنا آنفًا إلى أنَّ الظَّاهر أنَّه لايُوجَد في الفقه موردٌ تنطبق عليه القاعدة، فلانأتي هيهنا بأمثلةٍ لاِستعمال القاعدة في الفقه؛ خلافًا للمحقِّق البجنورديِّ قدس سره، فراجع إلى كلامه إن شئتَ‌</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المحقِّق المراغيَّ قدس سره ذكر جملةً من مواردَ تنطبق عليها القاعدةُ‌</w:t>
      </w:r>
      <w:r>
        <w:rPr>
          <w:rStyle w:val="FootnoteAnchor"/>
          <w:rtl w:val="true"/>
        </w:rPr>
        <w:footnoteReference w:id="23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قلنا ظهر عدمُ انطباقها عليها مطلقًا</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20337_261400"/>
      <w:bookmarkStart w:id="83" w:name="pg20337_261400"/>
      <w:bookmarkEnd w:id="83"/>
    </w:p>
    <w:p>
      <w:pPr>
        <w:pStyle w:val="Heading2"/>
        <w:numPr>
          <w:ilvl w:val="1"/>
          <w:numId w:val="1"/>
        </w:numPr>
        <w:rPr/>
      </w:pPr>
      <w:bookmarkStart w:id="84" w:name="pg20337_261400"/>
      <w:bookmarkStart w:id="85" w:name="__RefHeading___Toc11944954_1280447820"/>
      <w:bookmarkStart w:id="86" w:name="_Toc29"/>
      <w:bookmarkEnd w:id="84"/>
      <w:bookmarkEnd w:id="85"/>
      <w:r>
        <w:rPr>
          <w:rtl w:val="true"/>
        </w:rPr>
        <w:t>[</w:t>
      </w:r>
      <w:r>
        <w:rPr/>
        <w:t>26</w:t>
      </w:r>
      <w:r>
        <w:rPr>
          <w:rtl w:val="true"/>
        </w:rPr>
        <w:t xml:space="preserve">:] </w:t>
      </w:r>
      <w:r>
        <w:rPr>
          <w:rtl w:val="true"/>
        </w:rPr>
        <w:t>قاعدة المؤمنونَ عند شروطِهم</w:t>
      </w:r>
      <w:bookmarkEnd w:id="86"/>
    </w:p>
    <w:p>
      <w:pPr>
        <w:pStyle w:val="Heading3"/>
        <w:numPr>
          <w:ilvl w:val="2"/>
          <w:numId w:val="1"/>
        </w:numPr>
        <w:rPr/>
      </w:pPr>
      <w:bookmarkStart w:id="87" w:name="__RefHeading___Toc11944956_1280447820"/>
      <w:bookmarkStart w:id="88" w:name="_Toc30"/>
      <w:bookmarkEnd w:id="87"/>
      <w:r>
        <w:rPr>
          <w:rtl w:val="true"/>
        </w:rPr>
        <w:t>عناوين أُخرىٰ للقاعدة توضيح مفاد القاعدة</w:t>
      </w:r>
      <w:bookmarkEnd w:id="88"/>
    </w:p>
    <w:p>
      <w:pPr>
        <w:pStyle w:val="BookText"/>
        <w:rPr/>
      </w:pPr>
      <w:r>
        <w:rPr>
          <w:rFonts w:ascii="Amiri" w:hAnsi="Amiri" w:eastAsia="Amiri" w:cs="Amiri"/>
          <w:color w:val="111111"/>
          <w:sz w:val="28"/>
          <w:sz w:val="28"/>
          <w:szCs w:val="28"/>
          <w:rtl w:val="true"/>
          <w:lang w:bidi="ar-SA"/>
        </w:rPr>
        <w:t xml:space="preserve">المراد من القاعدة أنَّه يجب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أدلة القاعدة الشَّرعيَّة، وبحسب العقل وثبوت السِّيرة عليها، وسنفصِّل الكلام حول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 بما يلتزم به من الشُّروط قِبَل غيره في جميع المعاهَدات؛ فليس له أن يخالفه بعد أن التَزَم به؛ وهذا واضحٌ لايحتاج إلى مزيد بيانٍ‌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إجماعيَّةٌ بين الفقهاء، بل هي من أعمِّها استعمالًا عندهم؛ فاستدلَّ به </w:t>
      </w:r>
      <w:bookmarkStart w:id="89" w:name="pg20337_261401"/>
    </w:p>
    <w:p>
      <w:pPr>
        <w:pStyle w:val="BookText"/>
        <w:rPr/>
      </w:pPr>
      <w:bookmarkEnd w:id="89"/>
      <w:r>
        <w:rPr>
          <w:rFonts w:ascii="Amiri" w:hAnsi="Amiri" w:eastAsia="Amiri" w:cs="Amiri"/>
          <w:color w:val="111111"/>
          <w:sz w:val="28"/>
          <w:sz w:val="28"/>
          <w:szCs w:val="28"/>
          <w:rtl w:val="true"/>
          <w:lang w:bidi="ar-SA"/>
        </w:rPr>
        <w:t>ابنُالجنيد قدس سره</w:t>
      </w:r>
      <w:r>
        <w:rPr>
          <w:rStyle w:val="FootnoteAnchor"/>
          <w:rtl w:val="true"/>
        </w:rPr>
        <w:footnoteReference w:id="232"/>
      </w:r>
      <w:r>
        <w:rPr>
          <w:rFonts w:ascii="Amiri" w:hAnsi="Amiri" w:eastAsia="Amiri" w:cs="Amiri"/>
          <w:color w:val="111111"/>
          <w:sz w:val="28"/>
          <w:sz w:val="28"/>
          <w:szCs w:val="28"/>
          <w:rtl w:val="true"/>
          <w:lang w:bidi="ar-SA"/>
        </w:rPr>
        <w:t>، والشَّيخ قدس سره في خلافه</w:t>
      </w:r>
      <w:r>
        <w:rPr>
          <w:rStyle w:val="FootnoteAnchor"/>
          <w:rtl w:val="true"/>
        </w:rPr>
        <w:footnoteReference w:id="233"/>
      </w:r>
      <w:r>
        <w:rPr>
          <w:rFonts w:ascii="IRNazanin" w:hAnsi="IRNazanin" w:eastAsia="IRNazanin"/>
          <w:color w:val="111111"/>
          <w:sz w:val="28"/>
          <w:sz w:val="28"/>
          <w:szCs w:val="28"/>
          <w:rtl w:val="true"/>
          <w:lang w:bidi="fa-IR"/>
        </w:rPr>
        <w:t>، ومبسوطه</w:t>
      </w:r>
      <w:r>
        <w:rPr>
          <w:rStyle w:val="FootnoteAnchor"/>
          <w:rtl w:val="true"/>
        </w:rPr>
        <w:footnoteReference w:id="234"/>
      </w:r>
      <w:r>
        <w:rPr>
          <w:rFonts w:ascii="Amiri" w:hAnsi="Amiri" w:eastAsia="Amiri" w:cs="Amiri"/>
          <w:color w:val="111111"/>
          <w:sz w:val="28"/>
          <w:sz w:val="28"/>
          <w:szCs w:val="28"/>
          <w:rtl w:val="true"/>
          <w:lang w:bidi="ar-SA"/>
        </w:rPr>
        <w:t>، وابنُالبرَّاج قدس سره</w:t>
      </w:r>
      <w:r>
        <w:rPr>
          <w:rStyle w:val="FootnoteAnchor"/>
          <w:rtl w:val="true"/>
        </w:rPr>
        <w:footnoteReference w:id="235"/>
      </w:r>
      <w:r>
        <w:rPr>
          <w:rFonts w:ascii="Amiri" w:hAnsi="Amiri" w:eastAsia="Amiri" w:cs="Amiri"/>
          <w:color w:val="111111"/>
          <w:sz w:val="28"/>
          <w:sz w:val="28"/>
          <w:szCs w:val="28"/>
          <w:rtl w:val="true"/>
          <w:lang w:bidi="ar-SA"/>
        </w:rPr>
        <w:t>، وفي جواهره</w:t>
      </w:r>
      <w:r>
        <w:rPr>
          <w:rStyle w:val="FootnoteAnchor"/>
          <w:rtl w:val="true"/>
        </w:rPr>
        <w:footnoteReference w:id="236"/>
      </w:r>
      <w:r>
        <w:rPr>
          <w:rFonts w:ascii="Amiri" w:hAnsi="Amiri" w:eastAsia="Amiri" w:cs="Amiri"/>
          <w:color w:val="111111"/>
          <w:sz w:val="28"/>
          <w:sz w:val="28"/>
          <w:szCs w:val="28"/>
          <w:rtl w:val="true"/>
          <w:lang w:bidi="ar-SA"/>
        </w:rPr>
        <w:t>، وابنُزهرة قدس سره</w:t>
      </w:r>
      <w:r>
        <w:rPr>
          <w:rStyle w:val="FootnoteAnchor"/>
          <w:rtl w:val="true"/>
        </w:rPr>
        <w:footnoteReference w:id="237"/>
      </w:r>
      <w:r>
        <w:rPr>
          <w:rFonts w:ascii="Amiri" w:hAnsi="Amiri" w:eastAsia="Amiri" w:cs="Amiri"/>
          <w:color w:val="111111"/>
          <w:sz w:val="28"/>
          <w:sz w:val="28"/>
          <w:szCs w:val="28"/>
          <w:rtl w:val="true"/>
          <w:lang w:bidi="ar-SA"/>
        </w:rPr>
        <w:t>، وابنُإدريس قدس سره في أجوبته</w:t>
      </w:r>
      <w:r>
        <w:rPr>
          <w:rStyle w:val="FootnoteAnchor"/>
          <w:rtl w:val="true"/>
        </w:rPr>
        <w:footnoteReference w:id="238"/>
      </w:r>
      <w:r>
        <w:rPr>
          <w:rFonts w:ascii="IRNazanin" w:hAnsi="IRNazanin" w:eastAsia="IRNazanin"/>
          <w:color w:val="111111"/>
          <w:sz w:val="28"/>
          <w:sz w:val="28"/>
          <w:szCs w:val="28"/>
          <w:rtl w:val="true"/>
          <w:lang w:bidi="fa-IR"/>
        </w:rPr>
        <w:t>، وسرائره</w:t>
      </w:r>
      <w:r>
        <w:rPr>
          <w:rStyle w:val="FootnoteAnchor"/>
          <w:rtl w:val="true"/>
        </w:rPr>
        <w:footnoteReference w:id="239"/>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240"/>
      </w:r>
      <w:r>
        <w:rPr>
          <w:rFonts w:ascii="Amiri" w:hAnsi="Amiri" w:eastAsia="Amiri" w:cs="Amiri"/>
          <w:color w:val="111111"/>
          <w:sz w:val="28"/>
          <w:sz w:val="28"/>
          <w:szCs w:val="28"/>
          <w:rtl w:val="true"/>
          <w:lang w:bidi="ar-SA"/>
        </w:rPr>
        <w:t>، والمحقِّق قدس سره</w:t>
      </w:r>
      <w:r>
        <w:rPr>
          <w:rStyle w:val="FootnoteAnchor"/>
          <w:rtl w:val="true"/>
        </w:rPr>
        <w:footnoteReference w:id="241"/>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242"/>
      </w:r>
      <w:r>
        <w:rPr>
          <w:rFonts w:ascii="Amiri" w:hAnsi="Amiri" w:eastAsia="Amiri" w:cs="Amiri"/>
          <w:color w:val="111111"/>
          <w:sz w:val="28"/>
          <w:sz w:val="28"/>
          <w:szCs w:val="28"/>
          <w:rtl w:val="true"/>
          <w:lang w:bidi="ar-SA"/>
        </w:rPr>
        <w:t>، ومختلَفه</w:t>
      </w:r>
      <w:r>
        <w:rPr>
          <w:rStyle w:val="FootnoteAnchor"/>
          <w:rtl w:val="true"/>
        </w:rPr>
        <w:footnoteReference w:id="243"/>
      </w:r>
      <w:r>
        <w:rPr>
          <w:rFonts w:ascii="IRNazanin" w:hAnsi="IRNazanin" w:eastAsia="IRNazanin"/>
          <w:color w:val="111111"/>
          <w:sz w:val="28"/>
          <w:sz w:val="28"/>
          <w:szCs w:val="28"/>
          <w:rtl w:val="true"/>
          <w:lang w:bidi="fa-IR"/>
        </w:rPr>
        <w:t>، ومنتهاه</w:t>
      </w:r>
      <w:r>
        <w:rPr>
          <w:rStyle w:val="FootnoteAnchor"/>
          <w:rtl w:val="true"/>
        </w:rPr>
        <w:footnoteReference w:id="244"/>
      </w:r>
      <w:r>
        <w:rPr>
          <w:rFonts w:ascii="Amiri" w:hAnsi="Amiri" w:eastAsia="Amiri" w:cs="Amiri"/>
          <w:color w:val="111111"/>
          <w:sz w:val="28"/>
          <w:sz w:val="28"/>
          <w:szCs w:val="28"/>
          <w:rtl w:val="true"/>
          <w:lang w:bidi="ar-SA"/>
        </w:rPr>
        <w:t>، وغيرهم في غيرها؛</w:t>
      </w:r>
    </w:p>
    <w:p>
      <w:pPr>
        <w:pStyle w:val="BookText"/>
        <w:rPr/>
      </w:pPr>
      <w:r>
        <w:rPr>
          <w:rFonts w:ascii="Amiri" w:hAnsi="Amiri" w:eastAsia="Amiri" w:cs="Amiri"/>
          <w:color w:val="111111"/>
          <w:sz w:val="28"/>
          <w:sz w:val="28"/>
          <w:szCs w:val="28"/>
          <w:rtl w:val="true"/>
          <w:lang w:bidi="ar-SA"/>
        </w:rPr>
        <w:t>بل لاتجد صحيفةً من صحائف الفقهاء إلَّاواستُدِلَّ فيها بها؛ وهذا واضحٌ لمن أمعَنَ النَّظر في مصادرنا الفقهيَّة</w:t>
      </w:r>
    </w:p>
    <w:p>
      <w:pPr>
        <w:pStyle w:val="Heading3"/>
        <w:numPr>
          <w:ilvl w:val="2"/>
          <w:numId w:val="1"/>
        </w:numPr>
        <w:rPr/>
      </w:pPr>
      <w:bookmarkStart w:id="90" w:name="__RefHeading___Toc11944958_1280447820"/>
      <w:bookmarkStart w:id="91" w:name="_Toc31"/>
      <w:bookmarkEnd w:id="90"/>
      <w:r>
        <w:rPr>
          <w:rtl w:val="true"/>
        </w:rPr>
        <w:t>مدركُ القاعدة</w:t>
      </w:r>
      <w:bookmarkEnd w:id="91"/>
    </w:p>
    <w:p>
      <w:pPr>
        <w:pStyle w:val="Heading4"/>
        <w:numPr>
          <w:ilvl w:val="3"/>
          <w:numId w:val="1"/>
        </w:numPr>
        <w:rPr/>
      </w:pPr>
      <w:bookmarkStart w:id="92" w:name="__RefHeading___Toc11944960_1280447820"/>
      <w:bookmarkStart w:id="93" w:name="_Toc32"/>
      <w:bookmarkEnd w:id="92"/>
      <w:r>
        <w:rPr>
          <w:rtl w:val="true"/>
        </w:rPr>
        <w:t>اشارة</w:t>
      </w:r>
      <w:bookmarkEnd w:id="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أو يُمكن أن يُستدَلَّ علىٰ القاعدة بأمورٍ</w:t>
      </w:r>
      <w:r>
        <w:rPr>
          <w:rFonts w:eastAsia="Amiri" w:cs="Amiri" w:ascii="Amiri" w:hAnsi="Amiri"/>
          <w:color w:val="111111"/>
          <w:sz w:val="28"/>
          <w:szCs w:val="28"/>
          <w:rtl w:val="true"/>
          <w:lang w:bidi="ar-SA"/>
        </w:rPr>
        <w:t xml:space="preserve">: </w:t>
      </w:r>
      <w:bookmarkStart w:id="94" w:name="pg20337_261402"/>
    </w:p>
    <w:p>
      <w:pPr>
        <w:pStyle w:val="Heading4"/>
        <w:numPr>
          <w:ilvl w:val="3"/>
          <w:numId w:val="1"/>
        </w:numPr>
        <w:rPr/>
      </w:pPr>
      <w:bookmarkStart w:id="95" w:name="__RefHeading___Toc11944962_1280447820"/>
      <w:bookmarkStart w:id="96" w:name="_Toc33"/>
      <w:bookmarkEnd w:id="94"/>
      <w:bookmarkEnd w:id="95"/>
      <w:r>
        <w:rPr>
          <w:rtl w:val="true"/>
        </w:rPr>
        <w:t>أوَّلًا</w:t>
      </w:r>
      <w:r>
        <w:rPr>
          <w:rtl w:val="true"/>
        </w:rPr>
        <w:t xml:space="preserve">: </w:t>
      </w:r>
      <w:r>
        <w:rPr>
          <w:rtl w:val="true"/>
        </w:rPr>
        <w:t>الكتاب العزيز</w:t>
      </w:r>
      <w:bookmarkEnd w:id="96"/>
    </w:p>
    <w:p>
      <w:pPr>
        <w:pStyle w:val="BookText"/>
        <w:rPr/>
      </w:pPr>
      <w:r>
        <w:rPr>
          <w:rFonts w:ascii="Amiri" w:hAnsi="Amiri" w:eastAsia="Amiri" w:cs="Amiri"/>
          <w:color w:val="111111"/>
          <w:sz w:val="28"/>
          <w:sz w:val="28"/>
          <w:szCs w:val="28"/>
          <w:rtl w:val="true"/>
          <w:lang w:bidi="ar-SA"/>
        </w:rPr>
        <w:t xml:space="preserve">أمَّا بالكتاب،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العقود فقال أبوعُبيدة مَعْمَر بن 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ومجازها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 والأيمان الَّتي عقدتُم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القطب الرَّاوندي وإن استدلَّ بالكريمة لوجوب الوفاء بالعهد، لكنَّه خصَّ البحث بالإمام حينما عقَدَ عقْدَ الهُدنَة مع المشركين</w:t>
      </w:r>
      <w:r>
        <w:rPr>
          <w:rStyle w:val="FootnoteAnchor"/>
          <w:rtl w:val="true"/>
        </w:rPr>
        <w:footnoteReference w:id="24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والتَّعدِّي عن هذا المورد إلى غيرها من الموارد سهلٌ جدًّا؛ كما عن الفاضل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بالعقود كلُّ ما يعقده النَّاس في معامَلاتهم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بمقتضاه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ثمَّ بحث بحثًا وافيًا عن أقسام العقود وما تشير إليه هذه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ما ذكره المقدَّس الفاضلُ قدس سره</w:t>
      </w:r>
      <w:r>
        <w:rPr>
          <w:rStyle w:val="FootnoteAnchor"/>
          <w:rtl w:val="true"/>
        </w:rPr>
        <w:footnoteReference w:id="249"/>
      </w:r>
      <w:r>
        <w:rPr>
          <w:rFonts w:ascii="Amiri" w:hAnsi="Amiri" w:eastAsia="Amiri" w:cs="Amiri"/>
          <w:color w:val="111111"/>
          <w:sz w:val="28"/>
          <w:sz w:val="28"/>
          <w:szCs w:val="28"/>
          <w:rtl w:val="true"/>
          <w:lang w:bidi="ar-SA"/>
        </w:rPr>
        <w:t>، وابن العربيِّ قدس سره</w:t>
      </w:r>
      <w:r>
        <w:rPr>
          <w:rStyle w:val="FootnoteAnchor"/>
          <w:rtl w:val="true"/>
        </w:rPr>
        <w:footnoteReference w:id="250"/>
      </w:r>
      <w:r>
        <w:rPr>
          <w:rFonts w:ascii="Amiri" w:hAnsi="Amiri" w:eastAsia="Amiri" w:cs="Amiri"/>
          <w:color w:val="111111"/>
          <w:sz w:val="28"/>
          <w:sz w:val="28"/>
          <w:szCs w:val="28"/>
          <w:rtl w:val="true"/>
          <w:lang w:bidi="ar-SA"/>
        </w:rPr>
        <w:t>، والجصَّاص قدس سره</w:t>
      </w:r>
      <w:r>
        <w:rPr>
          <w:rStyle w:val="FootnoteAnchor"/>
          <w:rtl w:val="true"/>
        </w:rPr>
        <w:footnoteReference w:id="251"/>
      </w:r>
      <w:r>
        <w:rPr>
          <w:rFonts w:ascii="Amiri" w:hAnsi="Amiri" w:eastAsia="Amiri" w:cs="Amiri"/>
          <w:color w:val="111111"/>
          <w:sz w:val="28"/>
          <w:sz w:val="28"/>
          <w:szCs w:val="28"/>
          <w:rtl w:val="true"/>
          <w:lang w:bidi="ar-SA"/>
        </w:rPr>
        <w:t>، والكياهراسيُّ قدس سره</w:t>
      </w:r>
      <w:r>
        <w:rPr>
          <w:rStyle w:val="FootnoteAnchor"/>
          <w:rtl w:val="true"/>
        </w:rPr>
        <w:footnoteReference w:id="252"/>
      </w:r>
      <w:r>
        <w:rPr>
          <w:rFonts w:ascii="Amiri" w:hAnsi="Amiri" w:eastAsia="Amiri" w:cs="Amiri"/>
          <w:color w:val="111111"/>
          <w:sz w:val="28"/>
          <w:sz w:val="28"/>
          <w:szCs w:val="28"/>
          <w:rtl w:val="true"/>
          <w:lang w:bidi="ar-SA"/>
        </w:rPr>
        <w:t>، والشَّيخ قدس سره</w:t>
      </w:r>
      <w:r>
        <w:rPr>
          <w:rStyle w:val="FootnoteAnchor"/>
          <w:rtl w:val="true"/>
        </w:rPr>
        <w:footnoteReference w:id="253"/>
      </w:r>
      <w:r>
        <w:rPr>
          <w:rFonts w:ascii="Amiri" w:hAnsi="Amiri" w:eastAsia="Amiri" w:cs="Amiri"/>
          <w:color w:val="111111"/>
          <w:sz w:val="28"/>
          <w:sz w:val="28"/>
          <w:szCs w:val="28"/>
          <w:rtl w:val="true"/>
          <w:lang w:bidi="ar-SA"/>
        </w:rPr>
        <w:t>، والطبرسيُّ قدس سره</w:t>
      </w:r>
      <w:r>
        <w:rPr>
          <w:rStyle w:val="FootnoteAnchor"/>
          <w:rtl w:val="true"/>
        </w:rPr>
        <w:footnoteReference w:id="254"/>
      </w:r>
      <w:r>
        <w:rPr>
          <w:rFonts w:ascii="Amiri" w:hAnsi="Amiri" w:eastAsia="Amiri" w:cs="Amiri"/>
          <w:color w:val="111111"/>
          <w:sz w:val="28"/>
          <w:sz w:val="28"/>
          <w:szCs w:val="28"/>
          <w:rtl w:val="true"/>
          <w:lang w:bidi="ar-SA"/>
        </w:rPr>
        <w:t>، والقُرطُبيُّ‌</w:t>
      </w:r>
      <w:r>
        <w:rPr>
          <w:rStyle w:val="FootnoteAnchor"/>
          <w:rtl w:val="true"/>
        </w:rPr>
        <w:footnoteReference w:id="255"/>
      </w:r>
      <w:r>
        <w:rPr>
          <w:rFonts w:ascii="Amiri" w:hAnsi="Amiri" w:eastAsia="Amiri" w:cs="Amiri"/>
          <w:color w:val="111111"/>
          <w:sz w:val="28"/>
          <w:sz w:val="28"/>
          <w:szCs w:val="28"/>
          <w:rtl w:val="true"/>
          <w:lang w:bidi="ar-SA"/>
        </w:rPr>
        <w:t xml:space="preserve">، وسيِّدنا الأستاذ </w:t>
      </w:r>
    </w:p>
    <w:p>
      <w:pPr>
        <w:pStyle w:val="BookText"/>
        <w:rPr/>
      </w:pPr>
      <w:r>
        <w:rPr>
          <w:rFonts w:ascii="Amiri" w:hAnsi="Amiri" w:eastAsia="Amiri" w:cs="Amiri"/>
          <w:color w:val="111111"/>
          <w:sz w:val="28"/>
          <w:sz w:val="28"/>
          <w:szCs w:val="28"/>
          <w:rtl w:val="true"/>
          <w:lang w:bidi="ar-SA"/>
        </w:rPr>
        <w:t>العلَّامة قدس سره</w:t>
      </w:r>
      <w:r>
        <w:rPr>
          <w:rStyle w:val="FootnoteAnchor"/>
          <w:rtl w:val="true"/>
        </w:rPr>
        <w:footnoteReference w:id="256"/>
      </w:r>
      <w:r>
        <w:rPr>
          <w:rFonts w:ascii="Amiri" w:hAnsi="Amiri" w:eastAsia="Amiri" w:cs="Amiri"/>
          <w:color w:val="111111"/>
          <w:sz w:val="28"/>
          <w:sz w:val="28"/>
          <w:szCs w:val="28"/>
          <w:rtl w:val="true"/>
          <w:lang w:bidi="ar-SA"/>
        </w:rPr>
        <w:t>بشأن الكريمة، فإنَّ فيه فوائد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الكريمة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هذا الإطلاق مِن بعض نواحيه الوحيدُ الفريدُ قدس سره</w:t>
      </w:r>
      <w:r>
        <w:rPr>
          <w:rStyle w:val="FootnoteAnchor"/>
          <w:rtl w:val="true"/>
        </w:rPr>
        <w:footnoteReference w:id="257"/>
      </w:r>
      <w:r>
        <w:rPr>
          <w:rFonts w:ascii="Amiri" w:hAnsi="Amiri" w:eastAsia="Amiri" w:cs="Amiri"/>
          <w:color w:val="111111"/>
          <w:sz w:val="28"/>
          <w:sz w:val="28"/>
          <w:szCs w:val="28"/>
          <w:rtl w:val="true"/>
          <w:lang w:bidi="ar-SA"/>
        </w:rPr>
        <w:t>، والفقيه المامقانيُّ قدس سره</w:t>
      </w:r>
      <w:r>
        <w:rPr>
          <w:rStyle w:val="FootnoteAnchor"/>
          <w:rtl w:val="true"/>
        </w:rPr>
        <w:footnoteReference w:id="258"/>
      </w:r>
      <w:r>
        <w:rPr>
          <w:rFonts w:ascii="Amiri" w:hAnsi="Amiri" w:eastAsia="Amiri" w:cs="Amiri"/>
          <w:color w:val="111111"/>
          <w:sz w:val="28"/>
          <w:sz w:val="28"/>
          <w:szCs w:val="28"/>
          <w:rtl w:val="true"/>
          <w:lang w:bidi="ar-SA"/>
        </w:rPr>
        <w:t>، والمحقِّق الشَّهيديُّ قدس سره</w:t>
      </w:r>
      <w:r>
        <w:rPr>
          <w:rStyle w:val="FootnoteAnchor"/>
          <w:rtl w:val="true"/>
        </w:rPr>
        <w:footnoteReference w:id="259"/>
      </w:r>
      <w:r>
        <w:rPr>
          <w:rFonts w:ascii="Amiri" w:hAnsi="Amiri" w:eastAsia="Amiri" w:cs="Amiri"/>
          <w:color w:val="111111"/>
          <w:sz w:val="28"/>
          <w:sz w:val="28"/>
          <w:szCs w:val="28"/>
          <w:rtl w:val="true"/>
          <w:lang w:bidi="ar-SA"/>
        </w:rPr>
        <w:t xml:space="preserve">، وغيرهم، فيشمل جميع المعاهَدات العُرفيَّة من العقود والإيقاعات والشُّروط والضَّمانات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مختصًّا بالعقود الاِصطلاحيَّة، وإلَّا يلزم أن لايشمل الإيقاعات؛</w:t>
      </w:r>
    </w:p>
    <w:p>
      <w:pPr>
        <w:pStyle w:val="BookText"/>
        <w:rPr/>
      </w:pPr>
      <w:r>
        <w:rPr>
          <w:rFonts w:ascii="Amiri" w:hAnsi="Amiri" w:eastAsia="Amiri" w:cs="Amiri"/>
          <w:color w:val="111111"/>
          <w:sz w:val="28"/>
          <w:sz w:val="28"/>
          <w:szCs w:val="28"/>
          <w:rtl w:val="true"/>
          <w:lang w:bidi="ar-SA"/>
        </w:rPr>
        <w:t>وهو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أيضًا؛ كما استدلَّ به الشَّيخ جعفر الكبير لثبوت القاعدة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أصحاب كتب فقه القرآن وتبيين أحكامه برُمَّتهم لم يذكروا شيئًا حول إمكان الاِستدلال بالآية الشَّريفة لهذه القاعدة؛ والشَّيخ وإن بحث عنها </w:t>
      </w:r>
      <w:bookmarkStart w:id="97" w:name="pg20337_261404"/>
    </w:p>
    <w:p>
      <w:pPr>
        <w:pStyle w:val="BookText"/>
        <w:rPr/>
      </w:pPr>
      <w:bookmarkEnd w:id="97"/>
      <w:r>
        <w:rPr>
          <w:rFonts w:ascii="Amiri" w:hAnsi="Amiri" w:eastAsia="Amiri" w:cs="Amiri"/>
          <w:color w:val="111111"/>
          <w:sz w:val="28"/>
          <w:sz w:val="28"/>
          <w:szCs w:val="28"/>
          <w:rtl w:val="true"/>
          <w:lang w:bidi="ar-SA"/>
        </w:rPr>
        <w:t>بحثًا ضافيًا</w:t>
      </w:r>
      <w:r>
        <w:rPr>
          <w:rStyle w:val="FootnoteAnchor"/>
          <w:rtl w:val="true"/>
        </w:rPr>
        <w:footnoteReference w:id="262"/>
      </w:r>
      <w:r>
        <w:rPr>
          <w:rFonts w:ascii="Amiri" w:hAnsi="Amiri" w:eastAsia="Amiri" w:cs="Amiri"/>
          <w:color w:val="111111"/>
          <w:sz w:val="28"/>
          <w:sz w:val="28"/>
          <w:szCs w:val="28"/>
          <w:rtl w:val="true"/>
          <w:lang w:bidi="ar-SA"/>
        </w:rPr>
        <w:t>، لكنَّه أيضًا لم يأت بشيءٍ في هذا المضمار، كشيخنا الأستاذ العلَّامة قدس سره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الكريمة قد تكلَّم عنها بعضُ الأكابر لشمول القاعدة للشُّروط الابتدائيَّة أيضًا أو عدم شمولها لها</w:t>
      </w:r>
      <w:r>
        <w:rPr>
          <w:rStyle w:val="FootnoteAnchor"/>
          <w:rtl w:val="true"/>
        </w:rPr>
        <w:footnoteReference w:id="264"/>
      </w:r>
      <w:r>
        <w:rPr>
          <w:rFonts w:ascii="IRNazanin" w:hAnsi="IRNazanin" w:eastAsia="IRNazanin"/>
          <w:color w:val="111111"/>
          <w:sz w:val="28"/>
          <w:sz w:val="28"/>
          <w:szCs w:val="28"/>
          <w:rtl w:val="true"/>
          <w:lang w:bidi="fa-IR"/>
        </w:rPr>
        <w:t>وسنبحث عن هذا المطلب آنفًا</w:t>
      </w:r>
      <w:r>
        <w:rPr>
          <w:rFonts w:eastAsia="IRNazanin" w:cs="IRNazanin"/>
          <w:color w:val="111111"/>
          <w:sz w:val="28"/>
          <w:szCs w:val="28"/>
          <w:rtl w:val="true"/>
          <w:lang w:bidi="fa-IR"/>
        </w:rPr>
        <w:t>.</w:t>
      </w:r>
    </w:p>
    <w:p>
      <w:pPr>
        <w:pStyle w:val="Heading4"/>
        <w:numPr>
          <w:ilvl w:val="3"/>
          <w:numId w:val="1"/>
        </w:numPr>
        <w:rPr/>
      </w:pPr>
      <w:bookmarkStart w:id="98" w:name="__RefHeading___Toc11944964_1280447820"/>
      <w:bookmarkStart w:id="99" w:name="_Toc34"/>
      <w:bookmarkEnd w:id="98"/>
      <w:r>
        <w:rPr>
          <w:rtl w:val="true"/>
        </w:rPr>
        <w:t>ثانيًا</w:t>
      </w:r>
      <w:r>
        <w:rPr>
          <w:rtl w:val="true"/>
        </w:rPr>
        <w:t xml:space="preserve">: </w:t>
      </w:r>
      <w:r>
        <w:rPr>
          <w:rtl w:val="true"/>
        </w:rPr>
        <w:t>روايات الباب</w:t>
      </w:r>
      <w:bookmarkEnd w:id="99"/>
    </w:p>
    <w:p>
      <w:pPr>
        <w:pStyle w:val="BookText"/>
        <w:rPr/>
      </w:pPr>
      <w:r>
        <w:rPr>
          <w:rFonts w:ascii="Amiri" w:hAnsi="Amiri" w:eastAsia="Amiri" w:cs="Amiri"/>
          <w:color w:val="111111"/>
          <w:sz w:val="28"/>
          <w:sz w:val="28"/>
          <w:szCs w:val="28"/>
          <w:rtl w:val="true"/>
          <w:lang w:bidi="ar-SA"/>
        </w:rPr>
        <w:t>وأمَّا بالسُّنَّة المطهَّرة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وقع في رواياتٍ كثيرةٍ‌، وقد رواه عن النَّبيِّ الكريم صلى الله عليه و آله جمعٌ من أعلام الفريقَين، كالشَّيخ قدس سره في استبصاره</w:t>
      </w:r>
      <w:r>
        <w:rPr>
          <w:rStyle w:val="FootnoteAnchor"/>
          <w:rtl w:val="true"/>
        </w:rPr>
        <w:footnoteReference w:id="265"/>
      </w:r>
      <w:r>
        <w:rPr>
          <w:rFonts w:ascii="Amiri" w:hAnsi="Amiri" w:eastAsia="Amiri" w:cs="Amiri"/>
          <w:color w:val="111111"/>
          <w:sz w:val="28"/>
          <w:sz w:val="28"/>
          <w:szCs w:val="28"/>
          <w:rtl w:val="true"/>
          <w:lang w:bidi="ar-SA"/>
        </w:rPr>
        <w:t>، وفي تهذيبه</w:t>
      </w:r>
      <w:r>
        <w:rPr>
          <w:rStyle w:val="FootnoteAnchor"/>
          <w:rtl w:val="true"/>
        </w:rPr>
        <w:footnoteReference w:id="266"/>
      </w:r>
      <w:r>
        <w:rPr>
          <w:rFonts w:ascii="Amiri" w:hAnsi="Amiri" w:eastAsia="Amiri" w:cs="Amiri"/>
          <w:color w:val="111111"/>
          <w:sz w:val="28"/>
          <w:sz w:val="28"/>
          <w:szCs w:val="28"/>
          <w:rtl w:val="true"/>
          <w:lang w:bidi="ar-SA"/>
        </w:rPr>
        <w:t>أيضًا، والمحدِّث الفيض قدس سره</w:t>
      </w:r>
      <w:r>
        <w:rPr>
          <w:rStyle w:val="FootnoteAnchor"/>
          <w:rtl w:val="true"/>
        </w:rPr>
        <w:footnoteReference w:id="267"/>
      </w:r>
      <w:r>
        <w:rPr>
          <w:rFonts w:ascii="Amiri" w:hAnsi="Amiri" w:eastAsia="Amiri" w:cs="Amiri"/>
          <w:color w:val="111111"/>
          <w:sz w:val="28"/>
          <w:sz w:val="28"/>
          <w:szCs w:val="28"/>
          <w:rtl w:val="true"/>
          <w:lang w:bidi="ar-SA"/>
        </w:rPr>
        <w:t>، والحرُّ قدس سره</w:t>
      </w:r>
      <w:r>
        <w:rPr>
          <w:rStyle w:val="FootnoteAnchor"/>
          <w:rtl w:val="true"/>
        </w:rPr>
        <w:footnoteReference w:id="268"/>
      </w:r>
      <w:r>
        <w:rPr>
          <w:rFonts w:ascii="Amiri" w:hAnsi="Amiri" w:eastAsia="Amiri" w:cs="Amiri"/>
          <w:color w:val="111111"/>
          <w:sz w:val="28"/>
          <w:sz w:val="28"/>
          <w:szCs w:val="28"/>
          <w:rtl w:val="true"/>
          <w:lang w:bidi="ar-SA"/>
        </w:rPr>
        <w:t>بأسانيد قد وثَّق بعضَها العلَّامةُ المجلسيُّ قدس سره</w:t>
      </w:r>
      <w:r>
        <w:rPr>
          <w:rStyle w:val="FootnoteAnchor"/>
          <w:rtl w:val="true"/>
        </w:rPr>
        <w:footnoteReference w:id="269"/>
      </w:r>
      <w:r>
        <w:rPr>
          <w:rFonts w:ascii="Amiri" w:hAnsi="Amiri" w:eastAsia="Amiri" w:cs="Amiri"/>
          <w:color w:val="111111"/>
          <w:sz w:val="28"/>
          <w:sz w:val="28"/>
          <w:szCs w:val="28"/>
          <w:rtl w:val="true"/>
          <w:lang w:bidi="ar-SA"/>
        </w:rPr>
        <w:t>، وصحَّح بعضَها الآخر صاحبُ المدارك قدس سره</w:t>
      </w:r>
      <w:r>
        <w:rPr>
          <w:rStyle w:val="FootnoteAnchor"/>
          <w:rtl w:val="true"/>
        </w:rPr>
        <w:footnoteReference w:id="270"/>
      </w:r>
      <w:r>
        <w:rPr>
          <w:rFonts w:ascii="Amiri" w:hAnsi="Amiri" w:eastAsia="Amiri" w:cs="Amiri"/>
          <w:color w:val="111111"/>
          <w:sz w:val="28"/>
          <w:sz w:val="28"/>
          <w:szCs w:val="28"/>
          <w:rtl w:val="true"/>
          <w:lang w:bidi="ar-SA"/>
        </w:rPr>
        <w:t>، والمحقِّق السَّبزواريُّ قدس سره</w:t>
      </w:r>
      <w:r>
        <w:rPr>
          <w:rStyle w:val="FootnoteAnchor"/>
          <w:rtl w:val="true"/>
        </w:rPr>
        <w:footnoteReference w:id="271"/>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رواه عن العامَّة جمٌّ غفيرٌ، كالرَّافعيِّ‌</w:t>
      </w:r>
      <w:r>
        <w:rPr>
          <w:rStyle w:val="FootnoteAnchor"/>
          <w:rtl w:val="true"/>
        </w:rPr>
        <w:footnoteReference w:id="272"/>
      </w:r>
      <w:r>
        <w:rPr>
          <w:rFonts w:ascii="Amiri" w:hAnsi="Amiri" w:eastAsia="Amiri" w:cs="Amiri"/>
          <w:color w:val="111111"/>
          <w:sz w:val="28"/>
          <w:sz w:val="28"/>
          <w:szCs w:val="28"/>
          <w:rtl w:val="true"/>
          <w:lang w:bidi="ar-SA"/>
        </w:rPr>
        <w:t>، والنَّوَوي</w:t>
      </w:r>
      <w:r>
        <w:rPr>
          <w:rStyle w:val="FootnoteAnchor"/>
          <w:rtl w:val="true"/>
        </w:rPr>
        <w:footnoteReference w:id="273"/>
      </w:r>
      <w:r>
        <w:rPr>
          <w:rFonts w:ascii="Amiri" w:hAnsi="Amiri" w:eastAsia="Amiri" w:cs="Amiri"/>
          <w:color w:val="111111"/>
          <w:sz w:val="28"/>
          <w:sz w:val="28"/>
          <w:szCs w:val="28"/>
          <w:rtl w:val="true"/>
          <w:lang w:bidi="ar-SA"/>
        </w:rPr>
        <w:t>، والسُّبكيِّ‌</w:t>
      </w:r>
      <w:r>
        <w:rPr>
          <w:rStyle w:val="FootnoteAnchor"/>
          <w:rtl w:val="true"/>
        </w:rPr>
        <w:footnoteReference w:id="274"/>
      </w:r>
      <w:r>
        <w:rPr>
          <w:rFonts w:ascii="Amiri" w:hAnsi="Amiri" w:eastAsia="Amiri" w:cs="Amiri"/>
          <w:color w:val="111111"/>
          <w:sz w:val="28"/>
          <w:sz w:val="28"/>
          <w:szCs w:val="28"/>
          <w:rtl w:val="true"/>
          <w:lang w:bidi="ar-SA"/>
        </w:rPr>
        <w:t>، والشَّربينيِّ‌</w:t>
      </w:r>
      <w:r>
        <w:rPr>
          <w:rStyle w:val="FootnoteAnchor"/>
          <w:rtl w:val="true"/>
        </w:rPr>
        <w:footnoteReference w:id="275"/>
      </w:r>
      <w:r>
        <w:rPr>
          <w:rFonts w:ascii="Amiri" w:hAnsi="Amiri" w:eastAsia="Amiri" w:cs="Amiri"/>
          <w:color w:val="111111"/>
          <w:sz w:val="28"/>
          <w:sz w:val="28"/>
          <w:szCs w:val="28"/>
          <w:rtl w:val="true"/>
          <w:lang w:bidi="ar-SA"/>
        </w:rPr>
        <w:t>، وابن قُدامة</w:t>
      </w:r>
      <w:r>
        <w:rPr>
          <w:rStyle w:val="FootnoteAnchor"/>
          <w:rtl w:val="true"/>
        </w:rPr>
        <w:footnoteReference w:id="276"/>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للحديث صورةً أُخرىٰ قريبةٌ من هذه الصُّورة المعروفة جدًّا؛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منسوبةٌ لأميرالمؤمنين، ولمولانا أبي جعفرٍ الباقر عليه السلام، ولأبي الحسن موسىٰ بن جعفرٍ عليهما السلام، ولمولانا أبي عبداللَّه الصَّادق 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رواها الحِميَريُّ قدس سره</w:t>
      </w:r>
      <w:r>
        <w:rPr>
          <w:rStyle w:val="FootnoteAnchor"/>
          <w:rtl w:val="true"/>
        </w:rPr>
        <w:footnoteReference w:id="277"/>
      </w:r>
      <w:r>
        <w:rPr>
          <w:rFonts w:ascii="Amiri" w:hAnsi="Amiri" w:eastAsia="Amiri" w:cs="Amiri"/>
          <w:color w:val="111111"/>
          <w:sz w:val="28"/>
          <w:sz w:val="28"/>
          <w:szCs w:val="28"/>
          <w:rtl w:val="true"/>
          <w:lang w:bidi="ar-SA"/>
        </w:rPr>
        <w:t>، والكلينيُّ قدس سره</w:t>
      </w:r>
      <w:r>
        <w:rPr>
          <w:rStyle w:val="FootnoteAnchor"/>
          <w:rtl w:val="true"/>
        </w:rPr>
        <w:footnoteReference w:id="278"/>
      </w:r>
      <w:r>
        <w:rPr>
          <w:rFonts w:ascii="Amiri" w:hAnsi="Amiri" w:eastAsia="Amiri" w:cs="Amiri"/>
          <w:color w:val="111111"/>
          <w:sz w:val="28"/>
          <w:sz w:val="28"/>
          <w:szCs w:val="28"/>
          <w:rtl w:val="true"/>
          <w:lang w:bidi="ar-SA"/>
        </w:rPr>
        <w:t>، والقاضي نعمان قدس سره</w:t>
      </w:r>
      <w:r>
        <w:rPr>
          <w:rStyle w:val="FootnoteAnchor"/>
          <w:rtl w:val="true"/>
        </w:rPr>
        <w:footnoteReference w:id="279"/>
      </w:r>
      <w:r>
        <w:rPr>
          <w:rFonts w:ascii="Amiri" w:hAnsi="Amiri" w:eastAsia="Amiri" w:cs="Amiri"/>
          <w:color w:val="111111"/>
          <w:sz w:val="28"/>
          <w:sz w:val="28"/>
          <w:szCs w:val="28"/>
          <w:rtl w:val="true"/>
          <w:lang w:bidi="ar-SA"/>
        </w:rPr>
        <w:t>، والصَّدوق قدس سره</w:t>
      </w:r>
      <w:r>
        <w:rPr>
          <w:rStyle w:val="FootnoteAnchor"/>
          <w:rtl w:val="true"/>
        </w:rPr>
        <w:footnoteReference w:id="280"/>
      </w:r>
      <w:r>
        <w:rPr>
          <w:rFonts w:ascii="Amiri" w:hAnsi="Amiri" w:eastAsia="Amiri" w:cs="Amiri"/>
          <w:color w:val="111111"/>
          <w:sz w:val="28"/>
          <w:sz w:val="28"/>
          <w:szCs w:val="28"/>
          <w:rtl w:val="true"/>
          <w:lang w:bidi="ar-SA"/>
        </w:rPr>
        <w:t>، والشَّيخ قدس سره</w:t>
      </w:r>
      <w:r>
        <w:rPr>
          <w:rStyle w:val="FootnoteAnchor"/>
          <w:rtl w:val="true"/>
        </w:rPr>
        <w:footnoteReference w:id="281"/>
      </w:r>
      <w:r>
        <w:rPr>
          <w:rFonts w:ascii="Amiri" w:hAnsi="Amiri" w:eastAsia="Amiri" w:cs="Amiri"/>
          <w:color w:val="111111"/>
          <w:sz w:val="28"/>
          <w:sz w:val="28"/>
          <w:szCs w:val="28"/>
          <w:rtl w:val="true"/>
          <w:lang w:bidi="ar-SA"/>
        </w:rPr>
        <w:t>، والفيضُ قدس سره</w:t>
      </w:r>
      <w:r>
        <w:rPr>
          <w:rStyle w:val="FootnoteAnchor"/>
          <w:rtl w:val="true"/>
        </w:rPr>
        <w:footnoteReference w:id="282"/>
      </w:r>
      <w:r>
        <w:rPr>
          <w:rFonts w:ascii="Amiri" w:hAnsi="Amiri" w:eastAsia="Amiri" w:cs="Amiri"/>
          <w:color w:val="111111"/>
          <w:sz w:val="28"/>
          <w:sz w:val="28"/>
          <w:szCs w:val="28"/>
          <w:rtl w:val="true"/>
          <w:lang w:bidi="ar-SA"/>
        </w:rPr>
        <w:t>، والحرُّ قدس سره</w:t>
      </w:r>
      <w:r>
        <w:rPr>
          <w:rStyle w:val="FootnoteAnchor"/>
          <w:rtl w:val="true"/>
        </w:rPr>
        <w:footnoteReference w:id="283"/>
      </w:r>
      <w:r>
        <w:rPr>
          <w:rFonts w:ascii="Amiri" w:hAnsi="Amiri" w:eastAsia="Amiri" w:cs="Amiri"/>
          <w:color w:val="111111"/>
          <w:sz w:val="28"/>
          <w:sz w:val="28"/>
          <w:szCs w:val="28"/>
          <w:rtl w:val="true"/>
          <w:lang w:bidi="ar-SA"/>
        </w:rPr>
        <w:t>وغيرهم؛ بأسانيد صحَّح بعضَها الشَّهيد قدس سره</w:t>
      </w:r>
      <w:r>
        <w:rPr>
          <w:rStyle w:val="FootnoteAnchor"/>
          <w:rtl w:val="true"/>
        </w:rPr>
        <w:footnoteReference w:id="284"/>
      </w:r>
      <w:r>
        <w:rPr>
          <w:rFonts w:ascii="Amiri" w:hAnsi="Amiri" w:eastAsia="Amiri" w:cs="Amiri"/>
          <w:color w:val="111111"/>
          <w:sz w:val="28"/>
          <w:sz w:val="28"/>
          <w:szCs w:val="28"/>
          <w:rtl w:val="true"/>
          <w:lang w:bidi="ar-SA"/>
        </w:rPr>
        <w:t>، وثانيهما قدس سره</w:t>
      </w:r>
      <w:r>
        <w:rPr>
          <w:rStyle w:val="FootnoteAnchor"/>
          <w:rtl w:val="true"/>
        </w:rPr>
        <w:footnoteReference w:id="285"/>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286"/>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287"/>
      </w:r>
      <w:r>
        <w:rPr>
          <w:rFonts w:ascii="IRNazanin" w:hAnsi="IRNazanin" w:eastAsia="IRNazanin"/>
          <w:color w:val="111111"/>
          <w:sz w:val="28"/>
          <w:sz w:val="28"/>
          <w:szCs w:val="28"/>
          <w:rtl w:val="true"/>
          <w:lang w:bidi="fa-IR"/>
        </w:rPr>
        <w:t xml:space="preserve">، </w:t>
      </w:r>
      <w:bookmarkStart w:id="100" w:name="pg20337_261406"/>
    </w:p>
    <w:p>
      <w:pPr>
        <w:pStyle w:val="BookText"/>
        <w:rPr/>
      </w:pPr>
      <w:bookmarkEnd w:id="100"/>
      <w:r>
        <w:rPr>
          <w:rFonts w:ascii="Amiri" w:hAnsi="Amiri" w:eastAsia="Amiri" w:cs="Amiri"/>
          <w:color w:val="111111"/>
          <w:sz w:val="28"/>
          <w:sz w:val="28"/>
          <w:szCs w:val="28"/>
          <w:rtl w:val="true"/>
          <w:lang w:bidi="ar-SA"/>
        </w:rPr>
        <w:t>وغيرهم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فصحَّة الحديث المرويِّ عن النَّبيِّ الكريم صلى الله عليه و آله المعاضَد بهذه الطَّائفة المنقولة عن أهل بيته المعصومين ممَّا لاريب فيه ولاشكَّ يعتريه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جعله الأصحاب عنوانًا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الشَّيخ جعفر الكبير كاشف الغطاء قدس سره</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لوضوحه من جانبٍ‌، ولكثرة وروده في النُّصوص من جانبٍ آخر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الحديث علىٰ الوفاء بالشُّروط وضعًا وتكليفًا، بيِّنٌ لايحتاج إلى تبيينٍ‌؛ 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كالكريمة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 وعدمِ اختصاصه بالشُّروط الاِصطلاحيَّة؛ بل في شمولها لمطلق المعاهَدات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1944966_1280447820"/>
      <w:bookmarkStart w:id="102" w:name="_Toc35"/>
      <w:bookmarkEnd w:id="101"/>
      <w:r>
        <w:rPr>
          <w:rtl w:val="true"/>
        </w:rPr>
        <w:t>ثالثًا</w:t>
      </w:r>
      <w:r>
        <w:rPr>
          <w:rtl w:val="true"/>
        </w:rPr>
        <w:t xml:space="preserve">: </w:t>
      </w:r>
      <w:r>
        <w:rPr>
          <w:rtl w:val="true"/>
        </w:rPr>
        <w:t>الإجماع</w:t>
      </w:r>
      <w:bookmarkEnd w:id="102"/>
    </w:p>
    <w:p>
      <w:pPr>
        <w:pStyle w:val="BookText"/>
        <w:rPr/>
      </w:pPr>
      <w:r>
        <w:rPr>
          <w:rFonts w:ascii="Amiri" w:hAnsi="Amiri" w:eastAsia="Amiri" w:cs="Amiri"/>
          <w:color w:val="111111"/>
          <w:sz w:val="28"/>
          <w:sz w:val="28"/>
          <w:szCs w:val="28"/>
          <w:rtl w:val="true"/>
          <w:lang w:bidi="ar-SA"/>
        </w:rPr>
        <w:t>وأمَّا بالإجماع</w:t>
      </w:r>
      <w:r>
        <w:rPr>
          <w:rStyle w:val="FootnoteAnchor"/>
          <w:rtl w:val="true"/>
        </w:rPr>
        <w:footnoteReference w:id="292"/>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فتمسَّكت الفقهاءُ بهذه القاعدة في الفقه، وجعلوها من الأمور المسلَّمَة الفقهيَّة </w:t>
      </w:r>
      <w:bookmarkStart w:id="103" w:name="pg20337_261407"/>
    </w:p>
    <w:p>
      <w:pPr>
        <w:pStyle w:val="BookText"/>
        <w:rPr/>
      </w:pPr>
      <w:bookmarkEnd w:id="103"/>
      <w:r>
        <w:rPr>
          <w:rFonts w:ascii="Amiri" w:hAnsi="Amiri" w:eastAsia="Amiri" w:cs="Amiri"/>
          <w:color w:val="111111"/>
          <w:sz w:val="28"/>
          <w:sz w:val="28"/>
          <w:szCs w:val="28"/>
          <w:rtl w:val="true"/>
          <w:lang w:bidi="ar-SA"/>
        </w:rPr>
        <w:t>الَّتي لاإشكال فيها أصلًا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1944968_1280447820"/>
      <w:bookmarkStart w:id="105" w:name="_Toc36"/>
      <w:bookmarkEnd w:id="104"/>
      <w:r>
        <w:rPr>
          <w:rtl w:val="true"/>
        </w:rPr>
        <w:t>رابعًا</w:t>
      </w:r>
      <w:r>
        <w:rPr>
          <w:rtl w:val="true"/>
        </w:rPr>
        <w:t xml:space="preserve">: </w:t>
      </w:r>
      <w:r>
        <w:rPr>
          <w:rtl w:val="true"/>
        </w:rPr>
        <w:t>بناء العقلاء</w:t>
      </w:r>
      <w:bookmarkEnd w:id="105"/>
    </w:p>
    <w:p>
      <w:pPr>
        <w:pStyle w:val="BookText"/>
        <w:rPr/>
      </w:pPr>
      <w:r>
        <w:rPr>
          <w:rFonts w:ascii="Amiri" w:hAnsi="Amiri" w:eastAsia="Amiri" w:cs="Amiri"/>
          <w:color w:val="111111"/>
          <w:sz w:val="28"/>
          <w:sz w:val="28"/>
          <w:szCs w:val="28"/>
          <w:rtl w:val="true"/>
          <w:lang w:bidi="ar-SA"/>
        </w:rPr>
        <w:t>وأمَّا بسيرة العقلاء علىٰ الإلزام والإلتزام بالعقود والإيقاعات والشُّروط والضَّمانات،</w:t>
      </w:r>
    </w:p>
    <w:p>
      <w:pPr>
        <w:pStyle w:val="BookText"/>
        <w:rPr/>
      </w:pPr>
      <w:r>
        <w:rPr>
          <w:rFonts w:ascii="Amiri" w:hAnsi="Amiri" w:eastAsia="Amiri" w:cs="Amiri"/>
          <w:color w:val="111111"/>
          <w:sz w:val="28"/>
          <w:sz w:val="28"/>
          <w:szCs w:val="28"/>
          <w:rtl w:val="true"/>
          <w:lang w:bidi="ar-SA"/>
        </w:rPr>
        <w:t>فثبوتُ السِّيرة في المقام ممَّا لاينكُرُه أحدٌ،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المنصوصَ به في الكتاب والسُّنَّة والإجماع ليس إلَّاإمضاءَ تلك السِّيرة الثَّابتة المستمرَّة؛</w:t>
      </w:r>
    </w:p>
    <w:p>
      <w:pPr>
        <w:pStyle w:val="BookText"/>
        <w:rPr/>
      </w:pPr>
      <w:r>
        <w:rPr>
          <w:rFonts w:ascii="Amiri" w:hAnsi="Amiri" w:eastAsia="Amiri" w:cs="Amiri"/>
          <w:color w:val="111111"/>
          <w:sz w:val="28"/>
          <w:sz w:val="28"/>
          <w:szCs w:val="28"/>
          <w:rtl w:val="true"/>
          <w:lang w:bidi="ar-SA"/>
        </w:rPr>
        <w:t>فإذن الجميعُ يرجع إلى دليلٍ واحدٍ، وهو سيرة العقلاء المُمضاة من قِبَل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تنبيهاتٌ هامَّةٌ‌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1944970_1280447820"/>
      <w:bookmarkStart w:id="107" w:name="_Toc37"/>
      <w:bookmarkEnd w:id="106"/>
      <w:r>
        <w:rPr>
          <w:rtl w:val="true"/>
        </w:rPr>
        <w:t>تنبيهاتٌ‌</w:t>
      </w:r>
      <w:r>
        <w:rPr>
          <w:rtl w:val="true"/>
        </w:rPr>
        <w:t>:</w:t>
      </w:r>
      <w:bookmarkEnd w:id="107"/>
    </w:p>
    <w:p>
      <w:pPr>
        <w:pStyle w:val="Heading4"/>
        <w:numPr>
          <w:ilvl w:val="3"/>
          <w:numId w:val="1"/>
        </w:numPr>
        <w:rPr/>
      </w:pPr>
      <w:bookmarkStart w:id="108" w:name="__RefHeading___Toc11944972_1280447820"/>
      <w:bookmarkStart w:id="109" w:name="_Toc38"/>
      <w:bookmarkEnd w:id="108"/>
      <w:r>
        <w:rPr>
          <w:rtl w:val="true"/>
        </w:rPr>
        <w:t>التَّنبيه الأوَّل</w:t>
      </w:r>
      <w:r>
        <w:rPr>
          <w:rtl w:val="true"/>
        </w:rPr>
        <w:t>:</w:t>
      </w:r>
      <w:bookmarkEnd w:id="109"/>
    </w:p>
    <w:p>
      <w:pPr>
        <w:pStyle w:val="BookText"/>
        <w:rPr/>
      </w:pPr>
      <w:r>
        <w:rPr>
          <w:rFonts w:ascii="Amiri" w:hAnsi="Amiri" w:eastAsia="Amiri" w:cs="Amiri"/>
          <w:color w:val="111111"/>
          <w:sz w:val="28"/>
          <w:sz w:val="28"/>
          <w:szCs w:val="28"/>
          <w:rtl w:val="true"/>
          <w:lang w:bidi="ar-SA"/>
        </w:rPr>
        <w:t>اشتهر بين الأصحاب أنَّه يشترط في لزوم هذه القاعدة تكليفًا ووضعًا عشرةُ 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في ضمن العقد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يُستفاد ممَّا ذكره المحقِّق صاحب الحاشيَة قدس سره</w:t>
      </w:r>
      <w:r>
        <w:rPr>
          <w:rStyle w:val="FootnoteAnchor"/>
          <w:rtl w:val="true"/>
        </w:rPr>
        <w:footnoteReference w:id="294"/>
      </w:r>
      <w:r>
        <w:rPr>
          <w:rFonts w:ascii="Amiri" w:hAnsi="Amiri" w:eastAsia="Amiri" w:cs="Amiri"/>
          <w:color w:val="111111"/>
          <w:sz w:val="28"/>
          <w:sz w:val="28"/>
          <w:szCs w:val="28"/>
          <w:rtl w:val="true"/>
          <w:lang w:bidi="ar-SA"/>
        </w:rPr>
        <w:t>، والمحقِّق المامقانيُّ قدس سره</w:t>
      </w:r>
      <w:r>
        <w:rPr>
          <w:rStyle w:val="FootnoteAnchor"/>
          <w:rtl w:val="true"/>
        </w:rPr>
        <w:footnoteReference w:id="295"/>
      </w:r>
      <w:r>
        <w:rPr>
          <w:rFonts w:ascii="Amiri" w:hAnsi="Amiri" w:eastAsia="Amiri" w:cs="Amiri"/>
          <w:color w:val="111111"/>
          <w:sz w:val="28"/>
          <w:sz w:val="28"/>
          <w:szCs w:val="28"/>
          <w:rtl w:val="true"/>
          <w:lang w:bidi="ar-SA"/>
        </w:rPr>
        <w:t>، والمحقِّق الرَّشتيُّ قدس سره</w:t>
      </w:r>
      <w:r>
        <w:rPr>
          <w:rStyle w:val="FootnoteAnchor"/>
          <w:rtl w:val="true"/>
        </w:rPr>
        <w:footnoteReference w:id="296"/>
      </w:r>
      <w:r>
        <w:rPr>
          <w:rFonts w:ascii="Amiri" w:hAnsi="Amiri" w:eastAsia="Amiri" w:cs="Amiri"/>
          <w:color w:val="111111"/>
          <w:sz w:val="28"/>
          <w:sz w:val="28"/>
          <w:szCs w:val="28"/>
          <w:rtl w:val="true"/>
          <w:lang w:bidi="ar-SA"/>
        </w:rPr>
        <w:t>، والمحقِّق الآخوند صاحب الكفاية قدس سره</w:t>
      </w:r>
      <w:r>
        <w:rPr>
          <w:rStyle w:val="FootnoteAnchor"/>
          <w:rtl w:val="true"/>
        </w:rPr>
        <w:footnoteReference w:id="297"/>
      </w:r>
      <w:r>
        <w:rPr>
          <w:rFonts w:ascii="Amiri" w:hAnsi="Amiri" w:eastAsia="Amiri" w:cs="Amiri"/>
          <w:color w:val="111111"/>
          <w:sz w:val="28"/>
          <w:sz w:val="28"/>
          <w:szCs w:val="28"/>
          <w:rtl w:val="true"/>
          <w:lang w:bidi="ar-SA"/>
        </w:rPr>
        <w:t xml:space="preserve">، والمحقِّق الكُمبانيُّ‌ </w:t>
      </w:r>
    </w:p>
    <w:p>
      <w:pPr>
        <w:pStyle w:val="BookText"/>
        <w:rPr/>
      </w:pPr>
      <w:r>
        <w:rPr>
          <w:rFonts w:ascii="Amiri" w:hAnsi="Amiri" w:eastAsia="Amiri" w:cs="Amiri"/>
          <w:color w:val="111111"/>
          <w:sz w:val="28"/>
          <w:sz w:val="28"/>
          <w:szCs w:val="28"/>
          <w:rtl w:val="true"/>
          <w:lang w:bidi="ar-SA"/>
        </w:rPr>
        <w:t>الأصفهانيُّ قدس سره</w:t>
      </w:r>
      <w:r>
        <w:rPr>
          <w:rStyle w:val="FootnoteAnchor"/>
          <w:rtl w:val="true"/>
        </w:rPr>
        <w:footnoteReference w:id="298"/>
      </w:r>
      <w:r>
        <w:rPr>
          <w:rFonts w:ascii="Amiri" w:hAnsi="Amiri" w:eastAsia="Amiri" w:cs="Amiri"/>
          <w:color w:val="111111"/>
          <w:sz w:val="28"/>
          <w:sz w:val="28"/>
          <w:szCs w:val="28"/>
          <w:rtl w:val="true"/>
          <w:lang w:bidi="ar-SA"/>
        </w:rPr>
        <w:t>، والشَّيخ احمد آل كاشف الغطاء قدس سره</w:t>
      </w:r>
      <w:r>
        <w:rPr>
          <w:rStyle w:val="FootnoteAnchor"/>
          <w:rtl w:val="true"/>
        </w:rPr>
        <w:footnoteReference w:id="299"/>
      </w:r>
      <w:r>
        <w:rPr>
          <w:rFonts w:ascii="Amiri" w:hAnsi="Amiri" w:eastAsia="Amiri" w:cs="Amiri"/>
          <w:color w:val="111111"/>
          <w:sz w:val="28"/>
          <w:sz w:val="28"/>
          <w:szCs w:val="28"/>
          <w:rtl w:val="true"/>
          <w:lang w:bidi="ar-SA"/>
        </w:rPr>
        <w:t>، والمحقِّق البجنورديِّ قدس سره</w:t>
      </w:r>
      <w:r>
        <w:rPr>
          <w:rStyle w:val="FootnoteAnchor"/>
          <w:rtl w:val="true"/>
        </w:rPr>
        <w:footnoteReference w:id="30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الشُّروط الإبتدائيَّة</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البجنورديِّ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لازمةِ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كالوعد الَّذي يجب الوفاء به أخلاقًا، لكن لايجب الوفاء به فقهيًّا؛</w:t>
      </w:r>
    </w:p>
    <w:p>
      <w:pPr>
        <w:pStyle w:val="BookText"/>
        <w:rPr/>
      </w:pPr>
      <w:r>
        <w:rPr>
          <w:rFonts w:ascii="Amiri" w:hAnsi="Amiri" w:eastAsia="Amiri" w:cs="Amiri"/>
          <w:color w:val="111111"/>
          <w:sz w:val="28"/>
          <w:sz w:val="28"/>
          <w:szCs w:val="28"/>
          <w:rtl w:val="true"/>
          <w:lang w:bidi="ar-SA"/>
        </w:rPr>
        <w:t>كما نصَّ علىٰ عدم لزوم الوفاء به المحقِّق اللَّاريُّ قدس سره</w:t>
      </w:r>
      <w:r>
        <w:rPr>
          <w:rStyle w:val="FootnoteAnchor"/>
          <w:rtl w:val="true"/>
        </w:rPr>
        <w:footnoteReference w:id="302"/>
      </w:r>
      <w:r>
        <w:rPr>
          <w:rFonts w:ascii="Amiri" w:hAnsi="Amiri" w:eastAsia="Amiri" w:cs="Amiri"/>
          <w:color w:val="111111"/>
          <w:sz w:val="28"/>
          <w:sz w:val="28"/>
          <w:szCs w:val="28"/>
          <w:rtl w:val="true"/>
          <w:lang w:bidi="ar-SA"/>
        </w:rPr>
        <w:t>، وفي تعليقه علىٰ الرِّياض</w:t>
      </w:r>
      <w:r>
        <w:rPr>
          <w:rStyle w:val="FootnoteAnchor"/>
          <w:rtl w:val="true"/>
        </w:rPr>
        <w:footnoteReference w:id="303"/>
      </w:r>
      <w:r>
        <w:rPr>
          <w:rFonts w:ascii="Amiri" w:hAnsi="Amiri" w:eastAsia="Amiri" w:cs="Amiri"/>
          <w:color w:val="111111"/>
          <w:sz w:val="28"/>
          <w:sz w:val="28"/>
          <w:szCs w:val="28"/>
          <w:rtl w:val="true"/>
          <w:lang w:bidi="ar-SA"/>
        </w:rPr>
        <w:t>أيضًا، والمحقِّق الشَّهيديُّ قدس سره</w:t>
      </w:r>
      <w:r>
        <w:rPr>
          <w:rStyle w:val="FootnoteAnchor"/>
          <w:rtl w:val="true"/>
        </w:rPr>
        <w:footnoteReference w:id="304"/>
      </w:r>
      <w:r>
        <w:rPr>
          <w:rFonts w:ascii="Amiri" w:hAnsi="Amiri" w:eastAsia="Amiri" w:cs="Amiri"/>
          <w:color w:val="111111"/>
          <w:sz w:val="28"/>
          <w:sz w:val="28"/>
          <w:szCs w:val="28"/>
          <w:rtl w:val="true"/>
          <w:lang w:bidi="ar-SA"/>
        </w:rPr>
        <w:t>، والشَّيخ الرَّاضي النَّجفيُّ قدس سره</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معاصرينا الفضلاء؛</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في الفقه الجعفريِّ‌،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علىٰ هذا الشَّرط</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القاعدة منصرِفٌ عن الشُّروط الإبتدائيَّة، وإذا ثبَتَ انصرافُه عنها فالأصل يقتضي عدمَ وجوب الوفاء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تخصيص الأكثر المستهجَن أيضًا، لأنَّ ما يدلُّ علىٰ عدم الوفاء بالشُّروط الإبتدائيَّة كثيرةٌ جدًّا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المسلَّم في الفقه، من عدم لزوم 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حكاه الفقيه آل كاشف الغطاء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وكاد أن ينعقد إجماع الإماميَّة بأنَّ مثل هذه الشُّروط الابتدائيَّة لايجب الوفاء بها</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وفاقًا لمَن لم يقبل هذا الشَّرط، كالفقيه السَّيِّد اليزديِّ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المصارف والنُّقود، 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حكاية الإنصراف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فالعرف لايحكم به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وفي أمثال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فالإنصراف لايحصل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ألفاظ القاعدة الشَّتيتة، فهي بأجمعها تدلُّ علىٰ اشتمالها علىٰ الشُّروط الإبتدائيَّة أيضًا؛ فحاقُّ اللَّفظ لايدلُّ علىٰ إنصراف القاعدة عن تلك الشُّروط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حكاية تخصيص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حكاه عنه بعض معاصرينا؛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فلانجد تخصيصًا أصلًا هيهنا، فضلًا عن كونه أكثر ممَّا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مدركيٌّ‌، مضافًا إلى أنَّ الُمحَصَّل منه غير حاصلٍ قطعًا، وأمَّا المنقول منه فهو الحاصِلُ من صِرف عدم تعرُّض الأصحاب للمسألة، لا لتنصيصِهِم عليها؛</w:t>
      </w:r>
    </w:p>
    <w:p>
      <w:pPr>
        <w:pStyle w:val="BookText"/>
        <w:rPr/>
      </w:pPr>
      <w:r>
        <w:rPr>
          <w:rFonts w:ascii="Amiri" w:hAnsi="Amiri" w:eastAsia="Amiri" w:cs="Amiri"/>
          <w:color w:val="111111"/>
          <w:sz w:val="28"/>
          <w:sz w:val="28"/>
          <w:szCs w:val="28"/>
          <w:rtl w:val="true"/>
          <w:lang w:bidi="ar-SA"/>
        </w:rPr>
        <w:t>وذلك ليس بحجَّةٍ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حكاية قياسه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قياسٌ مع الفارق عرفًا، لأنَّ الشَّرط قضيَّةٌ تعليقيَّةٌ‌، والوعد من القضايا البتِّيَّة؛ وليس بينهما ارتباطٌ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الوعدَ غير لازمِ الوفاء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السَّيِّد المجاهد قدس سره</w:t>
      </w:r>
      <w:r>
        <w:rPr>
          <w:rStyle w:val="FootnoteAnchor"/>
          <w:rtl w:val="true"/>
        </w:rPr>
        <w:footnoteReference w:id="308"/>
      </w:r>
      <w:r>
        <w:rPr>
          <w:rFonts w:ascii="Amiri" w:hAnsi="Amiri" w:eastAsia="Amiri" w:cs="Amiri"/>
          <w:color w:val="111111"/>
          <w:sz w:val="28"/>
          <w:sz w:val="28"/>
          <w:szCs w:val="28"/>
          <w:rtl w:val="true"/>
          <w:lang w:bidi="ar-SA"/>
        </w:rPr>
        <w:t>، والشَّيخ جعفر الكبير قدس سره</w:t>
      </w:r>
      <w:r>
        <w:rPr>
          <w:rStyle w:val="FootnoteAnchor"/>
          <w:rtl w:val="true"/>
        </w:rPr>
        <w:footnoteReference w:id="309"/>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310"/>
      </w:r>
      <w:r>
        <w:rPr>
          <w:rFonts w:ascii="Amiri" w:hAnsi="Amiri" w:eastAsia="Amiri" w:cs="Amiri"/>
          <w:color w:val="111111"/>
          <w:sz w:val="28"/>
          <w:sz w:val="28"/>
          <w:szCs w:val="28"/>
          <w:rtl w:val="true"/>
          <w:lang w:bidi="ar-SA"/>
        </w:rPr>
        <w:t>، والمحقِّق الكبير الشَّيخ الحلِّي قدس سره</w:t>
      </w:r>
      <w:r>
        <w:rPr>
          <w:rStyle w:val="FootnoteAnchor"/>
          <w:rtl w:val="true"/>
        </w:rPr>
        <w:footnoteReference w:id="311"/>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312"/>
      </w:r>
      <w:r>
        <w:rPr>
          <w:rFonts w:ascii="Amiri" w:hAnsi="Amiri" w:eastAsia="Amiri" w:cs="Amiri"/>
          <w:color w:val="111111"/>
          <w:sz w:val="28"/>
          <w:sz w:val="28"/>
          <w:szCs w:val="28"/>
          <w:rtl w:val="true"/>
          <w:lang w:bidi="ar-SA"/>
        </w:rPr>
        <w:t>، وبعضٍ من معاصرينا</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لايخفىٰ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فعهدتُه علىٰ مدَّعيه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كونُها مقدورًا للمشترِط</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من شرائط التَّكليف العامَّة، ولا اختصاص لها بباب الشُّروط، وإلَّا فلابدَّ من إضافة البلوغ والعقل والعلم إلى القدرة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الشُّروط كلِّها لافرق بينها في هذا المضمار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إلى هذا الشَّرط كثيرٌ من الفقهاء، كالمحقِّق الرَّشتي قدس سره</w:t>
      </w:r>
      <w:r>
        <w:rPr>
          <w:rStyle w:val="FootnoteAnchor"/>
          <w:rtl w:val="true"/>
        </w:rPr>
        <w:footnoteReference w:id="314"/>
      </w:r>
      <w:r>
        <w:rPr>
          <w:rFonts w:ascii="Amiri" w:hAnsi="Amiri" w:eastAsia="Amiri" w:cs="Amiri"/>
          <w:color w:val="111111"/>
          <w:sz w:val="28"/>
          <w:sz w:val="28"/>
          <w:szCs w:val="28"/>
          <w:rtl w:val="true"/>
          <w:lang w:bidi="ar-SA"/>
        </w:rPr>
        <w:t>، والفقيه السَّيِّد الخوئيِّ قدس سره</w:t>
      </w:r>
      <w:r>
        <w:rPr>
          <w:rStyle w:val="FootnoteAnchor"/>
          <w:rtl w:val="true"/>
        </w:rPr>
        <w:footnoteReference w:id="315"/>
      </w:r>
      <w:r>
        <w:rPr>
          <w:rFonts w:ascii="Amiri" w:hAnsi="Amiri" w:eastAsia="Amiri" w:cs="Amiri"/>
          <w:color w:val="111111"/>
          <w:sz w:val="28"/>
          <w:sz w:val="28"/>
          <w:szCs w:val="28"/>
          <w:rtl w:val="true"/>
          <w:lang w:bidi="ar-SA"/>
        </w:rPr>
        <w:t>، والشَّيخ احمد آل كاشف الغطاء قدس سره</w:t>
      </w:r>
      <w:r>
        <w:rPr>
          <w:rStyle w:val="FootnoteAnchor"/>
          <w:rtl w:val="true"/>
        </w:rPr>
        <w:footnoteReference w:id="316"/>
      </w:r>
      <w:r>
        <w:rPr>
          <w:rFonts w:ascii="Amiri" w:hAnsi="Amiri" w:eastAsia="Amiri" w:cs="Amiri"/>
          <w:color w:val="111111"/>
          <w:sz w:val="28"/>
          <w:sz w:val="28"/>
          <w:szCs w:val="28"/>
          <w:rtl w:val="true"/>
          <w:lang w:bidi="ar-SA"/>
        </w:rPr>
        <w:t>، والمحقِّق البجنورديِّ قدس سره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الأعلام مَن نفىٰ الخلافَ في هذا الشَّرط</w:t>
      </w:r>
      <w:r>
        <w:rPr>
          <w:rStyle w:val="FootnoteAnchor"/>
          <w:rtl w:val="true"/>
        </w:rPr>
        <w:footnoteReference w:id="318"/>
      </w:r>
      <w:r>
        <w:rPr>
          <w:rFonts w:ascii="Amiri" w:hAnsi="Amiri" w:eastAsia="Amiri" w:cs="Amiri"/>
          <w:color w:val="111111"/>
          <w:sz w:val="28"/>
          <w:sz w:val="28"/>
          <w:szCs w:val="28"/>
          <w:rtl w:val="true"/>
          <w:lang w:bidi="ar-SA"/>
        </w:rPr>
        <w:t>، مع وجود المخالف فيه؛</w:t>
      </w:r>
    </w:p>
    <w:p>
      <w:pPr>
        <w:pStyle w:val="BookText"/>
        <w:rPr/>
      </w:pPr>
      <w:r>
        <w:rPr>
          <w:rFonts w:ascii="Amiri" w:hAnsi="Amiri" w:eastAsia="Amiri" w:cs="Amiri"/>
          <w:color w:val="111111"/>
          <w:sz w:val="28"/>
          <w:sz w:val="28"/>
          <w:szCs w:val="28"/>
          <w:rtl w:val="true"/>
          <w:lang w:bidi="ar-SA"/>
        </w:rPr>
        <w:t>أمَّا من المتقدِّمين فقد حُكِي عن الشَّيخ قدس سره والقاضي قدس سره وغيرهما القولَ بالخلاف</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أمَّا من المعاصرين فقد يُتراءىٰ عن بعض عبائرهم</w:t>
      </w:r>
      <w:r>
        <w:rPr>
          <w:rStyle w:val="FootnoteAnchor"/>
          <w:rtl w:val="true"/>
        </w:rPr>
        <w:footnoteReference w:id="320"/>
      </w:r>
      <w:r>
        <w:rPr>
          <w:rFonts w:ascii="IRNazanin" w:hAnsi="IRNazanin" w:eastAsia="IRNazanin"/>
          <w:color w:val="111111"/>
          <w:sz w:val="28"/>
          <w:sz w:val="28"/>
          <w:szCs w:val="28"/>
          <w:rtl w:val="true"/>
          <w:lang w:bidi="fa-IR"/>
        </w:rPr>
        <w:t>عدم ذهابهم إلى هذا المبنىٰ‌؛</w:t>
      </w:r>
    </w:p>
    <w:p>
      <w:pPr>
        <w:pStyle w:val="BookText"/>
        <w:rPr/>
      </w:pPr>
      <w:r>
        <w:rPr>
          <w:rFonts w:ascii="Amiri" w:hAnsi="Amiri" w:eastAsia="Amiri" w:cs="Amiri"/>
          <w:color w:val="111111"/>
          <w:sz w:val="28"/>
          <w:sz w:val="28"/>
          <w:szCs w:val="28"/>
          <w:rtl w:val="true"/>
          <w:lang w:bidi="ar-SA"/>
        </w:rPr>
        <w:t>وكيف كان فثبوت الإجماع في المسألة في غاية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جائزةً شرعًا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أشار إلى هذا الشَّرط بعضُهم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الشَّرائط العامَّة للتَّكليف، ولا اختصاص له بباب الشُّروط، بل كلُّ معامَلَةٍ وقعَتْ علىٰ الُمحرَّمات فليسَت بصحيحةٍ‌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غير مخالفةٍ للكتاب والسُّنَّة</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مذكورٌ في غير واحدٍ من الرِّوايات، لأنَّه يلزمُ عن مخالفته تحليلُ الحرام وتحريمُ الحلال؛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خالَفَ كتابَ اللَّه فهو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الكلينيُّ قدس سره</w:t>
      </w:r>
      <w:r>
        <w:rPr>
          <w:rStyle w:val="FootnoteAnchor"/>
          <w:rtl w:val="true"/>
        </w:rPr>
        <w:footnoteReference w:id="324"/>
      </w:r>
      <w:r>
        <w:rPr>
          <w:rFonts w:ascii="Amiri" w:hAnsi="Amiri" w:eastAsia="Amiri" w:cs="Amiri"/>
          <w:color w:val="111111"/>
          <w:sz w:val="28"/>
          <w:sz w:val="28"/>
          <w:szCs w:val="28"/>
          <w:rtl w:val="true"/>
          <w:lang w:bidi="ar-SA"/>
        </w:rPr>
        <w:t>، والفيض قدس سره</w:t>
      </w:r>
      <w:r>
        <w:rPr>
          <w:rStyle w:val="FootnoteAnchor"/>
          <w:rtl w:val="true"/>
        </w:rPr>
        <w:footnoteReference w:id="325"/>
      </w:r>
      <w:r>
        <w:rPr>
          <w:rFonts w:ascii="Amiri" w:hAnsi="Amiri" w:eastAsia="Amiri" w:cs="Amiri"/>
          <w:color w:val="111111"/>
          <w:sz w:val="28"/>
          <w:sz w:val="28"/>
          <w:szCs w:val="28"/>
          <w:rtl w:val="true"/>
          <w:lang w:bidi="ar-SA"/>
        </w:rPr>
        <w:t>، والحرُّ قدس سره</w:t>
      </w:r>
      <w:r>
        <w:rPr>
          <w:rStyle w:val="FootnoteAnchor"/>
          <w:rtl w:val="true"/>
        </w:rPr>
        <w:footnoteReference w:id="326"/>
      </w:r>
      <w:r>
        <w:rPr>
          <w:rFonts w:ascii="Amiri" w:hAnsi="Amiri" w:eastAsia="Amiri" w:cs="Amiri"/>
          <w:color w:val="111111"/>
          <w:sz w:val="28"/>
          <w:sz w:val="28"/>
          <w:szCs w:val="28"/>
          <w:rtl w:val="true"/>
          <w:lang w:bidi="ar-SA"/>
        </w:rPr>
        <w:t>وقد حسَّنه العلَّامة المجلسيُّ قدس سره</w:t>
      </w:r>
      <w:r>
        <w:rPr>
          <w:rStyle w:val="FootnoteAnchor"/>
          <w:rtl w:val="true"/>
        </w:rPr>
        <w:footnoteReference w:id="327"/>
      </w:r>
      <w:r>
        <w:rPr>
          <w:rFonts w:ascii="Amiri" w:hAnsi="Amiri" w:eastAsia="Amiri" w:cs="Amiri"/>
          <w:color w:val="111111"/>
          <w:sz w:val="28"/>
          <w:sz w:val="28"/>
          <w:szCs w:val="28"/>
          <w:rtl w:val="true"/>
          <w:lang w:bidi="ar-SA"/>
        </w:rPr>
        <w:t>، وجعله ولده العظيم الحسنَ كالصَّحيح</w:t>
      </w:r>
      <w:r>
        <w:rPr>
          <w:rStyle w:val="FootnoteAnchor"/>
          <w:rtl w:val="true"/>
        </w:rPr>
        <w:footnoteReference w:id="328"/>
      </w:r>
      <w:r>
        <w:rPr>
          <w:rFonts w:ascii="Amiri" w:hAnsi="Amiri" w:eastAsia="Amiri" w:cs="Amiri"/>
          <w:color w:val="111111"/>
          <w:sz w:val="28"/>
          <w:sz w:val="28"/>
          <w:szCs w:val="28"/>
          <w:rtl w:val="true"/>
          <w:lang w:bidi="ar-SA"/>
        </w:rPr>
        <w:t>، وقد صحَّحه المحقِّق الكمبانيُّ الأصفهانيُّ قدس سره</w:t>
      </w:r>
      <w:r>
        <w:rPr>
          <w:rStyle w:val="FootnoteAnchor"/>
          <w:rtl w:val="true"/>
        </w:rPr>
        <w:footnoteReference w:id="32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وغيره من المعاصرين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فإنَّ كثرةَ استشهاد القوم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البحرانيِّ قدس سره</w:t>
      </w:r>
      <w:r>
        <w:rPr>
          <w:rStyle w:val="FootnoteAnchor"/>
          <w:rtl w:val="true"/>
        </w:rPr>
        <w:footnoteReference w:id="331"/>
      </w:r>
      <w:r>
        <w:rPr>
          <w:rFonts w:ascii="Amiri" w:hAnsi="Amiri" w:eastAsia="Amiri" w:cs="Amiri"/>
          <w:color w:val="111111"/>
          <w:sz w:val="28"/>
          <w:sz w:val="28"/>
          <w:szCs w:val="28"/>
          <w:rtl w:val="true"/>
          <w:lang w:bidi="ar-SA"/>
        </w:rPr>
        <w:t>، وآل عصفور البحرانيِّ قدس سره</w:t>
      </w:r>
      <w:r>
        <w:rPr>
          <w:rStyle w:val="FootnoteAnchor"/>
          <w:rtl w:val="true"/>
        </w:rPr>
        <w:footnoteReference w:id="332"/>
      </w:r>
      <w:r>
        <w:rPr>
          <w:rFonts w:ascii="Amiri" w:hAnsi="Amiri" w:eastAsia="Amiri" w:cs="Amiri"/>
          <w:color w:val="111111"/>
          <w:sz w:val="28"/>
          <w:sz w:val="28"/>
          <w:szCs w:val="28"/>
          <w:rtl w:val="true"/>
          <w:lang w:bidi="ar-SA"/>
        </w:rPr>
        <w:t>، وصاحب الرِّياض قدس سره</w:t>
      </w:r>
      <w:r>
        <w:rPr>
          <w:rStyle w:val="FootnoteAnchor"/>
          <w:rtl w:val="true"/>
        </w:rPr>
        <w:footnoteReference w:id="333"/>
      </w:r>
      <w:r>
        <w:rPr>
          <w:rFonts w:ascii="Amiri" w:hAnsi="Amiri" w:eastAsia="Amiri" w:cs="Amiri"/>
          <w:color w:val="111111"/>
          <w:sz w:val="28"/>
          <w:sz w:val="28"/>
          <w:szCs w:val="28"/>
          <w:rtl w:val="true"/>
          <w:lang w:bidi="ar-SA"/>
        </w:rPr>
        <w:t>، والمحقِّق النَّراقي قدس سره</w:t>
      </w:r>
      <w:r>
        <w:rPr>
          <w:rStyle w:val="FootnoteAnchor"/>
          <w:rtl w:val="true"/>
        </w:rPr>
        <w:footnoteReference w:id="334"/>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335"/>
      </w:r>
      <w:r>
        <w:rPr>
          <w:rFonts w:ascii="Amiri" w:hAnsi="Amiri" w:eastAsia="Amiri" w:cs="Amiri"/>
          <w:color w:val="111111"/>
          <w:sz w:val="28"/>
          <w:sz w:val="28"/>
          <w:szCs w:val="28"/>
          <w:rtl w:val="true"/>
          <w:lang w:bidi="ar-SA"/>
        </w:rPr>
        <w:t xml:space="preserve">وغيرهم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صحَّة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كثيرةٌ‌، والتَّفصيل فيها يأتي في محلِّه من هذه الرِّسالة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 علىٰ اشتراطه كثيرٌ من المتقدِّمين والمتأخِّرين، أو يُستفاد من كلماتهم، كفخر المحقِّقين قدس سره</w:t>
      </w:r>
      <w:r>
        <w:rPr>
          <w:rStyle w:val="FootnoteAnchor"/>
          <w:rtl w:val="true"/>
        </w:rPr>
        <w:footnoteReference w:id="336"/>
      </w:r>
      <w:r>
        <w:rPr>
          <w:rFonts w:ascii="Amiri" w:hAnsi="Amiri" w:eastAsia="Amiri" w:cs="Amiri"/>
          <w:color w:val="111111"/>
          <w:sz w:val="28"/>
          <w:sz w:val="28"/>
          <w:szCs w:val="28"/>
          <w:rtl w:val="true"/>
          <w:lang w:bidi="ar-SA"/>
        </w:rPr>
        <w:t>، والصِّيمُريِّ قدس سره</w:t>
      </w:r>
      <w:r>
        <w:rPr>
          <w:rStyle w:val="FootnoteAnchor"/>
          <w:rtl w:val="true"/>
        </w:rPr>
        <w:footnoteReference w:id="337"/>
      </w:r>
      <w:r>
        <w:rPr>
          <w:rFonts w:ascii="Amiri" w:hAnsi="Amiri" w:eastAsia="Amiri" w:cs="Amiri"/>
          <w:color w:val="111111"/>
          <w:sz w:val="28"/>
          <w:sz w:val="28"/>
          <w:szCs w:val="28"/>
          <w:rtl w:val="true"/>
          <w:lang w:bidi="ar-SA"/>
        </w:rPr>
        <w:t>، والمحقِّق المحدِّث البحرانيِّ قدس سره</w:t>
      </w:r>
      <w:r>
        <w:rPr>
          <w:rStyle w:val="FootnoteAnchor"/>
          <w:rtl w:val="true"/>
        </w:rPr>
        <w:footnoteReference w:id="338"/>
      </w:r>
      <w:r>
        <w:rPr>
          <w:rFonts w:ascii="Amiri" w:hAnsi="Amiri" w:eastAsia="Amiri" w:cs="Amiri"/>
          <w:color w:val="111111"/>
          <w:sz w:val="28"/>
          <w:sz w:val="28"/>
          <w:szCs w:val="28"/>
          <w:rtl w:val="true"/>
          <w:lang w:bidi="ar-SA"/>
        </w:rPr>
        <w:t>، والمحقِّق الفشاركيِّ قدس سره</w:t>
      </w:r>
      <w:r>
        <w:rPr>
          <w:rStyle w:val="FootnoteAnchor"/>
          <w:rtl w:val="true"/>
        </w:rPr>
        <w:footnoteReference w:id="339"/>
      </w:r>
      <w:r>
        <w:rPr>
          <w:rFonts w:ascii="Amiri" w:hAnsi="Amiri" w:eastAsia="Amiri" w:cs="Amiri"/>
          <w:color w:val="111111"/>
          <w:sz w:val="28"/>
          <w:sz w:val="28"/>
          <w:szCs w:val="28"/>
          <w:rtl w:val="true"/>
          <w:lang w:bidi="ar-SA"/>
        </w:rPr>
        <w:t>، والمحقِّق النَّجم آباديِّ قدس سره</w:t>
      </w:r>
      <w:r>
        <w:rPr>
          <w:rStyle w:val="FootnoteAnchor"/>
          <w:rtl w:val="true"/>
        </w:rPr>
        <w:footnoteReference w:id="340"/>
      </w:r>
      <w:r>
        <w:rPr>
          <w:rFonts w:ascii="Amiri" w:hAnsi="Amiri" w:eastAsia="Amiri" w:cs="Amiri"/>
          <w:color w:val="111111"/>
          <w:sz w:val="28"/>
          <w:sz w:val="28"/>
          <w:szCs w:val="28"/>
          <w:rtl w:val="true"/>
          <w:lang w:bidi="ar-SA"/>
        </w:rPr>
        <w:t>، وسيِّدنا الأستاذ الإمام الخمينيِّ قدس سره</w:t>
      </w:r>
      <w:r>
        <w:rPr>
          <w:rStyle w:val="FootnoteAnchor"/>
          <w:rtl w:val="true"/>
        </w:rPr>
        <w:footnoteReference w:id="3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وولده العظيم قدس سره</w:t>
      </w:r>
      <w:r>
        <w:rPr>
          <w:rStyle w:val="FootnoteAnchor"/>
          <w:rtl w:val="true"/>
        </w:rPr>
        <w:footnoteReference w:id="342"/>
      </w:r>
      <w:r>
        <w:rPr>
          <w:rFonts w:ascii="Amiri" w:hAnsi="Amiri" w:eastAsia="Amiri" w:cs="Amiri"/>
          <w:color w:val="111111"/>
          <w:sz w:val="28"/>
          <w:sz w:val="28"/>
          <w:szCs w:val="28"/>
          <w:rtl w:val="true"/>
          <w:lang w:bidi="ar-SA"/>
        </w:rPr>
        <w:t>، والسَّيِّد الفقيه الخوئي قدس سره</w:t>
      </w:r>
      <w:r>
        <w:rPr>
          <w:rStyle w:val="FootnoteAnchor"/>
          <w:rtl w:val="true"/>
        </w:rPr>
        <w:footnoteReference w:id="343"/>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344"/>
      </w:r>
      <w:r>
        <w:rPr>
          <w:rFonts w:ascii="Amiri" w:hAnsi="Amiri" w:eastAsia="Amiri" w:cs="Amiri"/>
          <w:color w:val="111111"/>
          <w:sz w:val="28"/>
          <w:sz w:val="28"/>
          <w:szCs w:val="28"/>
          <w:rtl w:val="true"/>
          <w:lang w:bidi="ar-SA"/>
        </w:rPr>
        <w:t>، والشَّيخ احمد قدس سره منهم</w:t>
      </w:r>
      <w:r>
        <w:rPr>
          <w:rStyle w:val="FootnoteAnchor"/>
          <w:rtl w:val="true"/>
        </w:rPr>
        <w:footnoteReference w:id="345"/>
      </w:r>
      <w:r>
        <w:rPr>
          <w:rFonts w:ascii="Amiri" w:hAnsi="Amiri" w:eastAsia="Amiri" w:cs="Amiri"/>
          <w:color w:val="111111"/>
          <w:sz w:val="28"/>
          <w:sz w:val="28"/>
          <w:szCs w:val="28"/>
          <w:rtl w:val="true"/>
          <w:lang w:bidi="ar-SA"/>
        </w:rPr>
        <w:t>، وغيرهم</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إلَّاأنَّه لو لم يرد البائعُ ولاالمشتري تحليلًا ولا تحريمًا غير جائزين، بل أرادا تقييدَ المصداق بشرطٍ، فلا دليل إذن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المضاربةَ عقدٌ جائزٌ، فالمتضارِبان لوانعَقَدا علىٰ مضاربة شيءٍ مشترِطًا فيه أنَّها عقدٌ لازمٌ‌، فلايجوز عقدُهما، بل 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الشَّرط يشمل علىٰ ما يحرِّم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لوانعقدا مُسقِطًا في العقد الفسخَ‌، بحيث لم يكن لأحدهما أن ينفَسِخَ العقدَ، فهو عقدٌ صحيحٌ‌، لعدم المانع عنه؛ ويشمله حينئذٍ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في الشَّرط داعٍ عُقَلائيًّا، وإلَّا يلزم اللَّغويَّة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يدلُّ عليه صريحُ العقل؛ وما يظهر من كلمات بعض الأعلام، كالشَّيخ الإماميِّ الخوانساريِّ قدس سره</w:t>
      </w:r>
      <w:r>
        <w:rPr>
          <w:rStyle w:val="FootnoteAnchor"/>
          <w:rtl w:val="true"/>
        </w:rPr>
        <w:footnoteReference w:id="347"/>
      </w:r>
      <w:r>
        <w:rPr>
          <w:rFonts w:ascii="Amiri" w:hAnsi="Amiri" w:eastAsia="Amiri" w:cs="Amiri"/>
          <w:color w:val="111111"/>
          <w:sz w:val="28"/>
          <w:sz w:val="28"/>
          <w:szCs w:val="28"/>
          <w:rtl w:val="true"/>
          <w:lang w:bidi="ar-SA"/>
        </w:rPr>
        <w:t>، وسيِّدنا الأستاذ الإمام الخمينيِّ قدس سره</w:t>
      </w:r>
      <w:r>
        <w:rPr>
          <w:rStyle w:val="FootnoteAnchor"/>
          <w:rtl w:val="true"/>
        </w:rPr>
        <w:footnoteReference w:id="348"/>
      </w:r>
      <w:r>
        <w:rPr>
          <w:rFonts w:ascii="Amiri" w:hAnsi="Amiri" w:eastAsia="Amiri" w:cs="Amiri"/>
          <w:color w:val="111111"/>
          <w:sz w:val="28"/>
          <w:sz w:val="28"/>
          <w:szCs w:val="28"/>
          <w:rtl w:val="true"/>
          <w:lang w:bidi="ar-SA"/>
        </w:rPr>
        <w:t xml:space="preserve">، والمحقِّق </w:t>
      </w:r>
    </w:p>
    <w:p>
      <w:pPr>
        <w:pStyle w:val="BookText"/>
        <w:rPr/>
      </w:pPr>
      <w:r>
        <w:rPr>
          <w:rFonts w:ascii="Amiri" w:hAnsi="Amiri" w:eastAsia="Amiri" w:cs="Amiri"/>
          <w:color w:val="111111"/>
          <w:sz w:val="28"/>
          <w:sz w:val="28"/>
          <w:szCs w:val="28"/>
          <w:rtl w:val="true"/>
          <w:lang w:bidi="ar-SA"/>
        </w:rPr>
        <w:t>البجنورديِّ قدس سره</w:t>
      </w:r>
      <w:r>
        <w:rPr>
          <w:rStyle w:val="FootnoteAnchor"/>
          <w:rtl w:val="true"/>
        </w:rPr>
        <w:footnoteReference w:id="349"/>
      </w:r>
      <w:r>
        <w:rPr>
          <w:rFonts w:ascii="Amiri" w:hAnsi="Amiri" w:eastAsia="Amiri" w:cs="Amiri"/>
          <w:color w:val="111111"/>
          <w:sz w:val="28"/>
          <w:sz w:val="28"/>
          <w:szCs w:val="28"/>
          <w:rtl w:val="true"/>
          <w:lang w:bidi="ar-SA"/>
        </w:rPr>
        <w:t>، وغيرهم</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الخيارات،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الشُّروط أو الإلتزامات التَّبعيَّة في العقود،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الشَّرط يرجع إلى الجِدِّ في الشَّرط في الحقيقة؛ فليس هو شرطًا مستقلًّا بحِيالِه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لايكون الشَّرط مخالفًا لمقتضىٰ العقد</w:t>
      </w:r>
    </w:p>
    <w:p>
      <w:pPr>
        <w:pStyle w:val="BookText"/>
        <w:rPr/>
      </w:pPr>
      <w:r>
        <w:rPr>
          <w:rFonts w:ascii="Amiri" w:hAnsi="Amiri" w:eastAsia="Amiri" w:cs="Amiri"/>
          <w:color w:val="111111"/>
          <w:sz w:val="28"/>
          <w:sz w:val="28"/>
          <w:szCs w:val="28"/>
          <w:rtl w:val="true"/>
          <w:lang w:bidi="ar-SA"/>
        </w:rPr>
        <w:t>فلوباع الدَّار بشرط أن لايكون له ثمنٌ قِبَلَها، ففي الحقيقة لم يرد البيع، فبيعه إذن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لوأراد بذلك الهِبَة، فيمكن القول بالصِّحَّة، لخروج العقد إذن عن البيع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الشَّرط يظهر من صريح كلام المحقِّق الثَّاني قدس سره</w:t>
      </w:r>
      <w:r>
        <w:rPr>
          <w:rStyle w:val="FootnoteAnchor"/>
          <w:rtl w:val="true"/>
        </w:rPr>
        <w:footnoteReference w:id="351"/>
      </w:r>
      <w:r>
        <w:rPr>
          <w:rFonts w:ascii="Amiri" w:hAnsi="Amiri" w:eastAsia="Amiri" w:cs="Amiri"/>
          <w:color w:val="111111"/>
          <w:sz w:val="28"/>
          <w:sz w:val="28"/>
          <w:szCs w:val="28"/>
          <w:rtl w:val="true"/>
          <w:lang w:bidi="ar-SA"/>
        </w:rPr>
        <w:t>، والشَّهيد الثَّاني قدس سره</w:t>
      </w:r>
      <w:r>
        <w:rPr>
          <w:rStyle w:val="FootnoteAnchor"/>
          <w:rtl w:val="true"/>
        </w:rPr>
        <w:footnoteReference w:id="352"/>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353"/>
      </w:r>
      <w:r>
        <w:rPr>
          <w:rFonts w:ascii="Amiri" w:hAnsi="Amiri" w:eastAsia="Amiri" w:cs="Amiri"/>
          <w:color w:val="111111"/>
          <w:sz w:val="28"/>
          <w:sz w:val="28"/>
          <w:szCs w:val="28"/>
          <w:rtl w:val="true"/>
          <w:lang w:bidi="ar-SA"/>
        </w:rPr>
        <w:t>، والمحقِّق البحرانيِّ قدس سره</w:t>
      </w:r>
      <w:r>
        <w:rPr>
          <w:rStyle w:val="FootnoteAnchor"/>
          <w:rtl w:val="true"/>
        </w:rPr>
        <w:footnoteReference w:id="354"/>
      </w:r>
      <w:r>
        <w:rPr>
          <w:rFonts w:ascii="Amiri" w:hAnsi="Amiri" w:eastAsia="Amiri" w:cs="Amiri"/>
          <w:color w:val="111111"/>
          <w:sz w:val="28"/>
          <w:sz w:val="28"/>
          <w:szCs w:val="28"/>
          <w:rtl w:val="true"/>
          <w:lang w:bidi="ar-SA"/>
        </w:rPr>
        <w:t>، والوحيد الفريد قدس سره</w:t>
      </w:r>
      <w:r>
        <w:rPr>
          <w:rStyle w:val="FootnoteAnchor"/>
          <w:rtl w:val="true"/>
        </w:rPr>
        <w:footnoteReference w:id="355"/>
      </w:r>
      <w:r>
        <w:rPr>
          <w:rFonts w:ascii="Amiri" w:hAnsi="Amiri" w:eastAsia="Amiri" w:cs="Amiri"/>
          <w:color w:val="111111"/>
          <w:sz w:val="28"/>
          <w:sz w:val="28"/>
          <w:szCs w:val="28"/>
          <w:rtl w:val="true"/>
          <w:lang w:bidi="ar-SA"/>
        </w:rPr>
        <w:t>، وصاحب الرِّياض قدس سره</w:t>
      </w:r>
      <w:r>
        <w:rPr>
          <w:rStyle w:val="FootnoteAnchor"/>
          <w:rtl w:val="true"/>
        </w:rPr>
        <w:footnoteReference w:id="356"/>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357"/>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3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 البجنورديِّ قدس سره</w:t>
      </w:r>
      <w:r>
        <w:rPr>
          <w:rStyle w:val="FootnoteAnchor"/>
          <w:rtl w:val="true"/>
        </w:rPr>
        <w:footnoteReference w:id="359"/>
      </w:r>
      <w:r>
        <w:rPr>
          <w:rFonts w:ascii="Amiri" w:hAnsi="Amiri" w:eastAsia="Amiri" w:cs="Amiri"/>
          <w:color w:val="111111"/>
          <w:sz w:val="28"/>
          <w:sz w:val="28"/>
          <w:szCs w:val="28"/>
          <w:rtl w:val="true"/>
          <w:lang w:bidi="ar-SA"/>
        </w:rPr>
        <w:t>بل قال العلَّامة المجلسي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عدم صحَّة اشتراط ما يكون منافيًا لمقتضىٰ العقد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وقد بالغ المحقِّق القمِّي قدس سره في البحث عن هذا الشَّرط والتَّحقيق حوله، فراجع إلى كلامه المفيد في الباب</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لايكون الشَّرط مجهولًا</w:t>
      </w:r>
    </w:p>
    <w:p>
      <w:pPr>
        <w:pStyle w:val="BookText"/>
        <w:rPr/>
      </w:pPr>
      <w:r>
        <w:rPr>
          <w:rFonts w:ascii="Amiri" w:hAnsi="Amiri" w:eastAsia="Amiri" w:cs="Amiri"/>
          <w:color w:val="111111"/>
          <w:sz w:val="28"/>
          <w:sz w:val="28"/>
          <w:szCs w:val="28"/>
          <w:rtl w:val="true"/>
          <w:lang w:bidi="ar-SA"/>
        </w:rPr>
        <w:t xml:space="preserve">وإلَّا يلزم الغَرَر،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ابنِطيٍّ قدس سره</w:t>
      </w:r>
      <w:r>
        <w:rPr>
          <w:rStyle w:val="FootnoteAnchor"/>
          <w:rtl w:val="true"/>
        </w:rPr>
        <w:footnoteReference w:id="362"/>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363"/>
      </w:r>
      <w:r>
        <w:rPr>
          <w:rFonts w:ascii="Amiri" w:hAnsi="Amiri" w:eastAsia="Amiri" w:cs="Amiri"/>
          <w:color w:val="111111"/>
          <w:sz w:val="28"/>
          <w:sz w:val="28"/>
          <w:szCs w:val="28"/>
          <w:rtl w:val="true"/>
          <w:lang w:bidi="ar-SA"/>
        </w:rPr>
        <w:t>، والمحقِّق البجنورديِّ قدس سره</w:t>
      </w:r>
      <w:r>
        <w:rPr>
          <w:rStyle w:val="FootnoteAnchor"/>
          <w:rtl w:val="true"/>
        </w:rPr>
        <w:footnoteReference w:id="364"/>
      </w:r>
      <w:r>
        <w:rPr>
          <w:rFonts w:ascii="Amiri" w:hAnsi="Amiri" w:eastAsia="Amiri" w:cs="Amiri"/>
          <w:color w:val="111111"/>
          <w:sz w:val="28"/>
          <w:sz w:val="28"/>
          <w:szCs w:val="28"/>
          <w:rtl w:val="true"/>
          <w:lang w:bidi="ar-SA"/>
        </w:rPr>
        <w:t>، والفقيه الأراكيِّ قدس سره</w:t>
      </w:r>
      <w:r>
        <w:rPr>
          <w:rStyle w:val="FootnoteAnchor"/>
          <w:rtl w:val="true"/>
        </w:rPr>
        <w:footnoteReference w:id="365"/>
      </w:r>
      <w:r>
        <w:rPr>
          <w:rFonts w:ascii="Amiri" w:hAnsi="Amiri" w:eastAsia="Amiri" w:cs="Amiri"/>
          <w:color w:val="111111"/>
          <w:sz w:val="28"/>
          <w:sz w:val="28"/>
          <w:szCs w:val="28"/>
          <w:rtl w:val="true"/>
          <w:lang w:bidi="ar-SA"/>
        </w:rPr>
        <w:t>، وغيرهم</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المُهادَنة،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فقه الصَّادق،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يرجع إلى البيع، لا إلى الشَّرط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تكليفيٌّ ونهيٌ عن أن يَغُرَّ المرءُ غيرَه، إذ الغَرَر من الُمحرَّمات الكِبار؛ فلاربط له بما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الكلام حول سند هذا الحديث في البحث عن قاعدة الشَّرط الفاسد؛ فراجِعْ إليه إن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جبرُ السَّند بعمل الأصحاب؛</w:t>
      </w:r>
    </w:p>
    <w:p>
      <w:pPr>
        <w:pStyle w:val="BookText"/>
        <w:rPr/>
      </w:pPr>
      <w:r>
        <w:rPr>
          <w:rFonts w:ascii="Amiri" w:hAnsi="Amiri" w:eastAsia="Amiri" w:cs="Amiri"/>
          <w:color w:val="111111"/>
          <w:sz w:val="28"/>
          <w:sz w:val="28"/>
          <w:szCs w:val="28"/>
          <w:rtl w:val="true"/>
          <w:lang w:bidi="ar-SA"/>
        </w:rPr>
        <w:t>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الأصحاب يعملون بهذا الأصل الأخلاقيِّ الَّذي يقوم عليه نظامُ المعاش في المجتمع، لا بهذا الخبر الضَّعيف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لوكان لهذا الشَّرط المجهول داعٍ عقلانيٌّ‌، فليس للبطلان إذن وجهٌ‌، وهذا يجري في الشَّرط وفي غيره من أجزاء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المعاملات الغَرَريَّة كثيرةٌ في العُرف جدًّا، ورَدْعُها بمثل هذا الحديث لايجوز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الشَّرط في ضمن العقد اللَّازم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الجائز</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دليلًا يُشير إلى اشتراط كون الشَّرط في العقد، جائزًا كان أو لازمًا؛ هذا من ناحيَةٍ‌؛</w:t>
      </w:r>
    </w:p>
    <w:p>
      <w:pPr>
        <w:pStyle w:val="BookText"/>
        <w:rPr/>
      </w:pPr>
      <w:r>
        <w:rPr>
          <w:rFonts w:ascii="Amiri" w:hAnsi="Amiri" w:eastAsia="Amiri" w:cs="Amiri"/>
          <w:color w:val="111111"/>
          <w:sz w:val="28"/>
          <w:sz w:val="28"/>
          <w:szCs w:val="28"/>
          <w:rtl w:val="true"/>
          <w:lang w:bidi="ar-SA"/>
        </w:rPr>
        <w:t xml:space="preserve">ومن ناحيَةٍ أُخرىٰ‌، فجَعْلُ العقود الجائزة مشروطةً بشروطٍ كثيرٌ في الفقه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علىٰ المتتبِّع الخبير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الشَّرط تنْجِيزيًّا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التَّعليق ينافِي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بالتَّعليق عند القوم تعليق العقد بشرطٍ لم يُعلَم وجودُه؛ أمَّا لوكان الشَّرط أمرًا واقعيًّا لايوجب الشَّكَّ للمتعاقدين فلاكلام لهم في صحَّة اشتراطه، كما عن العلَّامة قدس سره</w:t>
      </w:r>
      <w:r>
        <w:rPr>
          <w:rStyle w:val="FootnoteAnchor"/>
          <w:rtl w:val="true"/>
        </w:rPr>
        <w:footnoteReference w:id="367"/>
      </w:r>
      <w:r>
        <w:rPr>
          <w:rFonts w:ascii="Amiri" w:hAnsi="Amiri" w:eastAsia="Amiri" w:cs="Amiri"/>
          <w:color w:val="111111"/>
          <w:sz w:val="28"/>
          <w:sz w:val="28"/>
          <w:szCs w:val="28"/>
          <w:rtl w:val="true"/>
          <w:lang w:bidi="ar-SA"/>
        </w:rPr>
        <w:t>، وولده العظيم قدس سره</w:t>
      </w:r>
      <w:r>
        <w:rPr>
          <w:rStyle w:val="FootnoteAnchor"/>
          <w:rtl w:val="true"/>
        </w:rPr>
        <w:footnoteReference w:id="368"/>
      </w:r>
      <w:r>
        <w:rPr>
          <w:rFonts w:ascii="Amiri" w:hAnsi="Amiri" w:eastAsia="Amiri" w:cs="Amiri"/>
          <w:color w:val="111111"/>
          <w:sz w:val="28"/>
          <w:sz w:val="28"/>
          <w:szCs w:val="28"/>
          <w:rtl w:val="true"/>
          <w:lang w:bidi="ar-SA"/>
        </w:rPr>
        <w:t>، والمحقِّق قدس سره</w:t>
      </w:r>
      <w:r>
        <w:rPr>
          <w:rStyle w:val="FootnoteAnchor"/>
          <w:rtl w:val="true"/>
        </w:rPr>
        <w:footnoteReference w:id="369"/>
      </w:r>
      <w:r>
        <w:rPr>
          <w:rFonts w:ascii="Amiri" w:hAnsi="Amiri" w:eastAsia="Amiri" w:cs="Amiri"/>
          <w:color w:val="111111"/>
          <w:sz w:val="28"/>
          <w:sz w:val="28"/>
          <w:szCs w:val="28"/>
          <w:rtl w:val="true"/>
          <w:lang w:bidi="ar-SA"/>
        </w:rPr>
        <w:t>، وثانيهما قدس سره</w:t>
      </w:r>
      <w:r>
        <w:rPr>
          <w:rStyle w:val="FootnoteAnchor"/>
          <w:rtl w:val="true"/>
        </w:rPr>
        <w:footnoteReference w:id="370"/>
      </w:r>
      <w:r>
        <w:rPr>
          <w:rFonts w:ascii="Amiri" w:hAnsi="Amiri" w:eastAsia="Amiri" w:cs="Amiri"/>
          <w:color w:val="111111"/>
          <w:sz w:val="28"/>
          <w:sz w:val="28"/>
          <w:szCs w:val="28"/>
          <w:rtl w:val="true"/>
          <w:lang w:bidi="ar-SA"/>
        </w:rPr>
        <w:t>، والشَّيخ قدس سره</w:t>
      </w:r>
      <w:r>
        <w:rPr>
          <w:rStyle w:val="FootnoteAnchor"/>
          <w:rtl w:val="true"/>
        </w:rPr>
        <w:footnoteReference w:id="371"/>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37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في التَّكوين محالٌ‌، وأمَّا قياس التَّشريع بالتَّكوين فغير جائزٍ قطعًا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فلذلك نجدُ بالوجدان جواز التَّعليق في الإنشاء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التَّعليق في المُنشَأ جائزٌ قطعًا وإن لم يكن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بعض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الإنشاء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اشتهر أنَّ العلَّامة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لوباع دارَه بشرط أن يبيعها المشتريُّ بالبائع فقط، لايجوز، لأنَّه 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اشتهر في الفقه بمسألة دور العلَّامة قدس سره</w:t>
      </w:r>
      <w:r>
        <w:rPr>
          <w:rFonts w:eastAsia="Amiri" w:cs="Amiri" w:ascii="Amiri" w:hAnsi="Amiri"/>
          <w:color w:val="111111"/>
          <w:sz w:val="28"/>
          <w:szCs w:val="28"/>
          <w:rtl w:val="true"/>
          <w:lang w:bidi="ar-SA"/>
        </w:rPr>
        <w:t xml:space="preserve">. </w:t>
      </w:r>
      <w:bookmarkStart w:id="110" w:name="pg20337_261419"/>
    </w:p>
    <w:p>
      <w:pPr>
        <w:pStyle w:val="BookText"/>
        <w:rPr/>
      </w:pPr>
      <w:bookmarkEnd w:id="110"/>
      <w:r>
        <w:rPr>
          <w:rFonts w:ascii="Amiri" w:hAnsi="Amiri" w:eastAsia="Amiri" w:cs="Amiri"/>
          <w:color w:val="111111"/>
          <w:sz w:val="28"/>
          <w:sz w:val="28"/>
          <w:szCs w:val="28"/>
          <w:rtl w:val="true"/>
          <w:lang w:bidi="ar-SA"/>
        </w:rPr>
        <w:t>وقد نفىٰ الشَّيخ الأعظمُ قدس سره الخلافَ في فساد البيع المشروط فيه هذا الشَّرط</w:t>
      </w:r>
      <w:r>
        <w:rPr>
          <w:rStyle w:val="FootnoteAnchor"/>
          <w:rtl w:val="true"/>
        </w:rPr>
        <w:footnoteReference w:id="374"/>
      </w:r>
      <w:r>
        <w:rPr>
          <w:rFonts w:ascii="Amiri" w:hAnsi="Amiri" w:eastAsia="Amiri" w:cs="Amiri"/>
          <w:color w:val="111111"/>
          <w:sz w:val="28"/>
          <w:sz w:val="28"/>
          <w:szCs w:val="28"/>
          <w:rtl w:val="true"/>
          <w:lang w:bidi="ar-SA"/>
        </w:rPr>
        <w:t>، ثمَّ حكىٰ عن الشَّهيد قدس سره</w:t>
      </w:r>
      <w:r>
        <w:rPr>
          <w:rStyle w:val="FootnoteAnchor"/>
          <w:rtl w:val="true"/>
        </w:rPr>
        <w:footnoteReference w:id="375"/>
      </w:r>
      <w:r>
        <w:rPr>
          <w:rFonts w:ascii="Amiri" w:hAnsi="Amiri" w:eastAsia="Amiri" w:cs="Amiri"/>
          <w:color w:val="111111"/>
          <w:sz w:val="28"/>
          <w:sz w:val="28"/>
          <w:szCs w:val="28"/>
          <w:rtl w:val="true"/>
          <w:lang w:bidi="ar-SA"/>
        </w:rPr>
        <w:t>أنَّه ذهب إلى بطلان هذا البيع، لعدم قصد البيع فيه حقيقةً‌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الدَّور معيٌّ‌، ولايلزم منه المحالُ‌، بل الدَّور في عالَم الشَّرع مطلقًا يكون كذلك، ولاقياس بين عالَمَي التَّكوين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يقع في المعامَلات العُرفيَّة كثيرًا، فوقُوعُه بين النَّاس من 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رَدْعَ سيرة النَّاس يحتاج إلى دليلٍ قويٍّ‌؛ وبمثل هذه الَّتمحُّلات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إشتمال البيع إذن علىٰ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ردعُها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لا شرط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باشتراط الشَّرط بالشُّروط العشرة، مطلقًا ليس بصحيحٍ‌؛</w:t>
      </w:r>
    </w:p>
    <w:p>
      <w:pPr>
        <w:pStyle w:val="BookText"/>
        <w:rPr/>
      </w:pPr>
      <w:r>
        <w:rPr>
          <w:rFonts w:ascii="Amiri" w:hAnsi="Amiri" w:eastAsia="Amiri" w:cs="Amiri"/>
          <w:color w:val="111111"/>
          <w:sz w:val="28"/>
          <w:sz w:val="28"/>
          <w:szCs w:val="28"/>
          <w:rtl w:val="true"/>
          <w:lang w:bidi="ar-SA"/>
        </w:rPr>
        <w:t>بل في الشُّروط ما ليس بنفسه بصحيحٍ قطعًا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944974_1280447820"/>
      <w:bookmarkStart w:id="112" w:name="_Toc39"/>
      <w:bookmarkEnd w:id="111"/>
      <w:r>
        <w:rPr>
          <w:rtl w:val="true"/>
        </w:rPr>
        <w:t>التَّنبيه الثَّاني</w:t>
      </w:r>
      <w:r>
        <w:rPr>
          <w:rtl w:val="true"/>
        </w:rPr>
        <w:t>:</w:t>
      </w:r>
      <w:bookmarkEnd w:id="112"/>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للشَّرط تقسيماتٍ‌،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كتقسيمه إلى الجائز وغير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 عنه المحقِّق القمِّي قدس سره</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3" w:name="pg20337_261420"/>
    </w:p>
    <w:p>
      <w:pPr>
        <w:pStyle w:val="BookText"/>
        <w:rPr/>
      </w:pPr>
      <w:bookmarkEnd w:id="113"/>
      <w:r>
        <w:rPr>
          <w:rFonts w:ascii="Amiri" w:hAnsi="Amiri" w:eastAsia="Amiri" w:cs="Amiri"/>
          <w:color w:val="111111"/>
          <w:sz w:val="28"/>
          <w:sz w:val="28"/>
          <w:szCs w:val="28"/>
          <w:rtl w:val="true"/>
          <w:lang w:bidi="ar-SA"/>
        </w:rPr>
        <w:t xml:space="preserve">وكتقسيمه بحسب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 عنه شيخنا الأعظم الأنصاريِّ قدس سره</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هيهنا من تقسيماته هو ما بيَّنَّاه بأنَّ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فعليًّا، كما إذا اشترط زيدٌ أن يبيع دارَه من عمروٍ؛</w:t>
      </w:r>
    </w:p>
    <w:p>
      <w:pPr>
        <w:pStyle w:val="BookText"/>
        <w:rPr/>
      </w:pPr>
      <w:r>
        <w:rPr>
          <w:rFonts w:ascii="Amiri" w:hAnsi="Amiri" w:eastAsia="Amiri" w:cs="Amiri"/>
          <w:color w:val="111111"/>
          <w:sz w:val="28"/>
          <w:sz w:val="28"/>
          <w:szCs w:val="28"/>
          <w:rtl w:val="true"/>
          <w:lang w:bidi="ar-SA"/>
        </w:rPr>
        <w:t>وقد يكون الشَّرط غير فِعليٍّ‌، بمعنىٰ أنَّه يحصل بعدَ جريان العقد، كما إذا اشترَطَ أنَّه يشتري دارَ زيدٍ بشرط أن يكون مَعْمَلُه معها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فباشتراء الدَّار يصير مالكًا للمَعْمَل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كِلَي الفَردَين‌؟،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شمولُ أمثال الرِّوايَتَين لهما معًا بعد صدق العقد والشَّرط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إنصراف الأدلَّة عن الشَّرط الَّذي يحصل بعد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لانرىٰ له وجهًا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فالانصراف بدْوِيٌّ لا وجه له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1944976_1280447820"/>
      <w:bookmarkStart w:id="115" w:name="_Toc40"/>
      <w:bookmarkEnd w:id="114"/>
      <w:r>
        <w:rPr>
          <w:rtl w:val="true"/>
        </w:rPr>
        <w:t>التَّنبيه الثَّالث</w:t>
      </w:r>
      <w:r>
        <w:rPr>
          <w:rtl w:val="true"/>
        </w:rPr>
        <w:t>:</w:t>
      </w:r>
      <w:bookmarkEnd w:id="115"/>
    </w:p>
    <w:p>
      <w:pPr>
        <w:pStyle w:val="BookText"/>
        <w:rPr/>
      </w:pPr>
      <w:r>
        <w:rPr>
          <w:rFonts w:ascii="Amiri" w:hAnsi="Amiri" w:eastAsia="Amiri" w:cs="Amiri"/>
          <w:color w:val="111111"/>
          <w:sz w:val="28"/>
          <w:sz w:val="28"/>
          <w:szCs w:val="28"/>
          <w:rtl w:val="true"/>
          <w:lang w:bidi="ar-SA"/>
        </w:rPr>
        <w:t>هل مخالفةُ الشَّرط يُوجِب بطلانَ المعاملة‌؟، أو يُوجِب جوازَ فسخِها؟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المختارُ هو الثَّاني، تبعًا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بحث عنه ابنُفهدٍ قدس سره</w:t>
      </w:r>
      <w:r>
        <w:rPr>
          <w:rStyle w:val="FootnoteAnchor"/>
          <w:rtl w:val="true"/>
        </w:rPr>
        <w:footnoteReference w:id="379"/>
      </w:r>
      <w:r>
        <w:rPr>
          <w:rFonts w:ascii="Amiri" w:hAnsi="Amiri" w:eastAsia="Amiri" w:cs="Amiri"/>
          <w:color w:val="111111"/>
          <w:sz w:val="28"/>
          <w:sz w:val="28"/>
          <w:szCs w:val="28"/>
          <w:rtl w:val="true"/>
          <w:lang w:bidi="ar-SA"/>
        </w:rPr>
        <w:t>، وحكاه العلَّامة قدس سره عن ابن الجنيد قدس سره، وابن البرَّاج قدس سره أيضًا</w:t>
      </w:r>
      <w:r>
        <w:rPr>
          <w:rStyle w:val="FootnoteAnchor"/>
          <w:rtl w:val="true"/>
        </w:rPr>
        <w:footnoteReference w:id="380"/>
      </w:r>
      <w:r>
        <w:rPr>
          <w:rFonts w:ascii="Amiri" w:hAnsi="Amiri" w:eastAsia="Amiri" w:cs="Amiri"/>
          <w:color w:val="111111"/>
          <w:sz w:val="28"/>
          <w:sz w:val="28"/>
          <w:szCs w:val="28"/>
          <w:rtl w:val="true"/>
          <w:lang w:bidi="ar-SA"/>
        </w:rPr>
        <w:t>، والسَّبزواريِّ القمِّي قدس سره</w:t>
      </w:r>
      <w:r>
        <w:rPr>
          <w:rStyle w:val="FootnoteAnchor"/>
          <w:rtl w:val="true"/>
        </w:rPr>
        <w:footnoteReference w:id="381"/>
      </w:r>
      <w:r>
        <w:rPr>
          <w:rFonts w:ascii="IRNazanin" w:hAnsi="IRNazanin" w:eastAsia="IRNazanin"/>
          <w:color w:val="111111"/>
          <w:sz w:val="28"/>
          <w:sz w:val="28"/>
          <w:szCs w:val="28"/>
          <w:rtl w:val="true"/>
          <w:lang w:bidi="fa-IR"/>
        </w:rPr>
        <w:t xml:space="preserve">، </w:t>
      </w:r>
      <w:bookmarkStart w:id="116" w:name="pg20337_261421"/>
    </w:p>
    <w:p>
      <w:pPr>
        <w:pStyle w:val="BookText"/>
        <w:rPr/>
      </w:pPr>
      <w:bookmarkEnd w:id="116"/>
      <w:r>
        <w:rPr>
          <w:rFonts w:ascii="Amiri" w:hAnsi="Amiri" w:eastAsia="Amiri" w:cs="Amiri"/>
          <w:color w:val="111111"/>
          <w:sz w:val="28"/>
          <w:sz w:val="28"/>
          <w:szCs w:val="28"/>
          <w:rtl w:val="true"/>
          <w:lang w:bidi="ar-SA"/>
        </w:rPr>
        <w:t>والشَّيخ قدس سره</w:t>
      </w:r>
      <w:r>
        <w:rPr>
          <w:rStyle w:val="FootnoteAnchor"/>
          <w:rtl w:val="true"/>
        </w:rPr>
        <w:footnoteReference w:id="382"/>
      </w:r>
      <w:r>
        <w:rPr>
          <w:rFonts w:ascii="Amiri" w:hAnsi="Amiri" w:eastAsia="Amiri" w:cs="Amiri"/>
          <w:color w:val="111111"/>
          <w:sz w:val="28"/>
          <w:sz w:val="28"/>
          <w:szCs w:val="28"/>
          <w:rtl w:val="true"/>
          <w:lang w:bidi="ar-SA"/>
        </w:rPr>
        <w:t>، وكثيرٍ من المعاصرين</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العقدَ المشروط مركَّبٌ عُرفًا من ذات المشروط ومن الشَّرط، ولايكون بسيطًا؛ فإذا تخلَّف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الشَّرط يبقىٰ ذات المشروط تحتَ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التَّخلُّف عن الشَّرط جوازُ فسْخِ العقد الَّذي وقعَ مشروطًا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944978_1280447820"/>
      <w:bookmarkStart w:id="118" w:name="_Toc41"/>
      <w:bookmarkEnd w:id="117"/>
      <w:r>
        <w:rPr>
          <w:rtl w:val="true"/>
        </w:rPr>
        <w:t>التَّنبيه الرَّابع</w:t>
      </w:r>
      <w:r>
        <w:rPr>
          <w:rtl w:val="true"/>
        </w:rPr>
        <w:t>:</w:t>
      </w:r>
      <w:bookmarkEnd w:id="118"/>
    </w:p>
    <w:p>
      <w:pPr>
        <w:pStyle w:val="BookText"/>
        <w:rPr/>
      </w:pPr>
      <w:r>
        <w:rPr>
          <w:rFonts w:ascii="Amiri" w:hAnsi="Amiri" w:eastAsia="Amiri" w:cs="Amiri"/>
          <w:color w:val="111111"/>
          <w:sz w:val="28"/>
          <w:sz w:val="28"/>
          <w:szCs w:val="28"/>
          <w:rtl w:val="true"/>
          <w:lang w:bidi="ar-SA"/>
        </w:rPr>
        <w:t>هل يجوز في التَّخلُّف عن الشَّرط أن يطلب الأَرْشَ دون الفسخ‌؟؛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لمَن عقد علىٰ شرطٍ ثمَّ وجَدَ العقدَ غير وافٍ بالشَّرط التَّخييرُ بين الفسخ والأرش‌؟، أو لا؟، بل ليس له إلَّاالفسخ‌؟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384"/>
      </w:r>
      <w:r>
        <w:rPr>
          <w:rFonts w:ascii="Amiri" w:hAnsi="Amiri" w:eastAsia="Amiri" w:cs="Amiri"/>
          <w:color w:val="111111"/>
          <w:sz w:val="28"/>
          <w:sz w:val="28"/>
          <w:szCs w:val="28"/>
          <w:rtl w:val="true"/>
          <w:lang w:bidi="ar-SA"/>
        </w:rPr>
        <w:t>علىٰ الثَّاني، إلَّافي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هو الأوَّلُ‌</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الفقيه مصطفىٰ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ولافرق بين الخيارات، فجميعُها عندنا كخيار العيب، لأنَّ السِّيرة العُقَلائيَّة علىٰ التَّخيير، ولايختصُّ هذا التَّخييرُ بخيار العيب أصلًا؛</w:t>
      </w:r>
    </w:p>
    <w:p>
      <w:pPr>
        <w:pStyle w:val="BookText"/>
        <w:rPr/>
      </w:pPr>
      <w:r>
        <w:rPr>
          <w:rFonts w:ascii="Amiri" w:hAnsi="Amiri" w:eastAsia="Amiri" w:cs="Amiri"/>
          <w:color w:val="111111"/>
          <w:sz w:val="28"/>
          <w:sz w:val="28"/>
          <w:szCs w:val="28"/>
          <w:rtl w:val="true"/>
          <w:lang w:bidi="ar-SA"/>
        </w:rPr>
        <w:t>هذا من ناحيَةٍ‌؛</w:t>
      </w:r>
    </w:p>
    <w:p>
      <w:pPr>
        <w:pStyle w:val="BookText"/>
        <w:rPr/>
      </w:pPr>
      <w:r>
        <w:rPr>
          <w:rFonts w:ascii="Amiri" w:hAnsi="Amiri" w:eastAsia="Amiri" w:cs="Amiri"/>
          <w:color w:val="111111"/>
          <w:sz w:val="28"/>
          <w:sz w:val="28"/>
          <w:szCs w:val="28"/>
          <w:rtl w:val="true"/>
          <w:lang w:bidi="ar-SA"/>
        </w:rPr>
        <w:t>ومن ناحيَةٍ أُخرىٰ‌، فإنَّ هذه السِّيرة لم يَردَعْ عنها شيءٌ من الشَّرع، فهي المتَّبَعَة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1944980_1280447820"/>
      <w:bookmarkStart w:id="120" w:name="_Toc42"/>
      <w:bookmarkEnd w:id="119"/>
      <w:r>
        <w:rPr>
          <w:rtl w:val="true"/>
        </w:rPr>
        <w:t>أمثلةٌ لاستعمال القاعدة في الفقه</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المقدَّس قدس سره في حكم أخذِ المُزارِعِ الشَّريكَ في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لواشترط المالكُ علىٰ العامل أن يعمل بنفسه فلايجوز له التَّعدِّي، اتِّفاقًا، لأنَّ المؤمنين عند شروطهم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ما ذكره الشَّارح البحرانيُّ قدس سره</w:t>
      </w:r>
      <w:r>
        <w:rPr>
          <w:rStyle w:val="FootnoteAnchor"/>
          <w:rtl w:val="true"/>
        </w:rPr>
        <w:footnoteReference w:id="387"/>
      </w:r>
      <w:r>
        <w:rPr>
          <w:rFonts w:ascii="Amiri" w:hAnsi="Amiri" w:eastAsia="Amiri" w:cs="Amiri"/>
          <w:color w:val="111111"/>
          <w:sz w:val="28"/>
          <w:sz w:val="28"/>
          <w:szCs w:val="28"/>
          <w:rtl w:val="true"/>
          <w:lang w:bidi="ar-SA"/>
        </w:rPr>
        <w:t>، والسَّيِّد صاحب الرِّياض قدس سره</w:t>
      </w:r>
      <w:r>
        <w:rPr>
          <w:rStyle w:val="FootnoteAnchor"/>
          <w:rtl w:val="true"/>
        </w:rPr>
        <w:footnoteReference w:id="388"/>
      </w:r>
      <w:r>
        <w:rPr>
          <w:rFonts w:ascii="Amiri" w:hAnsi="Amiri" w:eastAsia="Amiri" w:cs="Amiri"/>
          <w:color w:val="111111"/>
          <w:sz w:val="28"/>
          <w:sz w:val="28"/>
          <w:szCs w:val="28"/>
          <w:rtl w:val="true"/>
          <w:lang w:bidi="ar-SA"/>
        </w:rPr>
        <w:t>في المقام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صاحب العروة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اشتراطُ المضاربة في ضمن عقدٍ لازمٍ‌، فيجب علىٰ المشروط عليه إبقاع عقدها مع الشَّارط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ما ذكره شُرَّاح عبارته، كالسَّيِّد الحكيم قدس سره</w:t>
      </w:r>
      <w:r>
        <w:rPr>
          <w:rStyle w:val="FootnoteAnchor"/>
          <w:rtl w:val="true"/>
        </w:rPr>
        <w:footnoteReference w:id="389"/>
      </w:r>
      <w:r>
        <w:rPr>
          <w:rFonts w:ascii="Amiri" w:hAnsi="Amiri" w:eastAsia="Amiri" w:cs="Amiri"/>
          <w:color w:val="111111"/>
          <w:sz w:val="28"/>
          <w:sz w:val="28"/>
          <w:szCs w:val="28"/>
          <w:rtl w:val="true"/>
          <w:lang w:bidi="ar-SA"/>
        </w:rPr>
        <w:t>، والسَّيِّد الفقيه الخوئيِّ قدس سره</w:t>
      </w:r>
      <w:r>
        <w:rPr>
          <w:rStyle w:val="FootnoteAnchor"/>
          <w:rtl w:val="true"/>
        </w:rPr>
        <w:footnoteReference w:id="390"/>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إلى ما ذكره بعض كبار المعاصرين، كالشَّيخ الاشتهارديِّ‌، والسَّيِّد القمِّي؛</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الغاية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المضاربة،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 في مبحث الكفَّارة ومَن يجب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انعقد الأمان وجب الوفاء به بحسب ما شرط فيه، من وقتٍ وغيره، ما لم يتضمَّن ما يخالف المشروع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في تذكرته</w:t>
      </w:r>
      <w:r>
        <w:rPr>
          <w:rStyle w:val="FootnoteAnchor"/>
          <w:rtl w:val="true"/>
        </w:rPr>
        <w:footnoteReference w:id="392"/>
      </w:r>
      <w:r>
        <w:rPr>
          <w:rFonts w:ascii="IRNazanin" w:hAnsi="IRNazanin" w:eastAsia="IRNazanin"/>
          <w:color w:val="111111"/>
          <w:sz w:val="28"/>
          <w:sz w:val="28"/>
          <w:szCs w:val="28"/>
          <w:rtl w:val="true"/>
          <w:lang w:bidi="fa-IR"/>
        </w:rPr>
        <w:t>، ومنتهاه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121" w:name="pg20337_261424"/>
    </w:p>
    <w:p>
      <w:pPr>
        <w:pStyle w:val="Heading2"/>
        <w:numPr>
          <w:ilvl w:val="1"/>
          <w:numId w:val="1"/>
        </w:numPr>
        <w:rPr/>
      </w:pPr>
      <w:bookmarkStart w:id="122" w:name="__RefHeading___Toc11944982_1280447820"/>
      <w:bookmarkStart w:id="123" w:name="_Toc43"/>
      <w:bookmarkEnd w:id="121"/>
      <w:bookmarkEnd w:id="122"/>
      <w:r>
        <w:rPr>
          <w:rtl w:val="true"/>
        </w:rPr>
        <w:t>[</w:t>
      </w:r>
      <w:r>
        <w:rPr/>
        <w:t>27</w:t>
      </w:r>
      <w:r>
        <w:rPr>
          <w:rtl w:val="true"/>
        </w:rPr>
        <w:t xml:space="preserve">:] </w:t>
      </w:r>
      <w:r>
        <w:rPr>
          <w:rtl w:val="true"/>
        </w:rPr>
        <w:t>قاعدة الوصيَّة حقٌّ علىٰ كلِّ مسلمٍ‌</w:t>
      </w:r>
      <w:bookmarkEnd w:id="123"/>
    </w:p>
    <w:p>
      <w:pPr>
        <w:pStyle w:val="Heading3"/>
        <w:numPr>
          <w:ilvl w:val="2"/>
          <w:numId w:val="1"/>
        </w:numPr>
        <w:rPr/>
      </w:pPr>
      <w:bookmarkStart w:id="124" w:name="__RefHeading___Toc11944984_1280447820"/>
      <w:bookmarkStart w:id="125" w:name="_Toc44"/>
      <w:bookmarkEnd w:id="124"/>
      <w:r>
        <w:rPr>
          <w:rtl w:val="true"/>
        </w:rPr>
        <w:t>عناوين أُخرىٰ للقاعدة</w:t>
      </w:r>
      <w:bookmarkEnd w:id="125"/>
    </w:p>
    <w:p>
      <w:pPr>
        <w:pStyle w:val="BookText"/>
        <w:rPr/>
      </w:pPr>
      <w:r>
        <w:rPr>
          <w:rFonts w:ascii="Amiri" w:hAnsi="Amiri" w:eastAsia="Amiri" w:cs="Amiri"/>
          <w:color w:val="111111"/>
          <w:sz w:val="28"/>
          <w:sz w:val="28"/>
          <w:szCs w:val="28"/>
          <w:rtl w:val="true"/>
          <w:lang w:bidi="ar-SA"/>
        </w:rPr>
        <w:t>سنُشيرُ إلى أنَّ القاعدة عنوانٌ جامعٌ يجمَعُ بين كثيرٍ من فروع كتابَي الوصيَّة والمواريث، وهو متَّخَذٌ من حديثٍ شريفٍ‌، وقد تطابقَتْ كلمات الفقهاء علىٰ استعماله؛ فليس لها عناوين أخرىٰ نذكرها هيهنا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1944986_1280447820"/>
      <w:bookmarkStart w:id="127" w:name="_Toc45"/>
      <w:bookmarkEnd w:id="126"/>
      <w:r>
        <w:rPr>
          <w:rtl w:val="true"/>
        </w:rPr>
        <w:t>توضيح مفاد القاعدة</w:t>
      </w:r>
      <w:bookmarkEnd w:id="12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اسمُ مصدرٍ من الإيصاء</w:t>
      </w:r>
      <w:r>
        <w:rPr>
          <w:rStyle w:val="FootnoteAnchor"/>
          <w:rtl w:val="true"/>
        </w:rPr>
        <w:footnoteReference w:id="394"/>
      </w:r>
      <w:r>
        <w:rPr>
          <w:rFonts w:ascii="Amiri" w:hAnsi="Amiri" w:eastAsia="Amiri" w:cs="Amiri"/>
          <w:color w:val="111111"/>
          <w:sz w:val="28"/>
          <w:sz w:val="28"/>
          <w:szCs w:val="28"/>
          <w:rtl w:val="true"/>
          <w:lang w:bidi="ar-SA"/>
        </w:rPr>
        <w:t>ومعناها اِتِّصال شيءٍ بشيءٍ‌</w:t>
      </w:r>
      <w:r>
        <w:rPr>
          <w:rStyle w:val="FootnoteAnchor"/>
          <w:rtl w:val="true"/>
        </w:rPr>
        <w:footnoteReference w:id="395"/>
      </w:r>
      <w:r>
        <w:rPr>
          <w:rFonts w:ascii="Amiri" w:hAnsi="Amiri" w:eastAsia="Amiri" w:cs="Amiri"/>
          <w:color w:val="111111"/>
          <w:sz w:val="28"/>
          <w:sz w:val="28"/>
          <w:szCs w:val="28"/>
          <w:rtl w:val="true"/>
          <w:lang w:bidi="ar-SA"/>
        </w:rPr>
        <w:t>ويُقال لما عهِد أن يُعمَلَ به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لاتِّصاله موته بحياته بذلك العهد</w:t>
      </w:r>
      <w:r>
        <w:rPr>
          <w:rFonts w:eastAsia="Amiri" w:cs="Amiri" w:ascii="Amiri" w:hAnsi="Amiri"/>
          <w:color w:val="111111"/>
          <w:sz w:val="28"/>
          <w:szCs w:val="28"/>
          <w:rtl w:val="true"/>
          <w:lang w:bidi="ar-SA"/>
        </w:rPr>
        <w:t xml:space="preserve">. </w:t>
      </w:r>
      <w:bookmarkStart w:id="128" w:name="pg20337_261425"/>
    </w:p>
    <w:p>
      <w:pPr>
        <w:pStyle w:val="BookText"/>
        <w:rPr/>
      </w:pPr>
      <w:bookmarkEnd w:id="128"/>
      <w:r>
        <w:rPr>
          <w:rFonts w:ascii="Amiri" w:hAnsi="Amiri" w:eastAsia="Amiri" w:cs="Amiri"/>
          <w:color w:val="111111"/>
          <w:sz w:val="28"/>
          <w:sz w:val="28"/>
          <w:szCs w:val="28"/>
          <w:rtl w:val="true"/>
          <w:lang w:bidi="ar-SA"/>
        </w:rPr>
        <w:t xml:space="preserve">وقريبٌ منه ماذكره اللُّغويُّون من أنَّ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وصيَّةً لاتِّصالها بأمر الميِّت</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ومثله ما عن ابن منظورٍ</w:t>
      </w:r>
      <w:r>
        <w:rPr>
          <w:rStyle w:val="FootnoteAnchor"/>
          <w:rtl w:val="true"/>
        </w:rPr>
        <w:footnoteReference w:id="397"/>
      </w:r>
      <w:r>
        <w:rPr>
          <w:rFonts w:ascii="Amiri" w:hAnsi="Amiri" w:eastAsia="Amiri" w:cs="Amiri"/>
          <w:color w:val="111111"/>
          <w:sz w:val="28"/>
          <w:sz w:val="28"/>
          <w:szCs w:val="28"/>
          <w:rtl w:val="true"/>
          <w:lang w:bidi="ar-SA"/>
        </w:rPr>
        <w:t>، والزَّبيديِّ‌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الفاضل المقداد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 ذلك وصيَّةً لأنَّ المُوصي يصل تصرُّفَه بعد الموت بما قبله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واصطلاحًا هي تمليكُ المرء آخرَ شيئًا بعد موته، أو تعهُّده شيئًا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تمليك عينٍ أو منفعةٍ أو تسليطٌ علىٰ تصرُّفٍ بعد الوفاة</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تمليكُه إيَّاه وتعهُّده به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944988_1280447820"/>
      <w:bookmarkStart w:id="130" w:name="_Toc46"/>
      <w:bookmarkEnd w:id="129"/>
      <w:r>
        <w:rPr>
          <w:rtl w:val="true"/>
        </w:rPr>
        <w:t>مدركُ القاعدة</w:t>
      </w:r>
      <w:bookmarkEnd w:id="1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من المفاهيم العُرفيَّة الَّتي لاتحتاج إلى مستندٍ شرعيٍّ‌، ولذلك ترىٰ كثيرًا من الفقهاء لم يذكروا تعريفَها في بدأ كتاب الوصيَّة من آثارهم، كالمفيد قدس سره</w:t>
      </w:r>
      <w:r>
        <w:rPr>
          <w:rStyle w:val="FootnoteAnchor"/>
          <w:rtl w:val="true"/>
        </w:rPr>
        <w:footnoteReference w:id="401"/>
      </w:r>
      <w:r>
        <w:rPr>
          <w:rFonts w:ascii="Amiri" w:hAnsi="Amiri" w:eastAsia="Amiri" w:cs="Amiri"/>
          <w:color w:val="111111"/>
          <w:sz w:val="28"/>
          <w:sz w:val="28"/>
          <w:szCs w:val="28"/>
          <w:rtl w:val="true"/>
          <w:lang w:bidi="ar-SA"/>
        </w:rPr>
        <w:t>، والكَيدُريِّ قدس سره</w:t>
      </w:r>
      <w:r>
        <w:rPr>
          <w:rStyle w:val="FootnoteAnchor"/>
          <w:rtl w:val="true"/>
        </w:rPr>
        <w:footnoteReference w:id="402"/>
      </w:r>
      <w:r>
        <w:rPr>
          <w:rFonts w:ascii="Amiri" w:hAnsi="Amiri" w:eastAsia="Amiri" w:cs="Amiri"/>
          <w:color w:val="111111"/>
          <w:sz w:val="28"/>
          <w:sz w:val="28"/>
          <w:szCs w:val="28"/>
          <w:rtl w:val="true"/>
          <w:lang w:bidi="ar-SA"/>
        </w:rPr>
        <w:t>، والشَّيخ قدس سره</w:t>
      </w:r>
      <w:r>
        <w:rPr>
          <w:rStyle w:val="FootnoteAnchor"/>
          <w:rtl w:val="true"/>
        </w:rPr>
        <w:footnoteReference w:id="403"/>
      </w:r>
      <w:r>
        <w:rPr>
          <w:rFonts w:ascii="Amiri" w:hAnsi="Amiri" w:eastAsia="Amiri" w:cs="Amiri"/>
          <w:color w:val="111111"/>
          <w:sz w:val="28"/>
          <w:sz w:val="28"/>
          <w:szCs w:val="28"/>
          <w:rtl w:val="true"/>
          <w:lang w:bidi="ar-SA"/>
        </w:rPr>
        <w:t>، وابنِسعيدٍ قدس سره</w:t>
      </w:r>
      <w:r>
        <w:rPr>
          <w:rStyle w:val="FootnoteAnchor"/>
          <w:rtl w:val="true"/>
        </w:rPr>
        <w:footnoteReference w:id="404"/>
      </w:r>
      <w:r>
        <w:rPr>
          <w:rFonts w:ascii="Amiri" w:hAnsi="Amiri" w:eastAsia="Amiri" w:cs="Amiri"/>
          <w:color w:val="111111"/>
          <w:sz w:val="28"/>
          <w:sz w:val="28"/>
          <w:szCs w:val="28"/>
          <w:rtl w:val="true"/>
          <w:lang w:bidi="ar-SA"/>
        </w:rPr>
        <w:t>، والعلَّامة قدس سره</w:t>
      </w:r>
      <w:r>
        <w:rPr>
          <w:rStyle w:val="FootnoteAnchor"/>
          <w:rtl w:val="true"/>
        </w:rPr>
        <w:footnoteReference w:id="405"/>
      </w:r>
      <w:r>
        <w:rPr>
          <w:rFonts w:ascii="Amiri" w:hAnsi="Amiri" w:eastAsia="Amiri" w:cs="Amiri"/>
          <w:color w:val="111111"/>
          <w:sz w:val="28"/>
          <w:sz w:val="28"/>
          <w:szCs w:val="28"/>
          <w:rtl w:val="true"/>
          <w:lang w:bidi="ar-SA"/>
        </w:rPr>
        <w:t>، وغيرهم أيضًا</w:t>
      </w:r>
      <w:r>
        <w:rPr>
          <w:rFonts w:eastAsia="Amiri" w:cs="Amiri" w:ascii="Amiri" w:hAnsi="Amiri"/>
          <w:color w:val="111111"/>
          <w:sz w:val="28"/>
          <w:szCs w:val="28"/>
          <w:rtl w:val="true"/>
          <w:lang w:bidi="ar-SA"/>
        </w:rPr>
        <w:t xml:space="preserve">. </w:t>
      </w:r>
      <w:bookmarkStart w:id="131" w:name="pg20337_261426"/>
    </w:p>
    <w:p>
      <w:pPr>
        <w:pStyle w:val="BookText"/>
        <w:rPr/>
      </w:pPr>
      <w:bookmarkEnd w:id="131"/>
      <w:r>
        <w:rPr>
          <w:rFonts w:ascii="Amiri" w:hAnsi="Amiri" w:eastAsia="Amiri" w:cs="Amiri"/>
          <w:color w:val="111111"/>
          <w:sz w:val="28"/>
          <w:sz w:val="28"/>
          <w:szCs w:val="28"/>
          <w:rtl w:val="true"/>
          <w:lang w:bidi="ar-SA"/>
        </w:rPr>
        <w:t>ولذلك فإنَّ الآيات والأحاديث</w:t>
      </w:r>
      <w:r>
        <w:rPr>
          <w:rStyle w:val="FootnoteAnchor"/>
          <w:rtl w:val="true"/>
        </w:rPr>
        <w:footnoteReference w:id="406"/>
      </w:r>
      <w:r>
        <w:rPr>
          <w:rFonts w:ascii="Amiri" w:hAnsi="Amiri" w:eastAsia="Amiri" w:cs="Amiri"/>
          <w:color w:val="111111"/>
          <w:sz w:val="28"/>
          <w:sz w:val="28"/>
          <w:szCs w:val="28"/>
          <w:rtl w:val="true"/>
          <w:lang w:bidi="ar-SA"/>
        </w:rPr>
        <w:t>الواردة فيها كلَّها تُشيرُ إلى حكم العقل والعقلاء فيها؛</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وَصّٰى بِهٰا إِبْرٰاهِيمُ بَنِيهِ وَ يَعْقُوبُ‌</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هذا التَّعهُّد في حياة الموصي والموصىٰ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فإذن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p>
    <w:p>
      <w:pPr>
        <w:pStyle w:val="BookText"/>
        <w:rPr/>
      </w:pPr>
      <w:r>
        <w:rPr>
          <w:rFonts w:ascii="Amiri" w:hAnsi="Amiri" w:eastAsia="Amiri" w:cs="Amiri"/>
          <w:color w:val="111111"/>
          <w:sz w:val="28"/>
          <w:sz w:val="28"/>
          <w:szCs w:val="28"/>
          <w:rtl w:val="true"/>
          <w:lang w:bidi="ar-SA"/>
        </w:rPr>
        <w:t>كما وأنَّه قد يكون ذلك الَّتمليكُ في حياتهما،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أحاديث الباب؛ وسنشيرُ إلى بعضها في ما يأتي من بيان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تنبيهاتٌ هامَّةٌ‌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1944990_1280447820"/>
      <w:bookmarkStart w:id="133" w:name="_Toc47"/>
      <w:bookmarkEnd w:id="132"/>
      <w:r>
        <w:rPr>
          <w:rtl w:val="true"/>
        </w:rPr>
        <w:t>تنبيهاتٌ‌</w:t>
      </w:r>
      <w:r>
        <w:rPr>
          <w:rtl w:val="true"/>
        </w:rPr>
        <w:t>:</w:t>
      </w:r>
      <w:bookmarkEnd w:id="133"/>
    </w:p>
    <w:p>
      <w:pPr>
        <w:pStyle w:val="Heading4"/>
        <w:numPr>
          <w:ilvl w:val="3"/>
          <w:numId w:val="1"/>
        </w:numPr>
        <w:rPr/>
      </w:pPr>
      <w:bookmarkStart w:id="134" w:name="__RefHeading___Toc11944992_1280447820"/>
      <w:bookmarkStart w:id="135" w:name="_Toc48"/>
      <w:bookmarkEnd w:id="134"/>
      <w:r>
        <w:rPr>
          <w:rtl w:val="true"/>
        </w:rPr>
        <w:t>التَّنبيه الأوَّل</w:t>
      </w:r>
      <w:r>
        <w:rPr>
          <w:rtl w:val="true"/>
        </w:rPr>
        <w:t>:</w:t>
      </w:r>
      <w:bookmarkEnd w:id="13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أمرٌ مرغوبٌ فيه عرفًا وشرعًا؛ وهي بحسب حُكمِها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الوصيَّة واجبةً‌، ووجوبُها فيما كان عدمُ الوصيَّة يؤدِّي إلى تضييع أمورٍ هامَّةٍ‌، كتضييع أماناتٍ كانت عنده، أو الدُّيون الَّتي كانت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وكالواجبات الَّتي استقرَّتْ في ذمَّته وهو لم يقضاها، كالصَّلوة والصَّوم والحجِّ الفائتة وغيرها؛ وقد أوجز الشَّيخ الشَّهيد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الوصيَّةُ علىٰ كلِّ من عليه حقٌ‌</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وقد أشار إلى وجوبها عليه المحقِّق الأردبيليُّ قدس سره</w:t>
      </w:r>
      <w:r>
        <w:rPr>
          <w:rStyle w:val="FootnoteAnchor"/>
          <w:rtl w:val="true"/>
        </w:rPr>
        <w:footnoteReference w:id="411"/>
      </w:r>
      <w:r>
        <w:rPr>
          <w:rFonts w:ascii="Amiri" w:hAnsi="Amiri" w:eastAsia="Amiri" w:cs="Amiri"/>
          <w:color w:val="111111"/>
          <w:sz w:val="28"/>
          <w:sz w:val="28"/>
          <w:szCs w:val="28"/>
          <w:rtl w:val="true"/>
          <w:lang w:bidi="ar-SA"/>
        </w:rPr>
        <w:t>، وادَّعىٰ ابنُزهرة قدس سره ثبوتَ الإجماع علىٰ وجوبها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الموارد كلِّها أوجبَ العقلُ القيامَ بها، وأمضاه الشَّارع أيضًا، حتَّى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وصيَّةٍ مات ميَّة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الوصيَّة مندوبةً 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البرَّاج قدس سره</w:t>
      </w:r>
      <w:r>
        <w:rPr>
          <w:rStyle w:val="FootnoteAnchor"/>
          <w:rtl w:val="true"/>
        </w:rPr>
        <w:footnoteReference w:id="413"/>
      </w:r>
      <w:r>
        <w:rPr>
          <w:rFonts w:ascii="Amiri" w:hAnsi="Amiri" w:eastAsia="Amiri" w:cs="Amiri"/>
          <w:color w:val="111111"/>
          <w:sz w:val="28"/>
          <w:sz w:val="28"/>
          <w:szCs w:val="28"/>
          <w:rtl w:val="true"/>
          <w:lang w:bidi="ar-SA"/>
        </w:rPr>
        <w:t>، وابنِسعيدٍ قدس سره</w:t>
      </w:r>
      <w:r>
        <w:rPr>
          <w:rStyle w:val="FootnoteAnchor"/>
          <w:rtl w:val="true"/>
        </w:rPr>
        <w:footnoteReference w:id="414"/>
      </w:r>
      <w:r>
        <w:rPr>
          <w:rFonts w:ascii="Amiri" w:hAnsi="Amiri" w:eastAsia="Amiri" w:cs="Amiri"/>
          <w:color w:val="111111"/>
          <w:sz w:val="28"/>
          <w:sz w:val="28"/>
          <w:szCs w:val="28"/>
          <w:rtl w:val="true"/>
          <w:lang w:bidi="ar-SA"/>
        </w:rPr>
        <w:t>، وابنِحمزة قدس سره</w:t>
      </w:r>
      <w:r>
        <w:rPr>
          <w:rStyle w:val="FootnoteAnchor"/>
          <w:rtl w:val="true"/>
        </w:rPr>
        <w:footnoteReference w:id="415"/>
      </w:r>
      <w:r>
        <w:rPr>
          <w:rFonts w:ascii="Amiri" w:hAnsi="Amiri" w:eastAsia="Amiri" w:cs="Amiri"/>
          <w:color w:val="111111"/>
          <w:sz w:val="28"/>
          <w:sz w:val="28"/>
          <w:szCs w:val="28"/>
          <w:rtl w:val="true"/>
          <w:lang w:bidi="ar-SA"/>
        </w:rPr>
        <w:t>، والعلَّامة قدس سره</w:t>
      </w:r>
      <w:r>
        <w:rPr>
          <w:rStyle w:val="FootnoteAnchor"/>
          <w:rtl w:val="true"/>
        </w:rPr>
        <w:footnoteReference w:id="416"/>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قدس سره مفسِّرًا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معناه </w:t>
      </w:r>
    </w:p>
    <w:p>
      <w:pPr>
        <w:pStyle w:val="BookText"/>
        <w:rPr/>
      </w:pPr>
      <w:r>
        <w:rPr>
          <w:rFonts w:ascii="Amiri" w:hAnsi="Amiri" w:eastAsia="Amiri" w:cs="Amiri"/>
          <w:color w:val="111111"/>
          <w:sz w:val="28"/>
          <w:sz w:val="28"/>
          <w:szCs w:val="28"/>
          <w:rtl w:val="true"/>
          <w:lang w:bidi="ar-SA"/>
        </w:rPr>
        <w:t>الحثُّ والتَّرغيبُ‌، دون الفرض والإيجاب</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وانظر أيضًا إلى ما ذكره سيِّدنا الأستاذ العلَّامة قدس سره</w:t>
      </w:r>
      <w:r>
        <w:rPr>
          <w:rStyle w:val="FootnoteAnchor"/>
          <w:rtl w:val="true"/>
        </w:rPr>
        <w:footnoteReference w:id="419"/>
      </w:r>
      <w:r>
        <w:rPr>
          <w:rFonts w:ascii="Amiri" w:hAnsi="Amiri" w:eastAsia="Amiri" w:cs="Amiri"/>
          <w:color w:val="111111"/>
          <w:sz w:val="28"/>
          <w:sz w:val="28"/>
          <w:szCs w:val="28"/>
          <w:rtl w:val="true"/>
          <w:lang w:bidi="ar-SA"/>
        </w:rPr>
        <w:t>، والرَّاونديُّ قدس سره</w:t>
      </w:r>
      <w:r>
        <w:rPr>
          <w:rStyle w:val="FootnoteAnchor"/>
          <w:rtl w:val="true"/>
        </w:rPr>
        <w:footnoteReference w:id="420"/>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هيهنا قول المحقِّق الطَّبرسي قدس سره حيث اختارَ في تفسير الكريمة نفسِها وجوبَ الوصيَّة، لا ندبها</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الفاضل الجواد قدس سره</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إلى ما كتبه كلٌّ من القرطبيِّ قدس سره</w:t>
      </w:r>
      <w:r>
        <w:rPr>
          <w:rStyle w:val="FootnoteAnchor"/>
          <w:rtl w:val="true"/>
        </w:rPr>
        <w:footnoteReference w:id="424"/>
      </w:r>
      <w:r>
        <w:rPr>
          <w:rFonts w:ascii="Amiri" w:hAnsi="Amiri" w:eastAsia="Amiri" w:cs="Amiri"/>
          <w:color w:val="111111"/>
          <w:sz w:val="28"/>
          <w:sz w:val="28"/>
          <w:szCs w:val="28"/>
          <w:rtl w:val="true"/>
          <w:lang w:bidi="ar-SA"/>
        </w:rPr>
        <w:t>، وابن العربيِّ قدس سره</w:t>
      </w:r>
      <w:r>
        <w:rPr>
          <w:rStyle w:val="FootnoteAnchor"/>
          <w:rtl w:val="true"/>
        </w:rPr>
        <w:footnoteReference w:id="425"/>
      </w:r>
      <w:r>
        <w:rPr>
          <w:rFonts w:ascii="Amiri" w:hAnsi="Amiri" w:eastAsia="Amiri" w:cs="Amiri"/>
          <w:color w:val="111111"/>
          <w:sz w:val="28"/>
          <w:sz w:val="28"/>
          <w:szCs w:val="28"/>
          <w:rtl w:val="true"/>
          <w:lang w:bidi="ar-SA"/>
        </w:rPr>
        <w:t>، والجصَّاص قدس سره</w:t>
      </w:r>
      <w:r>
        <w:rPr>
          <w:rStyle w:val="FootnoteAnchor"/>
          <w:rtl w:val="true"/>
        </w:rPr>
        <w:footnoteReference w:id="426"/>
      </w:r>
      <w:r>
        <w:rPr>
          <w:rFonts w:ascii="Amiri" w:hAnsi="Amiri" w:eastAsia="Amiri" w:cs="Amiri"/>
          <w:color w:val="111111"/>
          <w:sz w:val="28"/>
          <w:sz w:val="28"/>
          <w:szCs w:val="28"/>
          <w:rtl w:val="true"/>
          <w:lang w:bidi="ar-SA"/>
        </w:rPr>
        <w:t>، والكياهراسي قدس سره</w:t>
      </w:r>
      <w:r>
        <w:rPr>
          <w:rStyle w:val="FootnoteAnchor"/>
          <w:rtl w:val="true"/>
        </w:rPr>
        <w:footnoteReference w:id="42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والكريمة الشَّريفة ناظرةٌ إلى الوصيَّة للأقرباء الَّذين لايرثون من الميِّت، والوالِدَين اللَّذَين يحتاجان إلى أزيد ممَّا يرثان منه؛ كما أشار إلى هذا المعنىٰ مُقاتل بن سليمان قدس سره</w:t>
      </w:r>
      <w:r>
        <w:rPr>
          <w:rStyle w:val="FootnoteAnchor"/>
          <w:rtl w:val="true"/>
        </w:rPr>
        <w:footnoteReference w:id="428"/>
      </w:r>
      <w:r>
        <w:rPr>
          <w:rFonts w:ascii="Amiri" w:hAnsi="Amiri" w:eastAsia="Amiri" w:cs="Amiri"/>
          <w:color w:val="111111"/>
          <w:sz w:val="28"/>
          <w:sz w:val="28"/>
          <w:szCs w:val="28"/>
          <w:rtl w:val="true"/>
          <w:lang w:bidi="ar-SA"/>
        </w:rPr>
        <w:t>، والطَّبريُّ قدس سره</w:t>
      </w:r>
      <w:r>
        <w:rPr>
          <w:rStyle w:val="FootnoteAnchor"/>
          <w:rtl w:val="true"/>
        </w:rPr>
        <w:footnoteReference w:id="429"/>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التَّأكيد البالغ في ذلك</w:t>
      </w:r>
      <w:r>
        <w:rPr>
          <w:rFonts w:eastAsia="Amiri" w:cs="Amiri" w:ascii="Amiri" w:hAnsi="Amiri"/>
          <w:color w:val="111111"/>
          <w:sz w:val="28"/>
          <w:szCs w:val="28"/>
          <w:rtl w:val="true"/>
          <w:lang w:bidi="ar-SA"/>
        </w:rPr>
        <w:t xml:space="preserve">. </w:t>
      </w:r>
      <w:bookmarkStart w:id="136" w:name="pg20337_261429"/>
    </w:p>
    <w:p>
      <w:pPr>
        <w:pStyle w:val="BookText"/>
        <w:rPr/>
      </w:pPr>
      <w:bookmarkEnd w:id="136"/>
      <w:r>
        <w:rPr>
          <w:rFonts w:ascii="Amiri" w:hAnsi="Amiri" w:eastAsia="Amiri" w:cs="Amiri"/>
          <w:color w:val="111111"/>
          <w:sz w:val="28"/>
          <w:sz w:val="28"/>
          <w:szCs w:val="28"/>
          <w:rtl w:val="true"/>
          <w:lang w:bidi="ar-SA"/>
        </w:rPr>
        <w:t>وكذلك التَّرغيب إلى ذلك ورد في كثيرٍ من رواياتنا، حتَّى ذُكِر في عدَّةٍ منها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 رواه الكلينيُّ قدس سره</w:t>
      </w:r>
      <w:r>
        <w:rPr>
          <w:rStyle w:val="FootnoteAnchor"/>
          <w:rtl w:val="true"/>
        </w:rPr>
        <w:footnoteReference w:id="430"/>
      </w:r>
      <w:r>
        <w:rPr>
          <w:rFonts w:ascii="Amiri" w:hAnsi="Amiri" w:eastAsia="Amiri" w:cs="Amiri"/>
          <w:color w:val="111111"/>
          <w:sz w:val="28"/>
          <w:sz w:val="28"/>
          <w:szCs w:val="28"/>
          <w:rtl w:val="true"/>
          <w:lang w:bidi="ar-SA"/>
        </w:rPr>
        <w:t>، وأبوحنيفة نعمان المغربي قدس سره</w:t>
      </w:r>
      <w:r>
        <w:rPr>
          <w:rStyle w:val="FootnoteAnchor"/>
          <w:rtl w:val="true"/>
        </w:rPr>
        <w:footnoteReference w:id="431"/>
      </w:r>
      <w:r>
        <w:rPr>
          <w:rFonts w:ascii="Amiri" w:hAnsi="Amiri" w:eastAsia="Amiri" w:cs="Amiri"/>
          <w:color w:val="111111"/>
          <w:sz w:val="28"/>
          <w:sz w:val="28"/>
          <w:szCs w:val="28"/>
          <w:rtl w:val="true"/>
          <w:lang w:bidi="ar-SA"/>
        </w:rPr>
        <w:t>، والصَّدوق قدس سره</w:t>
      </w:r>
      <w:r>
        <w:rPr>
          <w:rStyle w:val="FootnoteAnchor"/>
          <w:rtl w:val="true"/>
        </w:rPr>
        <w:footnoteReference w:id="432"/>
      </w:r>
      <w:r>
        <w:rPr>
          <w:rFonts w:ascii="Amiri" w:hAnsi="Amiri" w:eastAsia="Amiri" w:cs="Amiri"/>
          <w:color w:val="111111"/>
          <w:sz w:val="28"/>
          <w:sz w:val="28"/>
          <w:szCs w:val="28"/>
          <w:rtl w:val="true"/>
          <w:lang w:bidi="ar-SA"/>
        </w:rPr>
        <w:t>، والشَّيخُ قدس سره</w:t>
      </w:r>
      <w:r>
        <w:rPr>
          <w:rStyle w:val="FootnoteAnchor"/>
          <w:rtl w:val="true"/>
        </w:rPr>
        <w:footnoteReference w:id="433"/>
      </w:r>
      <w:r>
        <w:rPr>
          <w:rFonts w:ascii="Amiri" w:hAnsi="Amiri" w:eastAsia="Amiri" w:cs="Amiri"/>
          <w:color w:val="111111"/>
          <w:sz w:val="28"/>
          <w:sz w:val="28"/>
          <w:szCs w:val="28"/>
          <w:rtl w:val="true"/>
          <w:lang w:bidi="ar-SA"/>
        </w:rPr>
        <w:t>، والفيض قدس سره</w:t>
      </w:r>
      <w:r>
        <w:rPr>
          <w:rStyle w:val="FootnoteAnchor"/>
          <w:rtl w:val="true"/>
        </w:rPr>
        <w:footnoteReference w:id="434"/>
      </w:r>
      <w:r>
        <w:rPr>
          <w:rFonts w:ascii="Amiri" w:hAnsi="Amiri" w:eastAsia="Amiri" w:cs="Amiri"/>
          <w:color w:val="111111"/>
          <w:sz w:val="28"/>
          <w:sz w:val="28"/>
          <w:szCs w:val="28"/>
          <w:rtl w:val="true"/>
          <w:lang w:bidi="ar-SA"/>
        </w:rPr>
        <w:t>، والشَّيخ الحرُّ قدس سره</w:t>
      </w:r>
      <w:r>
        <w:rPr>
          <w:rStyle w:val="FootnoteAnchor"/>
          <w:rtl w:val="true"/>
        </w:rPr>
        <w:footnoteReference w:id="43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إنَّها حقٌّ علىٰ كلِّ إنسانٍ‌؛ وقد جمع كثيرًا منها الشَّيخُ المحدِّثُ الحرُّ قدس سره في الباب الأوَّل من أبواب الوصيَّة من جامعه الكبير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وأنَّ الوصيَّة العهديَّة بالخيرات والمبَرَّات وعملِ أقربائه سيَّما أولاده بهما أمرٌ مرغوبٌ فيه عقلًا وشرعًا</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944994_1280447820"/>
      <w:bookmarkStart w:id="138" w:name="_Toc49"/>
      <w:bookmarkEnd w:id="137"/>
      <w:r>
        <w:rPr>
          <w:rtl w:val="true"/>
        </w:rPr>
        <w:t>التَّنبيه الثَّاني</w:t>
      </w:r>
      <w:r>
        <w:rPr>
          <w:rtl w:val="true"/>
        </w:rPr>
        <w:t>:</w:t>
      </w:r>
      <w:bookmarkEnd w:id="1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من العقود الَّتي تحتاج إلى إيجابٍ 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وقد نصَّ عليه سلَّار الدَّيلميُّ قدس سره</w:t>
      </w:r>
      <w:r>
        <w:rPr>
          <w:rStyle w:val="FootnoteAnchor"/>
          <w:rtl w:val="true"/>
        </w:rPr>
        <w:footnoteReference w:id="437"/>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43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ومختلفه</w:t>
      </w:r>
      <w:r>
        <w:rPr>
          <w:rStyle w:val="FootnoteAnchor"/>
          <w:rtl w:val="true"/>
        </w:rPr>
        <w:footnoteReference w:id="439"/>
      </w:r>
      <w:r>
        <w:rPr>
          <w:rFonts w:ascii="Amiri" w:hAnsi="Amiri" w:eastAsia="Amiri" w:cs="Amiri"/>
          <w:color w:val="111111"/>
          <w:sz w:val="28"/>
          <w:sz w:val="28"/>
          <w:szCs w:val="28"/>
          <w:rtl w:val="true"/>
          <w:lang w:bidi="ar-SA"/>
        </w:rPr>
        <w:t>، وعن الفقيه النَّجفي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لاإشكال بل لا خلاف في أنَّها تفتقر إلى إيجابٍ وقبولٍ‌، للإجماع بقِسمَيه</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خالفهم في هذا شرذمةٌ قليلةٌ‌، كالمحقِّق الخوانساريِّ قدس سره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العقود الجائزة لأنَّها لاتُنَجَّزُ إلَّابعد موت الموصي، كما عن ابنِسعيدٍ قدس سره</w:t>
      </w:r>
      <w:r>
        <w:rPr>
          <w:rStyle w:val="FootnoteAnchor"/>
          <w:rtl w:val="true"/>
        </w:rPr>
        <w:footnoteReference w:id="442"/>
      </w:r>
      <w:r>
        <w:rPr>
          <w:rFonts w:ascii="Amiri" w:hAnsi="Amiri" w:eastAsia="Amiri" w:cs="Amiri"/>
          <w:color w:val="111111"/>
          <w:sz w:val="28"/>
          <w:sz w:val="28"/>
          <w:szCs w:val="28"/>
          <w:rtl w:val="true"/>
          <w:lang w:bidi="ar-SA"/>
        </w:rPr>
        <w:t>، والشَّهيد</w:t>
      </w:r>
      <w:r>
        <w:rPr>
          <w:rStyle w:val="FootnoteAnchor"/>
          <w:rtl w:val="true"/>
        </w:rPr>
        <w:footnoteReference w:id="443"/>
      </w:r>
      <w:r>
        <w:rPr>
          <w:rFonts w:ascii="Amiri" w:hAnsi="Amiri" w:eastAsia="Amiri" w:cs="Amiri"/>
          <w:color w:val="111111"/>
          <w:sz w:val="28"/>
          <w:sz w:val="28"/>
          <w:szCs w:val="28"/>
          <w:rtl w:val="true"/>
          <w:lang w:bidi="ar-SA"/>
        </w:rPr>
        <w:t>، وثانيهما قدس سرهما</w:t>
      </w:r>
      <w:r>
        <w:rPr>
          <w:rStyle w:val="FootnoteAnchor"/>
          <w:rtl w:val="true"/>
        </w:rPr>
        <w:footnoteReference w:id="444"/>
      </w:r>
      <w:r>
        <w:rPr>
          <w:rFonts w:ascii="Amiri" w:hAnsi="Amiri" w:eastAsia="Amiri" w:cs="Amiri"/>
          <w:color w:val="111111"/>
          <w:sz w:val="28"/>
          <w:sz w:val="28"/>
          <w:szCs w:val="28"/>
          <w:rtl w:val="true"/>
          <w:lang w:bidi="ar-SA"/>
        </w:rPr>
        <w:t>، والمحقِّق البحرانيِّ قدس سره</w:t>
      </w:r>
      <w:r>
        <w:rPr>
          <w:rStyle w:val="FootnoteAnchor"/>
          <w:rtl w:val="true"/>
        </w:rPr>
        <w:footnoteReference w:id="445"/>
      </w:r>
      <w:r>
        <w:rPr>
          <w:rFonts w:ascii="Amiri" w:hAnsi="Amiri" w:eastAsia="Amiri" w:cs="Amiri"/>
          <w:color w:val="111111"/>
          <w:sz w:val="28"/>
          <w:sz w:val="28"/>
          <w:szCs w:val="28"/>
          <w:rtl w:val="true"/>
          <w:lang w:bidi="ar-SA"/>
        </w:rPr>
        <w:t>، و شارح المفاتيح قدس سره</w:t>
      </w:r>
      <w:r>
        <w:rPr>
          <w:rStyle w:val="FootnoteAnchor"/>
          <w:rtl w:val="true"/>
        </w:rPr>
        <w:footnoteReference w:id="446"/>
      </w:r>
      <w:r>
        <w:rPr>
          <w:rFonts w:ascii="Amiri" w:hAnsi="Amiri" w:eastAsia="Amiri" w:cs="Amiri"/>
          <w:color w:val="111111"/>
          <w:sz w:val="28"/>
          <w:sz w:val="28"/>
          <w:szCs w:val="28"/>
          <w:rtl w:val="true"/>
          <w:lang w:bidi="ar-SA"/>
        </w:rPr>
        <w:t>، وغيرهم؛ وله أن يرجعَ عن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أنَّ الموصىٰ به لايخرج عن مِلكِه إلَّابعد موته؛ ولذلك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العقود الجائزة قبل موت الموصي، ومن العقود اللَّازمة بعد موته وقبول الموصىٰ 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الوصيَّة الَّتمليكيَّة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الوصيَّة العَهديَّة</w:t>
      </w:r>
      <w:r>
        <w:rPr>
          <w:rStyle w:val="FootnoteAnchor"/>
          <w:rtl w:val="true"/>
        </w:rPr>
        <w:footnoteReference w:id="447"/>
      </w:r>
      <w:r>
        <w:rPr>
          <w:rFonts w:ascii="Amiri" w:hAnsi="Amiri" w:eastAsia="Amiri" w:cs="Amiri"/>
          <w:color w:val="111111"/>
          <w:sz w:val="28"/>
          <w:sz w:val="28"/>
          <w:szCs w:val="28"/>
          <w:rtl w:val="true"/>
          <w:lang w:bidi="ar-SA"/>
        </w:rPr>
        <w:t xml:space="preserve">، فهي من الإيقاعات لاتحتاج إلى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bookmarkStart w:id="139" w:name="pg20337_261431"/>
    </w:p>
    <w:p>
      <w:pPr>
        <w:pStyle w:val="BookText"/>
        <w:rPr/>
      </w:pPr>
      <w:bookmarkEnd w:id="139"/>
      <w:r>
        <w:rPr>
          <w:rFonts w:ascii="Amiri" w:hAnsi="Amiri" w:eastAsia="Amiri" w:cs="Amiri"/>
          <w:color w:val="111111"/>
          <w:sz w:val="28"/>
          <w:sz w:val="28"/>
          <w:szCs w:val="28"/>
          <w:rtl w:val="true"/>
          <w:lang w:bidi="ar-SA"/>
        </w:rPr>
        <w:t>الفقيه اليزديِّ قدس سره</w:t>
      </w:r>
      <w:r>
        <w:rPr>
          <w:rStyle w:val="FootnoteAnchor"/>
          <w:rtl w:val="true"/>
        </w:rPr>
        <w:footnoteReference w:id="448"/>
      </w:r>
      <w:r>
        <w:rPr>
          <w:rFonts w:ascii="Amiri" w:hAnsi="Amiri" w:eastAsia="Amiri" w:cs="Amiri"/>
          <w:color w:val="111111"/>
          <w:sz w:val="28"/>
          <w:sz w:val="28"/>
          <w:szCs w:val="28"/>
          <w:rtl w:val="true"/>
          <w:lang w:bidi="ar-SA"/>
        </w:rPr>
        <w:t>، وشارحي عبارته، كالسَّيِّد الحكيم قدس سره</w:t>
      </w:r>
      <w:r>
        <w:rPr>
          <w:rStyle w:val="FootnoteAnchor"/>
          <w:rtl w:val="true"/>
        </w:rPr>
        <w:footnoteReference w:id="449"/>
      </w:r>
      <w:r>
        <w:rPr>
          <w:rFonts w:ascii="Amiri" w:hAnsi="Amiri" w:eastAsia="Amiri" w:cs="Amiri"/>
          <w:color w:val="111111"/>
          <w:sz w:val="28"/>
          <w:sz w:val="28"/>
          <w:szCs w:val="28"/>
          <w:rtl w:val="true"/>
          <w:lang w:bidi="ar-SA"/>
        </w:rPr>
        <w:t>، والسَّيِّد الفقيه الخوئي قدس سره</w:t>
      </w:r>
      <w:r>
        <w:rPr>
          <w:rStyle w:val="FootnoteAnchor"/>
          <w:rtl w:val="true"/>
        </w:rPr>
        <w:footnoteReference w:id="450"/>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451"/>
      </w:r>
      <w:r>
        <w:rPr>
          <w:rFonts w:ascii="Amiri" w:hAnsi="Amiri" w:eastAsia="Amiri" w:cs="Amiri"/>
          <w:color w:val="111111"/>
          <w:sz w:val="28"/>
          <w:sz w:val="28"/>
          <w:szCs w:val="28"/>
          <w:rtl w:val="true"/>
          <w:lang w:bidi="ar-SA"/>
        </w:rPr>
        <w:t>، والشَّيخ الإشتهاردي قدس سره</w:t>
      </w:r>
      <w:r>
        <w:rPr>
          <w:rStyle w:val="FootnoteAnchor"/>
          <w:rtl w:val="true"/>
        </w:rPr>
        <w:footnoteReference w:id="452"/>
      </w:r>
      <w:r>
        <w:rPr>
          <w:rFonts w:ascii="Amiri" w:hAnsi="Amiri" w:eastAsia="Amiri" w:cs="Amiri"/>
          <w:color w:val="111111"/>
          <w:sz w:val="28"/>
          <w:sz w:val="28"/>
          <w:szCs w:val="28"/>
          <w:rtl w:val="true"/>
          <w:lang w:bidi="ar-SA"/>
        </w:rPr>
        <w:t xml:space="preserve">، وغيرهم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ولايجب الوفاء بها من قِبَل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أوصىٰ أن يَبني الموصىٰ له مسجدًا باسمه ثمَّ لم يُوصِ بمالٍ لهذه الوصيَّة، فللموصىٰ له أن يقبل هذه الوصيَّة، أو لم يقبلها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أن يقبلها ويعمل بها، حتَّى أنَّه إن قبلها قبل موتِ الموصي أو بعده، يجب عليه أن يقوم بالعمل بها، وليس له التَّخلُّف عنها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1944996_1280447820"/>
      <w:bookmarkStart w:id="141" w:name="_Toc50"/>
      <w:bookmarkEnd w:id="140"/>
      <w:r>
        <w:rPr>
          <w:rtl w:val="true"/>
        </w:rPr>
        <w:t>التَّنبيه الثَّالث</w:t>
      </w:r>
      <w:r>
        <w:rPr>
          <w:rtl w:val="true"/>
        </w:rPr>
        <w:t>:</w:t>
      </w:r>
      <w:bookmarkEnd w:id="1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بين الأصحاب أنَّه لومات الموصىٰ له فالوصيَّة تنتقل إلى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سلَّار الدَّيلمي قدس سره</w:t>
      </w:r>
      <w:r>
        <w:rPr>
          <w:rStyle w:val="FootnoteAnchor"/>
          <w:rtl w:val="true"/>
        </w:rPr>
        <w:footnoteReference w:id="454"/>
      </w:r>
      <w:r>
        <w:rPr>
          <w:rFonts w:ascii="Amiri" w:hAnsi="Amiri" w:eastAsia="Amiri" w:cs="Amiri"/>
          <w:color w:val="111111"/>
          <w:sz w:val="28"/>
          <w:sz w:val="28"/>
          <w:szCs w:val="28"/>
          <w:rtl w:val="true"/>
          <w:lang w:bidi="ar-SA"/>
        </w:rPr>
        <w:t>، والكَيدريِّ قدس سره</w:t>
      </w:r>
      <w:r>
        <w:rPr>
          <w:rStyle w:val="FootnoteAnchor"/>
          <w:rtl w:val="true"/>
        </w:rPr>
        <w:footnoteReference w:id="455"/>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456"/>
      </w:r>
      <w:r>
        <w:rPr>
          <w:rFonts w:ascii="Amiri" w:hAnsi="Amiri" w:eastAsia="Amiri" w:cs="Amiri"/>
          <w:color w:val="111111"/>
          <w:sz w:val="28"/>
          <w:sz w:val="28"/>
          <w:szCs w:val="28"/>
          <w:rtl w:val="true"/>
          <w:lang w:bidi="ar-SA"/>
        </w:rPr>
        <w:t>، والمحقِّق قدس سره</w:t>
      </w:r>
      <w:r>
        <w:rPr>
          <w:rStyle w:val="FootnoteAnchor"/>
          <w:rtl w:val="true"/>
        </w:rPr>
        <w:footnoteReference w:id="457"/>
      </w:r>
      <w:r>
        <w:rPr>
          <w:rFonts w:ascii="Amiri" w:hAnsi="Amiri" w:eastAsia="Amiri" w:cs="Amiri"/>
          <w:color w:val="111111"/>
          <w:sz w:val="28"/>
          <w:sz w:val="28"/>
          <w:szCs w:val="28"/>
          <w:rtl w:val="true"/>
          <w:lang w:bidi="ar-SA"/>
        </w:rPr>
        <w:t xml:space="preserve">، والقمِّيِّ‌ </w:t>
      </w:r>
    </w:p>
    <w:p>
      <w:pPr>
        <w:pStyle w:val="BookText"/>
        <w:rPr/>
      </w:pPr>
      <w:r>
        <w:rPr>
          <w:rFonts w:ascii="Amiri" w:hAnsi="Amiri" w:eastAsia="Amiri" w:cs="Amiri"/>
          <w:color w:val="111111"/>
          <w:sz w:val="28"/>
          <w:sz w:val="28"/>
          <w:szCs w:val="28"/>
          <w:rtl w:val="true"/>
          <w:lang w:bidi="ar-SA"/>
        </w:rPr>
        <w:t>السَّبزواريِّ قدس سره</w:t>
      </w:r>
      <w:r>
        <w:rPr>
          <w:rStyle w:val="FootnoteAnchor"/>
          <w:rtl w:val="true"/>
        </w:rPr>
        <w:footnoteReference w:id="458"/>
      </w:r>
      <w:r>
        <w:rPr>
          <w:rFonts w:ascii="Amiri" w:hAnsi="Amiri" w:eastAsia="Amiri" w:cs="Amiri"/>
          <w:color w:val="111111"/>
          <w:sz w:val="28"/>
          <w:sz w:val="28"/>
          <w:szCs w:val="28"/>
          <w:rtl w:val="true"/>
          <w:lang w:bidi="ar-SA"/>
        </w:rPr>
        <w:t xml:space="preserve">، وكثيرٍ من الأعلام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سواءٌ مات قبل الموصي،</w:t>
      </w:r>
    </w:p>
    <w:p>
      <w:pPr>
        <w:pStyle w:val="BookText"/>
        <w:rPr/>
      </w:pPr>
      <w:r>
        <w:rPr>
          <w:rFonts w:ascii="IRNazanin" w:hAnsi="IRNazanin" w:eastAsia="IRNazanin"/>
          <w:color w:val="111111"/>
          <w:sz w:val="28"/>
          <w:sz w:val="28"/>
          <w:szCs w:val="28"/>
          <w:rtl w:val="true"/>
          <w:lang w:bidi="fa-IR"/>
        </w:rPr>
        <w:t>أو بعده؛</w:t>
      </w:r>
    </w:p>
    <w:p>
      <w:pPr>
        <w:pStyle w:val="BookText"/>
        <w:rPr/>
      </w:pPr>
      <w:r>
        <w:rPr>
          <w:rFonts w:ascii="Amiri" w:hAnsi="Amiri" w:eastAsia="Amiri" w:cs="Amiri"/>
          <w:color w:val="111111"/>
          <w:sz w:val="28"/>
          <w:sz w:val="28"/>
          <w:szCs w:val="28"/>
          <w:rtl w:val="true"/>
          <w:lang w:bidi="ar-SA"/>
        </w:rPr>
        <w:t>وسواء قَبِل الوصيَّة ثمَّ مات،</w:t>
      </w:r>
    </w:p>
    <w:p>
      <w:pPr>
        <w:pStyle w:val="BookText"/>
        <w:rPr/>
      </w:pPr>
      <w:r>
        <w:rPr>
          <w:rFonts w:ascii="Amiri" w:hAnsi="Amiri" w:eastAsia="Amiri" w:cs="Amiri"/>
          <w:color w:val="111111"/>
          <w:sz w:val="28"/>
          <w:sz w:val="28"/>
          <w:szCs w:val="28"/>
          <w:rtl w:val="true"/>
          <w:lang w:bidi="ar-SA"/>
        </w:rPr>
        <w:t>أو لم يقبلها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لومات قبلَ الموصي فللموصي أن يرجع من وصيَّته، كما يكون كذلك فيما إذا كان حيًّا قبل موت الموصي، فبدا له أن يُغيِّر وصيَّتَها، أو يغيِّر مَن يوصىٰ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رواياتٌ كثيرةٌ أورَدَها الشَّيخُ المحدِّث الحرُّ قدس سره في الباب الثَّالث من أبواب كتاب الوصيَّة من جامعه</w:t>
      </w:r>
      <w:r>
        <w:rPr>
          <w:rStyle w:val="FootnoteAnchor"/>
          <w:rtl w:val="true"/>
        </w:rPr>
        <w:footnoteReference w:id="46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صحَّحها صاحب الجواهر قدس سره</w:t>
      </w:r>
      <w:r>
        <w:rPr>
          <w:rStyle w:val="FootnoteAnchor"/>
          <w:rtl w:val="true"/>
        </w:rPr>
        <w:footnoteReference w:id="461"/>
      </w:r>
      <w:r>
        <w:rPr>
          <w:rFonts w:ascii="Amiri" w:hAnsi="Amiri" w:eastAsia="Amiri" w:cs="Amiri"/>
          <w:color w:val="111111"/>
          <w:sz w:val="28"/>
          <w:sz w:val="28"/>
          <w:szCs w:val="28"/>
          <w:rtl w:val="true"/>
          <w:lang w:bidi="ar-SA"/>
        </w:rPr>
        <w:t>، وشارح المفاتيح قدس سره</w:t>
      </w:r>
      <w:r>
        <w:rPr>
          <w:rStyle w:val="FootnoteAnchor"/>
          <w:rtl w:val="true"/>
        </w:rPr>
        <w:footnoteReference w:id="462"/>
      </w:r>
      <w:r>
        <w:rPr>
          <w:rFonts w:ascii="Amiri" w:hAnsi="Amiri" w:eastAsia="Amiri" w:cs="Amiri"/>
          <w:color w:val="111111"/>
          <w:sz w:val="28"/>
          <w:sz w:val="28"/>
          <w:szCs w:val="28"/>
          <w:rtl w:val="true"/>
          <w:lang w:bidi="ar-SA"/>
        </w:rPr>
        <w:t>، وعن ثاني المجلسيَّين أنَّها من الحسن كالصَّحيح</w:t>
      </w:r>
      <w:r>
        <w:rPr>
          <w:rStyle w:val="FootnoteAnchor"/>
          <w:rtl w:val="true"/>
        </w:rPr>
        <w:footnoteReference w:id="463"/>
      </w:r>
      <w:r>
        <w:rPr>
          <w:rFonts w:ascii="Amiri" w:hAnsi="Amiri" w:eastAsia="Amiri" w:cs="Amiri"/>
          <w:color w:val="111111"/>
          <w:sz w:val="28"/>
          <w:sz w:val="28"/>
          <w:szCs w:val="28"/>
          <w:rtl w:val="true"/>
          <w:lang w:bidi="ar-SA"/>
        </w:rPr>
        <w:t>، وعن أوَّلهما قدس سرهما أنَّها حسنةٌ‌، كذا في مرآته</w:t>
      </w:r>
      <w:r>
        <w:rPr>
          <w:rStyle w:val="FootnoteAnchor"/>
          <w:rtl w:val="true"/>
        </w:rPr>
        <w:footnoteReference w:id="464"/>
      </w:r>
      <w:r>
        <w:rPr>
          <w:rFonts w:ascii="IRNazanin" w:hAnsi="IRNazanin" w:eastAsia="IRNazanin"/>
          <w:color w:val="111111"/>
          <w:sz w:val="28"/>
          <w:sz w:val="28"/>
          <w:szCs w:val="28"/>
          <w:rtl w:val="true"/>
          <w:lang w:bidi="fa-IR"/>
        </w:rPr>
        <w:t>وملاذه</w:t>
      </w:r>
      <w:r>
        <w:rPr>
          <w:rStyle w:val="FootnoteAnchor"/>
          <w:rtl w:val="true"/>
        </w:rPr>
        <w:footnoteReference w:id="465"/>
      </w:r>
      <w:r>
        <w:rPr>
          <w:rFonts w:ascii="Amiri" w:hAnsi="Amiri" w:eastAsia="Amiri" w:cs="Amiri"/>
          <w:color w:val="111111"/>
          <w:sz w:val="28"/>
          <w:sz w:val="28"/>
          <w:szCs w:val="28"/>
          <w:rtl w:val="true"/>
          <w:lang w:bidi="ar-SA"/>
        </w:rPr>
        <w:t xml:space="preserve">، وذلك للإختلاف الواقع في أسانيد الحديث؛ وكيف </w:t>
      </w:r>
      <w:bookmarkStart w:id="142" w:name="pg20337_261433"/>
    </w:p>
    <w:p>
      <w:pPr>
        <w:pStyle w:val="BookText"/>
        <w:rPr/>
      </w:pPr>
      <w:bookmarkEnd w:id="142"/>
      <w:r>
        <w:rPr>
          <w:rFonts w:ascii="Amiri" w:hAnsi="Amiri" w:eastAsia="Amiri" w:cs="Amiri"/>
          <w:color w:val="111111"/>
          <w:sz w:val="28"/>
          <w:sz w:val="28"/>
          <w:szCs w:val="28"/>
          <w:rtl w:val="true"/>
          <w:lang w:bidi="ar-SA"/>
        </w:rPr>
        <w:t xml:space="preserve">كان فلابأس بسنده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 في رجلٍ أوصىٰ لآخرَ والموصىٰ له غائبٌ فتوفِّي الموصىٰ له الَّذي أوصىٰ له قبل الموصي،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لوارث الَّذي أوصىٰ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أوصىٰ لأحدٍ شاهدًا كان أو غائبًا فتُوُفِّي الموصىٰ له قبلَ الموصي فالوصيَّةُ لوارث الَّذي أوصىٰ له إلَّاأن يرجع في وصيَّته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رواها الكلينيُّ قدس سره</w:t>
      </w:r>
      <w:r>
        <w:rPr>
          <w:rStyle w:val="FootnoteAnchor"/>
          <w:rtl w:val="true"/>
        </w:rPr>
        <w:footnoteReference w:id="466"/>
      </w:r>
      <w:r>
        <w:rPr>
          <w:rFonts w:ascii="Amiri" w:hAnsi="Amiri" w:eastAsia="Amiri" w:cs="Amiri"/>
          <w:color w:val="111111"/>
          <w:sz w:val="28"/>
          <w:sz w:val="28"/>
          <w:szCs w:val="28"/>
          <w:rtl w:val="true"/>
          <w:lang w:bidi="ar-SA"/>
        </w:rPr>
        <w:t>، والصَّدوق قدس سره</w:t>
      </w:r>
      <w:r>
        <w:rPr>
          <w:rStyle w:val="FootnoteAnchor"/>
          <w:rtl w:val="true"/>
        </w:rPr>
        <w:footnoteReference w:id="467"/>
      </w:r>
      <w:r>
        <w:rPr>
          <w:rFonts w:ascii="Amiri" w:hAnsi="Amiri" w:eastAsia="Amiri" w:cs="Amiri"/>
          <w:color w:val="111111"/>
          <w:sz w:val="28"/>
          <w:sz w:val="28"/>
          <w:szCs w:val="28"/>
          <w:rtl w:val="true"/>
          <w:lang w:bidi="ar-SA"/>
        </w:rPr>
        <w:t>، والشَّيخ قدس سره</w:t>
      </w:r>
      <w:r>
        <w:rPr>
          <w:rStyle w:val="FootnoteAnchor"/>
          <w:rtl w:val="true"/>
        </w:rPr>
        <w:footnoteReference w:id="468"/>
      </w:r>
      <w:r>
        <w:rPr>
          <w:rFonts w:ascii="Amiri" w:hAnsi="Amiri" w:eastAsia="Amiri" w:cs="Amiri"/>
          <w:color w:val="111111"/>
          <w:sz w:val="28"/>
          <w:sz w:val="28"/>
          <w:szCs w:val="28"/>
          <w:rtl w:val="true"/>
          <w:lang w:bidi="ar-SA"/>
        </w:rPr>
        <w:t>، والفيض قدس سره</w:t>
      </w:r>
      <w:r>
        <w:rPr>
          <w:rStyle w:val="FootnoteAnchor"/>
          <w:rtl w:val="true"/>
        </w:rPr>
        <w:footnoteReference w:id="469"/>
      </w:r>
      <w:r>
        <w:rPr>
          <w:rFonts w:ascii="Amiri" w:hAnsi="Amiri" w:eastAsia="Amiri" w:cs="Amiri"/>
          <w:color w:val="111111"/>
          <w:sz w:val="28"/>
          <w:sz w:val="28"/>
          <w:szCs w:val="28"/>
          <w:rtl w:val="true"/>
          <w:lang w:bidi="ar-SA"/>
        </w:rPr>
        <w:t>، والحرُّ قدس سره</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1944998_1280447820"/>
      <w:bookmarkStart w:id="144" w:name="_Toc51"/>
      <w:bookmarkEnd w:id="143"/>
      <w:r>
        <w:rPr>
          <w:rtl w:val="true"/>
        </w:rPr>
        <w:t>التَّنبيه الرَّابع</w:t>
      </w:r>
      <w:r>
        <w:rPr>
          <w:rtl w:val="true"/>
        </w:rPr>
        <w:t>:</w:t>
      </w:r>
      <w:bookmarkEnd w:id="1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وردتْ رواياتٌ كثيرةٌ في صحَّة وصيَّة الصَّغير غير البالغ، وعمل جملةٌ من الأصحاب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العلَّامة قدس سره ثمَّ حكىٰ عن ابن إدريس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لاتصحُّ وصيَّة غير البالغ</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كما وأنَّ المحقِّق البحرانيَّ قدس سره جعَل القول بصحَّة هذه الوصيَّة أحد الأقوال في المسألة</w:t>
      </w:r>
      <w:r>
        <w:rPr>
          <w:rStyle w:val="FootnoteAnchor"/>
          <w:rtl w:val="true"/>
        </w:rPr>
        <w:footnoteReference w:id="472"/>
      </w:r>
      <w:r>
        <w:rPr>
          <w:rFonts w:ascii="Amiri" w:hAnsi="Amiri" w:eastAsia="Amiri" w:cs="Amiri"/>
          <w:color w:val="111111"/>
          <w:sz w:val="28"/>
          <w:sz w:val="28"/>
          <w:szCs w:val="28"/>
          <w:rtl w:val="true"/>
          <w:lang w:bidi="ar-SA"/>
        </w:rPr>
        <w:t>كالسَّيِّد المجاهد قدس سره</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ما رواه الشَّيخ الحرُّ قدس سره في الباب الرَّابع والأربعين من أبواب كتاب الوصيَّة</w:t>
      </w:r>
      <w:r>
        <w:rPr>
          <w:rStyle w:val="FootnoteAnchor"/>
          <w:rtl w:val="true"/>
        </w:rPr>
        <w:footnoteReference w:id="474"/>
      </w:r>
      <w:bookmarkStart w:id="145" w:name="pg20337_261434"/>
    </w:p>
    <w:p>
      <w:pPr>
        <w:pStyle w:val="BookText"/>
        <w:rPr/>
      </w:pPr>
      <w:bookmarkEnd w:id="145"/>
      <w:r>
        <w:rPr>
          <w:rFonts w:ascii="Amiri" w:hAnsi="Amiri" w:eastAsia="Amiri" w:cs="Amiri"/>
          <w:color w:val="111111"/>
          <w:sz w:val="28"/>
          <w:sz w:val="28"/>
          <w:szCs w:val="28"/>
          <w:rtl w:val="true"/>
          <w:lang w:bidi="ar-SA"/>
        </w:rPr>
        <w:t>لكنَّها تُخالِفُ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وهي صريحةٌ في جواز تصرُّف غير البالغ بعد بلوغه وبعد رشده في أمواله، لا قبلهما؛</w:t>
      </w:r>
    </w:p>
    <w:p>
      <w:pPr>
        <w:pStyle w:val="BookText"/>
        <w:rPr/>
      </w:pPr>
      <w:r>
        <w:rPr>
          <w:rFonts w:ascii="Amiri" w:hAnsi="Amiri" w:eastAsia="Amiri" w:cs="Amiri"/>
          <w:color w:val="111111"/>
          <w:sz w:val="28"/>
          <w:sz w:val="28"/>
          <w:szCs w:val="28"/>
          <w:rtl w:val="true"/>
          <w:lang w:bidi="ar-SA"/>
        </w:rPr>
        <w:t>والوصيَّةُ أيضًا تصرُّفٌ‌،</w:t>
      </w:r>
    </w:p>
    <w:p>
      <w:pPr>
        <w:pStyle w:val="BookText"/>
        <w:rPr/>
      </w:pPr>
      <w:r>
        <w:rPr>
          <w:rFonts w:ascii="Amiri" w:hAnsi="Amiri" w:eastAsia="Amiri" w:cs="Amiri"/>
          <w:color w:val="111111"/>
          <w:sz w:val="28"/>
          <w:sz w:val="28"/>
          <w:szCs w:val="28"/>
          <w:rtl w:val="true"/>
          <w:lang w:bidi="ar-SA"/>
        </w:rPr>
        <w:t>فليس لغير البالغ أن يتصرَّف في أمواله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لابدَّ من القول في هذه الرِّوايات بأنَّ المراد منها الوصيَّةُ بعد إجازة الوليِّ‌، أو إمضائه إيَّاها مع كونها مصلحةً لغير البالغ الصَّغير؛</w:t>
      </w:r>
    </w:p>
    <w:p>
      <w:pPr>
        <w:pStyle w:val="BookText"/>
        <w:rPr/>
      </w:pPr>
      <w:r>
        <w:rPr>
          <w:rFonts w:ascii="Amiri" w:hAnsi="Amiri" w:eastAsia="Amiri" w:cs="Amiri"/>
          <w:color w:val="111111"/>
          <w:sz w:val="28"/>
          <w:sz w:val="28"/>
          <w:szCs w:val="28"/>
          <w:rtl w:val="true"/>
          <w:lang w:bidi="ar-SA"/>
        </w:rPr>
        <w:t>وإلَّا فالرِّوايات تكون معرضًا عنها عند الأصحاب أوَّلًا؛</w:t>
      </w:r>
    </w:p>
    <w:p>
      <w:pPr>
        <w:pStyle w:val="BookText"/>
        <w:rPr/>
      </w:pPr>
      <w:r>
        <w:rPr>
          <w:rFonts w:ascii="Amiri" w:hAnsi="Amiri" w:eastAsia="Amiri" w:cs="Amiri"/>
          <w:color w:val="111111"/>
          <w:sz w:val="28"/>
          <w:sz w:val="28"/>
          <w:szCs w:val="28"/>
          <w:rtl w:val="true"/>
          <w:lang w:bidi="ar-SA"/>
        </w:rPr>
        <w:t>ومخالفةً للكتاب العزيز ثانيًا</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1945000_1280447820"/>
      <w:bookmarkStart w:id="147" w:name="_Toc52"/>
      <w:bookmarkEnd w:id="146"/>
      <w:r>
        <w:rPr>
          <w:rtl w:val="true"/>
        </w:rPr>
        <w:t>التَّنبيه الخامس</w:t>
      </w:r>
      <w:r>
        <w:rPr>
          <w:rtl w:val="true"/>
        </w:rPr>
        <w:t>:</w:t>
      </w:r>
      <w:bookmarkEnd w:id="14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أجمعَت الأصحابُ قديمًا وحديثًا علىٰ أنَّه لايجوز الوصيَّة بأزيد من ثلث المال، قال الفقيه الأقدم ابنُبابويه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عند علمائنا كافَّةً أنَّ الوصيَّة تمضي من ثلث المال</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والمسألة مذكورةٌ عند غيره، كالعلَّامة قدس سره</w:t>
      </w:r>
      <w:r>
        <w:rPr>
          <w:rStyle w:val="FootnoteAnchor"/>
          <w:rtl w:val="true"/>
        </w:rPr>
        <w:footnoteReference w:id="477"/>
      </w:r>
      <w:r>
        <w:rPr>
          <w:rFonts w:ascii="Amiri" w:hAnsi="Amiri" w:eastAsia="Amiri" w:cs="Amiri"/>
          <w:color w:val="111111"/>
          <w:sz w:val="28"/>
          <w:sz w:val="28"/>
          <w:szCs w:val="28"/>
          <w:rtl w:val="true"/>
          <w:lang w:bidi="ar-SA"/>
        </w:rPr>
        <w:t>، والمفيد قدس سره</w:t>
      </w:r>
      <w:r>
        <w:rPr>
          <w:rStyle w:val="FootnoteAnchor"/>
          <w:rtl w:val="true"/>
        </w:rPr>
        <w:footnoteReference w:id="478"/>
      </w:r>
      <w:r>
        <w:rPr>
          <w:rFonts w:ascii="Amiri" w:hAnsi="Amiri" w:eastAsia="Amiri" w:cs="Amiri"/>
          <w:color w:val="111111"/>
          <w:sz w:val="28"/>
          <w:sz w:val="28"/>
          <w:szCs w:val="28"/>
          <w:rtl w:val="true"/>
          <w:lang w:bidi="ar-SA"/>
        </w:rPr>
        <w:t>، والشَّيخ قدس سره في نهايته</w:t>
      </w:r>
      <w:r>
        <w:rPr>
          <w:rStyle w:val="FootnoteAnchor"/>
          <w:rtl w:val="true"/>
        </w:rPr>
        <w:footnoteReference w:id="479"/>
      </w:r>
      <w:r>
        <w:rPr>
          <w:rFonts w:ascii="IRNazanin" w:hAnsi="IRNazanin" w:eastAsia="IRNazanin"/>
          <w:color w:val="111111"/>
          <w:sz w:val="28"/>
          <w:sz w:val="28"/>
          <w:szCs w:val="28"/>
          <w:rtl w:val="true"/>
          <w:lang w:bidi="fa-IR"/>
        </w:rPr>
        <w:t>، وخلافه</w:t>
      </w:r>
      <w:r>
        <w:rPr>
          <w:rStyle w:val="FootnoteAnchor"/>
          <w:rtl w:val="true"/>
        </w:rPr>
        <w:footnoteReference w:id="480"/>
      </w:r>
      <w:r>
        <w:rPr>
          <w:rFonts w:ascii="Amiri" w:hAnsi="Amiri" w:eastAsia="Amiri" w:cs="Amiri"/>
          <w:color w:val="111111"/>
          <w:sz w:val="28"/>
          <w:sz w:val="28"/>
          <w:szCs w:val="28"/>
          <w:rtl w:val="true"/>
          <w:lang w:bidi="ar-SA"/>
        </w:rPr>
        <w:t>، وابن البرَّاج قدس سره</w:t>
      </w:r>
      <w:r>
        <w:rPr>
          <w:rStyle w:val="FootnoteAnchor"/>
          <w:rtl w:val="true"/>
        </w:rPr>
        <w:footnoteReference w:id="481"/>
      </w:r>
      <w:r>
        <w:rPr>
          <w:rFonts w:ascii="Amiri" w:hAnsi="Amiri" w:eastAsia="Amiri" w:cs="Amiri"/>
          <w:color w:val="111111"/>
          <w:sz w:val="28"/>
          <w:sz w:val="28"/>
          <w:szCs w:val="28"/>
          <w:rtl w:val="true"/>
          <w:lang w:bidi="ar-SA"/>
        </w:rPr>
        <w:t>، وفي جواهره</w:t>
      </w:r>
      <w:r>
        <w:rPr>
          <w:rStyle w:val="FootnoteAnchor"/>
          <w:rtl w:val="true"/>
        </w:rPr>
        <w:footnoteReference w:id="482"/>
      </w:r>
      <w:r>
        <w:rPr>
          <w:rFonts w:ascii="Amiri" w:hAnsi="Amiri" w:eastAsia="Amiri" w:cs="Amiri"/>
          <w:color w:val="111111"/>
          <w:sz w:val="28"/>
          <w:sz w:val="28"/>
          <w:szCs w:val="28"/>
          <w:rtl w:val="true"/>
          <w:lang w:bidi="ar-SA"/>
        </w:rPr>
        <w:t xml:space="preserve">، وكذلك عن غيرهم بين </w:t>
      </w:r>
    </w:p>
    <w:p>
      <w:pPr>
        <w:pStyle w:val="BookText"/>
        <w:rPr/>
      </w:pPr>
      <w:r>
        <w:rPr>
          <w:rFonts w:ascii="Amiri" w:hAnsi="Amiri" w:eastAsia="Amiri" w:cs="Amiri"/>
          <w:color w:val="111111"/>
          <w:sz w:val="28"/>
          <w:sz w:val="28"/>
          <w:szCs w:val="28"/>
          <w:rtl w:val="true"/>
          <w:lang w:bidi="ar-SA"/>
        </w:rPr>
        <w:t>القدماء والُمحدثين والمعاصرين؛</w:t>
      </w:r>
    </w:p>
    <w:p>
      <w:pPr>
        <w:pStyle w:val="BookText"/>
        <w:rPr/>
      </w:pPr>
      <w:r>
        <w:rPr>
          <w:rFonts w:ascii="Amiri" w:hAnsi="Amiri" w:eastAsia="Amiri" w:cs="Amiri"/>
          <w:color w:val="111111"/>
          <w:sz w:val="28"/>
          <w:sz w:val="28"/>
          <w:szCs w:val="28"/>
          <w:rtl w:val="true"/>
          <w:lang w:bidi="ar-SA"/>
        </w:rPr>
        <w:t>فإن أوصىٰ بأزيد منه لاتتنجَّزُ الوصيَّةُ إلَّابعد إذن الورثة</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الموصي، أو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ابنُبابويه قدس سره بعد ما نقلنا عنه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وتبطل في الزَّائد إلَّامع الإجازة</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المفيد قدس سره</w:t>
      </w:r>
      <w:r>
        <w:rPr>
          <w:rStyle w:val="FootnoteAnchor"/>
          <w:rtl w:val="true"/>
        </w:rPr>
        <w:footnoteReference w:id="485"/>
      </w:r>
      <w:r>
        <w:rPr>
          <w:rFonts w:ascii="Amiri" w:hAnsi="Amiri" w:eastAsia="Amiri" w:cs="Amiri"/>
          <w:color w:val="111111"/>
          <w:sz w:val="28"/>
          <w:sz w:val="28"/>
          <w:szCs w:val="28"/>
          <w:rtl w:val="true"/>
          <w:lang w:bidi="ar-SA"/>
        </w:rPr>
        <w:t>، والشَّيخ قدس سره</w:t>
      </w:r>
      <w:r>
        <w:rPr>
          <w:rStyle w:val="FootnoteAnchor"/>
          <w:rtl w:val="true"/>
        </w:rPr>
        <w:footnoteReference w:id="486"/>
      </w:r>
      <w:r>
        <w:rPr>
          <w:rFonts w:ascii="Amiri" w:hAnsi="Amiri" w:eastAsia="Amiri" w:cs="Amiri"/>
          <w:color w:val="111111"/>
          <w:sz w:val="28"/>
          <w:sz w:val="28"/>
          <w:szCs w:val="28"/>
          <w:rtl w:val="true"/>
          <w:lang w:bidi="ar-SA"/>
        </w:rPr>
        <w:t>، وابن البرَّاج قدس سره</w:t>
      </w:r>
      <w:r>
        <w:rPr>
          <w:rStyle w:val="FootnoteAnchor"/>
          <w:rtl w:val="true"/>
        </w:rPr>
        <w:footnoteReference w:id="487"/>
      </w:r>
      <w:r>
        <w:rPr>
          <w:rFonts w:ascii="Amiri" w:hAnsi="Amiri" w:eastAsia="Amiri" w:cs="Amiri"/>
          <w:color w:val="111111"/>
          <w:sz w:val="28"/>
          <w:sz w:val="28"/>
          <w:szCs w:val="28"/>
          <w:rtl w:val="true"/>
          <w:lang w:bidi="ar-SA"/>
        </w:rPr>
        <w:t>، وفي جواهره</w:t>
      </w:r>
      <w:r>
        <w:rPr>
          <w:rStyle w:val="FootnoteAnchor"/>
          <w:rtl w:val="true"/>
        </w:rPr>
        <w:footnoteReference w:id="48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رواياتٌ وردَتْ فيه؛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مكاتبةً‌، كما صحَّحها المجلسيَّان الأوَّل</w:t>
      </w:r>
      <w:r>
        <w:rPr>
          <w:rStyle w:val="FootnoteAnchor"/>
          <w:rtl w:val="true"/>
        </w:rPr>
        <w:footnoteReference w:id="489"/>
      </w:r>
      <w:r>
        <w:rPr>
          <w:rFonts w:ascii="Amiri" w:hAnsi="Amiri" w:eastAsia="Amiri" w:cs="Amiri"/>
          <w:color w:val="111111"/>
          <w:sz w:val="28"/>
          <w:sz w:val="28"/>
          <w:szCs w:val="28"/>
          <w:rtl w:val="true"/>
          <w:lang w:bidi="ar-SA"/>
        </w:rPr>
        <w:t>والثَّاني قدس سرهما</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الثَّالث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دُرَّة بنتَ مُقاتل تُوُفِّيَت وتركتْ ضيعةً أشقاصًا في مواضعَ وأوصَتْ لسيِّدنا في أشقاصها بما يبلغُ أكثرَ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عليها في ترَكَتها إلَّاالثُّلث، وإن تفضَّلتُم وكنتُم </w:t>
      </w:r>
    </w:p>
    <w:p>
      <w:pPr>
        <w:pStyle w:val="BookText"/>
        <w:rPr/>
      </w:pPr>
      <w:r>
        <w:rPr>
          <w:rFonts w:ascii="Amiri" w:hAnsi="Amiri" w:eastAsia="Amiri" w:cs="Amiri"/>
          <w:color w:val="111111"/>
          <w:sz w:val="28"/>
          <w:sz w:val="28"/>
          <w:szCs w:val="28"/>
          <w:rtl w:val="true"/>
          <w:lang w:bidi="ar-SA"/>
        </w:rPr>
        <w:t>الورثةَ كان جائزًا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491"/>
      </w:r>
      <w:r>
        <w:rPr>
          <w:rFonts w:ascii="Amiri" w:hAnsi="Amiri" w:eastAsia="Amiri" w:cs="Amiri"/>
          <w:color w:val="111111"/>
          <w:sz w:val="28"/>
          <w:sz w:val="28"/>
          <w:szCs w:val="28"/>
          <w:rtl w:val="true"/>
          <w:lang w:bidi="ar-SA"/>
        </w:rPr>
        <w:t>، والصَّدوق قدس سره</w:t>
      </w:r>
      <w:r>
        <w:rPr>
          <w:rStyle w:val="FootnoteAnchor"/>
          <w:rtl w:val="true"/>
        </w:rPr>
        <w:footnoteReference w:id="492"/>
      </w:r>
      <w:r>
        <w:rPr>
          <w:rFonts w:ascii="Amiri" w:hAnsi="Amiri" w:eastAsia="Amiri" w:cs="Amiri"/>
          <w:color w:val="111111"/>
          <w:sz w:val="28"/>
          <w:sz w:val="28"/>
          <w:szCs w:val="28"/>
          <w:rtl w:val="true"/>
          <w:lang w:bidi="ar-SA"/>
        </w:rPr>
        <w:t>، والفيض قدس سره</w:t>
      </w:r>
      <w:r>
        <w:rPr>
          <w:rStyle w:val="FootnoteAnchor"/>
          <w:rtl w:val="true"/>
        </w:rPr>
        <w:footnoteReference w:id="493"/>
      </w:r>
      <w:r>
        <w:rPr>
          <w:rFonts w:ascii="Amiri" w:hAnsi="Amiri" w:eastAsia="Amiri" w:cs="Amiri"/>
          <w:color w:val="111111"/>
          <w:sz w:val="28"/>
          <w:sz w:val="28"/>
          <w:szCs w:val="28"/>
          <w:rtl w:val="true"/>
          <w:lang w:bidi="ar-SA"/>
        </w:rPr>
        <w:t>، والحرُّ قدس سره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تُعارِضُها موثقةُ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مادام فيه الرُّوح، إذا أوصىٰ به كلِّه فهو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495"/>
      </w:r>
      <w:r>
        <w:rPr>
          <w:rFonts w:ascii="Amiri" w:hAnsi="Amiri" w:eastAsia="Amiri" w:cs="Amiri"/>
          <w:color w:val="111111"/>
          <w:sz w:val="28"/>
          <w:sz w:val="28"/>
          <w:szCs w:val="28"/>
          <w:rtl w:val="true"/>
          <w:lang w:bidi="ar-SA"/>
        </w:rPr>
        <w:t>، والصَّدوق قدس سره</w:t>
      </w:r>
      <w:r>
        <w:rPr>
          <w:rStyle w:val="FootnoteAnchor"/>
          <w:rtl w:val="true"/>
        </w:rPr>
        <w:footnoteReference w:id="496"/>
      </w:r>
      <w:r>
        <w:rPr>
          <w:rFonts w:ascii="Amiri" w:hAnsi="Amiri" w:eastAsia="Amiri" w:cs="Amiri"/>
          <w:color w:val="111111"/>
          <w:sz w:val="28"/>
          <w:sz w:val="28"/>
          <w:szCs w:val="28"/>
          <w:rtl w:val="true"/>
          <w:lang w:bidi="ar-SA"/>
        </w:rPr>
        <w:t>، والشَّيخ قدس سره في اِستبصاره</w:t>
      </w:r>
      <w:r>
        <w:rPr>
          <w:rStyle w:val="FootnoteAnchor"/>
          <w:rtl w:val="true"/>
        </w:rPr>
        <w:footnoteReference w:id="497"/>
      </w:r>
      <w:r>
        <w:rPr>
          <w:rFonts w:ascii="Amiri" w:hAnsi="Amiri" w:eastAsia="Amiri" w:cs="Amiri"/>
          <w:color w:val="111111"/>
          <w:sz w:val="28"/>
          <w:sz w:val="28"/>
          <w:szCs w:val="28"/>
          <w:rtl w:val="true"/>
          <w:lang w:bidi="ar-SA"/>
        </w:rPr>
        <w:t>، وتهذيبه</w:t>
      </w:r>
      <w:r>
        <w:rPr>
          <w:rStyle w:val="FootnoteAnchor"/>
          <w:rtl w:val="true"/>
        </w:rPr>
        <w:footnoteReference w:id="498"/>
      </w:r>
      <w:r>
        <w:rPr>
          <w:rFonts w:ascii="Amiri" w:hAnsi="Amiri" w:eastAsia="Amiri" w:cs="Amiri"/>
          <w:color w:val="111111"/>
          <w:sz w:val="28"/>
          <w:sz w:val="28"/>
          <w:szCs w:val="28"/>
          <w:rtl w:val="true"/>
          <w:lang w:bidi="ar-SA"/>
        </w:rPr>
        <w:t>، والفيضُ قدس سره</w:t>
      </w:r>
      <w:r>
        <w:rPr>
          <w:rStyle w:val="FootnoteAnchor"/>
          <w:rtl w:val="true"/>
        </w:rPr>
        <w:footnoteReference w:id="499"/>
      </w:r>
      <w:r>
        <w:rPr>
          <w:rFonts w:ascii="Amiri" w:hAnsi="Amiri" w:eastAsia="Amiri" w:cs="Amiri"/>
          <w:color w:val="111111"/>
          <w:sz w:val="28"/>
          <w:sz w:val="28"/>
          <w:szCs w:val="28"/>
          <w:rtl w:val="true"/>
          <w:lang w:bidi="ar-SA"/>
        </w:rPr>
        <w:t>، والشَّيخ الحرُّ قدس سره</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إلى والد الصَّدوق قدس سره العملُ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أوصىٰ بالثُّلث فهو الغاية في الوصيَّة، فإن أوصىٰ بماله كلِّه فهو أعلم بما فعله</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كما وقد نسَبَه إليه العلَّامةُ قدس سره في المختلف</w:t>
      </w:r>
      <w:r>
        <w:rPr>
          <w:rStyle w:val="FootnoteAnchor"/>
          <w:rtl w:val="true"/>
        </w:rPr>
        <w:footnoteReference w:id="502"/>
      </w:r>
      <w:r>
        <w:rPr>
          <w:rFonts w:ascii="Amiri" w:hAnsi="Amiri" w:eastAsia="Amiri" w:cs="Amiri"/>
          <w:color w:val="111111"/>
          <w:sz w:val="28"/>
          <w:sz w:val="28"/>
          <w:szCs w:val="28"/>
          <w:rtl w:val="true"/>
          <w:lang w:bidi="ar-SA"/>
        </w:rPr>
        <w:t>، والبحرانيُّ قدس سره</w:t>
      </w:r>
      <w:r>
        <w:rPr>
          <w:rStyle w:val="FootnoteAnchor"/>
          <w:rtl w:val="true"/>
        </w:rPr>
        <w:footnoteReference w:id="503"/>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504"/>
      </w:r>
      <w:r>
        <w:rPr>
          <w:rFonts w:ascii="Amiri" w:hAnsi="Amiri" w:eastAsia="Amiri" w:cs="Amiri"/>
          <w:color w:val="111111"/>
          <w:sz w:val="28"/>
          <w:sz w:val="28"/>
          <w:szCs w:val="28"/>
          <w:rtl w:val="true"/>
          <w:lang w:bidi="ar-SA"/>
        </w:rPr>
        <w:t>، والفقيه الخوانساريُّ قدس سره</w:t>
      </w:r>
      <w:r>
        <w:rPr>
          <w:rStyle w:val="FootnoteAnchor"/>
          <w:rtl w:val="true"/>
        </w:rPr>
        <w:footnoteReference w:id="505"/>
      </w:r>
      <w:r>
        <w:rPr>
          <w:rFonts w:ascii="IRNazanin" w:hAnsi="IRNazanin" w:eastAsia="IRNazanin"/>
          <w:color w:val="111111"/>
          <w:sz w:val="28"/>
          <w:sz w:val="28"/>
          <w:szCs w:val="28"/>
          <w:rtl w:val="true"/>
          <w:lang w:bidi="fa-IR"/>
        </w:rPr>
        <w:t xml:space="preserve">، </w:t>
      </w:r>
      <w:bookmarkStart w:id="148" w:name="pg20337_261437"/>
    </w:p>
    <w:p>
      <w:pPr>
        <w:pStyle w:val="BookText"/>
        <w:rPr/>
      </w:pPr>
      <w:bookmarkEnd w:id="148"/>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شاذٌّ نادرٌ لايُعبَأ به روايةً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فتوىً‌، فظاهرٌ؛ أمَّا روايةً فلضَعفها، كما عن المحقِّق الثَّاني قدس سره</w:t>
      </w:r>
      <w:r>
        <w:rPr>
          <w:rStyle w:val="FootnoteAnchor"/>
          <w:rtl w:val="true"/>
        </w:rPr>
        <w:footnoteReference w:id="506"/>
      </w:r>
      <w:r>
        <w:rPr>
          <w:rFonts w:ascii="Amiri" w:hAnsi="Amiri" w:eastAsia="Amiri" w:cs="Amiri"/>
          <w:color w:val="111111"/>
          <w:sz w:val="28"/>
          <w:sz w:val="28"/>
          <w:szCs w:val="28"/>
          <w:rtl w:val="true"/>
          <w:lang w:bidi="ar-SA"/>
        </w:rPr>
        <w:t>ولذلك قال الفقيه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موهونٌ بمعارضته بغيره من الرِّوايات ممَّا هو أصحُّ سندًا وأكثر عددًا وأشهر؛ علىٰ أنَّ الخبر في نفسه ضعيفٌ ولايمكن الإعتماد عليه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1945002_1280447820"/>
      <w:bookmarkStart w:id="150" w:name="_Toc53"/>
      <w:bookmarkEnd w:id="149"/>
      <w:r>
        <w:rPr>
          <w:rtl w:val="true"/>
        </w:rPr>
        <w:t>التَّنبيه السَّادس</w:t>
      </w:r>
      <w:r>
        <w:rPr>
          <w:rtl w:val="true"/>
        </w:rPr>
        <w:t>:</w:t>
      </w:r>
      <w:bookmarkEnd w:id="15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الأصحابُ في الوصيَّة المُبهَمَة</w:t>
      </w:r>
      <w:r>
        <w:rPr>
          <w:rStyle w:val="FootnoteAnchor"/>
          <w:rtl w:val="true"/>
        </w:rPr>
        <w:footnoteReference w:id="508"/>
      </w:r>
      <w:r>
        <w:rPr>
          <w:rFonts w:ascii="Amiri" w:hAnsi="Amiri" w:eastAsia="Amiri" w:cs="Amiri"/>
          <w:color w:val="111111"/>
          <w:sz w:val="28"/>
          <w:sz w:val="28"/>
          <w:szCs w:val="28"/>
          <w:rtl w:val="true"/>
          <w:lang w:bidi="ar-SA"/>
        </w:rPr>
        <w:t>وذلك لأجل الإختلاف في الرِّوايات الواردة فيها؛ فاختار الصَّدوق قدس سره واحدًا من العشرة</w:t>
      </w:r>
      <w:r>
        <w:rPr>
          <w:rStyle w:val="FootnoteAnchor"/>
          <w:rtl w:val="true"/>
        </w:rPr>
        <w:footnoteReference w:id="509"/>
      </w:r>
      <w:r>
        <w:rPr>
          <w:rFonts w:ascii="Amiri" w:hAnsi="Amiri" w:eastAsia="Amiri" w:cs="Amiri"/>
          <w:color w:val="111111"/>
          <w:sz w:val="28"/>
          <w:sz w:val="28"/>
          <w:szCs w:val="28"/>
          <w:rtl w:val="true"/>
          <w:lang w:bidi="ar-SA"/>
        </w:rPr>
        <w:t>واختار مرَّةً أُخرىٰ واحدًا من السَّبعة</w:t>
      </w:r>
      <w:r>
        <w:rPr>
          <w:rStyle w:val="FootnoteAnchor"/>
          <w:rtl w:val="true"/>
        </w:rPr>
        <w:footnoteReference w:id="510"/>
      </w:r>
      <w:r>
        <w:rPr>
          <w:rFonts w:ascii="Amiri" w:hAnsi="Amiri" w:eastAsia="Amiri" w:cs="Amiri"/>
          <w:color w:val="111111"/>
          <w:sz w:val="28"/>
          <w:sz w:val="28"/>
          <w:szCs w:val="28"/>
          <w:rtl w:val="true"/>
          <w:lang w:bidi="ar-SA"/>
        </w:rPr>
        <w:t>، والسَّبع اختاره القاضي ابنُالبرَّاج قدس سره</w:t>
      </w:r>
      <w:r>
        <w:rPr>
          <w:rStyle w:val="FootnoteAnchor"/>
          <w:rtl w:val="true"/>
        </w:rPr>
        <w:footnoteReference w:id="511"/>
      </w:r>
      <w:r>
        <w:rPr>
          <w:rFonts w:ascii="Amiri" w:hAnsi="Amiri" w:eastAsia="Amiri" w:cs="Amiri"/>
          <w:color w:val="111111"/>
          <w:sz w:val="28"/>
          <w:sz w:val="28"/>
          <w:szCs w:val="28"/>
          <w:rtl w:val="true"/>
          <w:lang w:bidi="ar-SA"/>
        </w:rPr>
        <w:t>، وابنُحمزة قدس سره</w:t>
      </w:r>
      <w:r>
        <w:rPr>
          <w:rStyle w:val="FootnoteAnchor"/>
          <w:rtl w:val="true"/>
        </w:rPr>
        <w:footnoteReference w:id="512"/>
      </w:r>
      <w:r>
        <w:rPr>
          <w:rFonts w:ascii="Amiri" w:hAnsi="Amiri" w:eastAsia="Amiri" w:cs="Amiri"/>
          <w:color w:val="111111"/>
          <w:sz w:val="28"/>
          <w:sz w:val="28"/>
          <w:szCs w:val="28"/>
          <w:rtl w:val="true"/>
          <w:lang w:bidi="ar-SA"/>
        </w:rPr>
        <w:t>، وابنُزهرة قدس سره</w:t>
      </w:r>
      <w:r>
        <w:rPr>
          <w:rStyle w:val="FootnoteAnchor"/>
          <w:rtl w:val="true"/>
        </w:rPr>
        <w:footnoteReference w:id="513"/>
      </w:r>
      <w:r>
        <w:rPr>
          <w:rFonts w:ascii="IRNazanin" w:hAnsi="IRNazanin" w:eastAsia="IRNazanin"/>
          <w:color w:val="111111"/>
          <w:sz w:val="28"/>
          <w:sz w:val="28"/>
          <w:szCs w:val="28"/>
          <w:rtl w:val="true"/>
          <w:lang w:bidi="fa-IR"/>
        </w:rPr>
        <w:t>، وابنُ شهرآشوب قدس سره</w:t>
      </w:r>
      <w:r>
        <w:rPr>
          <w:rStyle w:val="FootnoteAnchor"/>
          <w:rtl w:val="true"/>
        </w:rPr>
        <w:footnoteReference w:id="514"/>
      </w:r>
      <w:r>
        <w:rPr>
          <w:rFonts w:ascii="Amiri" w:hAnsi="Amiri" w:eastAsia="Amiri" w:cs="Amiri"/>
          <w:color w:val="111111"/>
          <w:sz w:val="28"/>
          <w:sz w:val="28"/>
          <w:szCs w:val="28"/>
          <w:rtl w:val="true"/>
          <w:lang w:bidi="ar-SA"/>
        </w:rPr>
        <w:t>، وابنُإدريس قدس سره</w:t>
      </w:r>
      <w:r>
        <w:rPr>
          <w:rStyle w:val="FootnoteAnchor"/>
          <w:rtl w:val="true"/>
        </w:rPr>
        <w:footnoteReference w:id="5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والعلَّامة قدس سره في إرشاده</w:t>
      </w:r>
      <w:r>
        <w:rPr>
          <w:rStyle w:val="FootnoteAnchor"/>
          <w:rtl w:val="true"/>
        </w:rPr>
        <w:footnoteReference w:id="516"/>
      </w:r>
      <w:r>
        <w:rPr>
          <w:rFonts w:ascii="IRNazanin" w:hAnsi="IRNazanin" w:eastAsia="IRNazanin"/>
          <w:color w:val="111111"/>
          <w:sz w:val="28"/>
          <w:sz w:val="28"/>
          <w:szCs w:val="28"/>
          <w:rtl w:val="true"/>
          <w:lang w:bidi="fa-IR"/>
        </w:rPr>
        <w:t>، وتبصرته</w:t>
      </w:r>
      <w:r>
        <w:rPr>
          <w:rStyle w:val="FootnoteAnchor"/>
          <w:rtl w:val="true"/>
        </w:rPr>
        <w:footnoteReference w:id="517"/>
      </w:r>
      <w:r>
        <w:rPr>
          <w:rFonts w:ascii="Amiri" w:hAnsi="Amiri" w:eastAsia="Amiri" w:cs="Amiri"/>
          <w:color w:val="111111"/>
          <w:sz w:val="28"/>
          <w:sz w:val="28"/>
          <w:szCs w:val="28"/>
          <w:rtl w:val="true"/>
          <w:lang w:bidi="ar-SA"/>
        </w:rPr>
        <w:t>، وتحريره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الرِّواياتُ مختلفةً متعارِضةً‌، فتتساقطُ، فتُرجَع إلى عمومات الإرث؛</w:t>
      </w:r>
    </w:p>
    <w:p>
      <w:pPr>
        <w:pStyle w:val="BookText"/>
        <w:rPr/>
      </w:pPr>
      <w:r>
        <w:rPr>
          <w:rFonts w:ascii="Amiri" w:hAnsi="Amiri" w:eastAsia="Amiri" w:cs="Amiri"/>
          <w:color w:val="111111"/>
          <w:sz w:val="28"/>
          <w:sz w:val="28"/>
          <w:szCs w:val="28"/>
          <w:rtl w:val="true"/>
          <w:lang w:bidi="ar-SA"/>
        </w:rPr>
        <w:t>ولكن علىٰ الورثة إعطاءُ شيءٍ للموصىٰ له علىٰ سبيل الخير عرفيًّا؛ وهو القدر المُتيَقَّن 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الباب الرَّابع والخمسين من أبواب الوصيَّة</w:t>
      </w:r>
      <w:r>
        <w:rPr>
          <w:rStyle w:val="FootnoteAnchor"/>
          <w:rtl w:val="true"/>
        </w:rPr>
        <w:footnoteReference w:id="519"/>
      </w:r>
      <w:r>
        <w:rPr>
          <w:rFonts w:ascii="Amiri" w:hAnsi="Amiri" w:eastAsia="Amiri" w:cs="Amiri"/>
          <w:color w:val="111111"/>
          <w:sz w:val="28"/>
          <w:sz w:val="28"/>
          <w:szCs w:val="28"/>
          <w:rtl w:val="true"/>
          <w:lang w:bidi="ar-SA"/>
        </w:rPr>
        <w:t>منها ما يدلُّ علىٰ السُّبع من الثُّلث،</w:t>
      </w:r>
    </w:p>
    <w:p>
      <w:pPr>
        <w:pStyle w:val="BookText"/>
        <w:rPr/>
      </w:pPr>
      <w:r>
        <w:rPr>
          <w:rFonts w:ascii="Amiri" w:hAnsi="Amiri" w:eastAsia="Amiri" w:cs="Amiri"/>
          <w:color w:val="111111"/>
          <w:sz w:val="28"/>
          <w:sz w:val="28"/>
          <w:szCs w:val="28"/>
          <w:rtl w:val="true"/>
          <w:lang w:bidi="ar-SA"/>
        </w:rPr>
        <w:t>ومنها ما يدلُّ علىٰ العُشر من الثُّلث،</w:t>
      </w:r>
    </w:p>
    <w:p>
      <w:pPr>
        <w:pStyle w:val="BookText"/>
        <w:rPr/>
      </w:pPr>
      <w:r>
        <w:rPr>
          <w:rFonts w:ascii="Amiri" w:hAnsi="Amiri" w:eastAsia="Amiri" w:cs="Amiri"/>
          <w:color w:val="111111"/>
          <w:sz w:val="28"/>
          <w:sz w:val="28"/>
          <w:szCs w:val="28"/>
          <w:rtl w:val="true"/>
          <w:lang w:bidi="ar-SA"/>
        </w:rPr>
        <w:t>وهي صحيحةٌ سندًا ودلالةً‌، ولاجمع عرفيٍّ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به الشَّيخ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روايات السُّبع تدلُّ علىٰ الوجوب، وروايات العُشر تدلُّ علىٰ الاستحباب</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جمعٌ تبرُّعيٌّ لا عرفيٌ‌، ضرورةَ أنَّ السُّبع منافٍ للعُشر عرفًا؛ فالإمامُ عليه السلام يستدلُّ للعُشر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الجبالَ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رواه الكلينيُّ قدس سره</w:t>
      </w:r>
      <w:r>
        <w:rPr>
          <w:rStyle w:val="FootnoteAnchor"/>
          <w:rtl w:val="true"/>
        </w:rPr>
        <w:footnoteReference w:id="522"/>
      </w:r>
      <w:r>
        <w:rPr>
          <w:rFonts w:ascii="Amiri" w:hAnsi="Amiri" w:eastAsia="Amiri" w:cs="Amiri"/>
          <w:color w:val="111111"/>
          <w:sz w:val="28"/>
          <w:sz w:val="28"/>
          <w:szCs w:val="28"/>
          <w:rtl w:val="true"/>
          <w:lang w:bidi="ar-SA"/>
        </w:rPr>
        <w:t>، والشَّيخ الحرُّ قدس سره</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وتارةً استدلَّ أميرالمؤمنين عليه السلام للسُّبع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فيما رواه المفيد قدس سره في إرشاده</w:t>
      </w:r>
      <w:r>
        <w:rPr>
          <w:rStyle w:val="FootnoteAnchor"/>
          <w:rtl w:val="true"/>
        </w:rPr>
        <w:footnoteReference w:id="525"/>
      </w:r>
      <w:r>
        <w:rPr>
          <w:rFonts w:ascii="Amiri" w:hAnsi="Amiri" w:eastAsia="Amiri" w:cs="Amiri"/>
          <w:color w:val="111111"/>
          <w:sz w:val="28"/>
          <w:sz w:val="28"/>
          <w:szCs w:val="28"/>
          <w:rtl w:val="true"/>
          <w:lang w:bidi="ar-SA"/>
        </w:rPr>
        <w:t>، والشَّيخ الحرُّ قدس سره</w:t>
      </w:r>
      <w:r>
        <w:rPr>
          <w:rStyle w:val="FootnoteAnchor"/>
          <w:rtl w:val="true"/>
        </w:rPr>
        <w:footnoteReference w:id="526"/>
      </w:r>
      <w:r>
        <w:rPr>
          <w:rFonts w:ascii="Amiri" w:hAnsi="Amiri" w:eastAsia="Amiri" w:cs="Amiri"/>
          <w:color w:val="111111"/>
          <w:sz w:val="28"/>
          <w:sz w:val="28"/>
          <w:szCs w:val="28"/>
          <w:rtl w:val="true"/>
          <w:lang w:bidi="ar-SA"/>
        </w:rPr>
        <w:t>، والسَّيِّد شُبَّر قدس سره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إنَّ الرِّوايات كلَّها صحيحةٌ سندًا ودلالةً‌، ولايمكن الجمع العُرفيُّ بينها، فالقاعدة تقتضي السُّقوط والرُّجوع إلى عمومات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إنَّ إعطاءَ الورثة للموصىٰ له مسلَّمٌ قطعيٌّ بلانقاشٍ‌، فيرجعُ الأمر إلى التَّخيير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هو الأقلُّ‌</w:t>
      </w:r>
      <w:r>
        <w:rPr>
          <w:rStyle w:val="FootnoteAnchor"/>
          <w:rtl w:val="true"/>
        </w:rPr>
        <w:footnoteReference w:id="528"/>
      </w:r>
      <w:r>
        <w:rPr>
          <w:rFonts w:ascii="Amiri" w:hAnsi="Amiri" w:eastAsia="Amiri" w:cs="Amiri"/>
          <w:color w:val="111111"/>
          <w:sz w:val="28"/>
          <w:sz w:val="28"/>
          <w:szCs w:val="28"/>
          <w:rtl w:val="true"/>
          <w:lang w:bidi="ar-SA"/>
        </w:rPr>
        <w:t>، وإن كان الأكثرُ هو الأحوط والأحسن؛ ولعلَّ مراد الشَّيخ قدس سره بكلامه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أوصىٰ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أوصي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فالمشهور بين الأصحاب هو الذِّهاب إلى أنَّ للموصىٰ له الُّثمن من المال، كالشَّيخ قدس سره في نهايته</w:t>
      </w:r>
      <w:r>
        <w:rPr>
          <w:rStyle w:val="FootnoteAnchor"/>
          <w:rtl w:val="true"/>
        </w:rPr>
        <w:footnoteReference w:id="529"/>
      </w:r>
      <w:r>
        <w:rPr>
          <w:rFonts w:ascii="Amiri" w:hAnsi="Amiri" w:eastAsia="Amiri" w:cs="Amiri"/>
          <w:color w:val="111111"/>
          <w:sz w:val="28"/>
          <w:sz w:val="28"/>
          <w:szCs w:val="28"/>
          <w:rtl w:val="true"/>
          <w:lang w:bidi="ar-SA"/>
        </w:rPr>
        <w:t>، والقاضي ابنِالبرَّاج قدس سره</w:t>
      </w:r>
      <w:r>
        <w:rPr>
          <w:rStyle w:val="FootnoteAnchor"/>
          <w:rtl w:val="true"/>
        </w:rPr>
        <w:footnoteReference w:id="530"/>
      </w:r>
      <w:r>
        <w:rPr>
          <w:rFonts w:ascii="Amiri" w:hAnsi="Amiri" w:eastAsia="Amiri" w:cs="Amiri"/>
          <w:color w:val="111111"/>
          <w:sz w:val="28"/>
          <w:sz w:val="28"/>
          <w:szCs w:val="28"/>
          <w:rtl w:val="true"/>
          <w:lang w:bidi="ar-SA"/>
        </w:rPr>
        <w:t>، وابن إدريس قدس سره</w:t>
      </w:r>
      <w:r>
        <w:rPr>
          <w:rStyle w:val="FootnoteAnchor"/>
          <w:rtl w:val="true"/>
        </w:rPr>
        <w:footnoteReference w:id="531"/>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532"/>
      </w:r>
      <w:r>
        <w:rPr>
          <w:rFonts w:ascii="Amiri" w:hAnsi="Amiri" w:eastAsia="Amiri" w:cs="Amiri"/>
          <w:color w:val="111111"/>
          <w:sz w:val="28"/>
          <w:sz w:val="28"/>
          <w:szCs w:val="28"/>
          <w:rtl w:val="true"/>
          <w:lang w:bidi="ar-SA"/>
        </w:rPr>
        <w:t>، والمحقِّق قدس سره في مختصره</w:t>
      </w:r>
      <w:r>
        <w:rPr>
          <w:rStyle w:val="FootnoteAnchor"/>
          <w:rtl w:val="true"/>
        </w:rPr>
        <w:footnoteReference w:id="533"/>
      </w:r>
      <w:r>
        <w:rPr>
          <w:rFonts w:ascii="Amiri" w:hAnsi="Amiri" w:eastAsia="Amiri" w:cs="Amiri"/>
          <w:color w:val="111111"/>
          <w:sz w:val="28"/>
          <w:sz w:val="28"/>
          <w:szCs w:val="28"/>
          <w:rtl w:val="true"/>
          <w:lang w:bidi="ar-SA"/>
        </w:rPr>
        <w:t>، والمفيد قدس سره</w:t>
      </w:r>
      <w:r>
        <w:rPr>
          <w:rStyle w:val="FootnoteAnchor"/>
          <w:rtl w:val="true"/>
        </w:rPr>
        <w:footnoteReference w:id="5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والعلَّامة قدس سره</w:t>
      </w:r>
      <w:r>
        <w:rPr>
          <w:rStyle w:val="FootnoteAnchor"/>
          <w:rtl w:val="true"/>
        </w:rPr>
        <w:footnoteReference w:id="535"/>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536"/>
      </w:r>
      <w:r>
        <w:rPr>
          <w:rFonts w:ascii="Amiri" w:hAnsi="Amiri" w:eastAsia="Amiri" w:cs="Amiri"/>
          <w:color w:val="111111"/>
          <w:sz w:val="28"/>
          <w:sz w:val="28"/>
          <w:szCs w:val="28"/>
          <w:rtl w:val="true"/>
          <w:lang w:bidi="ar-SA"/>
        </w:rPr>
        <w:t>، وفي كنزه</w:t>
      </w:r>
      <w:r>
        <w:rPr>
          <w:rStyle w:val="FootnoteAnchor"/>
          <w:rtl w:val="true"/>
        </w:rPr>
        <w:footnoteReference w:id="537"/>
      </w:r>
      <w:r>
        <w:rPr>
          <w:rFonts w:ascii="IRNazanin" w:hAnsi="IRNazanin" w:eastAsia="IRNazanin"/>
          <w:color w:val="111111"/>
          <w:sz w:val="28"/>
          <w:sz w:val="28"/>
          <w:szCs w:val="28"/>
          <w:rtl w:val="true"/>
          <w:lang w:bidi="fa-IR"/>
        </w:rPr>
        <w:t>، وابن فهدٍ قدس سره</w:t>
      </w:r>
      <w:r>
        <w:rPr>
          <w:rStyle w:val="FootnoteAnchor"/>
          <w:rtl w:val="true"/>
        </w:rPr>
        <w:footnoteReference w:id="538"/>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539"/>
      </w:r>
      <w:r>
        <w:rPr>
          <w:rFonts w:ascii="Amiri" w:hAnsi="Amiri" w:eastAsia="Amiri" w:cs="Amiri"/>
          <w:color w:val="111111"/>
          <w:sz w:val="28"/>
          <w:sz w:val="28"/>
          <w:szCs w:val="28"/>
          <w:rtl w:val="true"/>
          <w:lang w:bidi="ar-SA"/>
        </w:rPr>
        <w:t>، والفقيه الطَّباطبائيِّ قدس سره</w:t>
      </w:r>
      <w:r>
        <w:rPr>
          <w:rStyle w:val="FootnoteAnchor"/>
          <w:rtl w:val="true"/>
        </w:rPr>
        <w:footnoteReference w:id="540"/>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541"/>
      </w:r>
      <w:r>
        <w:rPr>
          <w:rFonts w:ascii="Amiri" w:hAnsi="Amiri" w:eastAsia="Amiri" w:cs="Amiri"/>
          <w:color w:val="111111"/>
          <w:sz w:val="28"/>
          <w:sz w:val="28"/>
          <w:szCs w:val="28"/>
          <w:rtl w:val="true"/>
          <w:lang w:bidi="ar-SA"/>
        </w:rPr>
        <w:t>، وغيرهم؛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بعضُهُم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السُّدس،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الصَّدوق قدس سره</w:t>
      </w:r>
      <w:r>
        <w:rPr>
          <w:rStyle w:val="FootnoteAnchor"/>
          <w:rtl w:val="true"/>
        </w:rPr>
        <w:footnoteReference w:id="542"/>
      </w:r>
      <w:r>
        <w:rPr>
          <w:rFonts w:ascii="Amiri" w:hAnsi="Amiri" w:eastAsia="Amiri" w:cs="Amiri"/>
          <w:color w:val="111111"/>
          <w:sz w:val="28"/>
          <w:sz w:val="28"/>
          <w:szCs w:val="28"/>
          <w:rtl w:val="true"/>
          <w:lang w:bidi="ar-SA"/>
        </w:rPr>
        <w:t>، والصَّدوقُ قدس سره في مقنعه</w:t>
      </w:r>
      <w:r>
        <w:rPr>
          <w:rStyle w:val="FootnoteAnchor"/>
          <w:rtl w:val="true"/>
        </w:rPr>
        <w:footnoteReference w:id="543"/>
      </w:r>
      <w:r>
        <w:rPr>
          <w:rFonts w:ascii="Amiri" w:hAnsi="Amiri" w:eastAsia="Amiri" w:cs="Amiri"/>
          <w:color w:val="111111"/>
          <w:sz w:val="28"/>
          <w:sz w:val="28"/>
          <w:szCs w:val="28"/>
          <w:rtl w:val="true"/>
          <w:lang w:bidi="ar-SA"/>
        </w:rPr>
        <w:t>، وهدايته</w:t>
      </w:r>
      <w:r>
        <w:rPr>
          <w:rStyle w:val="FootnoteAnchor"/>
          <w:rtl w:val="true"/>
        </w:rPr>
        <w:footnoteReference w:id="544"/>
      </w:r>
      <w:r>
        <w:rPr>
          <w:rFonts w:ascii="Amiri" w:hAnsi="Amiri" w:eastAsia="Amiri" w:cs="Amiri"/>
          <w:color w:val="111111"/>
          <w:sz w:val="28"/>
          <w:sz w:val="28"/>
          <w:szCs w:val="28"/>
          <w:rtl w:val="true"/>
          <w:lang w:bidi="ar-SA"/>
        </w:rPr>
        <w:t>، والشَّيخُ قدس سره في خلافه</w:t>
      </w:r>
      <w:r>
        <w:rPr>
          <w:rStyle w:val="FootnoteAnchor"/>
          <w:rtl w:val="true"/>
        </w:rPr>
        <w:footnoteReference w:id="545"/>
      </w:r>
      <w:r>
        <w:rPr>
          <w:rFonts w:ascii="IRNazanin" w:hAnsi="IRNazanin" w:eastAsia="IRNazanin"/>
          <w:color w:val="111111"/>
          <w:sz w:val="28"/>
          <w:sz w:val="28"/>
          <w:szCs w:val="28"/>
          <w:rtl w:val="true"/>
          <w:lang w:bidi="fa-IR"/>
        </w:rPr>
        <w:t>، ومبسوطه</w:t>
      </w:r>
      <w:r>
        <w:rPr>
          <w:rStyle w:val="FootnoteAnchor"/>
          <w:rtl w:val="true"/>
        </w:rPr>
        <w:footnoteReference w:id="546"/>
      </w:r>
      <w:r>
        <w:rPr>
          <w:rFonts w:ascii="Amiri" w:hAnsi="Amiri" w:eastAsia="Amiri" w:cs="Amiri"/>
          <w:color w:val="111111"/>
          <w:sz w:val="28"/>
          <w:sz w:val="28"/>
          <w:szCs w:val="28"/>
          <w:rtl w:val="true"/>
          <w:lang w:bidi="ar-SA"/>
        </w:rPr>
        <w:t>، والرَّاونديُّ قدس سره</w:t>
      </w:r>
      <w:r>
        <w:rPr>
          <w:rStyle w:val="FootnoteAnchor"/>
          <w:rtl w:val="true"/>
        </w:rPr>
        <w:footnoteReference w:id="547"/>
      </w:r>
      <w:r>
        <w:rPr>
          <w:rFonts w:ascii="Amiri" w:hAnsi="Amiri" w:eastAsia="Amiri" w:cs="Amiri"/>
          <w:color w:val="111111"/>
          <w:sz w:val="28"/>
          <w:sz w:val="28"/>
          <w:szCs w:val="28"/>
          <w:rtl w:val="true"/>
          <w:lang w:bidi="ar-SA"/>
        </w:rPr>
        <w:t>، وابنُزهرة قدس سره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تمسَّك المشهور من الفقهاءُ هيهنا بجملةٍ من الرِّوايات؛</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نصرٍ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 شارحُ المفاتيح قدس سره</w:t>
      </w:r>
      <w:r>
        <w:rPr>
          <w:rStyle w:val="FootnoteAnchor"/>
          <w:rtl w:val="true"/>
        </w:rPr>
        <w:footnoteReference w:id="549"/>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550"/>
      </w:r>
      <w:r>
        <w:rPr>
          <w:rFonts w:ascii="Amiri" w:hAnsi="Amiri" w:eastAsia="Amiri" w:cs="Amiri"/>
          <w:color w:val="111111"/>
          <w:sz w:val="28"/>
          <w:sz w:val="28"/>
          <w:szCs w:val="28"/>
          <w:rtl w:val="true"/>
          <w:lang w:bidi="ar-SA"/>
        </w:rPr>
        <w:t>، والسَّيِّد محمَّد بحرالعلوم قدس سره</w:t>
      </w:r>
      <w:r>
        <w:rPr>
          <w:rStyle w:val="FootnoteAnchor"/>
          <w:rtl w:val="true"/>
        </w:rPr>
        <w:footnoteReference w:id="551"/>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أباالحسن عليه السلام عن رجلٍ أوصىٰ بسهمٍ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واحدٌ من ثمانيَةٍ‌،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553"/>
      </w:r>
      <w:r>
        <w:rPr>
          <w:rFonts w:ascii="Amiri" w:hAnsi="Amiri" w:eastAsia="Amiri" w:cs="Amiri"/>
          <w:color w:val="111111"/>
          <w:sz w:val="28"/>
          <w:sz w:val="28"/>
          <w:szCs w:val="28"/>
          <w:rtl w:val="true"/>
          <w:lang w:bidi="ar-SA"/>
        </w:rPr>
        <w:t>، والشَّيخ الحرُّ قدس سره</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شُبَّر الكاظميُّ قدس سره</w:t>
      </w:r>
      <w:r>
        <w:rPr>
          <w:rStyle w:val="FootnoteAnchor"/>
          <w:rtl w:val="true"/>
        </w:rPr>
        <w:footnoteReference w:id="55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أوصىٰ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w:t>
      </w:r>
      <w:r>
        <w:rPr>
          <w:rStyle w:val="FootnoteAnchor"/>
          <w:rtl w:val="true"/>
        </w:rPr>
        <w:footnoteReference w:id="556"/>
      </w:r>
      <w:r>
        <w:rPr>
          <w:rFonts w:ascii="Amiri" w:hAnsi="Amiri" w:eastAsia="Amiri" w:cs="Amiri"/>
          <w:color w:val="111111"/>
          <w:sz w:val="28"/>
          <w:sz w:val="28"/>
          <w:szCs w:val="28"/>
          <w:rtl w:val="true"/>
          <w:lang w:bidi="ar-SA"/>
        </w:rPr>
        <w:t>، فالمشهور علىٰ أنَّ للموصىٰ له السُّدس، كما اختاره والد الصَّدوق في رسالته</w:t>
      </w:r>
      <w:r>
        <w:rPr>
          <w:rStyle w:val="FootnoteAnchor"/>
          <w:rtl w:val="true"/>
        </w:rPr>
        <w:footnoteReference w:id="557"/>
      </w:r>
      <w:r>
        <w:rPr>
          <w:rFonts w:ascii="Amiri" w:hAnsi="Amiri" w:eastAsia="Amiri" w:cs="Amiri"/>
          <w:color w:val="111111"/>
          <w:sz w:val="28"/>
          <w:sz w:val="28"/>
          <w:szCs w:val="28"/>
          <w:rtl w:val="true"/>
          <w:lang w:bidi="ar-SA"/>
        </w:rPr>
        <w:t>، والصَّدوق قدس سرهما</w:t>
      </w:r>
      <w:r>
        <w:rPr>
          <w:rStyle w:val="FootnoteAnchor"/>
          <w:rtl w:val="true"/>
        </w:rPr>
        <w:footnoteReference w:id="558"/>
      </w:r>
      <w:r>
        <w:rPr>
          <w:rFonts w:ascii="Amiri" w:hAnsi="Amiri" w:eastAsia="Amiri" w:cs="Amiri"/>
          <w:color w:val="111111"/>
          <w:sz w:val="28"/>
          <w:sz w:val="28"/>
          <w:szCs w:val="28"/>
          <w:rtl w:val="true"/>
          <w:lang w:bidi="ar-SA"/>
        </w:rPr>
        <w:t>، والشَّيخ قدس سره</w:t>
      </w:r>
      <w:r>
        <w:rPr>
          <w:rStyle w:val="FootnoteAnchor"/>
          <w:rtl w:val="true"/>
        </w:rPr>
        <w:footnoteReference w:id="559"/>
      </w:r>
      <w:r>
        <w:rPr>
          <w:rFonts w:ascii="Amiri" w:hAnsi="Amiri" w:eastAsia="Amiri" w:cs="Amiri"/>
          <w:color w:val="111111"/>
          <w:sz w:val="28"/>
          <w:sz w:val="28"/>
          <w:szCs w:val="28"/>
          <w:rtl w:val="true"/>
          <w:lang w:bidi="ar-SA"/>
        </w:rPr>
        <w:t>، وابنُالبرَّاج قدس سره</w:t>
      </w:r>
      <w:r>
        <w:rPr>
          <w:rStyle w:val="FootnoteAnchor"/>
          <w:rtl w:val="true"/>
        </w:rPr>
        <w:footnoteReference w:id="560"/>
      </w:r>
      <w:r>
        <w:rPr>
          <w:rFonts w:ascii="Amiri" w:hAnsi="Amiri" w:eastAsia="Amiri" w:cs="Amiri"/>
          <w:color w:val="111111"/>
          <w:sz w:val="28"/>
          <w:sz w:val="28"/>
          <w:szCs w:val="28"/>
          <w:rtl w:val="true"/>
          <w:lang w:bidi="ar-SA"/>
        </w:rPr>
        <w:t>، والرَّاوندي قدس سره</w:t>
      </w:r>
      <w:r>
        <w:rPr>
          <w:rStyle w:val="FootnoteAnchor"/>
          <w:rtl w:val="true"/>
        </w:rPr>
        <w:footnoteReference w:id="561"/>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562"/>
      </w:r>
      <w:r>
        <w:rPr>
          <w:rFonts w:ascii="Amiri" w:hAnsi="Amiri" w:eastAsia="Amiri" w:cs="Amiri"/>
          <w:color w:val="111111"/>
          <w:sz w:val="28"/>
          <w:sz w:val="28"/>
          <w:szCs w:val="28"/>
          <w:rtl w:val="true"/>
          <w:lang w:bidi="ar-SA"/>
        </w:rPr>
        <w:t>، والطَّباطبائي قدس سره</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وقال ابنُادريس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خلافٍ‌</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وعن البحرانيِّ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خلافٍ‌</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وعن الفقيه النَّجفيِّ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بلاخلافٍ معتَدٍّ به أجدُه فيه، بل الظَّاهر أنَّه إتِّفاقيٌّ‌</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تمسَّكوا هيهنا بصحيحة أبانٍ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أوصىٰ بشيءٍ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في كتاب عليٍّ عليه السلام واحدٌ من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567"/>
      </w:r>
      <w:r>
        <w:rPr>
          <w:rFonts w:ascii="Amiri" w:hAnsi="Amiri" w:eastAsia="Amiri" w:cs="Amiri"/>
          <w:color w:val="111111"/>
          <w:sz w:val="28"/>
          <w:sz w:val="28"/>
          <w:szCs w:val="28"/>
          <w:rtl w:val="true"/>
          <w:lang w:bidi="ar-SA"/>
        </w:rPr>
        <w:t>، والصَّدوق قدس سره في معانيه</w:t>
      </w:r>
      <w:r>
        <w:rPr>
          <w:rStyle w:val="FootnoteAnchor"/>
          <w:rtl w:val="true"/>
        </w:rPr>
        <w:footnoteReference w:id="568"/>
      </w:r>
      <w:r>
        <w:rPr>
          <w:rFonts w:ascii="Amiri" w:hAnsi="Amiri" w:eastAsia="Amiri" w:cs="Amiri"/>
          <w:color w:val="111111"/>
          <w:sz w:val="28"/>
          <w:sz w:val="28"/>
          <w:szCs w:val="28"/>
          <w:rtl w:val="true"/>
          <w:lang w:bidi="ar-SA"/>
        </w:rPr>
        <w:t>، وفقيهه</w:t>
      </w:r>
      <w:r>
        <w:rPr>
          <w:rStyle w:val="FootnoteAnchor"/>
          <w:rtl w:val="true"/>
        </w:rPr>
        <w:footnoteReference w:id="569"/>
      </w:r>
      <w:r>
        <w:rPr>
          <w:rFonts w:ascii="Amiri" w:hAnsi="Amiri" w:eastAsia="Amiri" w:cs="Amiri"/>
          <w:color w:val="111111"/>
          <w:sz w:val="28"/>
          <w:sz w:val="28"/>
          <w:szCs w:val="28"/>
          <w:rtl w:val="true"/>
          <w:lang w:bidi="ar-SA"/>
        </w:rPr>
        <w:t>، والفيض قدس سره</w:t>
      </w:r>
      <w:r>
        <w:rPr>
          <w:rStyle w:val="FootnoteAnchor"/>
          <w:rtl w:val="true"/>
        </w:rPr>
        <w:footnoteReference w:id="570"/>
      </w:r>
      <w:r>
        <w:rPr>
          <w:rFonts w:ascii="Amiri" w:hAnsi="Amiri" w:eastAsia="Amiri" w:cs="Amiri"/>
          <w:color w:val="111111"/>
          <w:sz w:val="28"/>
          <w:sz w:val="28"/>
          <w:szCs w:val="28"/>
          <w:rtl w:val="true"/>
          <w:lang w:bidi="ar-SA"/>
        </w:rPr>
        <w:t>، والشَّيخ الحرُّ قدس سره</w:t>
      </w:r>
      <w:r>
        <w:rPr>
          <w:rStyle w:val="FootnoteAnchor"/>
          <w:rtl w:val="true"/>
        </w:rPr>
        <w:footnoteReference w:id="57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ضعَّفه المجلسيُّ قدس سره في مرآته</w:t>
      </w:r>
      <w:r>
        <w:rPr>
          <w:rStyle w:val="FootnoteAnchor"/>
          <w:rtl w:val="true"/>
        </w:rPr>
        <w:footnoteReference w:id="572"/>
      </w:r>
      <w:r>
        <w:rPr>
          <w:rFonts w:ascii="Amiri" w:hAnsi="Amiri" w:eastAsia="Amiri" w:cs="Amiri"/>
          <w:color w:val="111111"/>
          <w:sz w:val="28"/>
          <w:sz w:val="28"/>
          <w:szCs w:val="28"/>
          <w:rtl w:val="true"/>
          <w:lang w:bidi="ar-SA"/>
        </w:rPr>
        <w:t>، ولذلك قال الفقيه النَّجفيُّ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أبان</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الفقيه البحرانيُّ قدس سره</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المشائخ الثَّلاثة بأسانيدهم، ولاشيء فيه عندنا</w:t>
      </w:r>
      <w:r>
        <w:rPr>
          <w:rFonts w:eastAsia="Amiri" w:cs="Amiri" w:ascii="Amiri" w:hAnsi="Amiri"/>
          <w:color w:val="111111"/>
          <w:sz w:val="28"/>
          <w:szCs w:val="28"/>
          <w:rtl w:val="true"/>
          <w:lang w:bidi="ar-SA"/>
        </w:rPr>
        <w:t xml:space="preserve">. </w:t>
      </w:r>
      <w:bookmarkStart w:id="151" w:name="pg20337_261443"/>
    </w:p>
    <w:p>
      <w:pPr>
        <w:pStyle w:val="BookText"/>
        <w:rPr/>
      </w:pPr>
      <w:bookmarkEnd w:id="151"/>
      <w:r>
        <w:rPr>
          <w:rFonts w:ascii="Amiri" w:hAnsi="Amiri" w:eastAsia="Amiri" w:cs="Amiri"/>
          <w:color w:val="111111"/>
          <w:sz w:val="28"/>
          <w:sz w:val="28"/>
          <w:szCs w:val="28"/>
          <w:rtl w:val="true"/>
          <w:lang w:bidi="ar-SA"/>
        </w:rPr>
        <w:t xml:space="preserve">فالظَّاهر من هذه الفروعات الثَّلاث أنَّ الأصحابَ قد جعلوا المسألة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الوصيَّة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ثلاثٍ ذات ثلاثة أحكامٍ‌؛</w:t>
      </w:r>
    </w:p>
    <w:p>
      <w:pPr>
        <w:pStyle w:val="BookText"/>
        <w:rPr/>
      </w:pPr>
      <w:r>
        <w:rPr>
          <w:rFonts w:ascii="Amiri" w:hAnsi="Amiri" w:eastAsia="Amiri" w:cs="Amiri"/>
          <w:color w:val="111111"/>
          <w:sz w:val="28"/>
          <w:sz w:val="28"/>
          <w:szCs w:val="28"/>
          <w:rtl w:val="true"/>
          <w:lang w:bidi="ar-SA"/>
        </w:rPr>
        <w:t xml:space="preserve">والأقوىٰ عندي توحُّدُها، حيث لافرق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إلَّاباختلاف التَّعبير فقط، لا باختلاف المهيَّة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تصير روايات البابين الخامس والخمسين</w:t>
      </w:r>
      <w:r>
        <w:rPr>
          <w:rStyle w:val="FootnoteAnchor"/>
          <w:rtl w:val="true"/>
        </w:rPr>
        <w:footnoteReference w:id="575"/>
      </w:r>
      <w:r>
        <w:rPr>
          <w:rFonts w:ascii="Amiri" w:hAnsi="Amiri" w:eastAsia="Amiri" w:cs="Amiri"/>
          <w:color w:val="111111"/>
          <w:sz w:val="28"/>
          <w:sz w:val="28"/>
          <w:szCs w:val="28"/>
          <w:rtl w:val="true"/>
          <w:lang w:bidi="ar-SA"/>
        </w:rPr>
        <w:t>والسَّادس والخمسين</w:t>
      </w:r>
      <w:r>
        <w:rPr>
          <w:rStyle w:val="FootnoteAnchor"/>
          <w:rtl w:val="true"/>
        </w:rPr>
        <w:footnoteReference w:id="576"/>
      </w:r>
      <w:r>
        <w:rPr>
          <w:rFonts w:ascii="Amiri" w:hAnsi="Amiri" w:eastAsia="Amiri" w:cs="Amiri"/>
          <w:color w:val="111111"/>
          <w:sz w:val="28"/>
          <w:sz w:val="28"/>
          <w:szCs w:val="28"/>
          <w:rtl w:val="true"/>
          <w:lang w:bidi="ar-SA"/>
        </w:rPr>
        <w:t>من أبواب الوصيَّة معارضةً لما في الباب الرَّابع والخمسين</w:t>
      </w:r>
      <w:r>
        <w:rPr>
          <w:rStyle w:val="FootnoteAnchor"/>
          <w:rtl w:val="true"/>
        </w:rPr>
        <w:footnoteReference w:id="577"/>
      </w:r>
      <w:r>
        <w:rPr>
          <w:rFonts w:ascii="Amiri" w:hAnsi="Amiri" w:eastAsia="Amiri" w:cs="Amiri"/>
          <w:color w:val="111111"/>
          <w:sz w:val="28"/>
          <w:sz w:val="28"/>
          <w:szCs w:val="28"/>
          <w:rtl w:val="true"/>
          <w:lang w:bidi="ar-SA"/>
        </w:rPr>
        <w:t>من تلك الأبواب؛</w:t>
      </w:r>
    </w:p>
    <w:p>
      <w:pPr>
        <w:pStyle w:val="BookText"/>
        <w:rPr/>
      </w:pPr>
      <w:r>
        <w:rPr>
          <w:rFonts w:ascii="Amiri" w:hAnsi="Amiri" w:eastAsia="Amiri" w:cs="Amiri"/>
          <w:color w:val="111111"/>
          <w:sz w:val="28"/>
          <w:sz w:val="28"/>
          <w:szCs w:val="28"/>
          <w:rtl w:val="true"/>
          <w:lang w:bidi="ar-SA"/>
        </w:rPr>
        <w:t>والقاعدةُ تقتضي السُّقوطَ والرُّجوعَ إلى عمومات الإرث؛</w:t>
      </w:r>
    </w:p>
    <w:p>
      <w:pPr>
        <w:pStyle w:val="BookText"/>
        <w:rPr/>
      </w:pPr>
      <w:r>
        <w:rPr>
          <w:rFonts w:ascii="Amiri" w:hAnsi="Amiri" w:eastAsia="Amiri" w:cs="Amiri"/>
          <w:color w:val="111111"/>
          <w:sz w:val="28"/>
          <w:sz w:val="28"/>
          <w:szCs w:val="28"/>
          <w:rtl w:val="true"/>
          <w:lang w:bidi="ar-SA"/>
        </w:rPr>
        <w:t>والمُتَيقَّن منها تخييرُ الورثة بين القليل والكثير، فإعطاؤُهُم الأكثرَ أحوطُ، وإعطاؤُهُم الأقلَّ أيضًا كافٍ لخروجهم عن عهدة التَّكليف</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945004_1280447820"/>
      <w:bookmarkStart w:id="153" w:name="_Toc54"/>
      <w:bookmarkEnd w:id="152"/>
      <w:r>
        <w:rPr>
          <w:rtl w:val="true"/>
        </w:rPr>
        <w:t>التَّنبيه السَّابع</w:t>
      </w:r>
      <w:r>
        <w:rPr>
          <w:rtl w:val="true"/>
        </w:rPr>
        <w:t>:</w:t>
      </w:r>
      <w:bookmarkEnd w:id="153"/>
    </w:p>
    <w:p>
      <w:pPr>
        <w:pStyle w:val="BookText"/>
        <w:rPr/>
      </w:pPr>
      <w:r>
        <w:rPr>
          <w:rFonts w:ascii="Amiri" w:hAnsi="Amiri" w:eastAsia="Amiri" w:cs="Amiri"/>
          <w:color w:val="111111"/>
          <w:sz w:val="28"/>
          <w:sz w:val="28"/>
          <w:szCs w:val="28"/>
          <w:rtl w:val="true"/>
          <w:lang w:bidi="ar-SA"/>
        </w:rPr>
        <w:t>قد تطابق النَّصُّ والفتوىٰ علىٰ أنَّه لايجوز للموصي أنْ يحرم بعض الورثة عن الإرث</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مخالفٌ لقانون الإرث المستفادِّ من الكتاب والسُّنَّة، فليس لأحدٍ أن يعمل به، لتخالفه معهما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خٰافَ مِنْ مُوصٍ جَنَفاً أَوْ إِثْماً فَأَصْلَحَ بَيْنَهُمْ‌ </w:t>
      </w:r>
    </w:p>
    <w:p>
      <w:pPr>
        <w:pStyle w:val="BookText"/>
        <w:rPr/>
      </w:pP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روايات الباب المفسِّر لهذه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بالجنف أن يحرُمَ بعضَ الورثة من الإرث؛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فالجَنَفُ الميلُ إلى بعض ورثتك دون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عليُّ بن إبراهيم في تفسيره</w:t>
      </w:r>
      <w:r>
        <w:rPr>
          <w:rStyle w:val="FootnoteAnchor"/>
          <w:rtl w:val="true"/>
        </w:rPr>
        <w:footnoteReference w:id="580"/>
      </w:r>
      <w:r>
        <w:rPr>
          <w:rFonts w:ascii="Amiri" w:hAnsi="Amiri" w:eastAsia="Amiri" w:cs="Amiri"/>
          <w:color w:val="111111"/>
          <w:sz w:val="28"/>
          <w:sz w:val="28"/>
          <w:szCs w:val="28"/>
          <w:rtl w:val="true"/>
          <w:lang w:bidi="ar-SA"/>
        </w:rPr>
        <w:t>، والمجلسيُّ‌</w:t>
      </w:r>
      <w:r>
        <w:rPr>
          <w:rStyle w:val="FootnoteAnchor"/>
          <w:rtl w:val="true"/>
        </w:rPr>
        <w:footnoteReference w:id="581"/>
      </w:r>
      <w:r>
        <w:rPr>
          <w:rFonts w:ascii="Amiri" w:hAnsi="Amiri" w:eastAsia="Amiri" w:cs="Amiri"/>
          <w:color w:val="111111"/>
          <w:sz w:val="28"/>
          <w:sz w:val="28"/>
          <w:szCs w:val="28"/>
          <w:rtl w:val="true"/>
          <w:lang w:bidi="ar-SA"/>
        </w:rPr>
        <w:t>، والحرُّ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إلى الحكم المحقِّق الأردبيليُّ‌</w:t>
      </w:r>
      <w:r>
        <w:rPr>
          <w:rStyle w:val="FootnoteAnchor"/>
          <w:rtl w:val="true"/>
        </w:rPr>
        <w:footnoteReference w:id="583"/>
      </w:r>
      <w:r>
        <w:rPr>
          <w:rFonts w:ascii="Amiri" w:hAnsi="Amiri" w:eastAsia="Amiri" w:cs="Amiri"/>
          <w:color w:val="111111"/>
          <w:sz w:val="28"/>
          <w:sz w:val="28"/>
          <w:szCs w:val="28"/>
          <w:rtl w:val="true"/>
          <w:lang w:bidi="ar-SA"/>
        </w:rPr>
        <w:t>، والفيضُ‌</w:t>
      </w:r>
      <w:r>
        <w:rPr>
          <w:rStyle w:val="FootnoteAnchor"/>
          <w:rtl w:val="true"/>
        </w:rPr>
        <w:footnoteReference w:id="584"/>
      </w:r>
      <w:r>
        <w:rPr>
          <w:rFonts w:ascii="Amiri" w:hAnsi="Amiri" w:eastAsia="Amiri" w:cs="Amiri"/>
          <w:color w:val="111111"/>
          <w:sz w:val="28"/>
          <w:sz w:val="28"/>
          <w:szCs w:val="28"/>
          <w:rtl w:val="true"/>
          <w:lang w:bidi="ar-SA"/>
        </w:rPr>
        <w:t>، وشارح مفاتيحه</w:t>
      </w:r>
      <w:r>
        <w:rPr>
          <w:rStyle w:val="FootnoteAnchor"/>
          <w:rtl w:val="true"/>
        </w:rPr>
        <w:footnoteReference w:id="58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يزداد في سهم بعض الوُرَّاث من الثُّلث المختصِّ بنفسه،</w:t>
      </w:r>
    </w:p>
    <w:p>
      <w:pPr>
        <w:pStyle w:val="BookText"/>
        <w:rPr/>
      </w:pPr>
      <w:r>
        <w:rPr>
          <w:rFonts w:ascii="Amiri" w:hAnsi="Amiri" w:eastAsia="Amiri" w:cs="Amiri"/>
          <w:color w:val="111111"/>
          <w:sz w:val="28"/>
          <w:sz w:val="28"/>
          <w:szCs w:val="28"/>
          <w:rtl w:val="true"/>
          <w:lang w:bidi="ar-SA"/>
        </w:rPr>
        <w:t xml:space="preserve">لترجيحٍ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أهلًا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فقيرًا لوكان الآخرون 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مريضًا فالجًا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الموارد وأمثالِها للموصي أن ينظر في سهام الوُرَّاث فيجعل بعضَها أكثرَ من الآخر، بل هذا حسنٌ مندوبٌ إليه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كُتِبَ عَلَيْكُمْ إِذٰا حَضَرَ</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فلهُ أنْ يُوصي لبعض أقربائه الَّذين لايرثون من مالِه، كما أنَّ له أنْ يحرم بعضًا آخر من الثُّلث إذا كان فاجرًا مثلًا، أو كان مُتلِفًا للمال، أو يُصرِفه في </w:t>
      </w:r>
    </w:p>
    <w:p>
      <w:pPr>
        <w:pStyle w:val="BookText"/>
        <w:rPr/>
      </w:pPr>
      <w:r>
        <w:rPr>
          <w:rFonts w:ascii="Amiri" w:hAnsi="Amiri" w:eastAsia="Amiri" w:cs="Amiri"/>
          <w:color w:val="111111"/>
          <w:sz w:val="28"/>
          <w:sz w:val="28"/>
          <w:szCs w:val="28"/>
          <w:rtl w:val="true"/>
          <w:lang w:bidi="ar-SA"/>
        </w:rPr>
        <w:t>الفجور وموارد لايليق بالمؤمن أن يبذل فيها الأموال؛ وإلى ذلك أشار الإمامُ عليه السلام في رواية عليِّ بن السري الَّذي أوصىٰ بحِرمان إبنه من ثُلث ماله لأنَّه زنىٰ بامرأتِه الَّتي كانت أمَّ ولدٍ له، فأجاز موسىٰ بن جعفرٍ عليهما السلام ذلك؛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الوشَّاء عن محمَّد بن يحيىٰ عن وصيِّ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ابن السِّرِّي تُوفِّي وأوصىٰ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ابنَه جعفرًا وقع علىٰ أمِّ ولدٍ له فأمرني أن أُخرِجه من الميراث،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إن كنت صادقًا، فيُصيبُه 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الخبلُ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أبومحمَّدٍ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الكلينيُّ قدس سره</w:t>
      </w:r>
      <w:r>
        <w:rPr>
          <w:rStyle w:val="FootnoteAnchor"/>
          <w:rtl w:val="true"/>
        </w:rPr>
        <w:footnoteReference w:id="587"/>
      </w:r>
      <w:r>
        <w:rPr>
          <w:rFonts w:ascii="Amiri" w:hAnsi="Amiri" w:eastAsia="Amiri" w:cs="Amiri"/>
          <w:color w:val="111111"/>
          <w:sz w:val="28"/>
          <w:sz w:val="28"/>
          <w:szCs w:val="28"/>
          <w:rtl w:val="true"/>
          <w:lang w:bidi="ar-SA"/>
        </w:rPr>
        <w:t>، والصَّدوق قدس سره</w:t>
      </w:r>
      <w:r>
        <w:rPr>
          <w:rStyle w:val="FootnoteAnchor"/>
          <w:rtl w:val="true"/>
        </w:rPr>
        <w:footnoteReference w:id="588"/>
      </w:r>
      <w:r>
        <w:rPr>
          <w:rFonts w:ascii="Amiri" w:hAnsi="Amiri" w:eastAsia="Amiri" w:cs="Amiri"/>
          <w:color w:val="111111"/>
          <w:sz w:val="28"/>
          <w:sz w:val="28"/>
          <w:szCs w:val="28"/>
          <w:rtl w:val="true"/>
          <w:lang w:bidi="ar-SA"/>
        </w:rPr>
        <w:t>، والشَّيخ قدس سره في تهذيبه</w:t>
      </w:r>
      <w:r>
        <w:rPr>
          <w:rStyle w:val="FootnoteAnchor"/>
          <w:rtl w:val="true"/>
        </w:rPr>
        <w:footnoteReference w:id="589"/>
      </w:r>
      <w:r>
        <w:rPr>
          <w:rFonts w:ascii="IRNazanin" w:hAnsi="IRNazanin" w:eastAsia="IRNazanin"/>
          <w:color w:val="111111"/>
          <w:sz w:val="28"/>
          <w:sz w:val="28"/>
          <w:szCs w:val="28"/>
          <w:rtl w:val="true"/>
          <w:lang w:bidi="fa-IR"/>
        </w:rPr>
        <w:t>، واِستبصاره</w:t>
      </w:r>
      <w:r>
        <w:rPr>
          <w:rStyle w:val="FootnoteAnchor"/>
          <w:rtl w:val="true"/>
        </w:rPr>
        <w:footnoteReference w:id="590"/>
      </w:r>
      <w:r>
        <w:rPr>
          <w:rFonts w:ascii="Amiri" w:hAnsi="Amiri" w:eastAsia="Amiri" w:cs="Amiri"/>
          <w:color w:val="111111"/>
          <w:sz w:val="28"/>
          <w:sz w:val="28"/>
          <w:szCs w:val="28"/>
          <w:rtl w:val="true"/>
          <w:lang w:bidi="ar-SA"/>
        </w:rPr>
        <w:t>، والشَّيخ الحرُّ قدس سره</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وإلَّا فلايجوز العمل بالرِّواية وأن يحرم إبنَه الفاجر عن إرثه الَّذي نصَّ الكتابُ الكريمُ علىٰ عدم حِرمانه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تُخصِّص الكتابَ الكريمَ‌؛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الأصحابَ لم يعملوا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الصَّدوقُ قدس سره والشَّيخ قدس سره إلى العمل بها في هذا المورد فقط؛ قال الصَّدوقُ قدس سره بعد ذكر الحديث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أوصىٰ الرَّجل بإخراج اِبنِه من الميراث ولم يحدث هذا الحدث، لم يجز للوصيِّ‌ </w:t>
      </w:r>
      <w:bookmarkStart w:id="154" w:name="pg20337_261446"/>
    </w:p>
    <w:p>
      <w:pPr>
        <w:pStyle w:val="BookText"/>
        <w:rPr/>
      </w:pPr>
      <w:bookmarkEnd w:id="154"/>
      <w:r>
        <w:rPr>
          <w:rFonts w:ascii="Amiri" w:hAnsi="Amiri" w:eastAsia="Amiri" w:cs="Amiri"/>
          <w:color w:val="111111"/>
          <w:sz w:val="28"/>
          <w:sz w:val="28"/>
          <w:szCs w:val="28"/>
          <w:rtl w:val="true"/>
          <w:lang w:bidi="ar-SA"/>
        </w:rPr>
        <w:t>إنفاذ وصيَّته في ذلك</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وعن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مقصورٌ علىٰ هذه القضيَّة لايُتُعدَّى به إلى غيرها، لأنَّه لايجوز أن يُخرَج الرَّجل من الميراث المستحَقِّ بنسبٍ شائعٍ بقول الموصي</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مشكلٌ جدًّا، بل لايجوز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المعصوم عليه السلام أمضىٰ هذه الوصيَّة حكومةً‌، لا فتوىً‌</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1945006_1280447820"/>
      <w:bookmarkStart w:id="156" w:name="_Toc55"/>
      <w:bookmarkEnd w:id="155"/>
      <w:r>
        <w:rPr>
          <w:rtl w:val="true"/>
        </w:rPr>
        <w:t>التَّنبيه الثَّامن</w:t>
      </w:r>
      <w:r>
        <w:rPr>
          <w:rtl w:val="true"/>
        </w:rPr>
        <w:t>:</w:t>
      </w:r>
      <w:bookmarkEnd w:id="156"/>
    </w:p>
    <w:p>
      <w:pPr>
        <w:pStyle w:val="BookText"/>
        <w:rPr/>
      </w:pPr>
      <w:r>
        <w:rPr>
          <w:rFonts w:ascii="Amiri" w:hAnsi="Amiri" w:eastAsia="Amiri" w:cs="Amiri"/>
          <w:color w:val="111111"/>
          <w:sz w:val="28"/>
          <w:sz w:val="28"/>
          <w:szCs w:val="28"/>
          <w:rtl w:val="true"/>
          <w:lang w:bidi="ar-SA"/>
        </w:rPr>
        <w:t xml:space="preserve">نُسِبَ إلى المشهور أنَّه لوأوصىٰ لأولاده دارًا أو بستانًا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يُعيِّن سِهامَهم في المال فيُقسَّم بينهم بالسَّوية، لا بقاعدة التَّقسيم بين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أوصىٰ إنسانٌ لأولاده وكانوا ذكورًا وإناثًا ولم يذكر كيفيَّة القسمة فيهم، كان ذلك بنيهم بالسَّويَّة</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الرَّاوندي قدس سره</w:t>
      </w:r>
      <w:r>
        <w:rPr>
          <w:rStyle w:val="FootnoteAnchor"/>
          <w:rtl w:val="true"/>
        </w:rPr>
        <w:footnoteReference w:id="595"/>
      </w:r>
      <w:r>
        <w:rPr>
          <w:rFonts w:ascii="Amiri" w:hAnsi="Amiri" w:eastAsia="Amiri" w:cs="Amiri"/>
          <w:color w:val="111111"/>
          <w:sz w:val="28"/>
          <w:sz w:val="28"/>
          <w:szCs w:val="28"/>
          <w:rtl w:val="true"/>
          <w:lang w:bidi="ar-SA"/>
        </w:rPr>
        <w:t>، وابن إدريس قدس سره</w:t>
      </w:r>
      <w:r>
        <w:rPr>
          <w:rStyle w:val="FootnoteAnchor"/>
          <w:rtl w:val="true"/>
        </w:rPr>
        <w:footnoteReference w:id="596"/>
      </w:r>
      <w:r>
        <w:rPr>
          <w:rFonts w:ascii="Amiri" w:hAnsi="Amiri" w:eastAsia="Amiri" w:cs="Amiri"/>
          <w:color w:val="111111"/>
          <w:sz w:val="28"/>
          <w:sz w:val="28"/>
          <w:szCs w:val="28"/>
          <w:rtl w:val="true"/>
          <w:lang w:bidi="ar-SA"/>
        </w:rPr>
        <w:t>، والمحقِّق قدس سره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هيهنا بإطلاق الوصيَّة وعدم ذِكرِ المُوصي التَّفاوتَ فيها؛ وهذا ما عبَّر عنه العلَّامة قدس سره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التَّسوية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ثابتةٌ في الأولاد الذُّكور والإناث</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157" w:name="pg20337_261447"/>
    </w:p>
    <w:p>
      <w:pPr>
        <w:pStyle w:val="BookText"/>
        <w:rPr/>
      </w:pPr>
      <w:bookmarkEnd w:id="157"/>
      <w:r>
        <w:rPr>
          <w:rFonts w:ascii="Amiri" w:hAnsi="Amiri" w:eastAsia="Amiri" w:cs="Amiri"/>
          <w:color w:val="111111"/>
          <w:sz w:val="28"/>
          <w:sz w:val="28"/>
          <w:szCs w:val="28"/>
          <w:rtl w:val="true"/>
          <w:lang w:bidi="ar-SA"/>
        </w:rPr>
        <w:t>لكن هناك روايةٌ صحيحةٌ سندًا ودلالةً تدلُّ علىٰ وجوب التَّقسيم علىٰ سبيل الكتاب والسُّنَّة، وهي صحيحة زرارة عن أبي جعفرٍ عليه السلام في رجلٍ أوصىٰ بثُلث ماله في أعمامه وأخواله،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لأعمامِه الثُّلثان ولأخواله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الكلينيُّ قدس سره</w:t>
      </w:r>
      <w:r>
        <w:rPr>
          <w:rStyle w:val="FootnoteAnchor"/>
          <w:rtl w:val="true"/>
        </w:rPr>
        <w:footnoteReference w:id="599"/>
      </w:r>
      <w:r>
        <w:rPr>
          <w:rFonts w:ascii="Amiri" w:hAnsi="Amiri" w:eastAsia="Amiri" w:cs="Amiri"/>
          <w:color w:val="111111"/>
          <w:sz w:val="28"/>
          <w:sz w:val="28"/>
          <w:szCs w:val="28"/>
          <w:rtl w:val="true"/>
          <w:lang w:bidi="ar-SA"/>
        </w:rPr>
        <w:t>، والصَّدوقُ قدس سره</w:t>
      </w:r>
      <w:r>
        <w:rPr>
          <w:rStyle w:val="FootnoteAnchor"/>
          <w:rtl w:val="true"/>
        </w:rPr>
        <w:footnoteReference w:id="600"/>
      </w:r>
      <w:r>
        <w:rPr>
          <w:rFonts w:ascii="Amiri" w:hAnsi="Amiri" w:eastAsia="Amiri" w:cs="Amiri"/>
          <w:color w:val="111111"/>
          <w:sz w:val="28"/>
          <w:sz w:val="28"/>
          <w:szCs w:val="28"/>
          <w:rtl w:val="true"/>
          <w:lang w:bidi="ar-SA"/>
        </w:rPr>
        <w:t>، والشَّيخُ قدس سره</w:t>
      </w:r>
      <w:r>
        <w:rPr>
          <w:rStyle w:val="FootnoteAnchor"/>
          <w:rtl w:val="true"/>
        </w:rPr>
        <w:footnoteReference w:id="601"/>
      </w:r>
      <w:r>
        <w:rPr>
          <w:rFonts w:ascii="Amiri" w:hAnsi="Amiri" w:eastAsia="Amiri" w:cs="Amiri"/>
          <w:color w:val="111111"/>
          <w:sz w:val="28"/>
          <w:sz w:val="28"/>
          <w:szCs w:val="28"/>
          <w:rtl w:val="true"/>
          <w:lang w:bidi="ar-SA"/>
        </w:rPr>
        <w:t>، والحرُّ قدس سره</w:t>
      </w:r>
      <w:r>
        <w:rPr>
          <w:rStyle w:val="FootnoteAnchor"/>
          <w:rtl w:val="true"/>
        </w:rPr>
        <w:footnoteReference w:id="602"/>
      </w:r>
      <w:r>
        <w:rPr>
          <w:rFonts w:ascii="Amiri" w:hAnsi="Amiri" w:eastAsia="Amiri" w:cs="Amiri"/>
          <w:color w:val="111111"/>
          <w:sz w:val="28"/>
          <w:sz w:val="28"/>
          <w:szCs w:val="28"/>
          <w:rtl w:val="true"/>
          <w:lang w:bidi="ar-SA"/>
        </w:rPr>
        <w:t>وهي عند أوَّل المجلسِيَّين موثَّقٌ كالصَّحيح</w:t>
      </w:r>
      <w:r>
        <w:rPr>
          <w:rStyle w:val="FootnoteAnchor"/>
          <w:rtl w:val="true"/>
        </w:rPr>
        <w:footnoteReference w:id="603"/>
      </w:r>
      <w:r>
        <w:rPr>
          <w:rFonts w:ascii="Amiri" w:hAnsi="Amiri" w:eastAsia="Amiri" w:cs="Amiri"/>
          <w:color w:val="111111"/>
          <w:sz w:val="28"/>
          <w:sz w:val="28"/>
          <w:szCs w:val="28"/>
          <w:rtl w:val="true"/>
          <w:lang w:bidi="ar-SA"/>
        </w:rPr>
        <w:t>، وعند ولده قدس سرهما حسنٌ كالصَّحيح</w:t>
      </w:r>
      <w:r>
        <w:rPr>
          <w:rStyle w:val="FootnoteAnchor"/>
          <w:rtl w:val="true"/>
        </w:rPr>
        <w:footnoteReference w:id="604"/>
      </w:r>
      <w:r>
        <w:rPr>
          <w:rFonts w:ascii="Amiri" w:hAnsi="Amiri" w:eastAsia="Amiri" w:cs="Amiri"/>
          <w:color w:val="111111"/>
          <w:sz w:val="28"/>
          <w:sz w:val="28"/>
          <w:szCs w:val="28"/>
          <w:rtl w:val="true"/>
          <w:lang w:bidi="ar-SA"/>
        </w:rPr>
        <w:t>، أو ضعيفٌ‌</w:t>
      </w:r>
      <w:r>
        <w:rPr>
          <w:rStyle w:val="FootnoteAnchor"/>
          <w:rtl w:val="true"/>
        </w:rPr>
        <w:footnoteReference w:id="605"/>
      </w:r>
      <w:r>
        <w:rPr>
          <w:rFonts w:ascii="Amiri" w:hAnsi="Amiri" w:eastAsia="Amiri" w:cs="Amiri"/>
          <w:color w:val="111111"/>
          <w:sz w:val="28"/>
          <w:sz w:val="28"/>
          <w:szCs w:val="28"/>
          <w:rtl w:val="true"/>
          <w:lang w:bidi="ar-SA"/>
        </w:rPr>
        <w:t>، وذلك لاختلاف أسانيدها في تلك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لها طرقٌ صحاحٌ عدَّة رواها المشايخ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ولايمكن رفع اليد عنها بإعراض الأصحاب عنها، لأنَّهم لم يتعرَّضوا لها، لا أنَّهم أعرَضوا عنها؛ وكم من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عندي التَّقسيمُ حسب القانون المتَّبَع في الإرث</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1945008_1280447820"/>
      <w:bookmarkStart w:id="159" w:name="_Toc56"/>
      <w:bookmarkEnd w:id="158"/>
      <w:r>
        <w:rPr>
          <w:rtl w:val="true"/>
        </w:rPr>
        <w:t>التَّنبيه التَّاسع</w:t>
      </w:r>
      <w:r>
        <w:rPr>
          <w:rtl w:val="true"/>
        </w:rPr>
        <w:t>:</w:t>
      </w:r>
      <w:bookmarkEnd w:id="15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هذا التَّنبيه يُركَّز علىٰ 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مسألةٌ هامَّةٌ علمًا وعملًا بحيث كانت هي المناط في تصديق بعض الأساتذة بلوغَ تلاميذهم إلى مرتبة </w:t>
      </w:r>
    </w:p>
    <w:p>
      <w:pPr>
        <w:pStyle w:val="BookText"/>
        <w:rPr/>
      </w:pPr>
      <w:r>
        <w:rPr>
          <w:rFonts w:ascii="Amiri" w:hAnsi="Amiri" w:eastAsia="Amiri" w:cs="Amiri"/>
          <w:color w:val="111111"/>
          <w:sz w:val="28"/>
          <w:sz w:val="28"/>
          <w:szCs w:val="28"/>
          <w:rtl w:val="true"/>
          <w:lang w:bidi="ar-SA"/>
        </w:rPr>
        <w:t>الإجتهاد، حيث كانوا يمتحنونَهم بها أوَّلًا، ثمَّ يصدِّقون بلوغَهم إلى هذه المرتبة العُليا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جعْلَ المسألة قاعدةً برأسها أجدَرُ وأولىٰ من البحث عنها في ضمن البحث عن قاعدة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وتلخيص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حقَّ لإنسانٍ في الوصيَّة بأزيدَ من ثلث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وردَتْ فيه رواياتٌ كثيرةٌ وأطبقت أقوالُ الأصحاب عليه، قال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تصحُّ الوصيَّةُ بالثُّلث فما دون، سواءٌ كانت الوصيَّةُ بعينٍ‌، أو منفعةٍ‌</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ومثله ما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الوصيَّة؛</w:t>
      </w:r>
    </w:p>
    <w:p>
      <w:pPr>
        <w:pStyle w:val="BookText"/>
        <w:rPr/>
      </w:pPr>
      <w:r>
        <w:rPr>
          <w:rFonts w:ascii="Amiri" w:hAnsi="Amiri" w:eastAsia="Amiri" w:cs="Amiri"/>
          <w:color w:val="111111"/>
          <w:sz w:val="28"/>
          <w:sz w:val="28"/>
          <w:szCs w:val="28"/>
          <w:rtl w:val="true"/>
          <w:lang w:bidi="ar-SA"/>
        </w:rPr>
        <w:t>أمَّا الهِبَة والبيع وإبراءُ الذِّمَّة وما يُشبِهُها، فما هو الحكم فيها؟، هل المرءُ ممنوعٌ عن هذه التَّصرُّفات في ماله بأزيد من ثُلثه أيضًا؟؛ فالمريضُ لو أوصىٰ بأزيد من ثلث ماله لايُنَجَّز ما وصَّىٰ به إلَّابعد إمضاء الورثة إيَّاه، لكنَّه لووهَبَ ماله أو باعه من آخر أو أعطاه له لإبراء ذمَّته، هل تُنَجَّزُ هذه الأعمال بأجمعها؟، أو ليس له أن يتصرَّف في ماله بأزيد وأكثر من ثلثه أيضًا؟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 فذهب بعض الأعلام كالشَّيخ قدس سره في المبسوط</w:t>
      </w:r>
      <w:r>
        <w:rPr>
          <w:rStyle w:val="FootnoteAnchor"/>
          <w:rtl w:val="true"/>
        </w:rPr>
        <w:footnoteReference w:id="607"/>
      </w:r>
      <w:r>
        <w:rPr>
          <w:rFonts w:ascii="Amiri" w:hAnsi="Amiri" w:eastAsia="Amiri" w:cs="Amiri"/>
          <w:color w:val="111111"/>
          <w:sz w:val="28"/>
          <w:sz w:val="28"/>
          <w:szCs w:val="28"/>
          <w:rtl w:val="true"/>
          <w:lang w:bidi="ar-SA"/>
        </w:rPr>
        <w:t>من المتقدِّمين، والمحقِّق قدس سره</w:t>
      </w:r>
      <w:r>
        <w:rPr>
          <w:rStyle w:val="FootnoteAnchor"/>
          <w:rtl w:val="true"/>
        </w:rPr>
        <w:footnoteReference w:id="608"/>
      </w:r>
      <w:r>
        <w:rPr>
          <w:rFonts w:ascii="Amiri" w:hAnsi="Amiri" w:eastAsia="Amiri" w:cs="Amiri"/>
          <w:color w:val="111111"/>
          <w:sz w:val="28"/>
          <w:sz w:val="28"/>
          <w:szCs w:val="28"/>
          <w:rtl w:val="true"/>
          <w:lang w:bidi="ar-SA"/>
        </w:rPr>
        <w:t>، والعلَّامة قدس سره</w:t>
      </w:r>
      <w:r>
        <w:rPr>
          <w:rStyle w:val="FootnoteAnchor"/>
          <w:rtl w:val="true"/>
        </w:rPr>
        <w:footnoteReference w:id="609"/>
      </w:r>
      <w:r>
        <w:rPr>
          <w:rFonts w:ascii="Amiri" w:hAnsi="Amiri" w:eastAsia="Amiri" w:cs="Amiri"/>
          <w:color w:val="111111"/>
          <w:sz w:val="28"/>
          <w:sz w:val="28"/>
          <w:szCs w:val="28"/>
          <w:rtl w:val="true"/>
          <w:lang w:bidi="ar-SA"/>
        </w:rPr>
        <w:t>، والشَّهيد الأوَّل</w:t>
      </w:r>
      <w:r>
        <w:rPr>
          <w:rStyle w:val="FootnoteAnchor"/>
          <w:rtl w:val="true"/>
        </w:rPr>
        <w:footnoteReference w:id="610"/>
      </w:r>
      <w:r>
        <w:rPr>
          <w:rFonts w:ascii="Amiri" w:hAnsi="Amiri" w:eastAsia="Amiri" w:cs="Amiri"/>
          <w:color w:val="111111"/>
          <w:sz w:val="28"/>
          <w:sz w:val="28"/>
          <w:szCs w:val="28"/>
          <w:rtl w:val="true"/>
          <w:lang w:bidi="ar-SA"/>
        </w:rPr>
        <w:t>والثَّاني منهما</w:t>
      </w:r>
      <w:r>
        <w:rPr>
          <w:rStyle w:val="FootnoteAnchor"/>
          <w:rtl w:val="true"/>
        </w:rPr>
        <w:footnoteReference w:id="611"/>
      </w:r>
      <w:r>
        <w:rPr>
          <w:rFonts w:ascii="IRNazanin" w:hAnsi="IRNazanin" w:eastAsia="IRNazanin"/>
          <w:color w:val="111111"/>
          <w:sz w:val="28"/>
          <w:sz w:val="28"/>
          <w:szCs w:val="28"/>
          <w:rtl w:val="true"/>
          <w:lang w:bidi="fa-IR"/>
        </w:rPr>
        <w:t>قدس سرهما، والفخر قدس سره</w:t>
      </w:r>
      <w:r>
        <w:rPr>
          <w:rStyle w:val="FootnoteAnchor"/>
          <w:rtl w:val="true"/>
        </w:rPr>
        <w:footnoteReference w:id="612"/>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المتأخِّرين إلى نفوذ عمله في الثُّلث فقط،</w:t>
      </w:r>
    </w:p>
    <w:p>
      <w:pPr>
        <w:pStyle w:val="BookText"/>
        <w:rPr/>
      </w:pPr>
      <w:r>
        <w:rPr>
          <w:rFonts w:ascii="Amiri" w:hAnsi="Amiri" w:eastAsia="Amiri" w:cs="Amiri"/>
          <w:color w:val="111111"/>
          <w:sz w:val="28"/>
          <w:sz w:val="28"/>
          <w:szCs w:val="28"/>
          <w:rtl w:val="true"/>
          <w:lang w:bidi="ar-SA"/>
        </w:rPr>
        <w:t>ولذلك ادَّعىٰ ابنُفهدٍ قدس سره ثبوتَ الشُّهرة عليه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ولافرق فيه بين الوصيَّة وغيرها ممَّا يُخرِج المال عن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والبيع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برواياتٍ كثيرةٍ متواترةٍ معنىً وردَتْ في أبوابٍ متعدَّدةٍ‌؛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عُقبة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حضره الموتُ فأَعتَقَ مملوكًا له ليس له غيرُه، فأبىٰ الورثةُ أن يُجيزُوا ذلك، كيف القضاءُ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يُعتَقُ منه إلَّاثلثه وسائرُ ذلك الورثةُ أحقُّ بذلك ولهم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الصَّدوقُ قدس سره</w:t>
      </w:r>
      <w:r>
        <w:rPr>
          <w:rStyle w:val="FootnoteAnchor"/>
          <w:rtl w:val="true"/>
        </w:rPr>
        <w:footnoteReference w:id="614"/>
      </w:r>
      <w:r>
        <w:rPr>
          <w:rFonts w:ascii="Amiri" w:hAnsi="Amiri" w:eastAsia="Amiri" w:cs="Amiri"/>
          <w:color w:val="111111"/>
          <w:sz w:val="28"/>
          <w:sz w:val="28"/>
          <w:szCs w:val="28"/>
          <w:rtl w:val="true"/>
          <w:lang w:bidi="ar-SA"/>
        </w:rPr>
        <w:t>، والشَّيخُ قدس سره في استبصاره</w:t>
      </w:r>
      <w:r>
        <w:rPr>
          <w:rStyle w:val="FootnoteAnchor"/>
          <w:rtl w:val="true"/>
        </w:rPr>
        <w:footnoteReference w:id="615"/>
      </w:r>
      <w:r>
        <w:rPr>
          <w:rFonts w:ascii="Amiri" w:hAnsi="Amiri" w:eastAsia="Amiri" w:cs="Amiri"/>
          <w:color w:val="111111"/>
          <w:sz w:val="28"/>
          <w:sz w:val="28"/>
          <w:szCs w:val="28"/>
          <w:rtl w:val="true"/>
          <w:lang w:bidi="ar-SA"/>
        </w:rPr>
        <w:t>، وتهذيبه</w:t>
      </w:r>
      <w:r>
        <w:rPr>
          <w:rStyle w:val="FootnoteAnchor"/>
          <w:rtl w:val="true"/>
        </w:rPr>
        <w:footnoteReference w:id="616"/>
      </w:r>
      <w:r>
        <w:rPr>
          <w:rFonts w:ascii="Amiri" w:hAnsi="Amiri" w:eastAsia="Amiri" w:cs="Amiri"/>
          <w:color w:val="111111"/>
          <w:sz w:val="28"/>
          <w:sz w:val="28"/>
          <w:szCs w:val="28"/>
          <w:rtl w:val="true"/>
          <w:lang w:bidi="ar-SA"/>
        </w:rPr>
        <w:t>، والفيض قدس سره</w:t>
      </w:r>
      <w:r>
        <w:rPr>
          <w:rStyle w:val="FootnoteAnchor"/>
          <w:rtl w:val="true"/>
        </w:rPr>
        <w:footnoteReference w:id="617"/>
      </w:r>
      <w:r>
        <w:rPr>
          <w:rFonts w:ascii="Amiri" w:hAnsi="Amiri" w:eastAsia="Amiri" w:cs="Amiri"/>
          <w:color w:val="111111"/>
          <w:sz w:val="28"/>
          <w:sz w:val="28"/>
          <w:szCs w:val="28"/>
          <w:rtl w:val="true"/>
          <w:lang w:bidi="ar-SA"/>
        </w:rPr>
        <w:t>، والشَّيخ الحرُّ قدس سره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ونظيرُها كثيرٌ، وهي كالنَّصِّ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أنَّ عِتقَه علىٰ سبيل الوصيَّة لا الإنشاء؛</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جدًّا يأباه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خالَفَهم في ذلك كثيرٌ من الأعلام، كالكلينيِّ قدس سره</w:t>
      </w:r>
      <w:r>
        <w:rPr>
          <w:rStyle w:val="FootnoteAnchor"/>
          <w:rtl w:val="true"/>
        </w:rPr>
        <w:footnoteReference w:id="619"/>
      </w:r>
      <w:r>
        <w:rPr>
          <w:rFonts w:ascii="Amiri" w:hAnsi="Amiri" w:eastAsia="Amiri" w:cs="Amiri"/>
          <w:color w:val="111111"/>
          <w:sz w:val="28"/>
          <w:sz w:val="28"/>
          <w:szCs w:val="28"/>
          <w:rtl w:val="true"/>
          <w:lang w:bidi="ar-SA"/>
        </w:rPr>
        <w:t>، والمفيد قدس سره</w:t>
      </w:r>
      <w:r>
        <w:rPr>
          <w:rStyle w:val="FootnoteAnchor"/>
          <w:rtl w:val="true"/>
        </w:rPr>
        <w:footnoteReference w:id="620"/>
      </w:r>
      <w:r>
        <w:rPr>
          <w:rFonts w:ascii="Amiri" w:hAnsi="Amiri" w:eastAsia="Amiri" w:cs="Amiri"/>
          <w:color w:val="111111"/>
          <w:sz w:val="28"/>
          <w:sz w:val="28"/>
          <w:szCs w:val="28"/>
          <w:rtl w:val="true"/>
          <w:lang w:bidi="ar-SA"/>
        </w:rPr>
        <w:t>، والشَّيخ قدس سره في مبسوطه</w:t>
      </w:r>
      <w:r>
        <w:rPr>
          <w:rStyle w:val="FootnoteAnchor"/>
          <w:rtl w:val="true"/>
        </w:rPr>
        <w:footnoteReference w:id="621"/>
      </w:r>
      <w:r>
        <w:rPr>
          <w:rFonts w:ascii="IRNazanin" w:hAnsi="IRNazanin" w:eastAsia="IRNazanin"/>
          <w:color w:val="111111"/>
          <w:sz w:val="28"/>
          <w:sz w:val="28"/>
          <w:szCs w:val="28"/>
          <w:rtl w:val="true"/>
          <w:lang w:bidi="fa-IR"/>
        </w:rPr>
        <w:t>، وخلافه</w:t>
      </w:r>
      <w:r>
        <w:rPr>
          <w:rStyle w:val="FootnoteAnchor"/>
          <w:rtl w:val="true"/>
        </w:rPr>
        <w:footnoteReference w:id="622"/>
      </w:r>
      <w:r>
        <w:rPr>
          <w:rFonts w:ascii="Amiri" w:hAnsi="Amiri" w:eastAsia="Amiri" w:cs="Amiri"/>
          <w:color w:val="111111"/>
          <w:sz w:val="28"/>
          <w:sz w:val="28"/>
          <w:szCs w:val="28"/>
          <w:rtl w:val="true"/>
          <w:lang w:bidi="ar-SA"/>
        </w:rPr>
        <w:t>، ونهايته</w:t>
      </w:r>
      <w:r>
        <w:rPr>
          <w:rStyle w:val="FootnoteAnchor"/>
          <w:rtl w:val="true"/>
        </w:rPr>
        <w:footnoteReference w:id="623"/>
      </w:r>
      <w:r>
        <w:rPr>
          <w:rFonts w:ascii="IRNazanin" w:hAnsi="IRNazanin" w:eastAsia="IRNazanin"/>
          <w:color w:val="111111"/>
          <w:sz w:val="28"/>
          <w:sz w:val="28"/>
          <w:szCs w:val="28"/>
          <w:rtl w:val="true"/>
          <w:lang w:bidi="fa-IR"/>
        </w:rPr>
        <w:t>، والمرتضىٰ قدس سره</w:t>
      </w:r>
      <w:r>
        <w:rPr>
          <w:rStyle w:val="FootnoteAnchor"/>
          <w:rtl w:val="true"/>
        </w:rPr>
        <w:footnoteReference w:id="624"/>
      </w:r>
      <w:r>
        <w:rPr>
          <w:rFonts w:ascii="Amiri" w:hAnsi="Amiri" w:eastAsia="Amiri" w:cs="Amiri"/>
          <w:color w:val="111111"/>
          <w:sz w:val="28"/>
          <w:sz w:val="28"/>
          <w:szCs w:val="28"/>
          <w:rtl w:val="true"/>
          <w:lang w:bidi="ar-SA"/>
        </w:rPr>
        <w:t>، وابنِزهرة قدس سره</w:t>
      </w:r>
      <w:r>
        <w:rPr>
          <w:rStyle w:val="FootnoteAnchor"/>
          <w:rtl w:val="true"/>
        </w:rPr>
        <w:footnoteReference w:id="625"/>
      </w:r>
      <w:r>
        <w:rPr>
          <w:rFonts w:ascii="Amiri" w:hAnsi="Amiri" w:eastAsia="Amiri" w:cs="Amiri"/>
          <w:color w:val="111111"/>
          <w:sz w:val="28"/>
          <w:sz w:val="28"/>
          <w:szCs w:val="28"/>
          <w:rtl w:val="true"/>
          <w:lang w:bidi="ar-SA"/>
        </w:rPr>
        <w:t>، وابنِالبرَّاج قدس سره</w:t>
      </w:r>
      <w:r>
        <w:rPr>
          <w:rStyle w:val="FootnoteAnchor"/>
          <w:rtl w:val="true"/>
        </w:rPr>
        <w:footnoteReference w:id="626"/>
      </w:r>
      <w:r>
        <w:rPr>
          <w:rFonts w:ascii="Amiri" w:hAnsi="Amiri" w:eastAsia="Amiri" w:cs="Amiri"/>
          <w:color w:val="111111"/>
          <w:sz w:val="28"/>
          <w:sz w:val="28"/>
          <w:szCs w:val="28"/>
          <w:rtl w:val="true"/>
          <w:lang w:bidi="ar-SA"/>
        </w:rPr>
        <w:t>، وابنِإدريس قدس سره</w:t>
      </w:r>
      <w:r>
        <w:rPr>
          <w:rStyle w:val="FootnoteAnchor"/>
          <w:rtl w:val="true"/>
        </w:rPr>
        <w:footnoteReference w:id="627"/>
      </w:r>
      <w:r>
        <w:rPr>
          <w:rFonts w:ascii="Amiri" w:hAnsi="Amiri" w:eastAsia="Amiri" w:cs="Amiri"/>
          <w:color w:val="111111"/>
          <w:sz w:val="28"/>
          <w:sz w:val="28"/>
          <w:szCs w:val="28"/>
          <w:rtl w:val="true"/>
          <w:lang w:bidi="ar-SA"/>
        </w:rPr>
        <w:t>، وابن سعيدٍ قدس سره</w:t>
      </w:r>
      <w:r>
        <w:rPr>
          <w:rStyle w:val="FootnoteAnchor"/>
          <w:rtl w:val="true"/>
        </w:rPr>
        <w:footnoteReference w:id="628"/>
      </w:r>
      <w:r>
        <w:rPr>
          <w:rFonts w:ascii="Amiri" w:hAnsi="Amiri" w:eastAsia="Amiri" w:cs="Amiri"/>
          <w:color w:val="111111"/>
          <w:sz w:val="28"/>
          <w:sz w:val="28"/>
          <w:szCs w:val="28"/>
          <w:rtl w:val="true"/>
          <w:lang w:bidi="ar-SA"/>
        </w:rPr>
        <w:t>من المتقدِّمين، حيث ذهبوا إلى جواز الإنتقال زائدًا علىٰ الثُّلث، بل له أن يتصرَّف في ماله بأجمعه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استدلَّتْ هذه الطَّائفةُ برواياتٍ كثيرةٍ أيضًا؛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المال أن يَعمَلَ بمالِه ما شاء مادام حيًّا، إن شاء وهَبَه وإن شاء تصدَّقَ به، وإن شاء ترَكَه إلى أن يأتيه الموتُ‌، فإن أوصىٰ به فليس له إلَّاالثُّلُث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629"/>
      </w:r>
      <w:r>
        <w:rPr>
          <w:rFonts w:ascii="Amiri" w:hAnsi="Amiri" w:eastAsia="Amiri" w:cs="Amiri"/>
          <w:color w:val="111111"/>
          <w:sz w:val="28"/>
          <w:sz w:val="28"/>
          <w:szCs w:val="28"/>
          <w:rtl w:val="true"/>
          <w:lang w:bidi="ar-SA"/>
        </w:rPr>
        <w:t xml:space="preserve">، والشَّيخ قدس سره في </w:t>
      </w:r>
    </w:p>
    <w:p>
      <w:pPr>
        <w:pStyle w:val="BookText"/>
        <w:rPr/>
      </w:pPr>
      <w:r>
        <w:rPr>
          <w:rFonts w:ascii="IRNazanin" w:hAnsi="IRNazanin" w:eastAsia="IRNazanin"/>
          <w:color w:val="111111"/>
          <w:sz w:val="28"/>
          <w:sz w:val="28"/>
          <w:szCs w:val="28"/>
          <w:rtl w:val="true"/>
          <w:lang w:bidi="fa-IR"/>
        </w:rPr>
        <w:t>استبصاره</w:t>
      </w:r>
      <w:r>
        <w:rPr>
          <w:rStyle w:val="FootnoteAnchor"/>
          <w:rtl w:val="true"/>
        </w:rPr>
        <w:footnoteReference w:id="630"/>
      </w:r>
      <w:r>
        <w:rPr>
          <w:rFonts w:ascii="Amiri" w:hAnsi="Amiri" w:eastAsia="Amiri" w:cs="Amiri"/>
          <w:color w:val="111111"/>
          <w:sz w:val="28"/>
          <w:sz w:val="28"/>
          <w:szCs w:val="28"/>
          <w:rtl w:val="true"/>
          <w:lang w:bidi="ar-SA"/>
        </w:rPr>
        <w:t>، وتهذيبه</w:t>
      </w:r>
      <w:r>
        <w:rPr>
          <w:rStyle w:val="FootnoteAnchor"/>
          <w:rtl w:val="true"/>
        </w:rPr>
        <w:footnoteReference w:id="631"/>
      </w:r>
      <w:r>
        <w:rPr>
          <w:rFonts w:ascii="Amiri" w:hAnsi="Amiri" w:eastAsia="Amiri" w:cs="Amiri"/>
          <w:color w:val="111111"/>
          <w:sz w:val="28"/>
          <w:sz w:val="28"/>
          <w:szCs w:val="28"/>
          <w:rtl w:val="true"/>
          <w:lang w:bidi="ar-SA"/>
        </w:rPr>
        <w:t>، والفيض قدس سره</w:t>
      </w:r>
      <w:r>
        <w:rPr>
          <w:rStyle w:val="FootnoteAnchor"/>
          <w:rtl w:val="true"/>
        </w:rPr>
        <w:footnoteReference w:id="632"/>
      </w:r>
      <w:r>
        <w:rPr>
          <w:rFonts w:ascii="Amiri" w:hAnsi="Amiri" w:eastAsia="Amiri" w:cs="Amiri"/>
          <w:color w:val="111111"/>
          <w:sz w:val="28"/>
          <w:sz w:val="28"/>
          <w:szCs w:val="28"/>
          <w:rtl w:val="true"/>
          <w:lang w:bidi="ar-SA"/>
        </w:rPr>
        <w:t>، والحرُّ قدس سره</w:t>
      </w:r>
      <w:r>
        <w:rPr>
          <w:rStyle w:val="FootnoteAnchor"/>
          <w:rtl w:val="true"/>
        </w:rPr>
        <w:footnoteReference w:id="63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هذه الصَّحيحة وأمثالِها علىٰ حال الصِّحَّة فقط؛</w:t>
      </w:r>
    </w:p>
    <w:p>
      <w:pPr>
        <w:pStyle w:val="BookText"/>
        <w:rPr/>
      </w:pPr>
      <w:r>
        <w:rPr>
          <w:rFonts w:ascii="Amiri" w:hAnsi="Amiri" w:eastAsia="Amiri" w:cs="Amiri"/>
          <w:color w:val="111111"/>
          <w:sz w:val="28"/>
          <w:sz w:val="28"/>
          <w:szCs w:val="28"/>
          <w:rtl w:val="true"/>
          <w:lang w:bidi="ar-SA"/>
        </w:rPr>
        <w:t>يأباه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ظهر التَّعارضُ بين هاتين الطَّائفتين من الرِّوايات، ولاوجه لتقديم إحداهما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الشُّهرة تُرجِّح روايات الثُّلث</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لايُصغىٰ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التَّرجيح مع الطَّائفة القائلة بالأصل الَّتي اختارها المتقدِّمون، لا القائلة بالثُّلث الَّتي اختارها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المرجِّح ليس بمرجِّحٍ من أصله، فلاترجيح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الرِّوايات تصل النَّوبة إلى الأصل، والأصلُ مع الأصلِ لا مع الثُّلث،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 إليه فخرالمحقِّقين قدس سره</w:t>
      </w:r>
      <w:r>
        <w:rPr>
          <w:rStyle w:val="FootnoteAnchor"/>
          <w:rtl w:val="true"/>
        </w:rPr>
        <w:footnoteReference w:id="635"/>
      </w:r>
      <w:r>
        <w:rPr>
          <w:rFonts w:ascii="Amiri" w:hAnsi="Amiri" w:eastAsia="Amiri" w:cs="Amiri"/>
          <w:color w:val="111111"/>
          <w:sz w:val="28"/>
          <w:sz w:val="28"/>
          <w:szCs w:val="28"/>
          <w:rtl w:val="true"/>
          <w:lang w:bidi="ar-SA"/>
        </w:rPr>
        <w:t>، والمحقِّق السَّبزواريُّ قدس سره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ولقاعدة الاِستصحاب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المسألة بعدُ لايخلو عن غموضٍ وإشكالٍ‌؛ فتأمَّلْ لعلَّك تجد طريقًا أجود ممَّا ذهبنا إليه</w:t>
      </w:r>
      <w:r>
        <w:rPr>
          <w:rFonts w:eastAsia="Amiri" w:cs="Amiri" w:ascii="Amiri" w:hAnsi="Amiri"/>
          <w:color w:val="111111"/>
          <w:sz w:val="28"/>
          <w:szCs w:val="28"/>
          <w:rtl w:val="true"/>
          <w:lang w:bidi="ar-SA"/>
        </w:rPr>
        <w:t xml:space="preserve">!. </w:t>
      </w:r>
      <w:bookmarkStart w:id="160" w:name="pg20337_261452"/>
    </w:p>
    <w:p>
      <w:pPr>
        <w:pStyle w:val="Heading3"/>
        <w:numPr>
          <w:ilvl w:val="2"/>
          <w:numId w:val="1"/>
        </w:numPr>
        <w:rPr/>
      </w:pPr>
      <w:bookmarkStart w:id="161" w:name="__RefHeading___Toc11945010_1280447820"/>
      <w:bookmarkStart w:id="162" w:name="_Toc57"/>
      <w:bookmarkEnd w:id="160"/>
      <w:bookmarkEnd w:id="161"/>
      <w:r>
        <w:rPr>
          <w:rtl w:val="true"/>
        </w:rPr>
        <w:t>أمثلةٌ لاستعمال القاعدة في الفقه</w:t>
      </w:r>
      <w:r>
        <w:rPr>
          <w:rtl w:val="true"/>
        </w:rPr>
        <w:t>:</w:t>
      </w:r>
      <w:bookmarkEnd w:id="16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فيما تقدَّم إلى أنَّ القاعدة تُشير إلى جملةٍ من مباحث كتابٍ من كتب الفقه، فليسَتْ هي قاعدةً تُستَعمَل في بعض المسائل لنأتي بأمثلةٍ لها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20337_261454"/>
      <w:bookmarkStart w:id="164" w:name="pg20337_261454"/>
      <w:bookmarkEnd w:id="164"/>
    </w:p>
    <w:p>
      <w:pPr>
        <w:pStyle w:val="Heading2"/>
        <w:numPr>
          <w:ilvl w:val="1"/>
          <w:numId w:val="1"/>
        </w:numPr>
        <w:rPr/>
      </w:pPr>
      <w:bookmarkStart w:id="165" w:name="pg20337_261454"/>
      <w:bookmarkStart w:id="166" w:name="__RefHeading___Toc11945012_1280447820"/>
      <w:bookmarkStart w:id="167" w:name="_Toc58"/>
      <w:bookmarkEnd w:id="165"/>
      <w:bookmarkEnd w:id="166"/>
      <w:r>
        <w:rPr>
          <w:rtl w:val="true"/>
        </w:rPr>
        <w:t>[</w:t>
      </w:r>
      <w:r>
        <w:rPr/>
        <w:t>28</w:t>
      </w:r>
      <w:r>
        <w:rPr>
          <w:rtl w:val="true"/>
        </w:rPr>
        <w:t xml:space="preserve">:] </w:t>
      </w:r>
      <w:r>
        <w:rPr>
          <w:rtl w:val="true"/>
        </w:rPr>
        <w:t>قاعدة الوقوف علىٰ حسْبِ ما يُوقِفُها أهلُها</w:t>
      </w:r>
      <w:bookmarkEnd w:id="167"/>
    </w:p>
    <w:p>
      <w:pPr>
        <w:pStyle w:val="Heading3"/>
        <w:numPr>
          <w:ilvl w:val="2"/>
          <w:numId w:val="1"/>
        </w:numPr>
        <w:rPr/>
      </w:pPr>
      <w:bookmarkStart w:id="168" w:name="__RefHeading___Toc11945014_1280447820"/>
      <w:bookmarkStart w:id="169" w:name="_Toc59"/>
      <w:bookmarkEnd w:id="168"/>
      <w:r>
        <w:rPr>
          <w:rtl w:val="true"/>
        </w:rPr>
        <w:t>عناوين أُخرىٰ للقاعدة</w:t>
      </w:r>
      <w:bookmarkEnd w:id="169"/>
    </w:p>
    <w:p>
      <w:pPr>
        <w:pStyle w:val="BookText"/>
        <w:rPr/>
      </w:pPr>
      <w:r>
        <w:rPr>
          <w:rFonts w:ascii="Amiri" w:hAnsi="Amiri" w:eastAsia="Amiri" w:cs="Amiri"/>
          <w:color w:val="111111"/>
          <w:sz w:val="28"/>
          <w:sz w:val="28"/>
          <w:szCs w:val="28"/>
          <w:rtl w:val="true"/>
          <w:lang w:bidi="ar-SA"/>
        </w:rPr>
        <w:t>يجب اِتِّباع ما شرطه الواقفُ في العقد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لايجوز إخراج الوقف عن شرطه الَّذي شرط فيه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1945016_1280447820"/>
      <w:bookmarkStart w:id="171" w:name="_Toc60"/>
      <w:bookmarkEnd w:id="170"/>
      <w:r>
        <w:rPr>
          <w:rtl w:val="true"/>
        </w:rPr>
        <w:t>توضيح مفاد القاعدة</w:t>
      </w:r>
      <w:bookmarkEnd w:id="17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هو الحبسُ لغةً‌؛ واصطلاحًا هو الصدَّقةُ الجاريةُ‌، بمعنىٰ أنَّ أصل الوقف يصير محبوسًا وممنوعًا من التَّصرُّف لكن منافعه تُصرَفُ فيما يُوقَف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كالشَّجرة </w:t>
      </w:r>
    </w:p>
    <w:p>
      <w:pPr>
        <w:pStyle w:val="BookText"/>
        <w:rPr/>
      </w:pP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غير روايةٍ‌، كحديثٍ رواه القاضي نعمان قدس سره عن أميرالمؤمنين عليه السلام</w:t>
      </w:r>
      <w:r>
        <w:rPr>
          <w:rStyle w:val="FootnoteAnchor"/>
          <w:rtl w:val="true"/>
        </w:rPr>
        <w:footnoteReference w:id="640"/>
      </w:r>
      <w:r>
        <w:rPr>
          <w:rFonts w:ascii="Amiri" w:hAnsi="Amiri" w:eastAsia="Amiri" w:cs="Amiri"/>
          <w:color w:val="111111"/>
          <w:sz w:val="28"/>
          <w:sz w:val="28"/>
          <w:szCs w:val="28"/>
          <w:rtl w:val="true"/>
          <w:lang w:bidi="ar-SA"/>
        </w:rPr>
        <w:t>وآخر رُوِي عن النَّبيِّ الكريم صلى الله عليه و آله، رواه بعضُهم، كالعلَّامة قدس سره</w:t>
      </w:r>
      <w:r>
        <w:rPr>
          <w:rStyle w:val="FootnoteAnchor"/>
          <w:rtl w:val="true"/>
        </w:rPr>
        <w:footnoteReference w:id="641"/>
      </w:r>
      <w:r>
        <w:rPr>
          <w:rFonts w:ascii="Amiri" w:hAnsi="Amiri" w:eastAsia="Amiri" w:cs="Amiri"/>
          <w:color w:val="111111"/>
          <w:sz w:val="28"/>
          <w:sz w:val="28"/>
          <w:szCs w:val="28"/>
          <w:rtl w:val="true"/>
          <w:lang w:bidi="ar-SA"/>
        </w:rPr>
        <w:t>، والشَّهيد قدس سره</w:t>
      </w:r>
      <w:r>
        <w:rPr>
          <w:rStyle w:val="FootnoteAnchor"/>
          <w:rtl w:val="true"/>
        </w:rPr>
        <w:footnoteReference w:id="642"/>
      </w:r>
      <w:r>
        <w:rPr>
          <w:rFonts w:ascii="Amiri" w:hAnsi="Amiri" w:eastAsia="Amiri" w:cs="Amiri"/>
          <w:color w:val="111111"/>
          <w:sz w:val="28"/>
          <w:sz w:val="28"/>
          <w:szCs w:val="28"/>
          <w:rtl w:val="true"/>
          <w:lang w:bidi="ar-SA"/>
        </w:rPr>
        <w:t>، وابنُ أبي جمهورٍ قدس سره</w:t>
      </w:r>
      <w:r>
        <w:rPr>
          <w:rStyle w:val="FootnoteAnchor"/>
          <w:rtl w:val="true"/>
        </w:rPr>
        <w:footnoteReference w:id="643"/>
      </w:r>
      <w:r>
        <w:rPr>
          <w:rFonts w:ascii="IRNazanin" w:hAnsi="IRNazanin" w:eastAsia="IRNazanin"/>
          <w:color w:val="111111"/>
          <w:sz w:val="28"/>
          <w:sz w:val="28"/>
          <w:szCs w:val="28"/>
          <w:rtl w:val="true"/>
          <w:lang w:bidi="fa-IR"/>
        </w:rPr>
        <w:t>وقد رواه احمدُ</w:t>
      </w:r>
      <w:r>
        <w:rPr>
          <w:rStyle w:val="FootnoteAnchor"/>
          <w:rtl w:val="true"/>
        </w:rPr>
        <w:footnoteReference w:id="644"/>
      </w:r>
      <w:r>
        <w:rPr>
          <w:rFonts w:ascii="Amiri" w:hAnsi="Amiri" w:eastAsia="Amiri" w:cs="Amiri"/>
          <w:color w:val="111111"/>
          <w:sz w:val="28"/>
          <w:sz w:val="28"/>
          <w:szCs w:val="28"/>
          <w:rtl w:val="true"/>
          <w:lang w:bidi="ar-SA"/>
        </w:rPr>
        <w:t>أيضًا، ومسلمٌ‌</w:t>
      </w:r>
      <w:r>
        <w:rPr>
          <w:rStyle w:val="FootnoteAnchor"/>
          <w:rtl w:val="true"/>
        </w:rPr>
        <w:footnoteReference w:id="645"/>
      </w:r>
      <w:r>
        <w:rPr>
          <w:rFonts w:ascii="IRNazanin" w:hAnsi="IRNazanin" w:eastAsia="IRNazanin"/>
          <w:color w:val="111111"/>
          <w:sz w:val="28"/>
          <w:sz w:val="28"/>
          <w:szCs w:val="28"/>
          <w:rtl w:val="true"/>
          <w:lang w:bidi="fa-IR"/>
        </w:rPr>
        <w:t>، وأبوداود</w:t>
      </w:r>
      <w:r>
        <w:rPr>
          <w:rStyle w:val="FootnoteAnchor"/>
          <w:rtl w:val="true"/>
        </w:rPr>
        <w:footnoteReference w:id="646"/>
      </w:r>
      <w:r>
        <w:rPr>
          <w:rFonts w:ascii="Amiri" w:hAnsi="Amiri" w:eastAsia="Amiri" w:cs="Amiri"/>
          <w:color w:val="111111"/>
          <w:sz w:val="28"/>
          <w:sz w:val="28"/>
          <w:szCs w:val="28"/>
          <w:rtl w:val="true"/>
          <w:lang w:bidi="ar-SA"/>
        </w:rPr>
        <w:t>، والتِّرمذيُّ‌</w:t>
      </w:r>
      <w:r>
        <w:rPr>
          <w:rStyle w:val="FootnoteAnchor"/>
          <w:rtl w:val="true"/>
        </w:rPr>
        <w:footnoteReference w:id="647"/>
      </w:r>
      <w:r>
        <w:rPr>
          <w:rFonts w:ascii="Amiri" w:hAnsi="Amiri" w:eastAsia="Amiri" w:cs="Amiri"/>
          <w:color w:val="111111"/>
          <w:sz w:val="28"/>
          <w:sz w:val="28"/>
          <w:szCs w:val="28"/>
          <w:rtl w:val="true"/>
          <w:lang w:bidi="ar-SA"/>
        </w:rPr>
        <w:t>واختاره بعضهم، أو أشار إليه في التَّعريف بالوقف، كثاني الشَّهيدَين قدس سرهما</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وأحسن من التَّعاريف الَّتي ذكرها القومُ‌،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تحبيسُ الأصل وإطلاق المنفعة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المحقِّق قدس سره في الشَّرائع</w:t>
      </w:r>
      <w:r>
        <w:rPr>
          <w:rStyle w:val="FootnoteAnchor"/>
          <w:rtl w:val="true"/>
        </w:rPr>
        <w:footnoteReference w:id="649"/>
      </w:r>
      <w:r>
        <w:rPr>
          <w:rFonts w:ascii="IRNazanin" w:hAnsi="IRNazanin" w:eastAsia="IRNazanin"/>
          <w:color w:val="111111"/>
          <w:sz w:val="28"/>
          <w:sz w:val="28"/>
          <w:szCs w:val="28"/>
          <w:rtl w:val="true"/>
          <w:lang w:bidi="fa-IR"/>
        </w:rPr>
        <w:t>، والمختصر</w:t>
      </w:r>
      <w:r>
        <w:rPr>
          <w:rStyle w:val="FootnoteAnchor"/>
          <w:rtl w:val="true"/>
        </w:rPr>
        <w:footnoteReference w:id="650"/>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651"/>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652"/>
      </w:r>
      <w:r>
        <w:rPr>
          <w:rFonts w:ascii="IRNazanin" w:hAnsi="IRNazanin" w:eastAsia="IRNazanin"/>
          <w:color w:val="111111"/>
          <w:sz w:val="28"/>
          <w:sz w:val="28"/>
          <w:szCs w:val="28"/>
          <w:rtl w:val="true"/>
          <w:lang w:bidi="fa-IR"/>
        </w:rPr>
        <w:t>، وقواعده</w:t>
      </w:r>
      <w:r>
        <w:rPr>
          <w:rStyle w:val="FootnoteAnchor"/>
          <w:rtl w:val="true"/>
        </w:rPr>
        <w:footnoteReference w:id="65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وولده الفخر قدس سره</w:t>
      </w:r>
      <w:r>
        <w:rPr>
          <w:rStyle w:val="FootnoteAnchor"/>
          <w:rtl w:val="true"/>
        </w:rPr>
        <w:footnoteReference w:id="654"/>
      </w:r>
      <w:r>
        <w:rPr>
          <w:rFonts w:ascii="IRNazanin" w:hAnsi="IRNazanin" w:eastAsia="IRNazanin"/>
          <w:color w:val="111111"/>
          <w:sz w:val="28"/>
          <w:sz w:val="28"/>
          <w:szCs w:val="28"/>
          <w:rtl w:val="true"/>
          <w:lang w:bidi="fa-IR"/>
        </w:rPr>
        <w:t>، والمقداد قدس سره</w:t>
      </w:r>
      <w:r>
        <w:rPr>
          <w:rStyle w:val="FootnoteAnchor"/>
          <w:rtl w:val="true"/>
        </w:rPr>
        <w:footnoteReference w:id="655"/>
      </w:r>
      <w:r>
        <w:rPr>
          <w:rFonts w:ascii="Amiri" w:hAnsi="Amiri" w:eastAsia="Amiri" w:cs="Amiri"/>
          <w:color w:val="111111"/>
          <w:sz w:val="28"/>
          <w:sz w:val="28"/>
          <w:szCs w:val="28"/>
          <w:rtl w:val="true"/>
          <w:lang w:bidi="ar-SA"/>
        </w:rPr>
        <w:t>، والقطَّان الحلِّي قدس سره</w:t>
      </w:r>
      <w:r>
        <w:rPr>
          <w:rStyle w:val="FootnoteAnchor"/>
          <w:rtl w:val="true"/>
        </w:rPr>
        <w:footnoteReference w:id="656"/>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657"/>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تحبيس الأصل وتسبيل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الشَّيخ قدس سره</w:t>
      </w:r>
      <w:r>
        <w:rPr>
          <w:rStyle w:val="FootnoteAnchor"/>
          <w:rtl w:val="true"/>
        </w:rPr>
        <w:footnoteReference w:id="658"/>
      </w:r>
      <w:r>
        <w:rPr>
          <w:rFonts w:ascii="Amiri" w:hAnsi="Amiri" w:eastAsia="Amiri" w:cs="Amiri"/>
          <w:color w:val="111111"/>
          <w:sz w:val="28"/>
          <w:sz w:val="28"/>
          <w:szCs w:val="28"/>
          <w:rtl w:val="true"/>
          <w:lang w:bidi="ar-SA"/>
        </w:rPr>
        <w:t>، وابن حمزة قدس سره</w:t>
      </w:r>
      <w:r>
        <w:rPr>
          <w:rStyle w:val="FootnoteAnchor"/>
          <w:rtl w:val="true"/>
        </w:rPr>
        <w:footnoteReference w:id="659"/>
      </w:r>
      <w:r>
        <w:rPr>
          <w:rFonts w:ascii="Amiri" w:hAnsi="Amiri" w:eastAsia="Amiri" w:cs="Amiri"/>
          <w:color w:val="111111"/>
          <w:sz w:val="28"/>
          <w:sz w:val="28"/>
          <w:szCs w:val="28"/>
          <w:rtl w:val="true"/>
          <w:lang w:bidi="ar-SA"/>
        </w:rPr>
        <w:t>، والرَّاوندي قدس سره</w:t>
      </w:r>
      <w:r>
        <w:rPr>
          <w:rStyle w:val="FootnoteAnchor"/>
          <w:rtl w:val="true"/>
        </w:rPr>
        <w:footnoteReference w:id="660"/>
      </w:r>
      <w:r>
        <w:rPr>
          <w:rFonts w:ascii="Amiri" w:hAnsi="Amiri" w:eastAsia="Amiri" w:cs="Amiri"/>
          <w:color w:val="111111"/>
          <w:sz w:val="28"/>
          <w:sz w:val="28"/>
          <w:szCs w:val="28"/>
          <w:rtl w:val="true"/>
          <w:lang w:bidi="ar-SA"/>
        </w:rPr>
        <w:t>، وابن إدريس قدس سره</w:t>
      </w:r>
      <w:r>
        <w:rPr>
          <w:rStyle w:val="FootnoteAnchor"/>
          <w:rtl w:val="true"/>
        </w:rPr>
        <w:footnoteReference w:id="661"/>
      </w:r>
      <w:r>
        <w:rPr>
          <w:rFonts w:ascii="Amiri" w:hAnsi="Amiri" w:eastAsia="Amiri" w:cs="Amiri"/>
          <w:color w:val="111111"/>
          <w:sz w:val="28"/>
          <w:sz w:val="28"/>
          <w:szCs w:val="28"/>
          <w:rtl w:val="true"/>
          <w:lang w:bidi="ar-SA"/>
        </w:rPr>
        <w:t>، والكَيدُري قدس سره</w:t>
      </w:r>
      <w:r>
        <w:rPr>
          <w:rStyle w:val="FootnoteAnchor"/>
          <w:rtl w:val="true"/>
        </w:rPr>
        <w:footnoteReference w:id="662"/>
      </w:r>
      <w:r>
        <w:rPr>
          <w:rFonts w:ascii="Amiri" w:hAnsi="Amiri" w:eastAsia="Amiri" w:cs="Amiri"/>
          <w:color w:val="111111"/>
          <w:sz w:val="28"/>
          <w:sz w:val="28"/>
          <w:szCs w:val="28"/>
          <w:rtl w:val="true"/>
          <w:lang w:bidi="ar-SA"/>
        </w:rPr>
        <w:t>، وابن سعيدٍ الحلِّي قدس سره</w:t>
      </w:r>
      <w:r>
        <w:rPr>
          <w:rStyle w:val="FootnoteAnchor"/>
          <w:rtl w:val="true"/>
        </w:rPr>
        <w:footnoteReference w:id="66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صدقةٌ لاتُباعُ ولاتُوهَبُ ولاتُورَثُ‌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المأخوذ ممَّا كتبه مولىٰ الكونين أميرالمؤمنين عليه السلام عند ما وقف داره بالمدينة في بني زُريق؛ كما عن الكلينيِّ قدس سره</w:t>
      </w:r>
      <w:r>
        <w:rPr>
          <w:rStyle w:val="FootnoteAnchor"/>
          <w:rtl w:val="true"/>
        </w:rPr>
        <w:footnoteReference w:id="664"/>
      </w:r>
      <w:r>
        <w:rPr>
          <w:rFonts w:ascii="Amiri" w:hAnsi="Amiri" w:eastAsia="Amiri" w:cs="Amiri"/>
          <w:color w:val="111111"/>
          <w:sz w:val="28"/>
          <w:sz w:val="28"/>
          <w:szCs w:val="28"/>
          <w:rtl w:val="true"/>
          <w:lang w:bidi="ar-SA"/>
        </w:rPr>
        <w:t>، والقاضي نعمان قدس سره</w:t>
      </w:r>
      <w:r>
        <w:rPr>
          <w:rStyle w:val="FootnoteAnchor"/>
          <w:rtl w:val="true"/>
        </w:rPr>
        <w:footnoteReference w:id="665"/>
      </w:r>
      <w:r>
        <w:rPr>
          <w:rFonts w:ascii="Amiri" w:hAnsi="Amiri" w:eastAsia="Amiri" w:cs="Amiri"/>
          <w:color w:val="111111"/>
          <w:sz w:val="28"/>
          <w:sz w:val="28"/>
          <w:szCs w:val="28"/>
          <w:rtl w:val="true"/>
          <w:lang w:bidi="ar-SA"/>
        </w:rPr>
        <w:t>، والصَّدوق قدس سره</w:t>
      </w:r>
      <w:r>
        <w:rPr>
          <w:rStyle w:val="FootnoteAnchor"/>
          <w:rtl w:val="true"/>
        </w:rPr>
        <w:footnoteReference w:id="6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والشَّيخ قدس سره</w:t>
      </w:r>
      <w:r>
        <w:rPr>
          <w:rStyle w:val="FootnoteAnchor"/>
          <w:rtl w:val="true"/>
        </w:rPr>
        <w:footnoteReference w:id="66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اشار إليه في التَّعريف بالوقف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كتعريفه، أو للتَّعريف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قدس سره في خلافه</w:t>
      </w:r>
      <w:r>
        <w:rPr>
          <w:rStyle w:val="FootnoteAnchor"/>
          <w:rtl w:val="true"/>
        </w:rPr>
        <w:footnoteReference w:id="668"/>
      </w:r>
      <w:r>
        <w:rPr>
          <w:rFonts w:ascii="IRNazanin" w:hAnsi="IRNazanin" w:eastAsia="IRNazanin"/>
          <w:color w:val="111111"/>
          <w:sz w:val="28"/>
          <w:sz w:val="28"/>
          <w:szCs w:val="28"/>
          <w:rtl w:val="true"/>
          <w:lang w:bidi="fa-IR"/>
        </w:rPr>
        <w:t>، ومبسوطه</w:t>
      </w:r>
      <w:r>
        <w:rPr>
          <w:rStyle w:val="FootnoteAnchor"/>
          <w:rtl w:val="true"/>
        </w:rPr>
        <w:footnoteReference w:id="669"/>
      </w:r>
      <w:r>
        <w:rPr>
          <w:rFonts w:ascii="Amiri" w:hAnsi="Amiri" w:eastAsia="Amiri" w:cs="Amiri"/>
          <w:color w:val="111111"/>
          <w:sz w:val="28"/>
          <w:sz w:val="28"/>
          <w:szCs w:val="28"/>
          <w:rtl w:val="true"/>
          <w:lang w:bidi="ar-SA"/>
        </w:rPr>
        <w:t>، والرَّاونديُّ قدس سره</w:t>
      </w:r>
      <w:r>
        <w:rPr>
          <w:rStyle w:val="FootnoteAnchor"/>
          <w:rtl w:val="true"/>
        </w:rPr>
        <w:footnoteReference w:id="670"/>
      </w:r>
      <w:r>
        <w:rPr>
          <w:rFonts w:ascii="Amiri" w:hAnsi="Amiri" w:eastAsia="Amiri" w:cs="Amiri"/>
          <w:color w:val="111111"/>
          <w:sz w:val="28"/>
          <w:sz w:val="28"/>
          <w:szCs w:val="28"/>
          <w:rtl w:val="true"/>
          <w:lang w:bidi="ar-SA"/>
        </w:rPr>
        <w:t>، وشارح المفاتيح قدس سره</w:t>
      </w:r>
      <w:r>
        <w:rPr>
          <w:rStyle w:val="FootnoteAnchor"/>
          <w:rtl w:val="true"/>
        </w:rPr>
        <w:footnoteReference w:id="671"/>
      </w:r>
      <w:r>
        <w:rPr>
          <w:rFonts w:ascii="Amiri" w:hAnsi="Amiri" w:eastAsia="Amiri" w:cs="Amiri"/>
          <w:color w:val="111111"/>
          <w:sz w:val="28"/>
          <w:sz w:val="28"/>
          <w:szCs w:val="28"/>
          <w:rtl w:val="true"/>
          <w:lang w:bidi="ar-SA"/>
        </w:rPr>
        <w:t>، والفقيه العاملي قدس سره</w:t>
      </w:r>
      <w:r>
        <w:rPr>
          <w:rStyle w:val="FootnoteAnchor"/>
          <w:rtl w:val="true"/>
        </w:rPr>
        <w:footnoteReference w:id="672"/>
      </w:r>
      <w:r>
        <w:rPr>
          <w:rFonts w:ascii="Amiri" w:hAnsi="Amiri" w:eastAsia="Amiri" w:cs="Amiri"/>
          <w:color w:val="111111"/>
          <w:sz w:val="28"/>
          <w:sz w:val="28"/>
          <w:szCs w:val="28"/>
          <w:rtl w:val="true"/>
          <w:lang w:bidi="ar-SA"/>
        </w:rPr>
        <w:t>، والسَّيِّد المجاهد قدس سره</w:t>
      </w:r>
      <w:r>
        <w:rPr>
          <w:rStyle w:val="FootnoteAnchor"/>
          <w:rtl w:val="true"/>
        </w:rPr>
        <w:footnoteReference w:id="67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من الجميع ما فعله الشَّهيد قدس سره حيث صرَّح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وهو الصَّدقة الجارية، وثمرتُه تحبيس الأصل وإطلاق المنفعة</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ونسبَه إلى الأعلام المحقِّقُ القمِّي قدس سره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القاعدة واضحٌ بعد وضوح عنوانها</w:t>
      </w:r>
      <w:r>
        <w:rPr>
          <w:rStyle w:val="FootnoteAnchor"/>
          <w:rtl w:val="true"/>
        </w:rPr>
        <w:footnoteReference w:id="676"/>
      </w:r>
      <w:r>
        <w:rPr>
          <w:rFonts w:ascii="Amiri" w:hAnsi="Amiri" w:eastAsia="Amiri" w:cs="Amiri"/>
          <w:color w:val="111111"/>
          <w:sz w:val="28"/>
          <w:sz w:val="28"/>
          <w:szCs w:val="28"/>
          <w:rtl w:val="true"/>
          <w:lang w:bidi="ar-SA"/>
        </w:rPr>
        <w:t>ومع ذلك نُلخِّص الكلامَ في المراد منها ونقول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الوقف تقتضي أن يكون علىٰ ما أراده الواقفُ‌، فيجب علىٰ الموقوف عليه وغيره ممَّن يستفيدُ من الوقف أن يراعي فيه ما أراده الواقفُ في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bookmarkStart w:id="172" w:name="pg20337_261458"/>
    </w:p>
    <w:p>
      <w:pPr>
        <w:pStyle w:val="BookText"/>
        <w:rPr/>
      </w:pPr>
      <w:bookmarkEnd w:id="172"/>
      <w:r>
        <w:rPr>
          <w:rFonts w:ascii="Amiri" w:hAnsi="Amiri" w:eastAsia="Amiri" w:cs="Amiri"/>
          <w:color w:val="111111"/>
          <w:sz w:val="28"/>
          <w:sz w:val="28"/>
          <w:szCs w:val="28"/>
          <w:rtl w:val="true"/>
          <w:lang w:bidi="ar-SA"/>
        </w:rPr>
        <w:t>وقف دارًا ليكون مسجدًا، فله أن يجعل جميعَه كالمسجد، أو أن يجعلَ طابقه العالي مسجدًا دون طابقه السَّافل، أو بالعكس؛</w:t>
      </w:r>
    </w:p>
    <w:p>
      <w:pPr>
        <w:pStyle w:val="BookText"/>
        <w:rPr/>
      </w:pPr>
      <w:r>
        <w:rPr>
          <w:rFonts w:ascii="Amiri" w:hAnsi="Amiri" w:eastAsia="Amiri" w:cs="Amiri"/>
          <w:color w:val="111111"/>
          <w:sz w:val="28"/>
          <w:sz w:val="28"/>
          <w:szCs w:val="28"/>
          <w:rtl w:val="true"/>
          <w:lang w:bidi="ar-SA"/>
        </w:rPr>
        <w:t>وإذا وقف بناءً لأنْ يكون مدرسةً للعلوم الإسلاميَّة مثلًا، فله أن يجعله بأجمعه مدرسةً‌، أو يجعل بعضَه مدرسةً‌؛</w:t>
      </w:r>
    </w:p>
    <w:p>
      <w:pPr>
        <w:pStyle w:val="BookText"/>
        <w:rPr/>
      </w:pPr>
      <w:r>
        <w:rPr>
          <w:rFonts w:ascii="Amiri" w:hAnsi="Amiri" w:eastAsia="Amiri" w:cs="Amiri"/>
          <w:color w:val="111111"/>
          <w:sz w:val="28"/>
          <w:sz w:val="28"/>
          <w:szCs w:val="28"/>
          <w:rtl w:val="true"/>
          <w:lang w:bidi="ar-SA"/>
        </w:rPr>
        <w:t>كما وله أن لايشترط فيه شرطًا خاصًّا، أو يشترط فيه شرطًا، كوقفه لتعلُّم بعض العلوم أو جميع العلوم الإسلاميَّة؛</w:t>
      </w:r>
    </w:p>
    <w:p>
      <w:pPr>
        <w:pStyle w:val="BookText"/>
        <w:rPr/>
      </w:pPr>
      <w:r>
        <w:rPr>
          <w:rFonts w:ascii="Amiri" w:hAnsi="Amiri" w:eastAsia="Amiri" w:cs="Amiri"/>
          <w:color w:val="111111"/>
          <w:sz w:val="28"/>
          <w:sz w:val="28"/>
          <w:szCs w:val="28"/>
          <w:rtl w:val="true"/>
          <w:lang w:bidi="ar-SA"/>
        </w:rPr>
        <w:t>أو يوقِفَه ليكون بأجمعه مدْرسًا، أو بعضه مدرسًا وبعضه دكَّانا،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للواقف أن يوقف كما يراه ويحبُّه، وعلىٰ غيره أن يعمل فيه حسب ما أوقفه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ذُكِر في الرِّوايات، فجعَلَه الأصحاب قاعدةً عامَّةً‌، وعبَّروا عنها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واضحٌ لا إشكال فيه؛ فأصل القاعدة مسلَّمٌ بلاإشكالٍ‌</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1945018_1280447820"/>
      <w:bookmarkStart w:id="174" w:name="_Toc61"/>
      <w:bookmarkEnd w:id="173"/>
      <w:r>
        <w:rPr>
          <w:rtl w:val="true"/>
        </w:rPr>
        <w:t>مدركُ القاعدة</w:t>
      </w:r>
      <w:bookmarkEnd w:id="174"/>
    </w:p>
    <w:p>
      <w:pPr>
        <w:pStyle w:val="Heading4"/>
        <w:numPr>
          <w:ilvl w:val="3"/>
          <w:numId w:val="1"/>
        </w:numPr>
        <w:rPr/>
      </w:pPr>
      <w:bookmarkStart w:id="175" w:name="__RefHeading___Toc11945020_1280447820"/>
      <w:bookmarkStart w:id="176" w:name="_Toc62"/>
      <w:bookmarkEnd w:id="175"/>
      <w:r>
        <w:rPr>
          <w:rtl w:val="true"/>
        </w:rPr>
        <w:t>أوَّلًا</w:t>
      </w:r>
      <w:r>
        <w:rPr>
          <w:rtl w:val="true"/>
        </w:rPr>
        <w:t xml:space="preserve">: </w:t>
      </w:r>
      <w:r>
        <w:rPr>
          <w:rtl w:val="true"/>
        </w:rPr>
        <w:t>بناء العقلاء</w:t>
      </w:r>
      <w:bookmarkEnd w:id="176"/>
    </w:p>
    <w:p>
      <w:pPr>
        <w:pStyle w:val="BookText"/>
        <w:rPr/>
      </w:pPr>
      <w:r>
        <w:rPr>
          <w:rFonts w:ascii="Amiri" w:hAnsi="Amiri" w:eastAsia="Amiri" w:cs="Amiri"/>
          <w:color w:val="111111"/>
          <w:sz w:val="28"/>
          <w:sz w:val="28"/>
          <w:szCs w:val="28"/>
          <w:rtl w:val="true"/>
          <w:lang w:bidi="ar-SA"/>
        </w:rPr>
        <w:t>أمَّا الدَّليل علىٰ القاعدة، فهو العرفُ‌؛ لأنَّ الواقفَ له أنْ يُوقِفَ مطلقًا؛</w:t>
      </w:r>
    </w:p>
    <w:p>
      <w:pPr>
        <w:pStyle w:val="BookText"/>
        <w:rPr/>
      </w:pPr>
      <w:r>
        <w:rPr>
          <w:rFonts w:ascii="Amiri" w:hAnsi="Amiri" w:eastAsia="Amiri" w:cs="Amiri"/>
          <w:color w:val="111111"/>
          <w:sz w:val="28"/>
          <w:sz w:val="28"/>
          <w:szCs w:val="28"/>
          <w:rtl w:val="true"/>
          <w:lang w:bidi="ar-SA"/>
        </w:rPr>
        <w:t>كما وأنَّ له أنْ يُوقِف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علىٰ حسْبِ ما يوقِفُه الواقفُ‌</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1945022_1280447820"/>
      <w:bookmarkStart w:id="178" w:name="_Toc63"/>
      <w:bookmarkEnd w:id="177"/>
      <w:r>
        <w:rPr>
          <w:rtl w:val="true"/>
        </w:rPr>
        <w:t>ثانيًا</w:t>
      </w:r>
      <w:r>
        <w:rPr>
          <w:rtl w:val="true"/>
        </w:rPr>
        <w:t xml:space="preserve">: </w:t>
      </w:r>
      <w:r>
        <w:rPr>
          <w:rtl w:val="true"/>
        </w:rPr>
        <w:t>الرِّوايات</w:t>
      </w:r>
      <w:bookmarkEnd w:id="178"/>
    </w:p>
    <w:p>
      <w:pPr>
        <w:pStyle w:val="BookText"/>
        <w:rPr/>
      </w:pPr>
      <w:r>
        <w:rPr>
          <w:rFonts w:ascii="Amiri" w:hAnsi="Amiri" w:eastAsia="Amiri" w:cs="Amiri"/>
          <w:color w:val="111111"/>
          <w:sz w:val="28"/>
          <w:sz w:val="28"/>
          <w:szCs w:val="28"/>
          <w:rtl w:val="true"/>
          <w:lang w:bidi="ar-SA"/>
        </w:rPr>
        <w:t>أضفْ إلى ما يستفادُ من العرفِ رواياتٍ تدلُّ علىٰ المطلوب؛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لتراب مقدمه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علىٰ ما رواه جمعٌ من </w:t>
      </w:r>
      <w:bookmarkStart w:id="179" w:name="pg20337_261459"/>
    </w:p>
    <w:p>
      <w:pPr>
        <w:pStyle w:val="BookText"/>
        <w:rPr/>
      </w:pPr>
      <w:bookmarkEnd w:id="179"/>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 قدس سره</w:t>
      </w:r>
      <w:r>
        <w:rPr>
          <w:rStyle w:val="FootnoteAnchor"/>
          <w:rtl w:val="true"/>
        </w:rPr>
        <w:footnoteReference w:id="677"/>
      </w:r>
      <w:r>
        <w:rPr>
          <w:rFonts w:ascii="Amiri" w:hAnsi="Amiri" w:eastAsia="Amiri" w:cs="Amiri"/>
          <w:color w:val="111111"/>
          <w:sz w:val="28"/>
          <w:sz w:val="28"/>
          <w:szCs w:val="28"/>
          <w:rtl w:val="true"/>
          <w:lang w:bidi="ar-SA"/>
        </w:rPr>
        <w:t>، والشَّيخ قدس سره</w:t>
      </w:r>
      <w:r>
        <w:rPr>
          <w:rStyle w:val="FootnoteAnchor"/>
          <w:rtl w:val="true"/>
        </w:rPr>
        <w:footnoteReference w:id="678"/>
      </w:r>
      <w:r>
        <w:rPr>
          <w:rFonts w:ascii="Amiri" w:hAnsi="Amiri" w:eastAsia="Amiri" w:cs="Amiri"/>
          <w:color w:val="111111"/>
          <w:sz w:val="28"/>
          <w:sz w:val="28"/>
          <w:szCs w:val="28"/>
          <w:rtl w:val="true"/>
          <w:lang w:bidi="ar-SA"/>
        </w:rPr>
        <w:t>، والفيض قدس سره</w:t>
      </w:r>
      <w:r>
        <w:rPr>
          <w:rStyle w:val="FootnoteAnchor"/>
          <w:rtl w:val="true"/>
        </w:rPr>
        <w:footnoteReference w:id="679"/>
      </w:r>
      <w:r>
        <w:rPr>
          <w:rFonts w:ascii="Amiri" w:hAnsi="Amiri" w:eastAsia="Amiri" w:cs="Amiri"/>
          <w:color w:val="111111"/>
          <w:sz w:val="28"/>
          <w:sz w:val="28"/>
          <w:szCs w:val="28"/>
          <w:rtl w:val="true"/>
          <w:lang w:bidi="ar-SA"/>
        </w:rPr>
        <w:t>، وابنِ أبي جمهورٍ قدس سره</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الشَّيخ الحرُّ</w:t>
      </w:r>
      <w:r>
        <w:rPr>
          <w:rStyle w:val="FootnoteAnchor"/>
          <w:rtl w:val="true"/>
        </w:rPr>
        <w:footnoteReference w:id="68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أخذه الأصحاب فجعلوه عنوانًا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رواياتٌ أُخر أضربنا عن ذكرها، لما أشرنا إليه من أنَّ الأصل في القاعدة هو العُرفُ‌</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وفي المقام تنبيهاتٌ‌</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1945024_1280447820"/>
      <w:bookmarkStart w:id="181" w:name="_Toc64"/>
      <w:bookmarkEnd w:id="180"/>
      <w:r>
        <w:rPr>
          <w:rtl w:val="true"/>
        </w:rPr>
        <w:t>تنبيهاتٌ‌</w:t>
      </w:r>
      <w:r>
        <w:rPr>
          <w:rtl w:val="true"/>
        </w:rPr>
        <w:t>:</w:t>
      </w:r>
      <w:bookmarkEnd w:id="181"/>
    </w:p>
    <w:p>
      <w:pPr>
        <w:pStyle w:val="Heading4"/>
        <w:numPr>
          <w:ilvl w:val="3"/>
          <w:numId w:val="1"/>
        </w:numPr>
        <w:rPr/>
      </w:pPr>
      <w:bookmarkStart w:id="182" w:name="__RefHeading___Toc11945026_1280447820"/>
      <w:bookmarkStart w:id="183" w:name="_Toc65"/>
      <w:bookmarkEnd w:id="182"/>
      <w:r>
        <w:rPr>
          <w:rtl w:val="true"/>
        </w:rPr>
        <w:t>التَّنبيه الأوَّل</w:t>
      </w:r>
      <w:r>
        <w:rPr>
          <w:rtl w:val="true"/>
        </w:rPr>
        <w:t>:</w:t>
      </w:r>
      <w:bookmarkEnd w:id="18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الصَّدقة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يُشتَرَط فيها قصدُ القربة؛ وأمَّا الهِبَة فليس فيها هذا الشَّرط؛ كما عن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قصد الثَّواب والتَّقرُّب بالهِبة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سُمِّيَت صدقةً‌</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وقال العامليُّ قدس سره في تعقيب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وفرَّق بذلك بينها وبين الهِبَة والهَديَّة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وأشار إلى المطلب صاحبُ الجواهر قدس سره</w:t>
      </w:r>
      <w:r>
        <w:rPr>
          <w:rStyle w:val="FootnoteAnchor"/>
          <w:rtl w:val="true"/>
        </w:rPr>
        <w:footnoteReference w:id="685"/>
      </w:r>
      <w:r>
        <w:rPr>
          <w:rFonts w:ascii="Amiri" w:hAnsi="Amiri" w:eastAsia="Amiri" w:cs="Amiri"/>
          <w:color w:val="111111"/>
          <w:sz w:val="28"/>
          <w:sz w:val="28"/>
          <w:szCs w:val="28"/>
          <w:rtl w:val="true"/>
          <w:lang w:bidi="ar-SA"/>
        </w:rPr>
        <w:t>، والرَّاونديُّ قدس سره</w:t>
      </w:r>
      <w:r>
        <w:rPr>
          <w:rStyle w:val="FootnoteAnchor"/>
          <w:rtl w:val="true"/>
        </w:rPr>
        <w:footnoteReference w:id="686"/>
      </w:r>
      <w:r>
        <w:rPr>
          <w:rFonts w:ascii="Amiri" w:hAnsi="Amiri" w:eastAsia="Amiri" w:cs="Amiri"/>
          <w:color w:val="111111"/>
          <w:sz w:val="28"/>
          <w:sz w:val="28"/>
          <w:szCs w:val="28"/>
          <w:rtl w:val="true"/>
          <w:lang w:bidi="ar-SA"/>
        </w:rPr>
        <w:t>، وابنُ داودٍ الحلِّي قدس سره</w:t>
      </w:r>
      <w:r>
        <w:rPr>
          <w:rStyle w:val="FootnoteAnchor"/>
          <w:rtl w:val="true"/>
        </w:rPr>
        <w:footnoteReference w:id="687"/>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688"/>
      </w:r>
      <w:r>
        <w:rPr>
          <w:rFonts w:ascii="Amiri" w:hAnsi="Amiri" w:eastAsia="Amiri" w:cs="Amiri"/>
          <w:color w:val="111111"/>
          <w:sz w:val="28"/>
          <w:sz w:val="28"/>
          <w:szCs w:val="28"/>
          <w:rtl w:val="true"/>
          <w:lang w:bidi="ar-SA"/>
        </w:rPr>
        <w:t>، وولده العظيم</w:t>
      </w:r>
      <w:r>
        <w:rPr>
          <w:rStyle w:val="FootnoteAnchor"/>
          <w:rtl w:val="true"/>
        </w:rPr>
        <w:footnoteReference w:id="689"/>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69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إنَّ الصَّدقة عقدٌ لازمٌ دون الهِبَة، لأنَّ الصَّدقة لمَّا كانت للَّه فجزاؤُهُ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فهي في الحقيقة هِبَةٌ مُعَوَّضةٌ يُعوِّضُ 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فلارجوع فيها أصلًا، أو الرُّجوع فيها مكروهٌ كراهةً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بعض روايات المسألة</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الهِبَة غير المعوَّضَة، حيث يجوز فيها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 الصَّيمُريُّ قدس سره</w:t>
      </w:r>
      <w:r>
        <w:rPr>
          <w:rStyle w:val="FootnoteAnchor"/>
          <w:rtl w:val="true"/>
        </w:rPr>
        <w:footnoteReference w:id="692"/>
      </w:r>
      <w:r>
        <w:rPr>
          <w:rFonts w:ascii="Amiri" w:hAnsi="Amiri" w:eastAsia="Amiri" w:cs="Amiri"/>
          <w:color w:val="111111"/>
          <w:sz w:val="28"/>
          <w:sz w:val="28"/>
          <w:szCs w:val="28"/>
          <w:rtl w:val="true"/>
          <w:lang w:bidi="ar-SA"/>
        </w:rPr>
        <w:t>، وشيخنا المفيد قدس سره</w:t>
      </w:r>
      <w:r>
        <w:rPr>
          <w:rStyle w:val="FootnoteAnchor"/>
          <w:rtl w:val="true"/>
        </w:rPr>
        <w:footnoteReference w:id="693"/>
      </w:r>
      <w:r>
        <w:rPr>
          <w:rFonts w:ascii="Amiri" w:hAnsi="Amiri" w:eastAsia="Amiri" w:cs="Amiri"/>
          <w:color w:val="111111"/>
          <w:sz w:val="28"/>
          <w:sz w:val="28"/>
          <w:szCs w:val="28"/>
          <w:rtl w:val="true"/>
          <w:lang w:bidi="ar-SA"/>
        </w:rPr>
        <w:t>، وسيِّدُنا المرتضىٰ قدس سره</w:t>
      </w:r>
      <w:r>
        <w:rPr>
          <w:rStyle w:val="FootnoteAnchor"/>
          <w:rtl w:val="true"/>
        </w:rPr>
        <w:footnoteReference w:id="694"/>
      </w:r>
      <w:r>
        <w:rPr>
          <w:rFonts w:ascii="Amiri" w:hAnsi="Amiri" w:eastAsia="Amiri" w:cs="Amiri"/>
          <w:color w:val="111111"/>
          <w:sz w:val="28"/>
          <w:sz w:val="28"/>
          <w:szCs w:val="28"/>
          <w:rtl w:val="true"/>
          <w:lang w:bidi="ar-SA"/>
        </w:rPr>
        <w:t>، وسلَّار قدس سره</w:t>
      </w:r>
      <w:r>
        <w:rPr>
          <w:rStyle w:val="FootnoteAnchor"/>
          <w:rtl w:val="true"/>
        </w:rPr>
        <w:footnoteReference w:id="695"/>
      </w:r>
      <w:r>
        <w:rPr>
          <w:rFonts w:ascii="IRNazanin" w:hAnsi="IRNazanin" w:eastAsia="IRNazanin"/>
          <w:color w:val="111111"/>
          <w:sz w:val="28"/>
          <w:sz w:val="28"/>
          <w:szCs w:val="28"/>
          <w:rtl w:val="true"/>
          <w:lang w:bidi="fa-IR"/>
        </w:rPr>
        <w:t xml:space="preserve">، </w:t>
      </w:r>
      <w:bookmarkStart w:id="184" w:name="pg20337_261461"/>
    </w:p>
    <w:p>
      <w:pPr>
        <w:pStyle w:val="BookText"/>
        <w:rPr/>
      </w:pPr>
      <w:bookmarkEnd w:id="184"/>
      <w:r>
        <w:rPr>
          <w:rFonts w:ascii="Amiri" w:hAnsi="Amiri" w:eastAsia="Amiri" w:cs="Amiri"/>
          <w:color w:val="111111"/>
          <w:sz w:val="28"/>
          <w:sz w:val="28"/>
          <w:szCs w:val="28"/>
          <w:rtl w:val="true"/>
          <w:lang w:bidi="ar-SA"/>
        </w:rPr>
        <w:t>والشَّيخ قدس سره</w:t>
      </w:r>
      <w:r>
        <w:rPr>
          <w:rStyle w:val="FootnoteAnchor"/>
          <w:rtl w:val="true"/>
        </w:rPr>
        <w:footnoteReference w:id="696"/>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عقدٌ جائزٌ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الوقف من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عليه عنوانُ الصَّدقة في بعض الرِّوايات</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فيه قصد القربة، بل لفظ الوقف يدلُّ علىٰ وجود قصد القربة في حاقِّه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هذا الشَّرط أيضًا ما رواه الشَّيخ الحرُّ قدس سره في الباب الثَّالث عشر من أبواب الوقوف</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1945028_1280447820"/>
      <w:bookmarkStart w:id="186" w:name="_Toc66"/>
      <w:bookmarkEnd w:id="185"/>
      <w:r>
        <w:rPr>
          <w:rtl w:val="true"/>
        </w:rPr>
        <w:t>التَّنبيه الثَّاني</w:t>
      </w:r>
      <w:r>
        <w:rPr>
          <w:rtl w:val="true"/>
        </w:rPr>
        <w:t>:</w:t>
      </w:r>
      <w:bookmarkEnd w:id="186"/>
    </w:p>
    <w:p>
      <w:pPr>
        <w:pStyle w:val="BookText"/>
        <w:rPr/>
      </w:pPr>
      <w:r>
        <w:rPr>
          <w:rFonts w:ascii="Amiri" w:hAnsi="Amiri" w:eastAsia="Amiri" w:cs="Amiri"/>
          <w:color w:val="111111"/>
          <w:sz w:val="28"/>
          <w:sz w:val="28"/>
          <w:szCs w:val="28"/>
          <w:rtl w:val="true"/>
          <w:lang w:bidi="ar-SA"/>
        </w:rPr>
        <w:t xml:space="preserve">الوقف هو جَعْل الموقوف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وسلبُ ملكيَّته عن الواقف وأولاده جيلًا بعد جيلٍ لوكان مقتضىٰ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 مِلكيَّته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فلاخلاف في اشتراط قصد القُربة فيه، من غير فرقٍ بين أن يكون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القربيَّة، كبناء المساجد والمدارس؛</w:t>
      </w:r>
    </w:p>
    <w:p>
      <w:pPr>
        <w:pStyle w:val="BookText"/>
        <w:rPr/>
      </w:pPr>
      <w:r>
        <w:rPr>
          <w:rFonts w:ascii="Amiri" w:hAnsi="Amiri" w:eastAsia="Amiri" w:cs="Amiri"/>
          <w:color w:val="111111"/>
          <w:sz w:val="28"/>
          <w:sz w:val="28"/>
          <w:szCs w:val="28"/>
          <w:rtl w:val="true"/>
          <w:lang w:bidi="ar-SA"/>
        </w:rPr>
        <w:t>أو الأمور غير القُربيَّة، كالوقف علىٰ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لمَّا أُدرِجَ فيه قصدُ القربة، فالموقوف عليه يكون دائمًا من الأمور القُربيَّة، حتَّى لوكان وقفًا علىٰ الأولاد والأقرباء مثلًا، لأنَّ الوقف حينئذٍ يكون من باب إعانة المسلم في معاشه، والإعانة تُعَدُّ من الأمور الهامَّة القُربيَّة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سيأتي الكلامُ في أنَّ الموقوف عليه لو لم يكن مشروعًا، فالوقف لايتحقَّق </w:t>
      </w:r>
    </w:p>
    <w:p>
      <w:pPr>
        <w:pStyle w:val="BookText"/>
        <w:rPr/>
      </w:pPr>
      <w:r>
        <w:rPr>
          <w:rFonts w:ascii="Amiri" w:hAnsi="Amiri" w:eastAsia="Amiri" w:cs="Amiri"/>
          <w:color w:val="111111"/>
          <w:sz w:val="28"/>
          <w:sz w:val="28"/>
          <w:szCs w:val="28"/>
          <w:rtl w:val="true"/>
          <w:lang w:bidi="ar-SA"/>
        </w:rPr>
        <w:t>أصلًا، كما لووقف دارَه للقمار وشرب الخمر والإتيان بالفواحش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التَّنيه الثَّالث هل الوقفُ عقدٌ؟ أو 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w:t>
      </w:r>
      <w:r>
        <w:rPr>
          <w:rStyle w:val="FootnoteAnchor"/>
          <w:rtl w:val="true"/>
        </w:rPr>
        <w:footnoteReference w:id="700"/>
      </w:r>
      <w:r>
        <w:rPr>
          <w:rFonts w:ascii="IRNazanin" w:hAnsi="IRNazanin" w:eastAsia="IRNazanin"/>
          <w:color w:val="111111"/>
          <w:sz w:val="28"/>
          <w:sz w:val="28"/>
          <w:szCs w:val="28"/>
          <w:rtl w:val="true"/>
          <w:lang w:bidi="fa-IR"/>
        </w:rPr>
        <w:t>، 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أنَّه ليس في عقده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منصوصٌ به عند العلَّامة قدس سره</w:t>
      </w:r>
      <w:r>
        <w:rPr>
          <w:rStyle w:val="FootnoteAnchor"/>
          <w:rtl w:val="true"/>
        </w:rPr>
        <w:footnoteReference w:id="701"/>
      </w:r>
      <w:r>
        <w:rPr>
          <w:rFonts w:ascii="Amiri" w:hAnsi="Amiri" w:eastAsia="Amiri" w:cs="Amiri"/>
          <w:color w:val="111111"/>
          <w:sz w:val="28"/>
          <w:sz w:val="28"/>
          <w:szCs w:val="28"/>
          <w:rtl w:val="true"/>
          <w:lang w:bidi="ar-SA"/>
        </w:rPr>
        <w:t>، وفي تلخيصه</w:t>
      </w:r>
      <w:r>
        <w:rPr>
          <w:rStyle w:val="FootnoteAnchor"/>
          <w:rtl w:val="true"/>
        </w:rPr>
        <w:footnoteReference w:id="702"/>
      </w:r>
      <w:r>
        <w:rPr>
          <w:rFonts w:ascii="Amiri" w:hAnsi="Amiri" w:eastAsia="Amiri" w:cs="Amiri"/>
          <w:color w:val="111111"/>
          <w:sz w:val="28"/>
          <w:sz w:val="28"/>
          <w:szCs w:val="28"/>
          <w:rtl w:val="true"/>
          <w:lang w:bidi="ar-SA"/>
        </w:rPr>
        <w:t>، والشَّهيد قدس سره</w:t>
      </w:r>
      <w:r>
        <w:rPr>
          <w:rStyle w:val="FootnoteAnchor"/>
          <w:rtl w:val="true"/>
        </w:rPr>
        <w:footnoteReference w:id="703"/>
      </w:r>
      <w:r>
        <w:rPr>
          <w:rFonts w:ascii="Amiri" w:hAnsi="Amiri" w:eastAsia="Amiri" w:cs="Amiri"/>
          <w:color w:val="111111"/>
          <w:sz w:val="28"/>
          <w:sz w:val="28"/>
          <w:szCs w:val="28"/>
          <w:rtl w:val="true"/>
          <w:lang w:bidi="ar-SA"/>
        </w:rPr>
        <w:t>، والقطَّان قدس سره</w:t>
      </w:r>
      <w:r>
        <w:rPr>
          <w:rStyle w:val="FootnoteAnchor"/>
          <w:rtl w:val="true"/>
        </w:rPr>
        <w:footnoteReference w:id="704"/>
      </w:r>
      <w:r>
        <w:rPr>
          <w:rFonts w:ascii="Amiri" w:hAnsi="Amiri" w:eastAsia="Amiri" w:cs="Amiri"/>
          <w:color w:val="111111"/>
          <w:sz w:val="28"/>
          <w:sz w:val="28"/>
          <w:szCs w:val="28"/>
          <w:rtl w:val="true"/>
          <w:lang w:bidi="ar-SA"/>
        </w:rPr>
        <w:t>، وابن طيٍّ قدس سره</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إذا وقف داره علىٰ المسجد يصير مسجدًا من غير أن يحتاج إلى قبولٍ‌، بل يكفي فيه إجراءُ صيغة الوقف من قِبَل الواقف؛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أنَّ الوقف يُشتَرَط فيه القبضُ‌، كما تدلُّ عليه روايات الباب الرَّابع من أبواب الوقف</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الشَّيخ قدس سره</w:t>
      </w:r>
      <w:r>
        <w:rPr>
          <w:rStyle w:val="FootnoteAnchor"/>
          <w:rtl w:val="true"/>
        </w:rPr>
        <w:footnoteReference w:id="707"/>
      </w:r>
      <w:r>
        <w:rPr>
          <w:rFonts w:ascii="Amiri" w:hAnsi="Amiri" w:eastAsia="Amiri" w:cs="Amiri"/>
          <w:color w:val="111111"/>
          <w:sz w:val="28"/>
          <w:sz w:val="28"/>
          <w:szCs w:val="28"/>
          <w:rtl w:val="true"/>
          <w:lang w:bidi="ar-SA"/>
        </w:rPr>
        <w:t>، والمحقِّق قدس سره</w:t>
      </w:r>
      <w:r>
        <w:rPr>
          <w:rStyle w:val="FootnoteAnchor"/>
          <w:rtl w:val="true"/>
        </w:rPr>
        <w:footnoteReference w:id="708"/>
      </w:r>
      <w:r>
        <w:rPr>
          <w:rFonts w:ascii="Amiri" w:hAnsi="Amiri" w:eastAsia="Amiri" w:cs="Amiri"/>
          <w:color w:val="111111"/>
          <w:sz w:val="28"/>
          <w:sz w:val="28"/>
          <w:szCs w:val="28"/>
          <w:rtl w:val="true"/>
          <w:lang w:bidi="ar-SA"/>
        </w:rPr>
        <w:t>، وابن داودٍ الحلِّي قدس سره</w:t>
      </w:r>
      <w:r>
        <w:rPr>
          <w:rStyle w:val="FootnoteAnchor"/>
          <w:rtl w:val="true"/>
        </w:rPr>
        <w:footnoteReference w:id="709"/>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710"/>
      </w:r>
      <w:r>
        <w:rPr>
          <w:rFonts w:ascii="Amiri" w:hAnsi="Amiri" w:eastAsia="Amiri" w:cs="Amiri"/>
          <w:color w:val="111111"/>
          <w:sz w:val="28"/>
          <w:sz w:val="28"/>
          <w:szCs w:val="28"/>
          <w:rtl w:val="true"/>
          <w:lang w:bidi="ar-SA"/>
        </w:rPr>
        <w:t>، وتذكرته</w:t>
      </w:r>
      <w:r>
        <w:rPr>
          <w:rStyle w:val="FootnoteAnchor"/>
          <w:rtl w:val="true"/>
        </w:rPr>
        <w:footnoteReference w:id="711"/>
      </w:r>
      <w:r>
        <w:rPr>
          <w:rFonts w:ascii="Amiri" w:hAnsi="Amiri" w:eastAsia="Amiri" w:cs="Amiri"/>
          <w:color w:val="111111"/>
          <w:sz w:val="28"/>
          <w:sz w:val="28"/>
          <w:szCs w:val="28"/>
          <w:rtl w:val="true"/>
          <w:lang w:bidi="ar-SA"/>
        </w:rPr>
        <w:t>، وتلخيصه</w:t>
      </w:r>
      <w:r>
        <w:rPr>
          <w:rStyle w:val="FootnoteAnchor"/>
          <w:rtl w:val="true"/>
        </w:rPr>
        <w:footnoteReference w:id="712"/>
      </w:r>
      <w:r>
        <w:rPr>
          <w:rFonts w:ascii="IRNazanin" w:hAnsi="IRNazanin" w:eastAsia="IRNazanin"/>
          <w:color w:val="111111"/>
          <w:sz w:val="28"/>
          <w:sz w:val="28"/>
          <w:szCs w:val="28"/>
          <w:rtl w:val="true"/>
          <w:lang w:bidi="fa-IR"/>
        </w:rPr>
        <w:t>، ومختلفه</w:t>
      </w:r>
      <w:r>
        <w:rPr>
          <w:rStyle w:val="FootnoteAnchor"/>
          <w:rtl w:val="true"/>
        </w:rPr>
        <w:footnoteReference w:id="713"/>
      </w:r>
      <w:r>
        <w:rPr>
          <w:rFonts w:ascii="Amiri" w:hAnsi="Amiri" w:eastAsia="Amiri" w:cs="Amiri"/>
          <w:color w:val="111111"/>
          <w:sz w:val="28"/>
          <w:sz w:val="28"/>
          <w:szCs w:val="28"/>
          <w:rtl w:val="true"/>
          <w:lang w:bidi="ar-SA"/>
        </w:rPr>
        <w:t>، والشَّهيد قدس سره</w:t>
      </w:r>
      <w:r>
        <w:rPr>
          <w:rStyle w:val="FootnoteAnchor"/>
          <w:rtl w:val="true"/>
        </w:rPr>
        <w:footnoteReference w:id="7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فالقبض هو القبول المعاطاتيُّ‌، وهو كالقبول اللَّفظيِّ من غير تفاوتٍ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القبض وإن لم يلصق بالإيجاب، إلَّاأنَّ الإلصاق لايُشتَرَط في صحَّة العقد، فلذلك إنَّ الأصحاب أجمَعُوا علىٰ كفاية القبول في المعاملات الفضوليَّة، وما نحن فيه أيضًا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فيكفي فيه الإيجاب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القبولَ يقع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وهو من مصاديق القبول، بل هو أظهر وأعلىٰ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كون الوقف عقدًا، لا إيقاعًا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صاحبُ الجواهر قدس سره ثبوتَ الإجماع علىٰ هذا</w:t>
      </w:r>
      <w:r>
        <w:rPr>
          <w:rStyle w:val="FootnoteAnchor"/>
          <w:rtl w:val="true"/>
        </w:rPr>
        <w:footnoteReference w:id="715"/>
      </w:r>
      <w:r>
        <w:rPr>
          <w:rFonts w:ascii="IRNazanin" w:hAnsi="IRNazanin" w:eastAsia="IRNazanin"/>
          <w:color w:val="111111"/>
          <w:sz w:val="28"/>
          <w:sz w:val="28"/>
          <w:szCs w:val="28"/>
          <w:rtl w:val="true"/>
          <w:lang w:bidi="fa-IR"/>
        </w:rPr>
        <w:t>وقد بحث بعضهم</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فقه المعاملات، 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المسألة، فراجع إليه إن شئتَ‌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عن ذلك وقلتَ أنَّه إيقاعٌ‌، فلاحرَجَ‌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لايكون في هذا الإصرار فائدةٌ إلَّابحَسَب المباحث العِلميَّة، لأنَّه كالطَّلاق وهو من الإيقاعات الإلزاميَّة من غير مخالفٍ‌</w:t>
      </w:r>
      <w:r>
        <w:rPr>
          <w:rFonts w:eastAsia="Amiri" w:cs="Amiri" w:ascii="Amiri" w:hAnsi="Amiri"/>
          <w:color w:val="111111"/>
          <w:sz w:val="28"/>
          <w:szCs w:val="28"/>
          <w:rtl w:val="true"/>
          <w:lang w:bidi="ar-SA"/>
        </w:rPr>
        <w:t xml:space="preserve">. </w:t>
      </w:r>
      <w:bookmarkStart w:id="187" w:name="pg20337_261464"/>
    </w:p>
    <w:p>
      <w:pPr>
        <w:pStyle w:val="BookText"/>
        <w:rPr/>
      </w:pPr>
      <w:bookmarkEnd w:id="187"/>
      <w:r>
        <w:rPr>
          <w:rFonts w:ascii="Amiri" w:hAnsi="Amiri" w:eastAsia="Amiri" w:cs="Amiri"/>
          <w:color w:val="111111"/>
          <w:sz w:val="28"/>
          <w:sz w:val="28"/>
          <w:szCs w:val="28"/>
          <w:rtl w:val="true"/>
          <w:lang w:bidi="ar-SA"/>
        </w:rPr>
        <w:t>فليس للواقف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يُشتَرَط إذن أن يكون فيه القبضُ‌</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945030_1280447820"/>
      <w:bookmarkStart w:id="189" w:name="_Toc67"/>
      <w:bookmarkEnd w:id="188"/>
      <w:r>
        <w:rPr>
          <w:rtl w:val="true"/>
        </w:rPr>
        <w:t>التَّنبيه الثَّالث</w:t>
      </w:r>
      <w:r>
        <w:rPr>
          <w:rtl w:val="true"/>
        </w:rPr>
        <w:t>:</w:t>
      </w:r>
      <w:bookmarkEnd w:id="189"/>
    </w:p>
    <w:p>
      <w:pPr>
        <w:pStyle w:val="BookText"/>
        <w:rPr/>
      </w:pPr>
      <w:r>
        <w:rPr>
          <w:rFonts w:ascii="Amiri" w:hAnsi="Amiri" w:eastAsia="Amiri" w:cs="Amiri"/>
          <w:color w:val="111111"/>
          <w:sz w:val="28"/>
          <w:sz w:val="28"/>
          <w:szCs w:val="28"/>
          <w:rtl w:val="true"/>
          <w:lang w:bidi="ar-SA"/>
        </w:rPr>
        <w:t>إنَّ الوقف يُعَدُّ من الأمور العُرفيَّة الَّتي أمضاها الشَّارع في رواياتٍ‌، ولا تعبُّدَ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للشَّارع أن يشترط في صحَّته شروطًا، كما في غيره من الأمور العُرفيَّة الَّتي أمضاها الشَّارع؛</w:t>
      </w:r>
    </w:p>
    <w:p>
      <w:pPr>
        <w:pStyle w:val="BookText"/>
        <w:rPr/>
      </w:pPr>
      <w:r>
        <w:rPr>
          <w:rFonts w:ascii="Amiri" w:hAnsi="Amiri" w:eastAsia="Amiri" w:cs="Amiri"/>
          <w:color w:val="111111"/>
          <w:sz w:val="28"/>
          <w:sz w:val="28"/>
          <w:szCs w:val="28"/>
          <w:rtl w:val="true"/>
          <w:lang w:bidi="ar-SA"/>
        </w:rPr>
        <w:t>وهذا لايُراد به أنَّه تعبُّديٌّ في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يُتَراءىٰ من بعض الأصحاب من كونه تعبُّديًّا، فلعلَّه أراد به ما قلنا، وإلَّا فلاسبيل للتَّعبُّد إلى أصله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اشتراط قصد القُربة فيه، مع أنَّ العُرف لايرىٰ هذا الشَّرط شرطًا فيه؛ فلذلك يُقبَلُ الوقفُ من الكافر أيضًا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1945032_1280447820"/>
      <w:bookmarkStart w:id="191" w:name="_Toc68"/>
      <w:bookmarkEnd w:id="190"/>
      <w:r>
        <w:rPr>
          <w:rtl w:val="true"/>
        </w:rPr>
        <w:t>التَّنبيه الرَّابع</w:t>
      </w:r>
      <w:r>
        <w:rPr>
          <w:rtl w:val="true"/>
        </w:rPr>
        <w:t>:</w:t>
      </w:r>
      <w:bookmarkEnd w:id="191"/>
    </w:p>
    <w:p>
      <w:pPr>
        <w:pStyle w:val="BookText"/>
        <w:rPr/>
      </w:pPr>
      <w:r>
        <w:rPr>
          <w:rFonts w:ascii="Amiri" w:hAnsi="Amiri" w:eastAsia="Amiri" w:cs="Amiri"/>
          <w:color w:val="111111"/>
          <w:sz w:val="28"/>
          <w:sz w:val="28"/>
          <w:szCs w:val="28"/>
          <w:rtl w:val="true"/>
          <w:lang w:bidi="ar-SA"/>
        </w:rPr>
        <w:t>تُشترَطُ في الوقف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الكلام فيه وفي دلالة غير واحدٍ من روايات الباب عليه، فلو لم يُقبَض له أن يَرُدَّه إلى ملكه؛ وكذلك لو لم يقبضه الموقوف عليه ومات يصير من جملة إرثه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لايشترط في القبض الفورُ، واستفادة ذلك من مدارك المسألة ليستْ بصَعبٍ‌، مضافًا إلى إجماع الأصحاب في ذلك؛ وإن ذهب السَّيِّد العميديُّ قدس سره إلى </w:t>
      </w:r>
    </w:p>
    <w:p>
      <w:pPr>
        <w:pStyle w:val="BookText"/>
        <w:rPr/>
      </w:pPr>
      <w:r>
        <w:rPr>
          <w:rFonts w:ascii="IRNazanin" w:hAnsi="IRNazanin" w:eastAsia="IRNazanin"/>
          <w:color w:val="111111"/>
          <w:sz w:val="28"/>
          <w:sz w:val="28"/>
          <w:szCs w:val="28"/>
          <w:rtl w:val="true"/>
          <w:lang w:bidi="fa-IR"/>
        </w:rPr>
        <w:t>احتمال اشتراط الفور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ولايُشتَرط فيه إذن الواقف مادام لم يُقبَض بعدُ، فلوبنىٰ مسجدًا وأوقفه ولم يُقبَض منه بعدُ يجوز للنَّاس أن يصلُّوا فيه، وليس له أن يمنعهم عن ذلك؛</w:t>
      </w:r>
    </w:p>
    <w:p>
      <w:pPr>
        <w:pStyle w:val="BookText"/>
        <w:rPr/>
      </w:pPr>
      <w:r>
        <w:rPr>
          <w:rFonts w:ascii="Amiri" w:hAnsi="Amiri" w:eastAsia="Amiri" w:cs="Amiri"/>
          <w:color w:val="111111"/>
          <w:sz w:val="28"/>
          <w:sz w:val="28"/>
          <w:szCs w:val="28"/>
          <w:rtl w:val="true"/>
          <w:lang w:bidi="ar-SA"/>
        </w:rPr>
        <w:t>أمَّا لوشُكَّ في أنَّه هل جعَلَ البناء للمسجد وأوقفها؟، أم لم يقِفها بعدُ؟،</w:t>
      </w:r>
    </w:p>
    <w:p>
      <w:pPr>
        <w:pStyle w:val="BookText"/>
        <w:rPr/>
      </w:pPr>
      <w:r>
        <w:rPr>
          <w:rFonts w:ascii="Amiri" w:hAnsi="Amiri" w:eastAsia="Amiri" w:cs="Amiri"/>
          <w:color w:val="111111"/>
          <w:sz w:val="28"/>
          <w:sz w:val="28"/>
          <w:szCs w:val="28"/>
          <w:rtl w:val="true"/>
          <w:lang w:bidi="ar-SA"/>
        </w:rPr>
        <w:t>فالأصل عدم الإجازة ولوكان بعد وقوع عقد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فلاتجري حينئذٍ أصالةُ الفساد، لأنَّها تجري فيما إذا شُكَّ في أصل العقد والإنتقال، وهو منفيٌّ في المقام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اشترطوا في الوقف الدَّوامَ‌، بمعنىٰ أنَّه ليس للواقف أن يرجع إلى ما أوقفه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الشَّرط قد أشار إليه العلَّامة قدس سره في إرشاده</w:t>
      </w:r>
      <w:r>
        <w:rPr>
          <w:rStyle w:val="FootnoteAnchor"/>
          <w:rtl w:val="true"/>
        </w:rPr>
        <w:footnoteReference w:id="720"/>
      </w:r>
      <w:r>
        <w:rPr>
          <w:rFonts w:ascii="Amiri" w:hAnsi="Amiri" w:eastAsia="Amiri" w:cs="Amiri"/>
          <w:color w:val="111111"/>
          <w:sz w:val="28"/>
          <w:sz w:val="28"/>
          <w:szCs w:val="28"/>
          <w:rtl w:val="true"/>
          <w:lang w:bidi="ar-SA"/>
        </w:rPr>
        <w:t>، وتلخيصه</w:t>
      </w:r>
      <w:r>
        <w:rPr>
          <w:rStyle w:val="FootnoteAnchor"/>
          <w:rtl w:val="true"/>
        </w:rPr>
        <w:footnoteReference w:id="721"/>
      </w:r>
      <w:r>
        <w:rPr>
          <w:rFonts w:ascii="Amiri" w:hAnsi="Amiri" w:eastAsia="Amiri" w:cs="Amiri"/>
          <w:color w:val="111111"/>
          <w:sz w:val="28"/>
          <w:sz w:val="28"/>
          <w:szCs w:val="28"/>
          <w:rtl w:val="true"/>
          <w:lang w:bidi="ar-SA"/>
        </w:rPr>
        <w:t>، وأوَّل الشَّهيدَين قدس سرهما</w:t>
      </w:r>
      <w:r>
        <w:rPr>
          <w:rStyle w:val="FootnoteAnchor"/>
          <w:rtl w:val="true"/>
        </w:rPr>
        <w:footnoteReference w:id="722"/>
      </w:r>
      <w:r>
        <w:rPr>
          <w:rFonts w:ascii="IRNazanin" w:hAnsi="IRNazanin" w:eastAsia="IRNazanin"/>
          <w:color w:val="111111"/>
          <w:sz w:val="28"/>
          <w:sz w:val="28"/>
          <w:szCs w:val="28"/>
          <w:rtl w:val="true"/>
          <w:lang w:bidi="fa-IR"/>
        </w:rPr>
        <w:t>، وابن فهدٍ قدس سره</w:t>
      </w:r>
      <w:r>
        <w:rPr>
          <w:rStyle w:val="FootnoteAnchor"/>
          <w:rtl w:val="true"/>
        </w:rPr>
        <w:footnoteReference w:id="723"/>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724"/>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725"/>
      </w:r>
      <w:r>
        <w:rPr>
          <w:rFonts w:ascii="Amiri" w:hAnsi="Amiri" w:eastAsia="Amiri" w:cs="Amiri"/>
          <w:color w:val="111111"/>
          <w:sz w:val="28"/>
          <w:sz w:val="28"/>
          <w:szCs w:val="28"/>
          <w:rtl w:val="true"/>
          <w:lang w:bidi="ar-SA"/>
        </w:rPr>
        <w:t>، والبحرانيُّ صاحب الحدائق قدس سره</w:t>
      </w:r>
      <w:r>
        <w:rPr>
          <w:rStyle w:val="FootnoteAnchor"/>
          <w:rtl w:val="true"/>
        </w:rPr>
        <w:footnoteReference w:id="726"/>
      </w:r>
      <w:r>
        <w:rPr>
          <w:rFonts w:ascii="Amiri" w:hAnsi="Amiri" w:eastAsia="Amiri" w:cs="Amiri"/>
          <w:color w:val="111111"/>
          <w:sz w:val="28"/>
          <w:sz w:val="28"/>
          <w:szCs w:val="28"/>
          <w:rtl w:val="true"/>
          <w:lang w:bidi="ar-SA"/>
        </w:rPr>
        <w:t>، وفي حدائقه</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وادَّعىٰ المحقِّق العامليُّ قدس سره ثبوتَ الإجماع عليه</w:t>
      </w:r>
      <w:r>
        <w:rPr>
          <w:rStyle w:val="FootnoteAnchor"/>
          <w:rtl w:val="true"/>
        </w:rPr>
        <w:footnoteReference w:id="728"/>
      </w:r>
      <w:r>
        <w:rPr>
          <w:rFonts w:ascii="Amiri" w:hAnsi="Amiri" w:eastAsia="Amiri" w:cs="Amiri"/>
          <w:color w:val="111111"/>
          <w:sz w:val="28"/>
          <w:sz w:val="28"/>
          <w:szCs w:val="28"/>
          <w:rtl w:val="true"/>
          <w:lang w:bidi="ar-SA"/>
        </w:rPr>
        <w:t>، والمخالف فيه شاذٌّ نادرٌ، كالشَّيخ عبَّاس آل كاشف الغطاء قدس سره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المرويَة عن أهل البيت عليهم السلام في ما أوقفوه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لاتُباعُ ولاتُوهَبُ ولاتُورثُ حتَّىٰ يرثَها اللَّه الَّذي يرِثُ السَّمواتِ والأرضَ‌</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ولاتُنافي سيرتُهم الوقفَ المؤقَّت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يساوي فكَّ المِلْك، وبعد الفكِّ هذا لامعنىٰ لرجوع الواقف إلى مالِه؛ كما أنَّ ثاني الشَّهيدَين قدس سرهما</w:t>
      </w:r>
      <w:r>
        <w:rPr>
          <w:rStyle w:val="FootnoteAnchor"/>
          <w:rtl w:val="true"/>
        </w:rPr>
        <w:footnoteReference w:id="732"/>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733"/>
      </w:r>
      <w:r>
        <w:rPr>
          <w:rFonts w:ascii="Amiri" w:hAnsi="Amiri" w:eastAsia="Amiri" w:cs="Amiri"/>
          <w:color w:val="111111"/>
          <w:sz w:val="28"/>
          <w:sz w:val="28"/>
          <w:szCs w:val="28"/>
          <w:rtl w:val="true"/>
          <w:lang w:bidi="ar-SA"/>
        </w:rPr>
        <w:t>، والشَّيخ عبَّاس قدس سره أيضًا</w:t>
      </w:r>
      <w:r>
        <w:rPr>
          <w:rStyle w:val="FootnoteAnchor"/>
          <w:rtl w:val="true"/>
        </w:rPr>
        <w:footnoteReference w:id="734"/>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735"/>
      </w:r>
      <w:r>
        <w:rPr>
          <w:rFonts w:ascii="Amiri" w:hAnsi="Amiri" w:eastAsia="Amiri" w:cs="Amiri"/>
          <w:color w:val="111111"/>
          <w:sz w:val="28"/>
          <w:sz w:val="28"/>
          <w:szCs w:val="28"/>
          <w:rtl w:val="true"/>
          <w:lang w:bidi="ar-SA"/>
        </w:rPr>
        <w:t>، والمحقِّق القزوينيُّ قدس سره</w:t>
      </w:r>
      <w:r>
        <w:rPr>
          <w:rStyle w:val="FootnoteAnchor"/>
          <w:rtl w:val="true"/>
        </w:rPr>
        <w:footnoteReference w:id="736"/>
      </w:r>
      <w:r>
        <w:rPr>
          <w:rFonts w:ascii="Amiri" w:hAnsi="Amiri" w:eastAsia="Amiri" w:cs="Amiri"/>
          <w:color w:val="111111"/>
          <w:sz w:val="28"/>
          <w:sz w:val="28"/>
          <w:szCs w:val="28"/>
          <w:rtl w:val="true"/>
          <w:lang w:bidi="ar-SA"/>
        </w:rPr>
        <w:t xml:space="preserve">أشاروا إلى أنَّ الوقف يساويه؛ </w:t>
      </w:r>
    </w:p>
    <w:p>
      <w:pPr>
        <w:pStyle w:val="BookText"/>
        <w:rPr/>
      </w:pPr>
      <w:r>
        <w:rPr>
          <w:rFonts w:ascii="Amiri" w:hAnsi="Amiri" w:eastAsia="Amiri" w:cs="Amiri"/>
          <w:color w:val="111111"/>
          <w:sz w:val="28"/>
          <w:sz w:val="28"/>
          <w:szCs w:val="28"/>
          <w:rtl w:val="true"/>
          <w:lang w:bidi="ar-SA"/>
        </w:rPr>
        <w:t>وذهب المحقِّق الأصفهانيُّ قدس سره إلى أنَّ الفكَّ يُلازِم الوقف وليس بحقيقته</w:t>
      </w:r>
      <w:r>
        <w:rPr>
          <w:rStyle w:val="FootnoteAnchor"/>
          <w:rtl w:val="true"/>
        </w:rPr>
        <w:footnoteReference w:id="737"/>
      </w:r>
      <w:r>
        <w:rPr>
          <w:rFonts w:ascii="Amiri" w:hAnsi="Amiri" w:eastAsia="Amiri" w:cs="Amiri"/>
          <w:color w:val="111111"/>
          <w:sz w:val="28"/>
          <w:sz w:val="28"/>
          <w:szCs w:val="28"/>
          <w:rtl w:val="true"/>
          <w:lang w:bidi="ar-SA"/>
        </w:rPr>
        <w:t>والتَّفصيل فيه خارجٌ عن وضع هذه الوجيزه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يجري فيه فَكُّ المِلْك، فهو وقفُ أبدٍ لاأمَدَ فيه للوقف، وهذا القسم لايُلائم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لافكَّ فيه عن ملكيَّة المالك، وهو يلائم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نصَّ عليه السلَّار قدس سره</w:t>
      </w:r>
      <w:r>
        <w:rPr>
          <w:rStyle w:val="FootnoteAnchor"/>
          <w:rtl w:val="true"/>
        </w:rPr>
        <w:footnoteReference w:id="738"/>
      </w:r>
      <w:r>
        <w:rPr>
          <w:rFonts w:ascii="Amiri" w:hAnsi="Amiri" w:eastAsia="Amiri" w:cs="Amiri"/>
          <w:color w:val="111111"/>
          <w:sz w:val="28"/>
          <w:sz w:val="28"/>
          <w:szCs w:val="28"/>
          <w:rtl w:val="true"/>
          <w:lang w:bidi="ar-SA"/>
        </w:rPr>
        <w:t>، والسَّيِّد الفقيه الخوئيُّ قدس سره</w:t>
      </w:r>
      <w:r>
        <w:rPr>
          <w:rStyle w:val="FootnoteAnchor"/>
          <w:rtl w:val="true"/>
        </w:rPr>
        <w:footnoteReference w:id="739"/>
      </w:r>
      <w:r>
        <w:rPr>
          <w:rFonts w:ascii="Amiri" w:hAnsi="Amiri" w:eastAsia="Amiri" w:cs="Amiri"/>
          <w:color w:val="111111"/>
          <w:sz w:val="28"/>
          <w:sz w:val="28"/>
          <w:szCs w:val="28"/>
          <w:rtl w:val="true"/>
          <w:lang w:bidi="ar-SA"/>
        </w:rPr>
        <w:t>واختار صاحب الجواهر قدس سره أنَّ الثَّاني ليس بوقفٍ‌، بل هو حبسٌ‌</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إذا ضَمَمنا إلى ذلك ما أشرنا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الوقف حسب ما يوقِفُه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 جليًّا أنَّ للواقف أن يوقف حسب الثَّاني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ليس فيه فكُّ الموقوف عن ملكيَّة واقفه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الصفَّار كالنَّصِّ في جواز التَّوقيت فيه، وعلَّلَ الإمامُ عليه السلام فيها قولَه بأنَّ الوقف تابعٌ لما يريدُ واقفُه؛ ونصُّ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صحَّحها المامقانيُّ قدس سره</w:t>
      </w:r>
      <w:r>
        <w:rPr>
          <w:rStyle w:val="FootnoteAnchor"/>
          <w:rtl w:val="true"/>
        </w:rPr>
        <w:footnoteReference w:id="74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والخوانساريُّ قدس سره</w:t>
      </w:r>
      <w:r>
        <w:rPr>
          <w:rStyle w:val="FootnoteAnchor"/>
          <w:rtl w:val="true"/>
        </w:rPr>
        <w:footnoteReference w:id="743"/>
      </w:r>
      <w:r>
        <w:rPr>
          <w:rFonts w:ascii="Amiri" w:hAnsi="Amiri" w:eastAsia="Amiri" w:cs="Amiri"/>
          <w:color w:val="111111"/>
          <w:sz w:val="28"/>
          <w:sz w:val="28"/>
          <w:szCs w:val="28"/>
          <w:rtl w:val="true"/>
          <w:lang w:bidi="ar-SA"/>
        </w:rPr>
        <w:t>، والفقيه السَّبزواريُّ قدس سره</w:t>
      </w:r>
      <w:r>
        <w:rPr>
          <w:rStyle w:val="FootnoteAnchor"/>
          <w:rtl w:val="true"/>
        </w:rPr>
        <w:footnoteReference w:id="744"/>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 أسألُه عن الوقف الَّذي يصحُّ‌، كيف هو؟، فقد رُوِي أنَّ الوقف إذا كان غير مؤقَّتٍ فهو باطلٌ مردودٌ علىٰ الورثة، وإذا كان مؤقَّتًا فهو صحيحٌ ممضي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بحسَب ما يوقفها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رواها الشَّيخ قدس سره في الاِستبصار</w:t>
      </w:r>
      <w:r>
        <w:rPr>
          <w:rStyle w:val="FootnoteAnchor"/>
          <w:rtl w:val="true"/>
        </w:rPr>
        <w:footnoteReference w:id="745"/>
      </w:r>
      <w:r>
        <w:rPr>
          <w:rFonts w:ascii="Amiri" w:hAnsi="Amiri" w:eastAsia="Amiri" w:cs="Amiri"/>
          <w:color w:val="111111"/>
          <w:sz w:val="28"/>
          <w:sz w:val="28"/>
          <w:szCs w:val="28"/>
          <w:rtl w:val="true"/>
          <w:lang w:bidi="ar-SA"/>
        </w:rPr>
        <w:t>، والتَّهذيب</w:t>
      </w:r>
      <w:r>
        <w:rPr>
          <w:rStyle w:val="FootnoteAnchor"/>
          <w:rtl w:val="true"/>
        </w:rPr>
        <w:footnoteReference w:id="746"/>
      </w:r>
      <w:r>
        <w:rPr>
          <w:rFonts w:ascii="Amiri" w:hAnsi="Amiri" w:eastAsia="Amiri" w:cs="Amiri"/>
          <w:color w:val="111111"/>
          <w:sz w:val="28"/>
          <w:sz w:val="28"/>
          <w:szCs w:val="28"/>
          <w:rtl w:val="true"/>
          <w:lang w:bidi="ar-SA"/>
        </w:rPr>
        <w:t>، والفيضُ قدس سره</w:t>
      </w:r>
      <w:r>
        <w:rPr>
          <w:rStyle w:val="FootnoteAnchor"/>
          <w:rtl w:val="true"/>
        </w:rPr>
        <w:footnoteReference w:id="747"/>
      </w:r>
      <w:r>
        <w:rPr>
          <w:rFonts w:ascii="Amiri" w:hAnsi="Amiri" w:eastAsia="Amiri" w:cs="Amiri"/>
          <w:color w:val="111111"/>
          <w:sz w:val="28"/>
          <w:sz w:val="28"/>
          <w:szCs w:val="28"/>
          <w:rtl w:val="true"/>
          <w:lang w:bidi="ar-SA"/>
        </w:rPr>
        <w:t>، والحُرُّ قدس سره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بالإجماع أيضًا</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كثرة الرِّوايات في الباب ووضوح استناد الُمجمِعينَ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اشتهر بين الأصحاب اشتراطُ التَّنجيز في العقود مطلقًا، ومنها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منصوصٌ به عند ابن داودٍ الحلِّي قدس سره</w:t>
      </w:r>
      <w:r>
        <w:rPr>
          <w:rStyle w:val="FootnoteAnchor"/>
          <w:rtl w:val="true"/>
        </w:rPr>
        <w:footnoteReference w:id="750"/>
      </w:r>
      <w:r>
        <w:rPr>
          <w:rFonts w:ascii="Amiri" w:hAnsi="Amiri" w:eastAsia="Amiri" w:cs="Amiri"/>
          <w:color w:val="111111"/>
          <w:sz w:val="28"/>
          <w:sz w:val="28"/>
          <w:szCs w:val="28"/>
          <w:rtl w:val="true"/>
          <w:lang w:bidi="ar-SA"/>
        </w:rPr>
        <w:t>، والعلَّامة قدس سره في إرشاده</w:t>
      </w:r>
      <w:r>
        <w:rPr>
          <w:rStyle w:val="FootnoteAnchor"/>
          <w:rtl w:val="true"/>
        </w:rPr>
        <w:footnoteReference w:id="751"/>
      </w:r>
      <w:r>
        <w:rPr>
          <w:rFonts w:ascii="Amiri" w:hAnsi="Amiri" w:eastAsia="Amiri" w:cs="Amiri"/>
          <w:color w:val="111111"/>
          <w:sz w:val="28"/>
          <w:sz w:val="28"/>
          <w:szCs w:val="28"/>
          <w:rtl w:val="true"/>
          <w:lang w:bidi="ar-SA"/>
        </w:rPr>
        <w:t>، وتلخيصه</w:t>
      </w:r>
      <w:r>
        <w:rPr>
          <w:rStyle w:val="FootnoteAnchor"/>
          <w:rtl w:val="true"/>
        </w:rPr>
        <w:footnoteReference w:id="7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 قدس سره</w:t>
      </w:r>
      <w:r>
        <w:rPr>
          <w:rStyle w:val="FootnoteAnchor"/>
          <w:rtl w:val="true"/>
        </w:rPr>
        <w:footnoteReference w:id="753"/>
      </w:r>
      <w:r>
        <w:rPr>
          <w:rFonts w:ascii="Amiri" w:hAnsi="Amiri" w:eastAsia="Amiri" w:cs="Amiri"/>
          <w:color w:val="111111"/>
          <w:sz w:val="28"/>
          <w:sz w:val="28"/>
          <w:szCs w:val="28"/>
          <w:rtl w:val="true"/>
          <w:lang w:bidi="ar-SA"/>
        </w:rPr>
        <w:t>، وابنِفهدٍ قدس سره</w:t>
      </w:r>
      <w:r>
        <w:rPr>
          <w:rStyle w:val="FootnoteAnchor"/>
          <w:rtl w:val="true"/>
        </w:rPr>
        <w:footnoteReference w:id="754"/>
      </w:r>
      <w:r>
        <w:rPr>
          <w:rFonts w:ascii="Amiri" w:hAnsi="Amiri" w:eastAsia="Amiri" w:cs="Amiri"/>
          <w:color w:val="111111"/>
          <w:sz w:val="28"/>
          <w:sz w:val="28"/>
          <w:szCs w:val="28"/>
          <w:rtl w:val="true"/>
          <w:lang w:bidi="ar-SA"/>
        </w:rPr>
        <w:t>، والبحرانيِّ قدس سره</w:t>
      </w:r>
      <w:r>
        <w:rPr>
          <w:rStyle w:val="FootnoteAnchor"/>
          <w:rtl w:val="true"/>
        </w:rPr>
        <w:footnoteReference w:id="75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الإنشاء من الإيجاديَّات،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واقعٌ‌،</w:t>
      </w:r>
    </w:p>
    <w:p>
      <w:pPr>
        <w:pStyle w:val="BookText"/>
        <w:rPr/>
      </w:pPr>
      <w:r>
        <w:rPr>
          <w:rFonts w:ascii="Amiri" w:hAnsi="Amiri" w:eastAsia="Amiri" w:cs="Amiri"/>
          <w:color w:val="111111"/>
          <w:sz w:val="28"/>
          <w:sz w:val="28"/>
          <w:szCs w:val="28"/>
          <w:rtl w:val="true"/>
          <w:lang w:bidi="ar-SA"/>
        </w:rPr>
        <w:t>وإمَّا غير واقعٍ‌،</w:t>
      </w:r>
    </w:p>
    <w:p>
      <w:pPr>
        <w:pStyle w:val="BookText"/>
        <w:rPr/>
      </w:pPr>
      <w:r>
        <w:rPr>
          <w:rFonts w:ascii="Amiri" w:hAnsi="Amiri" w:eastAsia="Amiri" w:cs="Amiri"/>
          <w:color w:val="111111"/>
          <w:sz w:val="28"/>
          <w:sz w:val="28"/>
          <w:szCs w:val="28"/>
          <w:rtl w:val="true"/>
          <w:lang w:bidi="ar-SA"/>
        </w:rPr>
        <w:t>فالإشتراط فيه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بمحالٍ‌، حيث إنَّ التَّعليق في المُنشَأ، لا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في التَّكوينيَّات محالٌ‌، أمَّا في الإعتباريَّات فلاإشكال في التَّعليق فيها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فالإنشاء والإخبار من الإعتباريَّات وقد وقع فيه التَّعليقُ كثيرًا؛ كما أنَّ النَّذرَ والعهد والقسَمَ يجري علىٰ التَّعليق، كما 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زيدٌ إن جاء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إلَّاعلىٰ أسلوب التَّعليق؛ وفاقًا لبعضهم، كالفاضل المقداد قدس سره، حيث اختار صحَّة التَّعليق علىٰ ما هو حاصلٌ أو هو عالِمٌ بوقوعه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صاحب الجواهر قدس سره</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الأدلَّة هو التَّنجيز، لا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أجمع الأصحاب علىٰ التَّنجيز في الوقف وبطلان التَّعليق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ظهورًا للرِّوايات والأدلَّة يدلُّ علىٰ بطلان التَّعليق، فإنْ وجدتَه أنتَ فاعمَلْ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المُدَّعىٰ في المقام ليس بإجماعٍ أصلًا، بل هو عدمُ وجدان الخلاف فقط؛ وهذا غير حجَّةٍ قطعًا بلاخلافٍ بين الأصحاب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اِتِّحاد الواقف والموقوف عليه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اشترطوا فيه أن لايكون الواقفُ نفسَ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أن يُوقِف شيئًا علىٰ نفسه، أو يجعل نفسَه شريكًا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مشهورٌ بين الأصحاب مسطورٌ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يُعبِّرون عنه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إخراجُه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عند المحقِّق قدس سره في شرائعه</w:t>
      </w:r>
      <w:r>
        <w:rPr>
          <w:rStyle w:val="FootnoteAnchor"/>
          <w:rtl w:val="true"/>
        </w:rPr>
        <w:footnoteReference w:id="759"/>
      </w:r>
      <w:r>
        <w:rPr>
          <w:rFonts w:ascii="IRNazanin" w:hAnsi="IRNazanin" w:eastAsia="IRNazanin"/>
          <w:color w:val="111111"/>
          <w:sz w:val="28"/>
          <w:sz w:val="28"/>
          <w:szCs w:val="28"/>
          <w:rtl w:val="true"/>
          <w:lang w:bidi="fa-IR"/>
        </w:rPr>
        <w:t>، ومختصره</w:t>
      </w:r>
      <w:r>
        <w:rPr>
          <w:rStyle w:val="FootnoteAnchor"/>
          <w:rtl w:val="true"/>
        </w:rPr>
        <w:footnoteReference w:id="760"/>
      </w:r>
      <w:r>
        <w:rPr>
          <w:rFonts w:ascii="Amiri" w:hAnsi="Amiri" w:eastAsia="Amiri" w:cs="Amiri"/>
          <w:color w:val="111111"/>
          <w:sz w:val="28"/>
          <w:sz w:val="28"/>
          <w:szCs w:val="28"/>
          <w:rtl w:val="true"/>
          <w:lang w:bidi="ar-SA"/>
        </w:rPr>
        <w:t>، والعلَّامة قدس سره في إرشاده</w:t>
      </w:r>
      <w:r>
        <w:rPr>
          <w:rStyle w:val="FootnoteAnchor"/>
          <w:rtl w:val="true"/>
        </w:rPr>
        <w:footnoteReference w:id="761"/>
      </w:r>
      <w:r>
        <w:rPr>
          <w:rFonts w:ascii="IRNazanin" w:hAnsi="IRNazanin" w:eastAsia="IRNazanin"/>
          <w:color w:val="111111"/>
          <w:sz w:val="28"/>
          <w:sz w:val="28"/>
          <w:szCs w:val="28"/>
          <w:rtl w:val="true"/>
          <w:lang w:bidi="fa-IR"/>
        </w:rPr>
        <w:t>، وتبصرته</w:t>
      </w:r>
      <w:r>
        <w:rPr>
          <w:rStyle w:val="FootnoteAnchor"/>
          <w:rtl w:val="true"/>
        </w:rPr>
        <w:footnoteReference w:id="762"/>
      </w:r>
      <w:r>
        <w:rPr>
          <w:rFonts w:ascii="IRNazanin" w:hAnsi="IRNazanin" w:eastAsia="IRNazanin"/>
          <w:color w:val="111111"/>
          <w:sz w:val="28"/>
          <w:sz w:val="28"/>
          <w:szCs w:val="28"/>
          <w:rtl w:val="true"/>
          <w:lang w:bidi="fa-IR"/>
        </w:rPr>
        <w:t>، وقواعده</w:t>
      </w:r>
      <w:r>
        <w:rPr>
          <w:rStyle w:val="FootnoteAnchor"/>
          <w:rtl w:val="true"/>
        </w:rPr>
        <w:footnoteReference w:id="763"/>
      </w:r>
      <w:r>
        <w:rPr>
          <w:rFonts w:ascii="Amiri" w:hAnsi="Amiri" w:eastAsia="Amiri" w:cs="Amiri"/>
          <w:color w:val="111111"/>
          <w:sz w:val="28"/>
          <w:sz w:val="28"/>
          <w:szCs w:val="28"/>
          <w:rtl w:val="true"/>
          <w:lang w:bidi="ar-SA"/>
        </w:rPr>
        <w:t>، والشَّهيد قدس سره في دروسه</w:t>
      </w:r>
      <w:r>
        <w:rPr>
          <w:rStyle w:val="FootnoteAnchor"/>
          <w:rtl w:val="true"/>
        </w:rPr>
        <w:footnoteReference w:id="764"/>
      </w:r>
      <w:r>
        <w:rPr>
          <w:rFonts w:ascii="IRNazanin" w:hAnsi="IRNazanin" w:eastAsia="IRNazanin"/>
          <w:color w:val="111111"/>
          <w:sz w:val="28"/>
          <w:sz w:val="28"/>
          <w:szCs w:val="28"/>
          <w:rtl w:val="true"/>
          <w:lang w:bidi="fa-IR"/>
        </w:rPr>
        <w:t>، ولمعته</w:t>
      </w:r>
      <w:r>
        <w:rPr>
          <w:rStyle w:val="FootnoteAnchor"/>
          <w:rtl w:val="true"/>
        </w:rPr>
        <w:footnoteReference w:id="765"/>
      </w:r>
      <w:r>
        <w:rPr>
          <w:rFonts w:ascii="Amiri" w:hAnsi="Amiri" w:eastAsia="Amiri" w:cs="Amiri"/>
          <w:color w:val="111111"/>
          <w:sz w:val="28"/>
          <w:sz w:val="28"/>
          <w:szCs w:val="28"/>
          <w:rtl w:val="true"/>
          <w:lang w:bidi="ar-SA"/>
        </w:rPr>
        <w:t>، والقطَّان قدس سره</w:t>
      </w:r>
      <w:r>
        <w:rPr>
          <w:rStyle w:val="FootnoteAnchor"/>
          <w:rtl w:val="true"/>
        </w:rPr>
        <w:footnoteReference w:id="766"/>
      </w:r>
      <w:r>
        <w:rPr>
          <w:rFonts w:ascii="Amiri" w:hAnsi="Amiri" w:eastAsia="Amiri" w:cs="Amiri"/>
          <w:color w:val="111111"/>
          <w:sz w:val="28"/>
          <w:sz w:val="28"/>
          <w:szCs w:val="28"/>
          <w:rtl w:val="true"/>
          <w:lang w:bidi="ar-SA"/>
        </w:rPr>
        <w:t xml:space="preserve">، وابنِطيٍّ‌ </w:t>
      </w:r>
    </w:p>
    <w:p>
      <w:pPr>
        <w:pStyle w:val="BookText"/>
        <w:rPr/>
      </w:pPr>
      <w:r>
        <w:rPr>
          <w:rFonts w:ascii="Amiri" w:hAnsi="Amiri" w:eastAsia="Amiri" w:cs="Amiri"/>
          <w:color w:val="111111"/>
          <w:sz w:val="28"/>
          <w:sz w:val="28"/>
          <w:szCs w:val="28"/>
          <w:rtl w:val="true"/>
          <w:lang w:bidi="ar-SA"/>
        </w:rPr>
        <w:t>الفَقعانيِّ قدس سره</w:t>
      </w:r>
      <w:r>
        <w:rPr>
          <w:rStyle w:val="FootnoteAnchor"/>
          <w:rtl w:val="true"/>
        </w:rPr>
        <w:footnoteReference w:id="767"/>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768"/>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769"/>
      </w:r>
      <w:r>
        <w:rPr>
          <w:rFonts w:ascii="Amiri" w:hAnsi="Amiri" w:eastAsia="Amiri" w:cs="Amiri"/>
          <w:color w:val="111111"/>
          <w:sz w:val="28"/>
          <w:sz w:val="28"/>
          <w:szCs w:val="28"/>
          <w:rtl w:val="true"/>
          <w:lang w:bidi="ar-SA"/>
        </w:rPr>
        <w:t>، والبحرانيِّ قدس سره</w:t>
      </w:r>
      <w:r>
        <w:rPr>
          <w:rStyle w:val="FootnoteAnchor"/>
          <w:rtl w:val="true"/>
        </w:rPr>
        <w:footnoteReference w:id="770"/>
      </w:r>
      <w:r>
        <w:rPr>
          <w:rFonts w:ascii="Amiri" w:hAnsi="Amiri" w:eastAsia="Amiri" w:cs="Amiri"/>
          <w:color w:val="111111"/>
          <w:sz w:val="28"/>
          <w:sz w:val="28"/>
          <w:szCs w:val="28"/>
          <w:rtl w:val="true"/>
          <w:lang w:bidi="ar-SA"/>
        </w:rPr>
        <w:t>، وكاشف الغطاء قدس سره</w:t>
      </w:r>
      <w:r>
        <w:rPr>
          <w:rStyle w:val="FootnoteAnchor"/>
          <w:rtl w:val="true"/>
        </w:rPr>
        <w:footnoteReference w:id="771"/>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حكاه المقداد قدس سره</w:t>
      </w:r>
      <w:r>
        <w:rPr>
          <w:rStyle w:val="FootnoteAnchor"/>
          <w:rtl w:val="true"/>
        </w:rPr>
        <w:footnoteReference w:id="772"/>
      </w:r>
      <w:r>
        <w:rPr>
          <w:rFonts w:ascii="Amiri" w:hAnsi="Amiri" w:eastAsia="Amiri" w:cs="Amiri"/>
          <w:color w:val="111111"/>
          <w:sz w:val="28"/>
          <w:sz w:val="28"/>
          <w:szCs w:val="28"/>
          <w:rtl w:val="true"/>
          <w:lang w:bidi="ar-SA"/>
        </w:rPr>
        <w:t>، والبحرانيُّ قدس سره</w:t>
      </w:r>
      <w:r>
        <w:rPr>
          <w:rStyle w:val="FootnoteAnchor"/>
          <w:rtl w:val="true"/>
        </w:rPr>
        <w:footnoteReference w:id="773"/>
      </w:r>
      <w:r>
        <w:rPr>
          <w:rFonts w:ascii="Amiri" w:hAnsi="Amiri" w:eastAsia="Amiri" w:cs="Amiri"/>
          <w:color w:val="111111"/>
          <w:sz w:val="28"/>
          <w:sz w:val="28"/>
          <w:szCs w:val="28"/>
          <w:rtl w:val="true"/>
          <w:lang w:bidi="ar-SA"/>
        </w:rPr>
        <w:t>، والفقيه الطَّباطبائيُّ قدس سره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تحصيلٌ للحاصل</w:t>
      </w:r>
      <w:r>
        <w:rPr>
          <w:rStyle w:val="FootnoteAnchor"/>
          <w:rtl w:val="true"/>
        </w:rPr>
        <w:footnoteReference w:id="775"/>
      </w:r>
      <w:r>
        <w:rPr>
          <w:rFonts w:ascii="Amiri" w:hAnsi="Amiri" w:eastAsia="Amiri" w:cs="Amiri"/>
          <w:color w:val="111111"/>
          <w:sz w:val="28"/>
          <w:sz w:val="28"/>
          <w:szCs w:val="28"/>
          <w:rtl w:val="true"/>
          <w:lang w:bidi="ar-SA"/>
        </w:rPr>
        <w:t>لأنَّ منفعةَ الوقف قبلَه كانتْ للواقف، فلووقف علىٰ نفسه كانت المنفعةُ بعده أيضًا له، وهذا ليس إلَّاتحصيلًا لما هو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عبَّر عنه المحقِّق العامِليُّ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لايُقبَل تمليك الإنسان نفسَه مالَ نفسِه</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777"/>
      </w:r>
      <w:r>
        <w:rPr>
          <w:rFonts w:ascii="Amiri" w:hAnsi="Amiri" w:eastAsia="Amiri" w:cs="Amiri"/>
          <w:color w:val="111111"/>
          <w:sz w:val="28"/>
          <w:sz w:val="28"/>
          <w:szCs w:val="28"/>
          <w:rtl w:val="true"/>
          <w:lang w:bidi="ar-SA"/>
        </w:rPr>
        <w:t>، وشارح المفاتيح قدس سره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أوردها الشَّيخُ الحرُّ قدس سره في الباب الثَّالث من أبواب الوقف</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في جميع أدلَّتهم نظرٌ؛ 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والإجماع بعد ثبوت الرِّوايات وتمسُّكِ الأصحاب بها ليستْ بحجَّةٍ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تحصيل ما هو الحاصل لاضيرَ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فائدة الوقف حينئذٍ عدم قدرة الواقف علىٰ إنتقال الموقوف إلى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أو هِبةٍ‌، أو ما يماثلهما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داعٍ عُقَلائيٌّ يتَّفقُ كثيرًا لكثيرٍ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الفائدة تُصحَّح منفعةُ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الباب لاتدلُّ علىٰ مقصودهم، بل دلالتها علىٰ الجواز أوفىٰ من دلالتها علىٰ عدم الجواز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عندنا صحَّةُ الوقف علىٰ النَّفس، أو علىٰ جمعٍ هو فيهم ومنهم؛ وفاقًا لبعضهم، كثاني الشَّهيدَين قدس سرهما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معيَّنًا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الفقهاء أنَّ الوقف كسائر العقود لابدَّ من أن يكون معيَّنًا بحسب الموقوف عليه، وبحسب الوقف، وبحسب ما يُوقَف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يُصرَف فيه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خصَّه المحقِّق قدس سره بالموقوف عليه فقط، فالتَّعيين عنده ليس شرطًا في غيره</w:t>
      </w:r>
      <w:r>
        <w:rPr>
          <w:rStyle w:val="FootnoteAnchor"/>
          <w:rtl w:val="true"/>
        </w:rPr>
        <w:footnoteReference w:id="7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كالعلَّامة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لايُشتَرَط في صحَّة الوقف التَّعيينُ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لوأمكن تعيينُه بعد جريان عقد الوقف بقول الواقف، أو بالقُرعة بين الموارد المشتَبَهة الَّتي يمكن أن تكون موردًا له، أو بالتَّخيير، أو بحكم الحاكم فلادليل علىٰ بطلانه بمجرَّد عدم تعيينه قبل جريان الصِّيغة؛ وقد مرَّ منا أنَّه لادليل علىٰ بطلان العقد بالجهل به إلَّاقول المعصوم عليه السلام الحاكي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عن بيع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وهو غير تامٍّ من جهاتٍ عدَّةٍ‌، وقد فرغنا عن البحث عنه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لايكون الوقفُ في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بينهم أيضًا أنَّ الوقف يجب أن لايكون في حرامٍ‌؛ فلوكان فيه، فهو فاسدٌ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 قدس سره</w:t>
      </w:r>
      <w:r>
        <w:rPr>
          <w:rStyle w:val="FootnoteAnchor"/>
          <w:rtl w:val="true"/>
        </w:rPr>
        <w:footnoteReference w:id="784"/>
      </w:r>
      <w:r>
        <w:rPr>
          <w:rFonts w:ascii="Amiri" w:hAnsi="Amiri" w:eastAsia="Amiri" w:cs="Amiri"/>
          <w:color w:val="111111"/>
          <w:sz w:val="28"/>
          <w:sz w:val="28"/>
          <w:szCs w:val="28"/>
          <w:rtl w:val="true"/>
          <w:lang w:bidi="ar-SA"/>
        </w:rPr>
        <w:t>، والبحرانيِّ قدس سره</w:t>
      </w:r>
      <w:r>
        <w:rPr>
          <w:rStyle w:val="FootnoteAnchor"/>
          <w:rtl w:val="true"/>
        </w:rPr>
        <w:footnoteReference w:id="785"/>
      </w:r>
      <w:r>
        <w:rPr>
          <w:rFonts w:ascii="Amiri" w:hAnsi="Amiri" w:eastAsia="Amiri" w:cs="Amiri"/>
          <w:color w:val="111111"/>
          <w:sz w:val="28"/>
          <w:sz w:val="28"/>
          <w:szCs w:val="28"/>
          <w:rtl w:val="true"/>
          <w:lang w:bidi="ar-SA"/>
        </w:rPr>
        <w:t>، وصاحب الرِّياض قدس سره</w:t>
      </w:r>
      <w:r>
        <w:rPr>
          <w:rStyle w:val="FootnoteAnchor"/>
          <w:rtl w:val="true"/>
        </w:rPr>
        <w:footnoteReference w:id="786"/>
      </w:r>
      <w:r>
        <w:rPr>
          <w:rFonts w:ascii="Amiri" w:hAnsi="Amiri" w:eastAsia="Amiri" w:cs="Amiri"/>
          <w:color w:val="111111"/>
          <w:sz w:val="28"/>
          <w:sz w:val="28"/>
          <w:szCs w:val="28"/>
          <w:rtl w:val="true"/>
          <w:lang w:bidi="ar-SA"/>
        </w:rPr>
        <w:t>، وكاشف الغطاء قدس سره</w:t>
      </w:r>
      <w:r>
        <w:rPr>
          <w:rStyle w:val="FootnoteAnchor"/>
          <w:rtl w:val="true"/>
        </w:rPr>
        <w:footnoteReference w:id="787"/>
      </w:r>
      <w:r>
        <w:rPr>
          <w:rFonts w:ascii="Amiri" w:hAnsi="Amiri" w:eastAsia="Amiri" w:cs="Amiri"/>
          <w:color w:val="111111"/>
          <w:sz w:val="28"/>
          <w:sz w:val="28"/>
          <w:szCs w:val="28"/>
          <w:rtl w:val="true"/>
          <w:lang w:bidi="ar-SA"/>
        </w:rPr>
        <w:t>، والعلَّامة قدس سره</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وقف دارَه لأنَّ تُعمَل فيها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مثلًا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عليه بأنَّ العقد حينئذٍ مخالفٌ للكتاب والسُّنَّة، والعقد المخالفُ لهما باطلٌ‌ </w:t>
      </w:r>
    </w:p>
    <w:p>
      <w:pPr>
        <w:pStyle w:val="BookText"/>
        <w:rPr/>
      </w:pPr>
      <w:r>
        <w:rPr>
          <w:rFonts w:ascii="Amiri" w:hAnsi="Amiri" w:eastAsia="Amiri" w:cs="Amiri"/>
          <w:color w:val="111111"/>
          <w:sz w:val="28"/>
          <w:sz w:val="28"/>
          <w:szCs w:val="28"/>
          <w:rtl w:val="true"/>
          <w:lang w:bidi="ar-SA"/>
        </w:rPr>
        <w:t>قطعًا، فهذا الوقف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لاكلام في هذا الشَّرط قطعًا؛ 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الفقهيَّة؛</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الأصحاب؛</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الآيات والرِّوايات الواردة في هذا المضمار المُشيرة إلى فساد الشَّرط إذا كان مخالفًا لهما</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الشرائط الَّتي يدلُّ عليها العقلُ وبناء العقلاء، ثمَّ أمضاه الشَّارع، لأنَّ للعقلاء بما هم العقلاءُ محرَّماتٍ ومحلَّلاتٍ‌، والعقد الَّذي يحرم عندهم منهيٌّ عنه عندهم أيضًا، فهو فاسدٌ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لايكون الوقف لهوًا ولعبًا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منه ما هو المشهور بين القوم من أنَّه يُشتَرَط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جميع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لهوًا ولعبًا صرفًا من دون داعٍ عَقلانيٍّ‌؛ بل يجب أن يكون في الوقف داعٍ من الدَّواعي العُقَلائيَّة ممَّا يُنتَفَع به؛ قال ثاني المحقِّقَين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منفعةٌ مقصودةٌ عرفًا، فلايُعتَدُّ بالنَّفع اليسير الَّذي لايُعتَدُّ بمثله في العادة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فلووقف داره علىٰ أن تبقىٰ حتَّى تخربَ رغمًا لأنفِ الورثة مثلًا لايصحُّ هذا الوقفُ‌</w:t>
      </w:r>
      <w:r>
        <w:rPr>
          <w:rFonts w:eastAsia="Amiri" w:cs="Amiri" w:ascii="Amiri" w:hAnsi="Amiri"/>
          <w:color w:val="111111"/>
          <w:sz w:val="28"/>
          <w:szCs w:val="28"/>
          <w:rtl w:val="true"/>
          <w:lang w:bidi="ar-SA"/>
        </w:rPr>
        <w:t xml:space="preserve">. </w:t>
      </w:r>
      <w:bookmarkStart w:id="192" w:name="pg20337_261475"/>
    </w:p>
    <w:p>
      <w:pPr>
        <w:pStyle w:val="BookText"/>
        <w:rPr/>
      </w:pPr>
      <w:bookmarkEnd w:id="192"/>
      <w:r>
        <w:rPr>
          <w:rFonts w:ascii="Amiri" w:hAnsi="Amiri" w:eastAsia="Amiri" w:cs="Amiri"/>
          <w:color w:val="111111"/>
          <w:sz w:val="28"/>
          <w:sz w:val="28"/>
          <w:szCs w:val="28"/>
          <w:rtl w:val="true"/>
          <w:lang w:bidi="ar-SA"/>
        </w:rPr>
        <w:t>وأمَّا ما اشتهر بين أهل الأوربا وأمريكا من أن يوقف المرءُ أموالَه علىٰ كلبه أو هرَّته أو أمثالهما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فالأقوىٰ عدم صحَّته، لأنَّه وإن كان صحيحًا عندهم بدعواهم وجود داعٍ عُقَلائيٍّ فيه، إلَّاأنَّه ليس مصداقًا للوقف، ولا للعقد عرفًا؛</w:t>
      </w:r>
    </w:p>
    <w:p>
      <w:pPr>
        <w:pStyle w:val="BookText"/>
        <w:rPr/>
      </w:pPr>
      <w:r>
        <w:rPr>
          <w:rFonts w:ascii="IRNazanin" w:hAnsi="IRNazanin" w:eastAsia="IRNazanin"/>
          <w:color w:val="111111"/>
          <w:sz w:val="28"/>
          <w:sz w:val="28"/>
          <w:szCs w:val="28"/>
          <w:rtl w:val="true"/>
          <w:lang w:bidi="fa-IR"/>
        </w:rPr>
        <w:t>فلاتشمله عموماتُ الوفاء بالعقد أصلًا</w:t>
      </w:r>
      <w:r>
        <w:rPr>
          <w:rFonts w:eastAsia="IRNazanin" w:cs="IRNazanin"/>
          <w:color w:val="111111"/>
          <w:sz w:val="28"/>
          <w:szCs w:val="28"/>
          <w:rtl w:val="true"/>
          <w:lang w:bidi="fa-IR"/>
        </w:rPr>
        <w:t>.</w:t>
      </w:r>
    </w:p>
    <w:p>
      <w:pPr>
        <w:pStyle w:val="Heading4"/>
        <w:numPr>
          <w:ilvl w:val="3"/>
          <w:numId w:val="1"/>
        </w:numPr>
        <w:rPr/>
      </w:pPr>
      <w:bookmarkStart w:id="193" w:name="__RefHeading___Toc11945034_1280447820"/>
      <w:bookmarkStart w:id="194" w:name="_Toc69"/>
      <w:bookmarkEnd w:id="193"/>
      <w:r>
        <w:rPr>
          <w:rtl w:val="true"/>
        </w:rPr>
        <w:t>التَّنبيه الخامس</w:t>
      </w:r>
      <w:r>
        <w:rPr>
          <w:rtl w:val="true"/>
        </w:rPr>
        <w:t>:</w:t>
      </w:r>
      <w:bookmarkEnd w:id="194"/>
    </w:p>
    <w:p>
      <w:pPr>
        <w:pStyle w:val="BookText"/>
        <w:rPr/>
      </w:pPr>
      <w:r>
        <w:rPr>
          <w:rFonts w:ascii="Amiri" w:hAnsi="Amiri" w:eastAsia="Amiri" w:cs="Amiri"/>
          <w:color w:val="111111"/>
          <w:sz w:val="28"/>
          <w:sz w:val="28"/>
          <w:szCs w:val="28"/>
          <w:rtl w:val="true"/>
          <w:lang w:bidi="ar-SA"/>
        </w:rPr>
        <w:t>في شرائط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اشترط الأصحابُ فيما يوقفه الواقفُ شروطًا سبعةً‌</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عينًا؛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فلايجوز وقفُ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الفيض قدس سره</w:t>
      </w:r>
      <w:r>
        <w:rPr>
          <w:rStyle w:val="FootnoteAnchor"/>
          <w:rtl w:val="true"/>
        </w:rPr>
        <w:footnoteReference w:id="792"/>
      </w:r>
      <w:r>
        <w:rPr>
          <w:rFonts w:ascii="IRNazanin" w:hAnsi="IRNazanin" w:eastAsia="IRNazanin"/>
          <w:color w:val="111111"/>
          <w:sz w:val="28"/>
          <w:sz w:val="28"/>
          <w:szCs w:val="28"/>
          <w:rtl w:val="true"/>
          <w:lang w:bidi="fa-IR"/>
        </w:rPr>
        <w:t>، وشارحه قدس سره</w:t>
      </w:r>
      <w:r>
        <w:rPr>
          <w:rStyle w:val="FootnoteAnchor"/>
          <w:rtl w:val="true"/>
        </w:rPr>
        <w:footnoteReference w:id="793"/>
      </w:r>
      <w:r>
        <w:rPr>
          <w:rFonts w:ascii="Amiri" w:hAnsi="Amiri" w:eastAsia="Amiri" w:cs="Amiri"/>
          <w:color w:val="111111"/>
          <w:sz w:val="28"/>
          <w:sz w:val="28"/>
          <w:szCs w:val="28"/>
          <w:rtl w:val="true"/>
          <w:lang w:bidi="ar-SA"/>
        </w:rPr>
        <w:t>، والطَّباطبائيِّ قدس سره</w:t>
      </w:r>
      <w:r>
        <w:rPr>
          <w:rStyle w:val="FootnoteAnchor"/>
          <w:rtl w:val="true"/>
        </w:rPr>
        <w:footnoteReference w:id="794"/>
      </w:r>
      <w:r>
        <w:rPr>
          <w:rFonts w:ascii="Amiri" w:hAnsi="Amiri" w:eastAsia="Amiri" w:cs="Amiri"/>
          <w:color w:val="111111"/>
          <w:sz w:val="28"/>
          <w:sz w:val="28"/>
          <w:szCs w:val="28"/>
          <w:rtl w:val="true"/>
          <w:lang w:bidi="ar-SA"/>
        </w:rPr>
        <w:t>، والسَّيِّد المجاهد قدس سره</w:t>
      </w:r>
      <w:r>
        <w:rPr>
          <w:rStyle w:val="FootnoteAnchor"/>
          <w:rtl w:val="true"/>
        </w:rPr>
        <w:footnoteReference w:id="795"/>
      </w:r>
      <w:r>
        <w:rPr>
          <w:rFonts w:ascii="Amiri" w:hAnsi="Amiri" w:eastAsia="Amiri" w:cs="Amiri"/>
          <w:color w:val="111111"/>
          <w:sz w:val="28"/>
          <w:sz w:val="28"/>
          <w:szCs w:val="28"/>
          <w:rtl w:val="true"/>
          <w:lang w:bidi="ar-SA"/>
        </w:rPr>
        <w:t>، والنَّراقي قدس سره</w:t>
      </w:r>
      <w:r>
        <w:rPr>
          <w:rStyle w:val="FootnoteAnchor"/>
          <w:rtl w:val="true"/>
        </w:rPr>
        <w:footnoteReference w:id="796"/>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797"/>
      </w:r>
      <w:r>
        <w:rPr>
          <w:rFonts w:ascii="Amiri" w:hAnsi="Amiri" w:eastAsia="Amiri" w:cs="Amiri"/>
          <w:color w:val="111111"/>
          <w:sz w:val="28"/>
          <w:sz w:val="28"/>
          <w:szCs w:val="28"/>
          <w:rtl w:val="true"/>
          <w:lang w:bidi="ar-SA"/>
        </w:rPr>
        <w:t>، والعلَّامة قدس سره</w:t>
      </w:r>
      <w:r>
        <w:rPr>
          <w:rStyle w:val="FootnoteAnchor"/>
          <w:rtl w:val="true"/>
        </w:rPr>
        <w:footnoteReference w:id="798"/>
      </w:r>
      <w:r>
        <w:rPr>
          <w:rFonts w:ascii="Amiri" w:hAnsi="Amiri" w:eastAsia="Amiri" w:cs="Amiri"/>
          <w:color w:val="111111"/>
          <w:sz w:val="28"/>
          <w:sz w:val="28"/>
          <w:szCs w:val="28"/>
          <w:rtl w:val="true"/>
          <w:lang w:bidi="ar-SA"/>
        </w:rPr>
        <w:t>، والشَّهيد قدس سره</w:t>
      </w:r>
      <w:r>
        <w:rPr>
          <w:rStyle w:val="FootnoteAnchor"/>
          <w:rtl w:val="true"/>
        </w:rPr>
        <w:footnoteReference w:id="799"/>
      </w:r>
      <w:r>
        <w:rPr>
          <w:rFonts w:ascii="Amiri" w:hAnsi="Amiri" w:eastAsia="Amiri" w:cs="Amiri"/>
          <w:color w:val="111111"/>
          <w:sz w:val="28"/>
          <w:sz w:val="28"/>
          <w:szCs w:val="28"/>
          <w:rtl w:val="true"/>
          <w:lang w:bidi="ar-SA"/>
        </w:rPr>
        <w:t>، والفقعاني قدس سره</w:t>
      </w:r>
      <w:r>
        <w:rPr>
          <w:rStyle w:val="FootnoteAnchor"/>
          <w:rtl w:val="true"/>
        </w:rPr>
        <w:footnoteReference w:id="800"/>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له البقاءُ‌؛</w:t>
      </w:r>
    </w:p>
    <w:p>
      <w:pPr>
        <w:pStyle w:val="BookText"/>
        <w:rPr/>
      </w:pPr>
      <w:r>
        <w:rPr>
          <w:rFonts w:ascii="Amiri" w:hAnsi="Amiri" w:eastAsia="Amiri" w:cs="Amiri"/>
          <w:color w:val="111111"/>
          <w:sz w:val="28"/>
          <w:sz w:val="28"/>
          <w:szCs w:val="28"/>
          <w:rtl w:val="true"/>
          <w:lang w:bidi="ar-SA"/>
        </w:rPr>
        <w:t xml:space="preserve">فلايجوز وقفُ المأكولات والمشروبات الَّتي لادوام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الفيض قدس سره</w:t>
      </w:r>
      <w:r>
        <w:rPr>
          <w:rStyle w:val="FootnoteAnchor"/>
          <w:rtl w:val="true"/>
        </w:rPr>
        <w:footnoteReference w:id="802"/>
      </w:r>
      <w:r>
        <w:rPr>
          <w:rFonts w:ascii="IRNazanin" w:hAnsi="IRNazanin" w:eastAsia="IRNazanin"/>
          <w:color w:val="111111"/>
          <w:sz w:val="28"/>
          <w:sz w:val="28"/>
          <w:szCs w:val="28"/>
          <w:rtl w:val="true"/>
          <w:lang w:bidi="fa-IR"/>
        </w:rPr>
        <w:t>، وشارحه قدس سره</w:t>
      </w:r>
      <w:r>
        <w:rPr>
          <w:rStyle w:val="FootnoteAnchor"/>
          <w:rtl w:val="true"/>
        </w:rPr>
        <w:footnoteReference w:id="803"/>
      </w:r>
      <w:r>
        <w:rPr>
          <w:rFonts w:ascii="Amiri" w:hAnsi="Amiri" w:eastAsia="Amiri" w:cs="Amiri"/>
          <w:color w:val="111111"/>
          <w:sz w:val="28"/>
          <w:sz w:val="28"/>
          <w:szCs w:val="28"/>
          <w:rtl w:val="true"/>
          <w:lang w:bidi="ar-SA"/>
        </w:rPr>
        <w:t>، والطَّباطبائيِّ قدس سره</w:t>
      </w:r>
      <w:r>
        <w:rPr>
          <w:rStyle w:val="FootnoteAnchor"/>
          <w:rtl w:val="true"/>
        </w:rPr>
        <w:footnoteReference w:id="804"/>
      </w:r>
      <w:r>
        <w:rPr>
          <w:rFonts w:ascii="Amiri" w:hAnsi="Amiri" w:eastAsia="Amiri" w:cs="Amiri"/>
          <w:color w:val="111111"/>
          <w:sz w:val="28"/>
          <w:sz w:val="28"/>
          <w:szCs w:val="28"/>
          <w:rtl w:val="true"/>
          <w:lang w:bidi="ar-SA"/>
        </w:rPr>
        <w:t>، والسَّيِّد المجاهد قدس سره</w:t>
      </w:r>
      <w:r>
        <w:rPr>
          <w:rStyle w:val="FootnoteAnchor"/>
          <w:rtl w:val="true"/>
        </w:rPr>
        <w:footnoteReference w:id="805"/>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806"/>
      </w:r>
      <w:r>
        <w:rPr>
          <w:rFonts w:ascii="Amiri" w:hAnsi="Amiri" w:eastAsia="Amiri" w:cs="Amiri"/>
          <w:color w:val="111111"/>
          <w:sz w:val="28"/>
          <w:sz w:val="28"/>
          <w:szCs w:val="28"/>
          <w:rtl w:val="true"/>
          <w:lang w:bidi="ar-SA"/>
        </w:rPr>
        <w:t>، والشَّيخ محمَّدحسين آل كاشف الغطاء قدس سره</w:t>
      </w:r>
      <w:r>
        <w:rPr>
          <w:rStyle w:val="FootnoteAnchor"/>
          <w:rtl w:val="true"/>
        </w:rPr>
        <w:footnoteReference w:id="807"/>
      </w:r>
      <w:r>
        <w:rPr>
          <w:rFonts w:ascii="Amiri" w:hAnsi="Amiri" w:eastAsia="Amiri" w:cs="Amiri"/>
          <w:color w:val="111111"/>
          <w:sz w:val="28"/>
          <w:sz w:val="28"/>
          <w:szCs w:val="28"/>
          <w:rtl w:val="true"/>
          <w:lang w:bidi="ar-SA"/>
        </w:rPr>
        <w:t>، والشَّهيد قدس سره</w:t>
      </w:r>
      <w:r>
        <w:rPr>
          <w:rStyle w:val="FootnoteAnchor"/>
          <w:rtl w:val="true"/>
        </w:rPr>
        <w:footnoteReference w:id="808"/>
      </w:r>
      <w:r>
        <w:rPr>
          <w:rFonts w:ascii="Amiri" w:hAnsi="Amiri" w:eastAsia="Amiri" w:cs="Amiri"/>
          <w:color w:val="111111"/>
          <w:sz w:val="28"/>
          <w:sz w:val="28"/>
          <w:szCs w:val="28"/>
          <w:rtl w:val="true"/>
          <w:lang w:bidi="ar-SA"/>
        </w:rPr>
        <w:t>، والفقعاني قدس سره</w:t>
      </w:r>
      <w:r>
        <w:rPr>
          <w:rStyle w:val="FootnoteAnchor"/>
          <w:rtl w:val="true"/>
        </w:rPr>
        <w:footnoteReference w:id="809"/>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لايكون فيه حقٌّ لغير الواقف؛</w:t>
      </w:r>
    </w:p>
    <w:p>
      <w:pPr>
        <w:pStyle w:val="BookText"/>
        <w:rPr/>
      </w:pPr>
      <w:r>
        <w:rPr>
          <w:rFonts w:ascii="Amiri" w:hAnsi="Amiri" w:eastAsia="Amiri" w:cs="Amiri"/>
          <w:color w:val="111111"/>
          <w:sz w:val="28"/>
          <w:sz w:val="28"/>
          <w:szCs w:val="28"/>
          <w:rtl w:val="true"/>
          <w:lang w:bidi="ar-SA"/>
        </w:rPr>
        <w:t>كالعين المرهونة، فلاوقف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عليها الكثيرون، وإن اختلفوا في التَّعبير؛ كتعبير بعضِهم عن الاِختيار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فانظر إلى ما ذكره المحقِّق قدس سره</w:t>
      </w:r>
      <w:r>
        <w:rPr>
          <w:rStyle w:val="FootnoteAnchor"/>
          <w:rtl w:val="true"/>
        </w:rPr>
        <w:footnoteReference w:id="811"/>
      </w:r>
      <w:r>
        <w:rPr>
          <w:rFonts w:ascii="Amiri" w:hAnsi="Amiri" w:eastAsia="Amiri" w:cs="Amiri"/>
          <w:color w:val="111111"/>
          <w:sz w:val="28"/>
          <w:sz w:val="28"/>
          <w:szCs w:val="28"/>
          <w:rtl w:val="true"/>
          <w:lang w:bidi="ar-SA"/>
        </w:rPr>
        <w:t>، والعلَّامة قدس سره</w:t>
      </w:r>
      <w:r>
        <w:rPr>
          <w:rStyle w:val="FootnoteAnchor"/>
          <w:rtl w:val="true"/>
        </w:rPr>
        <w:footnoteReference w:id="812"/>
      </w:r>
      <w:r>
        <w:rPr>
          <w:rFonts w:ascii="Amiri" w:hAnsi="Amiri" w:eastAsia="Amiri" w:cs="Amiri"/>
          <w:color w:val="111111"/>
          <w:sz w:val="28"/>
          <w:sz w:val="28"/>
          <w:szCs w:val="28"/>
          <w:rtl w:val="true"/>
          <w:lang w:bidi="ar-SA"/>
        </w:rPr>
        <w:t xml:space="preserve">، وثاني </w:t>
      </w:r>
    </w:p>
    <w:p>
      <w:pPr>
        <w:pStyle w:val="BookText"/>
        <w:rPr/>
      </w:pPr>
      <w:r>
        <w:rPr>
          <w:rFonts w:ascii="Amiri" w:hAnsi="Amiri" w:eastAsia="Amiri" w:cs="Amiri"/>
          <w:color w:val="111111"/>
          <w:sz w:val="28"/>
          <w:sz w:val="28"/>
          <w:szCs w:val="28"/>
          <w:rtl w:val="true"/>
          <w:lang w:bidi="ar-SA"/>
        </w:rPr>
        <w:t>الشَّهيدَين قدس سرهما في حاشيته علىٰ الشَّرائع</w:t>
      </w:r>
      <w:r>
        <w:rPr>
          <w:rStyle w:val="FootnoteAnchor"/>
          <w:rtl w:val="true"/>
        </w:rPr>
        <w:footnoteReference w:id="813"/>
      </w:r>
      <w:r>
        <w:rPr>
          <w:rFonts w:ascii="Amiri" w:hAnsi="Amiri" w:eastAsia="Amiri" w:cs="Amiri"/>
          <w:color w:val="111111"/>
          <w:sz w:val="28"/>
          <w:sz w:val="28"/>
          <w:szCs w:val="28"/>
          <w:rtl w:val="true"/>
          <w:lang w:bidi="ar-SA"/>
        </w:rPr>
        <w:t>، وشرحه عليه</w:t>
      </w:r>
      <w:r>
        <w:rPr>
          <w:rStyle w:val="FootnoteAnchor"/>
          <w:rtl w:val="true"/>
        </w:rPr>
        <w:footnoteReference w:id="814"/>
      </w:r>
      <w:r>
        <w:rPr>
          <w:rFonts w:ascii="Amiri" w:hAnsi="Amiri" w:eastAsia="Amiri" w:cs="Amiri"/>
          <w:color w:val="111111"/>
          <w:sz w:val="28"/>
          <w:sz w:val="28"/>
          <w:szCs w:val="28"/>
          <w:rtl w:val="true"/>
          <w:lang w:bidi="ar-SA"/>
        </w:rPr>
        <w:t>، والبحرانيِّ قدس سره</w:t>
      </w:r>
      <w:r>
        <w:rPr>
          <w:rStyle w:val="FootnoteAnchor"/>
          <w:rtl w:val="true"/>
        </w:rPr>
        <w:footnoteReference w:id="815"/>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816"/>
      </w:r>
      <w:r>
        <w:rPr>
          <w:rFonts w:ascii="Amiri" w:hAnsi="Amiri" w:eastAsia="Amiri" w:cs="Amiri"/>
          <w:color w:val="111111"/>
          <w:sz w:val="28"/>
          <w:sz w:val="28"/>
          <w:szCs w:val="28"/>
          <w:rtl w:val="true"/>
          <w:lang w:bidi="ar-SA"/>
        </w:rPr>
        <w:t>، والمحقِّق النَّائيني قدس سره</w:t>
      </w:r>
      <w:r>
        <w:rPr>
          <w:rStyle w:val="FootnoteAnchor"/>
          <w:rtl w:val="true"/>
        </w:rPr>
        <w:footnoteReference w:id="817"/>
      </w:r>
      <w:r>
        <w:rPr>
          <w:rFonts w:ascii="Amiri" w:hAnsi="Amiri" w:eastAsia="Amiri" w:cs="Amiri"/>
          <w:color w:val="111111"/>
          <w:sz w:val="28"/>
          <w:sz w:val="28"/>
          <w:szCs w:val="28"/>
          <w:rtl w:val="true"/>
          <w:lang w:bidi="ar-SA"/>
        </w:rPr>
        <w:t>، وصاحب الرِّياض قدس سره</w:t>
      </w:r>
      <w:r>
        <w:rPr>
          <w:rStyle w:val="FootnoteAnchor"/>
          <w:rtl w:val="true"/>
        </w:rPr>
        <w:footnoteReference w:id="818"/>
      </w:r>
      <w:r>
        <w:rPr>
          <w:rFonts w:ascii="Amiri" w:hAnsi="Amiri" w:eastAsia="Amiri" w:cs="Amiri"/>
          <w:color w:val="111111"/>
          <w:sz w:val="28"/>
          <w:sz w:val="28"/>
          <w:szCs w:val="28"/>
          <w:rtl w:val="true"/>
          <w:lang w:bidi="ar-SA"/>
        </w:rPr>
        <w:t>، والمحقِّق الكاظمي قدس سره</w:t>
      </w:r>
      <w:r>
        <w:rPr>
          <w:rStyle w:val="FootnoteAnchor"/>
          <w:rtl w:val="true"/>
        </w:rPr>
        <w:footnoteReference w:id="819"/>
      </w:r>
      <w:r>
        <w:rPr>
          <w:rFonts w:ascii="Amiri" w:hAnsi="Amiri" w:eastAsia="Amiri" w:cs="Amiri"/>
          <w:color w:val="111111"/>
          <w:sz w:val="28"/>
          <w:sz w:val="28"/>
          <w:szCs w:val="28"/>
          <w:rtl w:val="true"/>
          <w:lang w:bidi="ar-SA"/>
        </w:rPr>
        <w:t>، والمحقِّق البُجنوردي قدس سره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ممَّا يُمكِن أن يُقبَضَ‌؛</w:t>
      </w:r>
    </w:p>
    <w:p>
      <w:pPr>
        <w:pStyle w:val="BookText"/>
        <w:rPr/>
      </w:pPr>
      <w:r>
        <w:rPr>
          <w:rFonts w:ascii="Amiri" w:hAnsi="Amiri" w:eastAsia="Amiri" w:cs="Amiri"/>
          <w:color w:val="111111"/>
          <w:sz w:val="28"/>
          <w:sz w:val="28"/>
          <w:szCs w:val="28"/>
          <w:rtl w:val="true"/>
          <w:lang w:bidi="ar-SA"/>
        </w:rPr>
        <w:t xml:space="preserve">فلاوقف في الطَّائر الَّذي يطير في السَّماء، وإن كان للواقف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المجاهد قدس سره</w:t>
      </w:r>
      <w:r>
        <w:rPr>
          <w:rStyle w:val="FootnoteAnchor"/>
          <w:rtl w:val="true"/>
        </w:rPr>
        <w:footnoteReference w:id="821"/>
      </w:r>
      <w:r>
        <w:rPr>
          <w:rFonts w:ascii="Amiri" w:hAnsi="Amiri" w:eastAsia="Amiri" w:cs="Amiri"/>
          <w:color w:val="111111"/>
          <w:sz w:val="28"/>
          <w:sz w:val="28"/>
          <w:szCs w:val="28"/>
          <w:rtl w:val="true"/>
          <w:lang w:bidi="ar-SA"/>
        </w:rPr>
        <w:t>، والعلَّامة قدس سره</w:t>
      </w:r>
      <w:r>
        <w:rPr>
          <w:rStyle w:val="FootnoteAnchor"/>
          <w:rtl w:val="true"/>
        </w:rPr>
        <w:footnoteReference w:id="822"/>
      </w:r>
      <w:r>
        <w:rPr>
          <w:rFonts w:ascii="Amiri" w:hAnsi="Amiri" w:eastAsia="Amiri" w:cs="Amiri"/>
          <w:color w:val="111111"/>
          <w:sz w:val="28"/>
          <w:sz w:val="28"/>
          <w:szCs w:val="28"/>
          <w:rtl w:val="true"/>
          <w:lang w:bidi="ar-SA"/>
        </w:rPr>
        <w:t>، والشَّهيد قدس سره</w:t>
      </w:r>
      <w:r>
        <w:rPr>
          <w:rStyle w:val="FootnoteAnchor"/>
          <w:rtl w:val="true"/>
        </w:rPr>
        <w:footnoteReference w:id="823"/>
      </w:r>
      <w:r>
        <w:rPr>
          <w:rFonts w:ascii="Amiri" w:hAnsi="Amiri" w:eastAsia="Amiri" w:cs="Amiri"/>
          <w:color w:val="111111"/>
          <w:sz w:val="28"/>
          <w:sz w:val="28"/>
          <w:szCs w:val="28"/>
          <w:rtl w:val="true"/>
          <w:lang w:bidi="ar-SA"/>
        </w:rPr>
        <w:t>، والفقعاني قدس سره</w:t>
      </w:r>
      <w:r>
        <w:rPr>
          <w:rStyle w:val="FootnoteAnchor"/>
          <w:rtl w:val="true"/>
        </w:rPr>
        <w:footnoteReference w:id="824"/>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تكون له منفعةٌ‌؛</w:t>
      </w:r>
    </w:p>
    <w:p>
      <w:pPr>
        <w:pStyle w:val="BookText"/>
        <w:rPr/>
      </w:pPr>
      <w:r>
        <w:rPr>
          <w:rFonts w:ascii="Amiri" w:hAnsi="Amiri" w:eastAsia="Amiri" w:cs="Amiri"/>
          <w:color w:val="111111"/>
          <w:sz w:val="28"/>
          <w:sz w:val="28"/>
          <w:szCs w:val="28"/>
          <w:rtl w:val="true"/>
          <w:lang w:bidi="ar-SA"/>
        </w:rPr>
        <w:t xml:space="preserve">فما ليست له منفعةٌ‌، لاوقفَ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الطَّباطبائيِّ قدس سره</w:t>
      </w:r>
      <w:r>
        <w:rPr>
          <w:rStyle w:val="FootnoteAnchor"/>
          <w:rtl w:val="true"/>
        </w:rPr>
        <w:footnoteReference w:id="826"/>
      </w:r>
      <w:r>
        <w:rPr>
          <w:rFonts w:ascii="Amiri" w:hAnsi="Amiri" w:eastAsia="Amiri" w:cs="Amiri"/>
          <w:color w:val="111111"/>
          <w:sz w:val="28"/>
          <w:sz w:val="28"/>
          <w:szCs w:val="28"/>
          <w:rtl w:val="true"/>
          <w:lang w:bidi="ar-SA"/>
        </w:rPr>
        <w:t>، والسَّيِّد المجاهد قدس سره</w:t>
      </w:r>
      <w:r>
        <w:rPr>
          <w:rStyle w:val="FootnoteAnchor"/>
          <w:rtl w:val="true"/>
        </w:rPr>
        <w:footnoteReference w:id="827"/>
      </w:r>
      <w:r>
        <w:rPr>
          <w:rFonts w:ascii="Amiri" w:hAnsi="Amiri" w:eastAsia="Amiri" w:cs="Amiri"/>
          <w:color w:val="111111"/>
          <w:sz w:val="28"/>
          <w:sz w:val="28"/>
          <w:szCs w:val="28"/>
          <w:rtl w:val="true"/>
          <w:lang w:bidi="ar-SA"/>
        </w:rPr>
        <w:t>، والنَّراقي قدس سره</w:t>
      </w:r>
      <w:r>
        <w:rPr>
          <w:rStyle w:val="FootnoteAnchor"/>
          <w:rtl w:val="true"/>
        </w:rPr>
        <w:footnoteReference w:id="828"/>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عينًا مملوكًة للواقف؛</w:t>
      </w:r>
    </w:p>
    <w:p>
      <w:pPr>
        <w:pStyle w:val="BookText"/>
        <w:rPr/>
      </w:pPr>
      <w:r>
        <w:rPr>
          <w:rFonts w:ascii="Amiri" w:hAnsi="Amiri" w:eastAsia="Amiri" w:cs="Amiri"/>
          <w:color w:val="111111"/>
          <w:sz w:val="28"/>
          <w:sz w:val="28"/>
          <w:szCs w:val="28"/>
          <w:rtl w:val="true"/>
          <w:lang w:bidi="ar-SA"/>
        </w:rPr>
        <w:t xml:space="preserve">فلاوقف في الخمر والخنزير وأمثالهما ممَّا لايُملَكُ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الفيض قدس سره</w:t>
      </w:r>
      <w:r>
        <w:rPr>
          <w:rStyle w:val="FootnoteAnchor"/>
          <w:rtl w:val="true"/>
        </w:rPr>
        <w:footnoteReference w:id="830"/>
      </w:r>
      <w:r>
        <w:rPr>
          <w:rFonts w:ascii="IRNazanin" w:hAnsi="IRNazanin" w:eastAsia="IRNazanin"/>
          <w:color w:val="111111"/>
          <w:sz w:val="28"/>
          <w:sz w:val="28"/>
          <w:szCs w:val="28"/>
          <w:rtl w:val="true"/>
          <w:lang w:bidi="fa-IR"/>
        </w:rPr>
        <w:t>، وشارحه قدس سره</w:t>
      </w:r>
      <w:r>
        <w:rPr>
          <w:rStyle w:val="FootnoteAnchor"/>
          <w:rtl w:val="true"/>
        </w:rPr>
        <w:footnoteReference w:id="831"/>
      </w:r>
      <w:r>
        <w:rPr>
          <w:rFonts w:ascii="Amiri" w:hAnsi="Amiri" w:eastAsia="Amiri" w:cs="Amiri"/>
          <w:color w:val="111111"/>
          <w:sz w:val="28"/>
          <w:sz w:val="28"/>
          <w:szCs w:val="28"/>
          <w:rtl w:val="true"/>
          <w:lang w:bidi="ar-SA"/>
        </w:rPr>
        <w:t>، والطَّباطبائيِّ قدس سره</w:t>
      </w:r>
      <w:r>
        <w:rPr>
          <w:rStyle w:val="FootnoteAnchor"/>
          <w:rtl w:val="true"/>
        </w:rPr>
        <w:footnoteReference w:id="832"/>
      </w:r>
      <w:r>
        <w:rPr>
          <w:rFonts w:ascii="Amiri" w:hAnsi="Amiri" w:eastAsia="Amiri" w:cs="Amiri"/>
          <w:color w:val="111111"/>
          <w:sz w:val="28"/>
          <w:sz w:val="28"/>
          <w:szCs w:val="28"/>
          <w:rtl w:val="true"/>
          <w:lang w:bidi="ar-SA"/>
        </w:rPr>
        <w:t>، والسَّيِّد المجاهد قدس سره</w:t>
      </w:r>
      <w:r>
        <w:rPr>
          <w:rStyle w:val="FootnoteAnchor"/>
          <w:rtl w:val="true"/>
        </w:rPr>
        <w:footnoteReference w:id="833"/>
      </w:r>
      <w:r>
        <w:rPr>
          <w:rFonts w:ascii="Amiri" w:hAnsi="Amiri" w:eastAsia="Amiri" w:cs="Amiri"/>
          <w:color w:val="111111"/>
          <w:sz w:val="28"/>
          <w:sz w:val="28"/>
          <w:szCs w:val="28"/>
          <w:rtl w:val="true"/>
          <w:lang w:bidi="ar-SA"/>
        </w:rPr>
        <w:t>، والعلَّامة قدس سره</w:t>
      </w:r>
      <w:r>
        <w:rPr>
          <w:rStyle w:val="FootnoteAnchor"/>
          <w:rtl w:val="true"/>
        </w:rPr>
        <w:footnoteReference w:id="834"/>
      </w:r>
      <w:r>
        <w:rPr>
          <w:rFonts w:ascii="Amiri" w:hAnsi="Amiri" w:eastAsia="Amiri" w:cs="Amiri"/>
          <w:color w:val="111111"/>
          <w:sz w:val="28"/>
          <w:sz w:val="28"/>
          <w:szCs w:val="28"/>
          <w:rtl w:val="true"/>
          <w:lang w:bidi="ar-SA"/>
        </w:rPr>
        <w:t>، والشَّهيد قدس سره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له منفعةٌ محلَّلةٌ‌؛</w:t>
      </w:r>
    </w:p>
    <w:p>
      <w:pPr>
        <w:pStyle w:val="BookText"/>
        <w:rPr/>
      </w:pPr>
      <w:r>
        <w:rPr>
          <w:rFonts w:ascii="Amiri" w:hAnsi="Amiri" w:eastAsia="Amiri" w:cs="Amiri"/>
          <w:color w:val="111111"/>
          <w:sz w:val="28"/>
          <w:sz w:val="28"/>
          <w:szCs w:val="28"/>
          <w:rtl w:val="true"/>
          <w:lang w:bidi="ar-SA"/>
        </w:rPr>
        <w:t>فما لامنفعة محلَّلة فيه لاوقف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ولاتغفَلْ عن الفرق بين هذا الشَّرط وبين ما مضىٰ في الشَّرط الخامس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اشتهر بينهم، وليس لهم دليلٌ علىٰ ما اختاروه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بحسب العقل ولا بحسب المنقول عن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فوقف منفعة الدَّار دون عينه لاإشكال فيه؛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الباب منصرفَةٌ عنه؛</w:t>
      </w:r>
    </w:p>
    <w:p>
      <w:pPr>
        <w:pStyle w:val="BookText"/>
        <w:rPr/>
      </w:pPr>
      <w:r>
        <w:rPr>
          <w:rFonts w:ascii="Amiri" w:hAnsi="Amiri" w:eastAsia="Amiri" w:cs="Amiri"/>
          <w:color w:val="111111"/>
          <w:sz w:val="28"/>
          <w:sz w:val="28"/>
          <w:szCs w:val="28"/>
          <w:rtl w:val="true"/>
          <w:lang w:bidi="ar-SA"/>
        </w:rPr>
        <w:t>وهذا صرفُ ادِّعاءٍ 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المأكولات والمشروبات الَّتي لابقاء لها، كذلك جائزٌ؛ خلافًا للمحقِّق الطَّباطبائيِّ قدس سره</w:t>
      </w:r>
      <w:r>
        <w:rPr>
          <w:rStyle w:val="FootnoteAnchor"/>
          <w:rtl w:val="true"/>
        </w:rPr>
        <w:footnoteReference w:id="836"/>
      </w:r>
      <w:r>
        <w:rPr>
          <w:rFonts w:ascii="Amiri" w:hAnsi="Amiri" w:eastAsia="Amiri" w:cs="Amiri"/>
          <w:color w:val="111111"/>
          <w:sz w:val="28"/>
          <w:sz w:val="28"/>
          <w:szCs w:val="28"/>
          <w:rtl w:val="true"/>
          <w:lang w:bidi="ar-SA"/>
        </w:rPr>
        <w:t>، والشَّيخ محمَّدحسين آل كاشف الغطاء قدس سره</w:t>
      </w:r>
      <w:r>
        <w:rPr>
          <w:rStyle w:val="FootnoteAnchor"/>
          <w:rtl w:val="true"/>
        </w:rPr>
        <w:footnoteReference w:id="837"/>
      </w:r>
      <w:r>
        <w:rPr>
          <w:rFonts w:ascii="Amiri" w:hAnsi="Amiri" w:eastAsia="Amiri" w:cs="Amiri"/>
          <w:color w:val="111111"/>
          <w:sz w:val="28"/>
          <w:sz w:val="28"/>
          <w:szCs w:val="28"/>
          <w:rtl w:val="true"/>
          <w:lang w:bidi="ar-SA"/>
        </w:rPr>
        <w:t>، والقطَّان الحلِّي قدس سره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الأحيان لاوقف فيهما، بل فيهما الهِبَة مثلًا؛ لكن صرف الغلبة لايُوجِب خروجَهما عن شمول عمومات الرِّوايات</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ووقف العين المُرتَهَنَة أيضًا يجوز عندنا، بشرط أن يقبِضَ الواقفُ العينَ ويملكه بعد الوقف، أو مع إجازة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ولادليل علىٰ اشتراط الفِعليَّة في تملُّك الموقوف حين إجراء صيغة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وقف المراتعِ والبساتين الَّتي لامنفعة فيها فعلًا، لاإشكال فيه ولا دليل علىٰ منعه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وقف الخنزير والخمر وغيرهما ممَّا لايكون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المِلكيَّة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فلابأس بوقفه أيضًا، نظرًا إلى حقِّ الاِختصاص الَّذي يَثبُت بالنِّسبة إلى الواقف؛ فللواقف بالنَّظر إلى اختصاص الخنزير به أن يوقِفَه، كما في الكَلْب من غير تفاوتٍ‌ </w:t>
      </w:r>
      <w:bookmarkStart w:id="195" w:name="pg20337_261480"/>
    </w:p>
    <w:p>
      <w:pPr>
        <w:pStyle w:val="BookText"/>
        <w:rPr/>
      </w:pPr>
      <w:bookmarkEnd w:id="195"/>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وقفُ العبد الآبق والطَّائر الَّذي طار وليسا في يد الواقف، لابأس به؛ ولا دليل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قاعدةٌ كلِّيَّةٌ في الوقف تجري في جميع موارد الوقف،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 داعٍ عُقَلائيٌّ‌، فإذا حصَل الدَّاعي تشمُلُه عمومات الباب؛ فيجب الوفاء به إذن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1945036_1280447820"/>
      <w:bookmarkStart w:id="197" w:name="_Toc70"/>
      <w:bookmarkEnd w:id="196"/>
      <w:r>
        <w:rPr>
          <w:rtl w:val="true"/>
        </w:rPr>
        <w:t>التَّنبيه السَّادس</w:t>
      </w:r>
      <w:r>
        <w:rPr>
          <w:rtl w:val="true"/>
        </w:rPr>
        <w:t>:</w:t>
      </w:r>
      <w:bookmarkEnd w:id="197"/>
    </w:p>
    <w:p>
      <w:pPr>
        <w:pStyle w:val="BookText"/>
        <w:rPr/>
      </w:pPr>
      <w:r>
        <w:rPr>
          <w:rFonts w:ascii="Amiri" w:hAnsi="Amiri" w:eastAsia="Amiri" w:cs="Amiri"/>
          <w:color w:val="111111"/>
          <w:sz w:val="28"/>
          <w:sz w:val="28"/>
          <w:szCs w:val="28"/>
          <w:rtl w:val="true"/>
          <w:lang w:bidi="ar-SA"/>
        </w:rPr>
        <w:t>في شرائط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اُشتُرِط فيه ما يُشتَرَط في غيره من العقود، من غير زيادةٍ أو نقصانٍ‌؛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البلوغِ‌؛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والقُدرةِ‌؛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والإختيارِ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قد وردتْ رواياتٌ تدلُّ علىٰ صحَّة الوقف للصَّبيِّ المُميِّز؛ وقد رواها الشَّيخ الحرُّ قدس سره في الباب الخامس عشر من أبواب الوقف</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بأجمعها معرَضٌ عنها عند الأصحاب، لأنَّ فيها جوازُ الطَّلاق</w:t>
      </w:r>
      <w:r>
        <w:rPr>
          <w:rStyle w:val="FootnoteAnchor"/>
          <w:rtl w:val="true"/>
        </w:rPr>
        <w:footnoteReference w:id="842"/>
      </w:r>
      <w:r>
        <w:rPr>
          <w:rFonts w:ascii="Amiri" w:hAnsi="Amiri" w:eastAsia="Amiri" w:cs="Amiri"/>
          <w:color w:val="111111"/>
          <w:sz w:val="28"/>
          <w:sz w:val="28"/>
          <w:szCs w:val="28"/>
          <w:rtl w:val="true"/>
          <w:lang w:bidi="ar-SA"/>
        </w:rPr>
        <w:t>والعِتق له</w:t>
      </w:r>
      <w:r>
        <w:rPr>
          <w:rStyle w:val="FootnoteAnchor"/>
          <w:rtl w:val="true"/>
        </w:rPr>
        <w:footnoteReference w:id="843"/>
      </w:r>
      <w:r>
        <w:rPr>
          <w:rFonts w:ascii="Amiri" w:hAnsi="Amiri" w:eastAsia="Amiri" w:cs="Amiri"/>
          <w:color w:val="111111"/>
          <w:sz w:val="28"/>
          <w:sz w:val="28"/>
          <w:szCs w:val="28"/>
          <w:rtl w:val="true"/>
          <w:lang w:bidi="ar-SA"/>
        </w:rPr>
        <w:t>، ولايقول بهما أحدٌ من الفقهاء</w:t>
      </w:r>
      <w:r>
        <w:rPr>
          <w:rFonts w:eastAsia="Amiri" w:cs="Amiri" w:ascii="Amiri" w:hAnsi="Amiri"/>
          <w:color w:val="111111"/>
          <w:sz w:val="28"/>
          <w:szCs w:val="28"/>
          <w:rtl w:val="true"/>
          <w:lang w:bidi="ar-SA"/>
        </w:rPr>
        <w:t xml:space="preserve">. </w:t>
      </w:r>
      <w:bookmarkStart w:id="198" w:name="pg20337_261481"/>
    </w:p>
    <w:p>
      <w:pPr>
        <w:pStyle w:val="BookText"/>
        <w:rPr/>
      </w:pPr>
      <w:bookmarkEnd w:id="198"/>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لُيمكِن حملُ هذه الرِّوايات علىٰ الصَّدقة الرَّائجة بين المؤمنين، لا علىٰ الوقف المُصطَلَح الفقهيِّ‌</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1945038_1280447820"/>
      <w:bookmarkStart w:id="200" w:name="_Toc71"/>
      <w:bookmarkEnd w:id="199"/>
      <w:r>
        <w:rPr>
          <w:rtl w:val="true"/>
        </w:rPr>
        <w:t>التَّنبيه السَّابع</w:t>
      </w:r>
      <w:r>
        <w:rPr>
          <w:rtl w:val="true"/>
        </w:rPr>
        <w:t>:</w:t>
      </w:r>
      <w:bookmarkEnd w:id="200"/>
    </w:p>
    <w:p>
      <w:pPr>
        <w:pStyle w:val="BookText"/>
        <w:rPr/>
      </w:pPr>
      <w:r>
        <w:rPr>
          <w:rFonts w:ascii="Amiri" w:hAnsi="Amiri" w:eastAsia="Amiri" w:cs="Amiri"/>
          <w:color w:val="111111"/>
          <w:sz w:val="28"/>
          <w:sz w:val="28"/>
          <w:szCs w:val="28"/>
          <w:rtl w:val="true"/>
          <w:lang w:bidi="ar-SA"/>
        </w:rPr>
        <w:t>في شرائط الموقوف عليه اشتهر بين الأصحاب أنَّه يُشتَرَط في الموقوف عليه أن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موجودًا؛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يصحُّ أن يتملَّك؛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يجوز أن يُوقَف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والفقهاء وإن اختَلَفوا في التَّعبير عن تلك الشَّرائط لكنَّها هو المُتَيَقَّن في كلماتهم، كما عن المحقِّق قدس سره في شرائعه</w:t>
      </w:r>
      <w:r>
        <w:rPr>
          <w:rStyle w:val="FootnoteAnchor"/>
          <w:rtl w:val="true"/>
        </w:rPr>
        <w:footnoteReference w:id="844"/>
      </w:r>
      <w:r>
        <w:rPr>
          <w:rFonts w:ascii="IRNazanin" w:hAnsi="IRNazanin" w:eastAsia="IRNazanin"/>
          <w:color w:val="111111"/>
          <w:sz w:val="28"/>
          <w:sz w:val="28"/>
          <w:szCs w:val="28"/>
          <w:rtl w:val="true"/>
          <w:lang w:bidi="fa-IR"/>
        </w:rPr>
        <w:t>، ومختصره</w:t>
      </w:r>
      <w:r>
        <w:rPr>
          <w:rStyle w:val="FootnoteAnchor"/>
          <w:rtl w:val="true"/>
        </w:rPr>
        <w:footnoteReference w:id="845"/>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846"/>
      </w:r>
      <w:r>
        <w:rPr>
          <w:rFonts w:ascii="IRNazanin" w:hAnsi="IRNazanin" w:eastAsia="IRNazanin"/>
          <w:color w:val="111111"/>
          <w:sz w:val="28"/>
          <w:sz w:val="28"/>
          <w:szCs w:val="28"/>
          <w:rtl w:val="true"/>
          <w:lang w:bidi="fa-IR"/>
        </w:rPr>
        <w:t>، وإرشاده</w:t>
      </w:r>
      <w:r>
        <w:rPr>
          <w:rStyle w:val="FootnoteAnchor"/>
          <w:rtl w:val="true"/>
        </w:rPr>
        <w:footnoteReference w:id="847"/>
      </w:r>
      <w:r>
        <w:rPr>
          <w:rFonts w:ascii="Amiri" w:hAnsi="Amiri" w:eastAsia="Amiri" w:cs="Amiri"/>
          <w:color w:val="111111"/>
          <w:sz w:val="28"/>
          <w:sz w:val="28"/>
          <w:szCs w:val="28"/>
          <w:rtl w:val="true"/>
          <w:lang w:bidi="ar-SA"/>
        </w:rPr>
        <w:t>، وثاني الشَّهيدَين قدس سرهما في حاشيته علىٰ الشَّرائع</w:t>
      </w:r>
      <w:r>
        <w:rPr>
          <w:rStyle w:val="FootnoteAnchor"/>
          <w:rtl w:val="true"/>
        </w:rPr>
        <w:footnoteReference w:id="848"/>
      </w:r>
      <w:r>
        <w:rPr>
          <w:rFonts w:ascii="Amiri" w:hAnsi="Amiri" w:eastAsia="Amiri" w:cs="Amiri"/>
          <w:color w:val="111111"/>
          <w:sz w:val="28"/>
          <w:sz w:val="28"/>
          <w:szCs w:val="28"/>
          <w:rtl w:val="true"/>
          <w:lang w:bidi="ar-SA"/>
        </w:rPr>
        <w:t>، وشرحه عليه</w:t>
      </w:r>
      <w:r>
        <w:rPr>
          <w:rStyle w:val="FootnoteAnchor"/>
          <w:rtl w:val="true"/>
        </w:rPr>
        <w:footnoteReference w:id="849"/>
      </w:r>
      <w:r>
        <w:rPr>
          <w:rFonts w:ascii="Amiri" w:hAnsi="Amiri" w:eastAsia="Amiri" w:cs="Amiri"/>
          <w:color w:val="111111"/>
          <w:sz w:val="28"/>
          <w:sz w:val="28"/>
          <w:szCs w:val="28"/>
          <w:rtl w:val="true"/>
          <w:lang w:bidi="ar-SA"/>
        </w:rPr>
        <w:t>، والبحرانيِّ قدس سره</w:t>
      </w:r>
      <w:r>
        <w:rPr>
          <w:rStyle w:val="FootnoteAnchor"/>
          <w:rtl w:val="true"/>
        </w:rPr>
        <w:footnoteReference w:id="8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والشَّهيد قدس سره</w:t>
      </w:r>
      <w:r>
        <w:rPr>
          <w:rStyle w:val="FootnoteAnchor"/>
          <w:rtl w:val="true"/>
        </w:rPr>
        <w:footnoteReference w:id="851"/>
      </w:r>
      <w:r>
        <w:rPr>
          <w:rFonts w:ascii="Amiri" w:hAnsi="Amiri" w:eastAsia="Amiri" w:cs="Amiri"/>
          <w:color w:val="111111"/>
          <w:sz w:val="28"/>
          <w:sz w:val="28"/>
          <w:szCs w:val="28"/>
          <w:rtl w:val="true"/>
          <w:lang w:bidi="ar-SA"/>
        </w:rPr>
        <w:t>، والمحقِّق الثَّاني قدس سرهما</w:t>
      </w:r>
      <w:r>
        <w:rPr>
          <w:rStyle w:val="FootnoteAnchor"/>
          <w:rtl w:val="true"/>
        </w:rPr>
        <w:footnoteReference w:id="852"/>
      </w:r>
      <w:r>
        <w:rPr>
          <w:rFonts w:ascii="Amiri" w:hAnsi="Amiri" w:eastAsia="Amiri" w:cs="Amiri"/>
          <w:color w:val="111111"/>
          <w:sz w:val="28"/>
          <w:sz w:val="28"/>
          <w:szCs w:val="28"/>
          <w:rtl w:val="true"/>
          <w:lang w:bidi="ar-SA"/>
        </w:rPr>
        <w:t>، والشَّيخ قدس سره في نهايته</w:t>
      </w:r>
      <w:r>
        <w:rPr>
          <w:rStyle w:val="FootnoteAnchor"/>
          <w:rtl w:val="true"/>
        </w:rPr>
        <w:footnoteReference w:id="853"/>
      </w:r>
      <w:r>
        <w:rPr>
          <w:rFonts w:ascii="IRNazanin" w:hAnsi="IRNazanin" w:eastAsia="IRNazanin"/>
          <w:color w:val="111111"/>
          <w:sz w:val="28"/>
          <w:sz w:val="28"/>
          <w:szCs w:val="28"/>
          <w:rtl w:val="true"/>
          <w:lang w:bidi="fa-IR"/>
        </w:rPr>
        <w:t>، و مبسوطه</w:t>
      </w:r>
      <w:r>
        <w:rPr>
          <w:rStyle w:val="FootnoteAnchor"/>
          <w:rtl w:val="true"/>
        </w:rPr>
        <w:footnoteReference w:id="854"/>
      </w:r>
      <w:r>
        <w:rPr>
          <w:rFonts w:ascii="Amiri" w:hAnsi="Amiri" w:eastAsia="Amiri" w:cs="Amiri"/>
          <w:color w:val="111111"/>
          <w:sz w:val="28"/>
          <w:sz w:val="28"/>
          <w:szCs w:val="28"/>
          <w:rtl w:val="true"/>
          <w:lang w:bidi="ar-SA"/>
        </w:rPr>
        <w:t>، وابن حمزة قدس سره</w:t>
      </w:r>
      <w:r>
        <w:rPr>
          <w:rStyle w:val="FootnoteAnchor"/>
          <w:rtl w:val="true"/>
        </w:rPr>
        <w:footnoteReference w:id="855"/>
      </w:r>
      <w:r>
        <w:rPr>
          <w:rFonts w:ascii="Amiri" w:hAnsi="Amiri" w:eastAsia="Amiri" w:cs="Amiri"/>
          <w:color w:val="111111"/>
          <w:sz w:val="28"/>
          <w:sz w:val="28"/>
          <w:szCs w:val="28"/>
          <w:rtl w:val="true"/>
          <w:lang w:bidi="ar-SA"/>
        </w:rPr>
        <w:t>، وابن زهرة قدس سره</w:t>
      </w:r>
      <w:r>
        <w:rPr>
          <w:rStyle w:val="FootnoteAnchor"/>
          <w:rtl w:val="true"/>
        </w:rPr>
        <w:footnoteReference w:id="856"/>
      </w:r>
      <w:r>
        <w:rPr>
          <w:rFonts w:ascii="Amiri" w:hAnsi="Amiri" w:eastAsia="Amiri" w:cs="Amiri"/>
          <w:color w:val="111111"/>
          <w:sz w:val="28"/>
          <w:sz w:val="28"/>
          <w:szCs w:val="28"/>
          <w:rtl w:val="true"/>
          <w:lang w:bidi="ar-SA"/>
        </w:rPr>
        <w:t>، وابن إدريس قدس سره</w:t>
      </w:r>
      <w:r>
        <w:rPr>
          <w:rStyle w:val="FootnoteAnchor"/>
          <w:rtl w:val="true"/>
        </w:rPr>
        <w:footnoteReference w:id="857"/>
      </w:r>
      <w:r>
        <w:rPr>
          <w:rFonts w:ascii="Amiri" w:hAnsi="Amiri" w:eastAsia="Amiri" w:cs="Amiri"/>
          <w:color w:val="111111"/>
          <w:sz w:val="28"/>
          <w:sz w:val="28"/>
          <w:szCs w:val="28"/>
          <w:rtl w:val="true"/>
          <w:lang w:bidi="ar-SA"/>
        </w:rPr>
        <w:t>، وابن سعيدٍ قدس سره</w:t>
      </w:r>
      <w:r>
        <w:rPr>
          <w:rStyle w:val="FootnoteAnchor"/>
          <w:rtl w:val="true"/>
        </w:rPr>
        <w:footnoteReference w:id="858"/>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هذه الشَّرائط كلِّها، فيجوز الوقفُ علىٰ أولاده وأولاد أولاده</w:t>
      </w:r>
      <w:r>
        <w:rPr>
          <w:rStyle w:val="FootnoteAnchor"/>
          <w:rtl w:val="true"/>
        </w:rPr>
        <w:footnoteReference w:id="859"/>
      </w:r>
      <w:r>
        <w:rPr>
          <w:rFonts w:ascii="Amiri" w:hAnsi="Amiri" w:eastAsia="Amiri" w:cs="Amiri"/>
          <w:color w:val="111111"/>
          <w:sz w:val="28"/>
          <w:sz w:val="28"/>
          <w:szCs w:val="28"/>
          <w:rtl w:val="true"/>
          <w:lang w:bidi="ar-SA"/>
        </w:rPr>
        <w:t>الَّذين لم يُولَدُوا بعدُ، بل يُوجَدون بعد دهرٍ؛</w:t>
      </w:r>
    </w:p>
    <w:p>
      <w:pPr>
        <w:pStyle w:val="BookText"/>
        <w:rPr/>
      </w:pPr>
      <w:r>
        <w:rPr>
          <w:rFonts w:ascii="Amiri" w:hAnsi="Amiri" w:eastAsia="Amiri" w:cs="Amiri"/>
          <w:color w:val="111111"/>
          <w:sz w:val="28"/>
          <w:sz w:val="28"/>
          <w:szCs w:val="28"/>
          <w:rtl w:val="true"/>
          <w:lang w:bidi="ar-SA"/>
        </w:rPr>
        <w:t>ولا إشكال في هذا الوقف باتِّفاقٍ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ويجوز أن يوقف لأَخيه أو لأُخته من غير أن يُعيِّن الموقوف عليه من بينهما، والتَّعيينُ علىٰ الحاكم، أو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يوقف مالًا لغُلامه ولوقلنا بأنَّ العبدَ لايَملِك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وأنَّه يجوز أن يوقف علىٰ‌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لبعضهم، ووفاقًا لآخرين، وفصَّل ثالثٌ‌، واختار تفصيلًا آخر غيرُه؛ كما أنَّ الفقيه البحرانيَّ قدس سره حكىٰ في المسألة أقوالًا أربعةً‌</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والتَّفصيل خارجٌ عن موضوع هذه الرِّسالة ووضعها، فانظر إلى كلمات ابن إدريس قدس سره</w:t>
      </w:r>
      <w:r>
        <w:rPr>
          <w:rStyle w:val="FootnoteAnchor"/>
          <w:rtl w:val="true"/>
        </w:rPr>
        <w:footnoteReference w:id="861"/>
      </w:r>
      <w:r>
        <w:rPr>
          <w:rFonts w:ascii="Amiri" w:hAnsi="Amiri" w:eastAsia="Amiri" w:cs="Amiri"/>
          <w:color w:val="111111"/>
          <w:sz w:val="28"/>
          <w:sz w:val="28"/>
          <w:szCs w:val="28"/>
          <w:rtl w:val="true"/>
          <w:lang w:bidi="ar-SA"/>
        </w:rPr>
        <w:t>، وابن سعيدٍ الحلِّي قدس سره</w:t>
      </w:r>
      <w:r>
        <w:rPr>
          <w:rStyle w:val="FootnoteAnchor"/>
          <w:rtl w:val="true"/>
        </w:rPr>
        <w:footnoteReference w:id="862"/>
      </w:r>
      <w:r>
        <w:rPr>
          <w:rFonts w:ascii="Amiri" w:hAnsi="Amiri" w:eastAsia="Amiri" w:cs="Amiri"/>
          <w:color w:val="111111"/>
          <w:sz w:val="28"/>
          <w:sz w:val="28"/>
          <w:szCs w:val="28"/>
          <w:rtl w:val="true"/>
          <w:lang w:bidi="ar-SA"/>
        </w:rPr>
        <w:t>، وأوَّل الشَّهيدَين</w:t>
      </w:r>
      <w:r>
        <w:rPr>
          <w:rStyle w:val="FootnoteAnchor"/>
          <w:rtl w:val="true"/>
        </w:rPr>
        <w:footnoteReference w:id="863"/>
      </w:r>
      <w:r>
        <w:rPr>
          <w:rFonts w:ascii="Amiri" w:hAnsi="Amiri" w:eastAsia="Amiri" w:cs="Amiri"/>
          <w:color w:val="111111"/>
          <w:sz w:val="28"/>
          <w:sz w:val="28"/>
          <w:szCs w:val="28"/>
          <w:rtl w:val="true"/>
          <w:lang w:bidi="ar-SA"/>
        </w:rPr>
        <w:t>، وثانيهما قدس سرهما</w:t>
      </w:r>
      <w:r>
        <w:rPr>
          <w:rStyle w:val="FootnoteAnchor"/>
          <w:rtl w:val="true"/>
        </w:rPr>
        <w:footnoteReference w:id="864"/>
      </w:r>
      <w:r>
        <w:rPr>
          <w:rFonts w:ascii="Amiri" w:hAnsi="Amiri" w:eastAsia="Amiri" w:cs="Amiri"/>
          <w:color w:val="111111"/>
          <w:sz w:val="28"/>
          <w:sz w:val="28"/>
          <w:szCs w:val="28"/>
          <w:rtl w:val="true"/>
          <w:lang w:bidi="ar-SA"/>
        </w:rPr>
        <w:t>، والشَّيخ قدس سره في مبسوطه</w:t>
      </w:r>
      <w:r>
        <w:rPr>
          <w:rStyle w:val="FootnoteAnchor"/>
          <w:rtl w:val="true"/>
        </w:rPr>
        <w:footnoteReference w:id="865"/>
      </w:r>
      <w:r>
        <w:rPr>
          <w:rFonts w:ascii="Amiri" w:hAnsi="Amiri" w:eastAsia="Amiri" w:cs="Amiri"/>
          <w:color w:val="111111"/>
          <w:sz w:val="28"/>
          <w:sz w:val="28"/>
          <w:szCs w:val="28"/>
          <w:rtl w:val="true"/>
          <w:lang w:bidi="ar-SA"/>
        </w:rPr>
        <w:t>، ونهايته</w:t>
      </w:r>
      <w:r>
        <w:rPr>
          <w:rStyle w:val="FootnoteAnchor"/>
          <w:rtl w:val="true"/>
        </w:rPr>
        <w:footnoteReference w:id="866"/>
      </w:r>
      <w:r>
        <w:rPr>
          <w:rFonts w:ascii="Amiri" w:hAnsi="Amiri" w:eastAsia="Amiri" w:cs="Amiri"/>
          <w:color w:val="111111"/>
          <w:sz w:val="28"/>
          <w:sz w:val="28"/>
          <w:szCs w:val="28"/>
          <w:rtl w:val="true"/>
          <w:lang w:bidi="ar-SA"/>
        </w:rPr>
        <w:t>، والمفيد قدس سره</w:t>
      </w:r>
      <w:r>
        <w:rPr>
          <w:rStyle w:val="FootnoteAnchor"/>
          <w:rtl w:val="true"/>
        </w:rPr>
        <w:footnoteReference w:id="867"/>
      </w:r>
      <w:r>
        <w:rPr>
          <w:rFonts w:ascii="Amiri" w:hAnsi="Amiri" w:eastAsia="Amiri" w:cs="Amiri"/>
          <w:color w:val="111111"/>
          <w:sz w:val="28"/>
          <w:sz w:val="28"/>
          <w:szCs w:val="28"/>
          <w:rtl w:val="true"/>
          <w:lang w:bidi="ar-SA"/>
        </w:rPr>
        <w:t>، والآخوند الخراسانيِّ قدس سره</w:t>
      </w:r>
      <w:r>
        <w:rPr>
          <w:rStyle w:val="FootnoteAnchor"/>
          <w:rtl w:val="true"/>
        </w:rPr>
        <w:footnoteReference w:id="868"/>
      </w:r>
      <w:r>
        <w:rPr>
          <w:rFonts w:ascii="Amiri" w:hAnsi="Amiri" w:eastAsia="Amiri" w:cs="Amiri"/>
          <w:color w:val="111111"/>
          <w:sz w:val="28"/>
          <w:sz w:val="28"/>
          <w:szCs w:val="28"/>
          <w:rtl w:val="true"/>
          <w:lang w:bidi="ar-SA"/>
        </w:rPr>
        <w:t>، والمحقِّق البجنورديِّ قدس سره</w:t>
      </w:r>
      <w:r>
        <w:rPr>
          <w:rStyle w:val="FootnoteAnchor"/>
          <w:rtl w:val="true"/>
        </w:rPr>
        <w:footnoteReference w:id="869"/>
      </w:r>
      <w:r>
        <w:rPr>
          <w:rFonts w:ascii="Amiri" w:hAnsi="Amiri" w:eastAsia="Amiri" w:cs="Amiri"/>
          <w:color w:val="111111"/>
          <w:sz w:val="28"/>
          <w:sz w:val="28"/>
          <w:szCs w:val="28"/>
          <w:rtl w:val="true"/>
          <w:lang w:bidi="ar-SA"/>
        </w:rPr>
        <w:t xml:space="preserve">في المسألة، ليظهر لك جليَّة الحال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للمُتَقَدِّمين، كالمفيد قدس سره</w:t>
      </w:r>
      <w:r>
        <w:rPr>
          <w:rStyle w:val="FootnoteAnchor"/>
          <w:rtl w:val="true"/>
        </w:rPr>
        <w:footnoteReference w:id="870"/>
      </w:r>
      <w:r>
        <w:rPr>
          <w:rFonts w:ascii="Amiri" w:hAnsi="Amiri" w:eastAsia="Amiri" w:cs="Amiri"/>
          <w:color w:val="111111"/>
          <w:sz w:val="28"/>
          <w:sz w:val="28"/>
          <w:szCs w:val="28"/>
          <w:rtl w:val="true"/>
          <w:lang w:bidi="ar-SA"/>
        </w:rPr>
        <w:t>، والدَّيلمي قدس سره</w:t>
      </w:r>
      <w:r>
        <w:rPr>
          <w:rStyle w:val="FootnoteAnchor"/>
          <w:rtl w:val="true"/>
        </w:rPr>
        <w:footnoteReference w:id="871"/>
      </w:r>
      <w:r>
        <w:rPr>
          <w:rFonts w:ascii="Amiri" w:hAnsi="Amiri" w:eastAsia="Amiri" w:cs="Amiri"/>
          <w:color w:val="111111"/>
          <w:sz w:val="28"/>
          <w:sz w:val="28"/>
          <w:szCs w:val="28"/>
          <w:rtl w:val="true"/>
          <w:lang w:bidi="ar-SA"/>
        </w:rPr>
        <w:t>، والقاضي ابنِالبرَّاج قدس سره</w:t>
      </w:r>
      <w:r>
        <w:rPr>
          <w:rStyle w:val="FootnoteAnchor"/>
          <w:rtl w:val="true"/>
        </w:rPr>
        <w:footnoteReference w:id="872"/>
      </w:r>
      <w:r>
        <w:rPr>
          <w:rFonts w:ascii="Amiri" w:hAnsi="Amiri" w:eastAsia="Amiri" w:cs="Amiri"/>
          <w:color w:val="111111"/>
          <w:sz w:val="28"/>
          <w:sz w:val="28"/>
          <w:szCs w:val="28"/>
          <w:rtl w:val="true"/>
          <w:lang w:bidi="ar-SA"/>
        </w:rPr>
        <w:t>وخلافًا للمتأخِّرين، كالمحقِّق قدس سره في شرائعه</w:t>
      </w:r>
      <w:r>
        <w:rPr>
          <w:rStyle w:val="FootnoteAnchor"/>
          <w:rtl w:val="true"/>
        </w:rPr>
        <w:footnoteReference w:id="873"/>
      </w:r>
      <w:r>
        <w:rPr>
          <w:rFonts w:ascii="IRNazanin" w:hAnsi="IRNazanin" w:eastAsia="IRNazanin"/>
          <w:color w:val="111111"/>
          <w:sz w:val="28"/>
          <w:sz w:val="28"/>
          <w:szCs w:val="28"/>
          <w:rtl w:val="true"/>
          <w:lang w:bidi="fa-IR"/>
        </w:rPr>
        <w:t>، ونافعه</w:t>
      </w:r>
      <w:r>
        <w:rPr>
          <w:rStyle w:val="FootnoteAnchor"/>
          <w:rtl w:val="true"/>
        </w:rPr>
        <w:footnoteReference w:id="874"/>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875"/>
      </w:r>
      <w:r>
        <w:rPr>
          <w:rFonts w:ascii="IRNazanin" w:hAnsi="IRNazanin" w:eastAsia="IRNazanin"/>
          <w:color w:val="111111"/>
          <w:sz w:val="28"/>
          <w:sz w:val="28"/>
          <w:szCs w:val="28"/>
          <w:rtl w:val="true"/>
          <w:lang w:bidi="fa-IR"/>
        </w:rPr>
        <w:t>، وإرشاده</w:t>
      </w:r>
      <w:r>
        <w:rPr>
          <w:rStyle w:val="FootnoteAnchor"/>
          <w:rtl w:val="true"/>
        </w:rPr>
        <w:footnoteReference w:id="876"/>
      </w:r>
      <w:r>
        <w:rPr>
          <w:rFonts w:ascii="IRNazanin" w:hAnsi="IRNazanin" w:eastAsia="IRNazanin"/>
          <w:color w:val="111111"/>
          <w:sz w:val="28"/>
          <w:sz w:val="28"/>
          <w:szCs w:val="28"/>
          <w:rtl w:val="true"/>
          <w:lang w:bidi="fa-IR"/>
        </w:rPr>
        <w:t>، وتبصرته</w:t>
      </w:r>
      <w:r>
        <w:rPr>
          <w:rStyle w:val="FootnoteAnchor"/>
          <w:rtl w:val="true"/>
        </w:rPr>
        <w:footnoteReference w:id="877"/>
      </w:r>
      <w:r>
        <w:rPr>
          <w:rFonts w:ascii="Amiri" w:hAnsi="Amiri" w:eastAsia="Amiri" w:cs="Amiri"/>
          <w:color w:val="111111"/>
          <w:sz w:val="28"/>
          <w:sz w:val="28"/>
          <w:szCs w:val="28"/>
          <w:rtl w:val="true"/>
          <w:lang w:bidi="ar-SA"/>
        </w:rPr>
        <w:t>، وولده العظيم قدس سره</w:t>
      </w:r>
      <w:r>
        <w:rPr>
          <w:rStyle w:val="FootnoteAnchor"/>
          <w:rtl w:val="true"/>
        </w:rPr>
        <w:footnoteReference w:id="878"/>
      </w:r>
      <w:r>
        <w:rPr>
          <w:rFonts w:ascii="IRNazanin" w:hAnsi="IRNazanin" w:eastAsia="IRNazanin"/>
          <w:color w:val="111111"/>
          <w:sz w:val="28"/>
          <w:sz w:val="28"/>
          <w:szCs w:val="28"/>
          <w:rtl w:val="true"/>
          <w:lang w:bidi="fa-IR"/>
        </w:rPr>
        <w:t xml:space="preserve">، </w:t>
      </w:r>
      <w:bookmarkStart w:id="201" w:name="pg20337_261484"/>
    </w:p>
    <w:p>
      <w:pPr>
        <w:pStyle w:val="BookText"/>
        <w:rPr/>
      </w:pPr>
      <w:bookmarkEnd w:id="201"/>
      <w:r>
        <w:rPr>
          <w:rFonts w:ascii="Amiri" w:hAnsi="Amiri" w:eastAsia="Amiri" w:cs="Amiri"/>
          <w:color w:val="111111"/>
          <w:sz w:val="28"/>
          <w:sz w:val="28"/>
          <w:szCs w:val="28"/>
          <w:rtl w:val="true"/>
          <w:lang w:bidi="ar-SA"/>
        </w:rPr>
        <w:t>والشَّهيد الثَّاني قدس سرهما</w:t>
      </w:r>
      <w:r>
        <w:rPr>
          <w:rStyle w:val="FootnoteAnchor"/>
          <w:rtl w:val="true"/>
        </w:rPr>
        <w:footnoteReference w:id="879"/>
      </w:r>
      <w:r>
        <w:rPr>
          <w:rFonts w:ascii="Amiri" w:hAnsi="Amiri" w:eastAsia="Amiri" w:cs="Amiri"/>
          <w:color w:val="111111"/>
          <w:sz w:val="28"/>
          <w:sz w:val="28"/>
          <w:szCs w:val="28"/>
          <w:rtl w:val="true"/>
          <w:lang w:bidi="ar-SA"/>
        </w:rPr>
        <w:t xml:space="preserve">، وقد ادَّعىٰ ثبوتَ الشُّهرة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 لأولاده المُرتدِّين؛ والوقف حينئذٍ ينتقل إلى مولاه، أو إلى ورثته، أو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لووقف دارَه لفعل الفواحش والإتيان بها فيها، لايجوز هذا الوقف ولايصح قطعًا؛ لأنَّ النَّهي في المعاملات يُوجِب فَسادَها؛ وأمَّا لوخُلِّي هذا الوقف وطبعُه من دون النَّظر إلى هذه القاعدة الأصوليَّة، فلادليل علىٰ بطلان هذا الوقف</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1945040_1280447820"/>
      <w:bookmarkStart w:id="203" w:name="_Toc72"/>
      <w:bookmarkEnd w:id="202"/>
      <w:r>
        <w:rPr>
          <w:rtl w:val="true"/>
        </w:rPr>
        <w:t>التَّنبيه الثَّامن</w:t>
      </w:r>
      <w:r>
        <w:rPr>
          <w:rtl w:val="true"/>
        </w:rPr>
        <w:t>:</w:t>
      </w:r>
      <w:bookmarkEnd w:id="203"/>
    </w:p>
    <w:p>
      <w:pPr>
        <w:pStyle w:val="BookText"/>
        <w:rPr/>
      </w:pPr>
      <w:r>
        <w:rPr>
          <w:rFonts w:ascii="Amiri" w:hAnsi="Amiri" w:eastAsia="Amiri" w:cs="Amiri"/>
          <w:color w:val="111111"/>
          <w:sz w:val="28"/>
          <w:sz w:val="28"/>
          <w:szCs w:val="28"/>
          <w:rtl w:val="true"/>
          <w:lang w:bidi="ar-SA"/>
        </w:rPr>
        <w:t>قد اشتهر بين الأصحاب أنَّه يجوز بيع الموقوف في موارد ثمانيَّةٍ‌</w:t>
      </w:r>
      <w:r>
        <w:rPr>
          <w:rStyle w:val="FootnoteAnchor"/>
          <w:rtl w:val="true"/>
        </w:rPr>
        <w:footnoteReference w:id="880"/>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المال الموقوفُ بصدد الهدم، فيخرب بعد مدَّةٍ بحيث لاتكون له منفعةٌ ولايجوز تبديلُه بشيءٍ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يخرب بحيث لاتكون له منفعةٌ معتدَّةٌ‌، بل لاتحصل منه بعد مدَّةٍ إلَّافائدةٌ قليلةٌ‌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بحيث تزول منه الفائدةُ الَّتي أرادها الواقفُ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في بيعه نفعٌ بحسب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يحتاج الموقوفُ عليه إلى ثمنه حاجةً ماسَّةً‌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يقع بين الموقوف عليهم نزاعٌ فيه بحيث يُظَنُّ أنَّ النِّزاع سينجرُّ إلى نزاعٍ خارجٍ عن العُرف، كأن يقتل بعضُهم بعضًا بسببه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الموقوف ممَّا ذَكَرَ الواقف في جريان الصِّيغة جوازَ بيعه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يحصل ظنٌّ قويٌّ بأنَّه يُتلَفُ‌، أو يُغصَبُ فيخرج عن الوقف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في ذكر هذه الشُّروط مجمَلًا أو مفصَّلًا بين مجمِلٍ ومفصِّلٍ‌، فبعضُهم خصَّ بالمسألة رسالةً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حسين آل عصفورٍ البحرانيِّ قدس سره</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خاض في غِمارها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الجواهر قدس سره</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كان فلابن الجنيد قدس سره</w:t>
      </w:r>
      <w:r>
        <w:rPr>
          <w:rStyle w:val="FootnoteAnchor"/>
          <w:rtl w:val="true"/>
        </w:rPr>
        <w:footnoteReference w:id="883"/>
      </w:r>
      <w:r>
        <w:rPr>
          <w:rFonts w:ascii="IRNazanin" w:hAnsi="IRNazanin" w:eastAsia="IRNazanin"/>
          <w:color w:val="111111"/>
          <w:sz w:val="28"/>
          <w:sz w:val="28"/>
          <w:szCs w:val="28"/>
          <w:rtl w:val="true"/>
          <w:lang w:bidi="fa-IR"/>
        </w:rPr>
        <w:t>، والمرتضىٰ قدس سره</w:t>
      </w:r>
      <w:r>
        <w:rPr>
          <w:rStyle w:val="FootnoteAnchor"/>
          <w:rtl w:val="true"/>
        </w:rPr>
        <w:footnoteReference w:id="884"/>
      </w:r>
      <w:r>
        <w:rPr>
          <w:rFonts w:ascii="Amiri" w:hAnsi="Amiri" w:eastAsia="Amiri" w:cs="Amiri"/>
          <w:color w:val="111111"/>
          <w:sz w:val="28"/>
          <w:sz w:val="28"/>
          <w:szCs w:val="28"/>
          <w:rtl w:val="true"/>
          <w:lang w:bidi="ar-SA"/>
        </w:rPr>
        <w:t>، والشَّيخ قدس سره</w:t>
      </w:r>
      <w:r>
        <w:rPr>
          <w:rStyle w:val="FootnoteAnchor"/>
          <w:rtl w:val="true"/>
        </w:rPr>
        <w:footnoteReference w:id="885"/>
      </w:r>
      <w:r>
        <w:rPr>
          <w:rFonts w:ascii="Amiri" w:hAnsi="Amiri" w:eastAsia="Amiri" w:cs="Amiri"/>
          <w:color w:val="111111"/>
          <w:sz w:val="28"/>
          <w:sz w:val="28"/>
          <w:szCs w:val="28"/>
          <w:rtl w:val="true"/>
          <w:lang w:bidi="ar-SA"/>
        </w:rPr>
        <w:t>، وابن زهرة قدس سره</w:t>
      </w:r>
      <w:r>
        <w:rPr>
          <w:rStyle w:val="FootnoteAnchor"/>
          <w:rtl w:val="true"/>
        </w:rPr>
        <w:footnoteReference w:id="886"/>
      </w:r>
      <w:r>
        <w:rPr>
          <w:rFonts w:ascii="Amiri" w:hAnsi="Amiri" w:eastAsia="Amiri" w:cs="Amiri"/>
          <w:color w:val="111111"/>
          <w:sz w:val="28"/>
          <w:sz w:val="28"/>
          <w:szCs w:val="28"/>
          <w:rtl w:val="true"/>
          <w:lang w:bidi="ar-SA"/>
        </w:rPr>
        <w:t>، والكَيدُري قدس سره</w:t>
      </w:r>
      <w:r>
        <w:rPr>
          <w:rStyle w:val="FootnoteAnchor"/>
          <w:rtl w:val="true"/>
        </w:rPr>
        <w:footnoteReference w:id="887"/>
      </w:r>
      <w:r>
        <w:rPr>
          <w:rFonts w:ascii="Amiri" w:hAnsi="Amiri" w:eastAsia="Amiri" w:cs="Amiri"/>
          <w:color w:val="111111"/>
          <w:sz w:val="28"/>
          <w:sz w:val="28"/>
          <w:szCs w:val="28"/>
          <w:rtl w:val="true"/>
          <w:lang w:bidi="ar-SA"/>
        </w:rPr>
        <w:t>، والمحقِّق قدس سره</w:t>
      </w:r>
      <w:r>
        <w:rPr>
          <w:rStyle w:val="FootnoteAnchor"/>
          <w:rtl w:val="true"/>
        </w:rPr>
        <w:footnoteReference w:id="888"/>
      </w:r>
      <w:r>
        <w:rPr>
          <w:rFonts w:ascii="Amiri" w:hAnsi="Amiri" w:eastAsia="Amiri" w:cs="Amiri"/>
          <w:color w:val="111111"/>
          <w:sz w:val="28"/>
          <w:sz w:val="28"/>
          <w:szCs w:val="28"/>
          <w:rtl w:val="true"/>
          <w:lang w:bidi="ar-SA"/>
        </w:rPr>
        <w:t>، وغيرهم كلماتٌ هيهنا يجدر الرُّجوع إليها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في بعض هذه الموارد رواياتٌ‌</w:t>
      </w:r>
      <w:r>
        <w:rPr>
          <w:rStyle w:val="FootnoteAnchor"/>
          <w:rtl w:val="true"/>
        </w:rPr>
        <w:footnoteReference w:id="889"/>
      </w:r>
      <w:r>
        <w:rPr>
          <w:rFonts w:ascii="Amiri" w:hAnsi="Amiri" w:eastAsia="Amiri" w:cs="Amiri"/>
          <w:color w:val="111111"/>
          <w:sz w:val="28"/>
          <w:sz w:val="28"/>
          <w:szCs w:val="28"/>
          <w:rtl w:val="true"/>
          <w:lang w:bidi="ar-SA"/>
        </w:rPr>
        <w:t>، لكن الَّذي نختاره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بيد الحاكم في جميع هذه الأمور الَّثمانيَة، وفي غيرها أيضًا ولو كان من الموارد الَّتي </w:t>
      </w:r>
      <w:bookmarkStart w:id="204" w:name="pg20337_261486"/>
    </w:p>
    <w:p>
      <w:pPr>
        <w:pStyle w:val="BookText"/>
        <w:rPr/>
      </w:pPr>
      <w:bookmarkEnd w:id="204"/>
      <w:r>
        <w:rPr>
          <w:rFonts w:ascii="Amiri" w:hAnsi="Amiri" w:eastAsia="Amiri" w:cs="Amiri"/>
          <w:color w:val="111111"/>
          <w:sz w:val="28"/>
          <w:sz w:val="28"/>
          <w:szCs w:val="28"/>
          <w:rtl w:val="true"/>
          <w:lang w:bidi="ar-SA"/>
        </w:rPr>
        <w:t>وردَتْ فيها روايةٌ صحيحةٌ‌؛ فالأمر بيد الحاكم إن رأىٰ الخير في أن يبيع الموقوف فيبيعه، وإن رأىٰ صلاح الموقوف في حفظه يحفظه؛ وفاقًا لسيِّدنا الأستاذ الإمام الخمينيِّ قدس سره</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فإذا لم يَرَ الحاكمُ صلاح الموقوف في بيعه، ليس له أن يبيعَه وإن وردتْ فيه روايةٌ صحيحةُ السَّند ظاهرةُ الدِّلالة؛ إذ المختار أنَّ الرِّوايات لاتعبُّد فيها أصلًا، بل كلَّها إرشادٌ إلى حكم العقل وسيرة العقلاء في حكم الوقف</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1945042_1280447820"/>
      <w:bookmarkStart w:id="206" w:name="_Toc73"/>
      <w:bookmarkEnd w:id="205"/>
      <w:r>
        <w:rPr>
          <w:rtl w:val="true"/>
        </w:rPr>
        <w:t>التَّنبيه التَّاسع</w:t>
      </w:r>
      <w:r>
        <w:rPr>
          <w:rtl w:val="true"/>
        </w:rPr>
        <w:t>:</w:t>
      </w:r>
      <w:bookmarkEnd w:id="206"/>
    </w:p>
    <w:p>
      <w:pPr>
        <w:pStyle w:val="BookText"/>
        <w:rPr/>
      </w:pPr>
      <w:r>
        <w:rPr>
          <w:rFonts w:ascii="Amiri" w:hAnsi="Amiri" w:eastAsia="Amiri" w:cs="Amiri"/>
          <w:color w:val="111111"/>
          <w:sz w:val="28"/>
          <w:sz w:val="28"/>
          <w:szCs w:val="28"/>
          <w:rtl w:val="true"/>
          <w:lang w:bidi="ar-SA"/>
        </w:rPr>
        <w:t>لاإشكال في أنَّه يجوز في الوقف أن يتولّىٰ أحدٌ أمرَه حسب ما ذكره الواقف؛ بل لاإشكال في جواز أن ينظُرَ أحدٌ فيه لحفظه وحراسته عمَّا يخربه أو يُشينُه؛</w:t>
      </w:r>
    </w:p>
    <w:p>
      <w:pPr>
        <w:pStyle w:val="BookText"/>
        <w:rPr/>
      </w:pPr>
      <w:r>
        <w:rPr>
          <w:rFonts w:ascii="Amiri" w:hAnsi="Amiri" w:eastAsia="Amiri" w:cs="Amiri"/>
          <w:color w:val="111111"/>
          <w:sz w:val="28"/>
          <w:sz w:val="28"/>
          <w:szCs w:val="28"/>
          <w:rtl w:val="true"/>
          <w:lang w:bidi="ar-SA"/>
        </w:rPr>
        <w:t>حتَّى أنَّه لو لم يُعيِّن الواقفُ متولِّيًا له أو ناظرًا فيه، فعلىٰ الدَّولة الإسلاميَّة أن تُعيِّن متولِّيًا وناظرًا له؛ وكما عن الشَّيخ عليٍّ آل كاشف الغطاء قدس سره</w:t>
      </w:r>
      <w:r>
        <w:rPr>
          <w:rStyle w:val="FootnoteAnchor"/>
          <w:rtl w:val="true"/>
        </w:rPr>
        <w:footnoteReference w:id="891"/>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الكلام لانزاع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يترتَّبُ علىٰ هذا الأصل؛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للواقف أن يجعل نفسَه متولِّيًا عليه‌؟؛</w:t>
      </w:r>
    </w:p>
    <w:p>
      <w:pPr>
        <w:pStyle w:val="BookText"/>
        <w:rPr/>
      </w:pPr>
      <w:r>
        <w:rPr>
          <w:rFonts w:ascii="Amiri" w:hAnsi="Amiri" w:eastAsia="Amiri" w:cs="Amiri"/>
          <w:color w:val="111111"/>
          <w:sz w:val="28"/>
          <w:sz w:val="28"/>
          <w:szCs w:val="28"/>
          <w:rtl w:val="true"/>
          <w:lang w:bidi="ar-SA"/>
        </w:rPr>
        <w:t>وعلىٰ فرض الجواز، هل يجوز أن يُعيِّن لنفسه راتبةً للقيام بتوليَة الموقوف</w:t>
      </w:r>
      <w:r>
        <w:rPr>
          <w:rStyle w:val="FootnoteAnchor"/>
          <w:rtl w:val="true"/>
        </w:rPr>
        <w:footnoteReference w:id="8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الوقف سلب الملكيَّة عن النَّفس، فليس للواقف بعد سلبه الملكيَّةَ أن يتولّىٰ أمره ثانيًا وأن يأخذ علىٰ تولِيَته عليه راتبةً‌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هو الجوازُ،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الوقوف علىٰ حسب ما يُوقَف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ولأعلام القوم كالمحقِّق الآخوند قدس سره</w:t>
      </w:r>
      <w:r>
        <w:rPr>
          <w:rStyle w:val="FootnoteAnchor"/>
          <w:rtl w:val="true"/>
        </w:rPr>
        <w:footnoteReference w:id="893"/>
      </w:r>
      <w:r>
        <w:rPr>
          <w:rFonts w:ascii="Amiri" w:hAnsi="Amiri" w:eastAsia="Amiri" w:cs="Amiri"/>
          <w:color w:val="111111"/>
          <w:sz w:val="28"/>
          <w:sz w:val="28"/>
          <w:szCs w:val="28"/>
          <w:rtl w:val="true"/>
          <w:lang w:bidi="ar-SA"/>
        </w:rPr>
        <w:t>، والعلَّامة المجلسيِّ قدس سره</w:t>
      </w:r>
      <w:r>
        <w:rPr>
          <w:rStyle w:val="FootnoteAnchor"/>
          <w:rtl w:val="true"/>
        </w:rPr>
        <w:footnoteReference w:id="894"/>
      </w:r>
      <w:r>
        <w:rPr>
          <w:rFonts w:ascii="Amiri" w:hAnsi="Amiri" w:eastAsia="Amiri" w:cs="Amiri"/>
          <w:color w:val="111111"/>
          <w:sz w:val="28"/>
          <w:sz w:val="28"/>
          <w:szCs w:val="28"/>
          <w:rtl w:val="true"/>
          <w:lang w:bidi="ar-SA"/>
        </w:rPr>
        <w:t>، والفقيه بحرالعلوم قدس سره</w:t>
      </w:r>
      <w:r>
        <w:rPr>
          <w:rStyle w:val="FootnoteAnchor"/>
          <w:rtl w:val="true"/>
        </w:rPr>
        <w:footnoteReference w:id="895"/>
      </w:r>
      <w:r>
        <w:rPr>
          <w:rFonts w:ascii="Amiri" w:hAnsi="Amiri" w:eastAsia="Amiri" w:cs="Amiri"/>
          <w:color w:val="111111"/>
          <w:sz w:val="28"/>
          <w:sz w:val="28"/>
          <w:szCs w:val="28"/>
          <w:rtl w:val="true"/>
          <w:lang w:bidi="ar-SA"/>
        </w:rPr>
        <w:t>، والسَّيِّد الفقيه اليزديِّ قدس سره</w:t>
      </w:r>
      <w:r>
        <w:rPr>
          <w:rStyle w:val="FootnoteAnchor"/>
          <w:rtl w:val="true"/>
        </w:rPr>
        <w:footnoteReference w:id="896"/>
      </w:r>
      <w:r>
        <w:rPr>
          <w:rFonts w:ascii="Amiri" w:hAnsi="Amiri" w:eastAsia="Amiri" w:cs="Amiri"/>
          <w:color w:val="111111"/>
          <w:sz w:val="28"/>
          <w:sz w:val="28"/>
          <w:szCs w:val="28"/>
          <w:rtl w:val="true"/>
          <w:lang w:bidi="ar-SA"/>
        </w:rPr>
        <w:t>، والشَّيخ احمد آل كاشف الغطاء قدس سره</w:t>
      </w:r>
      <w:r>
        <w:rPr>
          <w:rStyle w:val="FootnoteAnchor"/>
          <w:rtl w:val="true"/>
        </w:rPr>
        <w:footnoteReference w:id="897"/>
      </w:r>
      <w:r>
        <w:rPr>
          <w:rFonts w:ascii="Amiri" w:hAnsi="Amiri" w:eastAsia="Amiri" w:cs="Amiri"/>
          <w:color w:val="111111"/>
          <w:sz w:val="28"/>
          <w:sz w:val="28"/>
          <w:szCs w:val="28"/>
          <w:rtl w:val="true"/>
          <w:lang w:bidi="ar-SA"/>
        </w:rPr>
        <w:t>، والشَّيخ محمَّدحسين قدس سره</w:t>
      </w:r>
      <w:r>
        <w:rPr>
          <w:rStyle w:val="FootnoteAnchor"/>
          <w:rtl w:val="true"/>
        </w:rPr>
        <w:footnoteReference w:id="898"/>
      </w:r>
      <w:r>
        <w:rPr>
          <w:rFonts w:ascii="Amiri" w:hAnsi="Amiri" w:eastAsia="Amiri" w:cs="Amiri"/>
          <w:color w:val="111111"/>
          <w:sz w:val="28"/>
          <w:sz w:val="28"/>
          <w:szCs w:val="28"/>
          <w:rtl w:val="true"/>
          <w:lang w:bidi="ar-SA"/>
        </w:rPr>
        <w:t>منهم أيضًا هيهنا كلماتٌ يجدر الرُّجوع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يُعيِّن الواقفُ متولِّيًا علىٰ الوقف عند جريان الصِّيغة، فهل يُمكن له أن يجعل بعد الجريان التَّوليَةَ لنفسه‌؟،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الواقف بعد جريان الصِّيغة كأحدٍ من النَّاس، ولا فرق بينه وبين غيره من النَّاس بالنِّسبة إلى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الحاكم إذن أن يُعيِّن الواقفَ أو غيرَه لتوليَة أمره، وهذا ممَّا يجب علىٰ الحاكم أن يقوم به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لوجعَل الواقفَ نفسَه متولِّيًا علىٰ الوقف إلَّاأنَّه لم يعمل بما يجب عليه من حفظ الموقوف وحراسته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أو تقصيرًا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الحاكم أن يعزلَه وينصبَ‌</w:t>
      </w:r>
      <w:bookmarkStart w:id="207" w:name="pg20337_261488"/>
    </w:p>
    <w:p>
      <w:pPr>
        <w:pStyle w:val="BookText"/>
        <w:rPr/>
      </w:pPr>
      <w:bookmarkEnd w:id="207"/>
      <w:r>
        <w:rPr>
          <w:rFonts w:ascii="Amiri" w:hAnsi="Amiri" w:eastAsia="Amiri" w:cs="Amiri"/>
          <w:color w:val="111111"/>
          <w:sz w:val="28"/>
          <w:sz w:val="28"/>
          <w:szCs w:val="28"/>
          <w:rtl w:val="true"/>
          <w:lang w:bidi="ar-SA"/>
        </w:rPr>
        <w:t>مقامَه من يقوم بهذا الأمر كما هو حقُّه؛ فهو كمَن جعَلَه الواقف أو الحاكمُ في هذا المنصب لكنَّه لايقوم بواجبه؛ فللحاكم أن يعزلَه</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الإمام الصَّادق عليه السلام،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للمتولِّي عزلُه لو لم يشترطه عند جريان الصِّيغة؛ لأنَّه حينئذٍ بالنِّسبة إلى الموقوف كأحدٍ من النَّاس، فلاولاية له عليه</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1945044_1280447820"/>
      <w:bookmarkStart w:id="209" w:name="_Toc74"/>
      <w:bookmarkEnd w:id="208"/>
      <w:r>
        <w:rPr>
          <w:rtl w:val="true"/>
        </w:rPr>
        <w:t>التَّنبيه العاشر</w:t>
      </w:r>
      <w:r>
        <w:rPr>
          <w:rtl w:val="true"/>
        </w:rPr>
        <w:t>:</w:t>
      </w:r>
      <w:bookmarkEnd w:id="209"/>
    </w:p>
    <w:p>
      <w:pPr>
        <w:pStyle w:val="BookText"/>
        <w:rPr/>
      </w:pPr>
      <w:r>
        <w:rPr>
          <w:rFonts w:ascii="Amiri" w:hAnsi="Amiri" w:eastAsia="Amiri" w:cs="Amiri"/>
          <w:color w:val="111111"/>
          <w:sz w:val="28"/>
          <w:sz w:val="28"/>
          <w:szCs w:val="28"/>
          <w:rtl w:val="true"/>
          <w:lang w:bidi="ar-SA"/>
        </w:rPr>
        <w:t>لاإشكال في اشتراط كون المتولِّي بل النَّاظرِ ثقةً‌</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التَّقوىٰ‌،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فلواشتَرَط المتولِّي أو الحاكم أن يُعيَّنَ من ليس بأمينٍ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ما يرتبط بحفظ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كمتولٍّ له، فهو شرطٌ فاسدٌ؛ وحينئذٍ فلوقيل بأنَّ الشَّرط الفاسد لايُفسِد العقدَ، فعقد الوقف صحيحٌ‌، لكن لاوقع لهذا الشَّرط أصلًا؛ فعلى الواقف أو الحاكم أن يعزله عن منصَبه ويجعل بدلَه مَن يقوم بوظائفه أمينًا فيها؛</w:t>
      </w:r>
    </w:p>
    <w:p>
      <w:pPr>
        <w:pStyle w:val="BookText"/>
        <w:rPr/>
      </w:pPr>
      <w:r>
        <w:rPr>
          <w:rFonts w:ascii="Amiri" w:hAnsi="Amiri" w:eastAsia="Amiri" w:cs="Amiri"/>
          <w:color w:val="111111"/>
          <w:sz w:val="28"/>
          <w:sz w:val="28"/>
          <w:szCs w:val="28"/>
          <w:rtl w:val="true"/>
          <w:lang w:bidi="ar-SA"/>
        </w:rPr>
        <w:t>إذ الشَّارع لايرضىٰ بأن يُسلِّط غير الأمين علىٰ الوقف، كما لايرضىٰ أن يُسلِّط علىٰ أموال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إن صار المتولِّي فاسقًا بعد أن كان أمينًا، فيجب علىٰ الحاكم عزلُه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لاتُشترط فيه العدالة المُصطلَح عليها في الفقه، إذ لا دليل علىٰ اشتراطها </w:t>
      </w:r>
      <w:bookmarkStart w:id="210" w:name="pg20337_261489"/>
    </w:p>
    <w:p>
      <w:pPr>
        <w:pStyle w:val="BookText"/>
        <w:rPr/>
      </w:pPr>
      <w:bookmarkEnd w:id="210"/>
      <w:r>
        <w:rPr>
          <w:rFonts w:ascii="Amiri" w:hAnsi="Amiri" w:eastAsia="Amiri" w:cs="Amiri"/>
          <w:color w:val="111111"/>
          <w:sz w:val="28"/>
          <w:sz w:val="28"/>
          <w:szCs w:val="28"/>
          <w:rtl w:val="true"/>
          <w:lang w:bidi="ar-SA"/>
        </w:rPr>
        <w:t>فيه؛ بل تكفي فيه الأمانة وكونه أمينًا في حفظ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مرادهم من أنَّ النَّاظِر المتولِّي يجب أن يكون عدْلًا، كما عن الشَّيخ حسن آل كاشف الغطاء قدس سره</w:t>
      </w:r>
      <w:r>
        <w:rPr>
          <w:rStyle w:val="FootnoteAnchor"/>
          <w:rtl w:val="true"/>
        </w:rPr>
        <w:footnoteReference w:id="902"/>
      </w:r>
      <w:r>
        <w:rPr>
          <w:rFonts w:ascii="Amiri" w:hAnsi="Amiri" w:eastAsia="Amiri" w:cs="Amiri"/>
          <w:color w:val="111111"/>
          <w:sz w:val="28"/>
          <w:sz w:val="28"/>
          <w:szCs w:val="28"/>
          <w:rtl w:val="true"/>
          <w:lang w:bidi="ar-SA"/>
        </w:rPr>
        <w:t>، وولده الشَّيخ عبَّاس قدس سره</w:t>
      </w:r>
      <w:r>
        <w:rPr>
          <w:rStyle w:val="FootnoteAnchor"/>
          <w:rtl w:val="true"/>
        </w:rPr>
        <w:footnoteReference w:id="903"/>
      </w:r>
      <w:r>
        <w:rPr>
          <w:rFonts w:ascii="Amiri" w:hAnsi="Amiri" w:eastAsia="Amiri" w:cs="Amiri"/>
          <w:color w:val="111111"/>
          <w:sz w:val="28"/>
          <w:sz w:val="28"/>
          <w:szCs w:val="28"/>
          <w:rtl w:val="true"/>
          <w:lang w:bidi="ar-SA"/>
        </w:rPr>
        <w:t>، والبحرانيِّ قدس سره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ترقُّب المتولِّي أمر الوقف أن ينظُرَ في جميع ما يرتبط به، فيصحِّحه ويُمضيه، لا أن يطَّلع عليه فقط</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الواقف أو الحاكم أن يطَّلع المتولِّي علىٰ ما يجري علىٰ الوقف فقط، من دون أن يُصحِّح الخطأ منه، فعليهما أن يُصرِّحا بهذا عند نصب المتولِّي بهذا المقام؛</w:t>
      </w:r>
    </w:p>
    <w:p>
      <w:pPr>
        <w:pStyle w:val="BookText"/>
        <w:rPr/>
      </w:pPr>
      <w:r>
        <w:rPr>
          <w:rFonts w:ascii="Amiri" w:hAnsi="Amiri" w:eastAsia="Amiri" w:cs="Amiri"/>
          <w:color w:val="111111"/>
          <w:sz w:val="28"/>
          <w:sz w:val="28"/>
          <w:szCs w:val="28"/>
          <w:rtl w:val="true"/>
          <w:lang w:bidi="ar-SA"/>
        </w:rPr>
        <w:t>أمَّا لو لم يُصرِّحا به، فالظَّاهر العرفيُّ يحكمُ بأنَّه يجب عليه أن يُدقِّق النَّظر في جيمع شؤون الموقوف أوَّلًا، ثمَّ يُصلِحه ثانيًا لئلَّا يصير أمره إلى البوار والخروج عمَّا أوقفه الواقف له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1945046_1280447820"/>
      <w:bookmarkStart w:id="212" w:name="_Toc75"/>
      <w:bookmarkEnd w:id="211"/>
      <w:r>
        <w:rPr>
          <w:rtl w:val="true"/>
        </w:rPr>
        <w:t>التَّنبيه الحادي عشر</w:t>
      </w:r>
      <w:r>
        <w:rPr>
          <w:rtl w:val="true"/>
        </w:rPr>
        <w:t>:</w:t>
      </w:r>
      <w:bookmarkEnd w:id="212"/>
    </w:p>
    <w:p>
      <w:pPr>
        <w:pStyle w:val="BookText"/>
        <w:rPr/>
      </w:pP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يجعل الواقفُ شخصًا أو شخصين أو عدَّة أشخاصٍ علىٰ نحو الاِستقلال أو الشِّركة لترقُّب أمر الموقوف؛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الواقفَ لو لم ينصبْ أحدًا لتوليته، فعلىٰ الحاكم أن يجعله أو يجعلهما أو يجعلهم لترقُّبه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ملكيَّة الموقوف عليه علىٰ الموقوف؛ لكنَّ النَّظر فيه </w:t>
      </w:r>
    </w:p>
    <w:p>
      <w:pPr>
        <w:pStyle w:val="BookText"/>
        <w:rPr/>
      </w:pPr>
      <w:r>
        <w:rPr>
          <w:rFonts w:ascii="Amiri" w:hAnsi="Amiri" w:eastAsia="Amiri" w:cs="Amiri"/>
          <w:color w:val="111111"/>
          <w:sz w:val="28"/>
          <w:sz w:val="28"/>
          <w:szCs w:val="28"/>
          <w:rtl w:val="true"/>
          <w:lang w:bidi="ar-SA"/>
        </w:rPr>
        <w:t>علىٰ القول بالملكيَّة يختصُّ به، كما عن المحقِّق قدس سره</w:t>
      </w:r>
      <w:r>
        <w:rPr>
          <w:rStyle w:val="FootnoteAnchor"/>
          <w:rtl w:val="true"/>
        </w:rPr>
        <w:footnoteReference w:id="906"/>
      </w:r>
      <w:r>
        <w:rPr>
          <w:rFonts w:ascii="Amiri" w:hAnsi="Amiri" w:eastAsia="Amiri" w:cs="Amiri"/>
          <w:color w:val="111111"/>
          <w:sz w:val="28"/>
          <w:sz w:val="28"/>
          <w:szCs w:val="28"/>
          <w:rtl w:val="true"/>
          <w:lang w:bidi="ar-SA"/>
        </w:rPr>
        <w:t>، والشَّهيد الثَّاني قدس سرهما في حاشيته علىٰ الشَّرائع</w:t>
      </w:r>
      <w:r>
        <w:rPr>
          <w:rStyle w:val="FootnoteAnchor"/>
          <w:rtl w:val="true"/>
        </w:rPr>
        <w:footnoteReference w:id="907"/>
      </w:r>
      <w:r>
        <w:rPr>
          <w:rFonts w:ascii="Amiri" w:hAnsi="Amiri" w:eastAsia="Amiri" w:cs="Amiri"/>
          <w:color w:val="111111"/>
          <w:sz w:val="28"/>
          <w:sz w:val="28"/>
          <w:szCs w:val="28"/>
          <w:rtl w:val="true"/>
          <w:lang w:bidi="ar-SA"/>
        </w:rPr>
        <w:t>، وشرحه عليه</w:t>
      </w:r>
      <w:r>
        <w:rPr>
          <w:rStyle w:val="FootnoteAnchor"/>
          <w:rtl w:val="true"/>
        </w:rPr>
        <w:footnoteReference w:id="908"/>
      </w:r>
      <w:r>
        <w:rPr>
          <w:rFonts w:ascii="Amiri" w:hAnsi="Amiri" w:eastAsia="Amiri" w:cs="Amiri"/>
          <w:color w:val="111111"/>
          <w:sz w:val="28"/>
          <w:sz w:val="28"/>
          <w:szCs w:val="28"/>
          <w:rtl w:val="true"/>
          <w:lang w:bidi="ar-SA"/>
        </w:rPr>
        <w:t>أيضًا، والفقيه النَّجفي قدس سره</w:t>
      </w:r>
      <w:r>
        <w:rPr>
          <w:rStyle w:val="FootnoteAnchor"/>
          <w:rtl w:val="true"/>
        </w:rPr>
        <w:footnoteReference w:id="909"/>
      </w:r>
      <w:r>
        <w:rPr>
          <w:rFonts w:ascii="Amiri" w:hAnsi="Amiri" w:eastAsia="Amiri" w:cs="Amiri"/>
          <w:color w:val="111111"/>
          <w:sz w:val="28"/>
          <w:sz w:val="28"/>
          <w:szCs w:val="28"/>
          <w:rtl w:val="true"/>
          <w:lang w:bidi="ar-SA"/>
        </w:rPr>
        <w:t>، والشَّيخ عبَّاس آل كاشف الغطاء قدس سره</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وخير الكلمات وأجمعها هيهنا ما ذكره المحقِّق الفيضُ قدس سره</w:t>
      </w:r>
      <w:r>
        <w:rPr>
          <w:rStyle w:val="FootnoteAnchor"/>
          <w:rtl w:val="true"/>
        </w:rPr>
        <w:footnoteReference w:id="911"/>
      </w:r>
      <w:r>
        <w:rPr>
          <w:rFonts w:ascii="Amiri" w:hAnsi="Amiri" w:eastAsia="Amiri" w:cs="Amiri"/>
          <w:color w:val="111111"/>
          <w:sz w:val="28"/>
          <w:sz w:val="28"/>
          <w:szCs w:val="28"/>
          <w:rtl w:val="true"/>
          <w:lang w:bidi="ar-SA"/>
        </w:rPr>
        <w:t>، وشارحه الخبير قدس سره</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له أن يُنصِب ناظرًا في الوقف بعد أن عيَّن الواقفُ متولِّيًا لو رأىٰ المصلحة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الواقف له أن يجعل التَّوليَة علىٰ سبيل الإطلاق، فهو إذن يتصرَّف في الموقوف علىٰ حسب ما يُجيزه الشَّارع؛</w:t>
      </w:r>
    </w:p>
    <w:p>
      <w:pPr>
        <w:pStyle w:val="BookText"/>
        <w:rPr/>
      </w:pPr>
      <w:r>
        <w:rPr>
          <w:rFonts w:ascii="Amiri" w:hAnsi="Amiri" w:eastAsia="Amiri" w:cs="Amiri"/>
          <w:color w:val="111111"/>
          <w:sz w:val="28"/>
          <w:sz w:val="28"/>
          <w:szCs w:val="28"/>
          <w:rtl w:val="true"/>
          <w:lang w:bidi="ar-SA"/>
        </w:rPr>
        <w:t>والحاكم أيضًا يكون كذلك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 الإطلاق أو عدم قيام المتولِّي بما استقَرَّ عليه، لموته أو لعارضٍ غيره، يكون الواقف هو الَّذي يقوم بأمر الموقوف حسب ما يراه الشَّارع ويُمضيه</w:t>
      </w:r>
      <w:r>
        <w:rPr>
          <w:rFonts w:eastAsia="Amiri" w:cs="Amiri" w:ascii="Amiri" w:hAnsi="Amiri"/>
          <w:color w:val="111111"/>
          <w:sz w:val="28"/>
          <w:szCs w:val="28"/>
          <w:rtl w:val="true"/>
          <w:lang w:bidi="ar-SA"/>
        </w:rPr>
        <w:t xml:space="preserve">. </w:t>
      </w:r>
      <w:bookmarkStart w:id="213" w:name="pg20337_261491"/>
    </w:p>
    <w:p>
      <w:pPr>
        <w:pStyle w:val="BookText"/>
        <w:rPr/>
      </w:pPr>
      <w:bookmarkEnd w:id="213"/>
      <w:r>
        <w:rPr>
          <w:rFonts w:ascii="Amiri" w:hAnsi="Amiri" w:eastAsia="Amiri" w:cs="Amiri"/>
          <w:color w:val="111111"/>
          <w:sz w:val="28"/>
          <w:sz w:val="28"/>
          <w:szCs w:val="28"/>
          <w:rtl w:val="true"/>
          <w:lang w:bidi="ar-SA"/>
        </w:rPr>
        <w:t>وللأصحاب في هذه الفروع كلماتٌ وأقوالٌ تجمع بينهما، كالعلَّامة قدس سره</w:t>
      </w:r>
      <w:r>
        <w:rPr>
          <w:rStyle w:val="FootnoteAnchor"/>
          <w:rtl w:val="true"/>
        </w:rPr>
        <w:footnoteReference w:id="913"/>
      </w:r>
      <w:r>
        <w:rPr>
          <w:rFonts w:ascii="Amiri" w:hAnsi="Amiri" w:eastAsia="Amiri" w:cs="Amiri"/>
          <w:color w:val="111111"/>
          <w:sz w:val="28"/>
          <w:sz w:val="28"/>
          <w:szCs w:val="28"/>
          <w:rtl w:val="true"/>
          <w:lang w:bidi="ar-SA"/>
        </w:rPr>
        <w:t>، والسَّيِّد العميديِّ قدس سره</w:t>
      </w:r>
      <w:r>
        <w:rPr>
          <w:rStyle w:val="FootnoteAnchor"/>
          <w:rtl w:val="true"/>
        </w:rPr>
        <w:footnoteReference w:id="914"/>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أمورٌ عرفيَّةٌ أمضاها الشَّارع، ولوبعدم الرَّدع عنها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1945048_1280447820"/>
      <w:bookmarkStart w:id="215" w:name="_Toc76"/>
      <w:bookmarkEnd w:id="214"/>
      <w:r>
        <w:rPr>
          <w:rtl w:val="true"/>
        </w:rPr>
        <w:t>أمثلةٌ لاستعمال القاعدة في الفقه</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ولووقف علىٰ معدومٍ ابتداءً لم يصحَّ‌، كمن يوقِفُ علىٰ من سيُولَد له، أو علىٰ حملٍ لم ينفصل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وشرَّاح العبارة والمُعَلِّقون عليها وإن أبدوا احتمالاتٍ غير عدمِ الصِّحَّة، إلَّاأنَّهم متَّفِقون عليه، كالشَّهيد قدس سره في حاشيته عليه</w:t>
      </w:r>
      <w:r>
        <w:rPr>
          <w:rStyle w:val="FootnoteAnchor"/>
          <w:rtl w:val="true"/>
        </w:rPr>
        <w:footnoteReference w:id="916"/>
      </w:r>
      <w:r>
        <w:rPr>
          <w:rFonts w:ascii="Amiri" w:hAnsi="Amiri" w:eastAsia="Amiri" w:cs="Amiri"/>
          <w:color w:val="111111"/>
          <w:sz w:val="28"/>
          <w:sz w:val="28"/>
          <w:szCs w:val="28"/>
          <w:rtl w:val="true"/>
          <w:lang w:bidi="ar-SA"/>
        </w:rPr>
        <w:t>، وكذا في شرحه</w:t>
      </w:r>
      <w:r>
        <w:rPr>
          <w:rStyle w:val="FootnoteAnchor"/>
          <w:rtl w:val="true"/>
        </w:rPr>
        <w:footnoteReference w:id="917"/>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918"/>
      </w:r>
      <w:r>
        <w:rPr>
          <w:rFonts w:ascii="Amiri" w:hAnsi="Amiri" w:eastAsia="Amiri" w:cs="Amiri"/>
          <w:color w:val="111111"/>
          <w:sz w:val="28"/>
          <w:sz w:val="28"/>
          <w:szCs w:val="28"/>
          <w:rtl w:val="true"/>
          <w:lang w:bidi="ar-SA"/>
        </w:rPr>
        <w:t>، والشَّيخ عبَّاس آل كاشف الغطاء قدس سره</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عودَه إليه عند الحاجة صحَّ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ما ذكره هيهنا ولدُه العظيم قدس سره</w:t>
      </w:r>
      <w:r>
        <w:rPr>
          <w:rStyle w:val="FootnoteAnchor"/>
          <w:rtl w:val="true"/>
        </w:rPr>
        <w:footnoteReference w:id="920"/>
      </w:r>
      <w:r>
        <w:rPr>
          <w:rFonts w:ascii="Amiri" w:hAnsi="Amiri" w:eastAsia="Amiri" w:cs="Amiri"/>
          <w:color w:val="111111"/>
          <w:sz w:val="28"/>
          <w:sz w:val="28"/>
          <w:szCs w:val="28"/>
          <w:rtl w:val="true"/>
          <w:lang w:bidi="ar-SA"/>
        </w:rPr>
        <w:t>، وثاني المحقِّقَين قدس سره</w:t>
      </w:r>
      <w:r>
        <w:rPr>
          <w:rStyle w:val="FootnoteAnchor"/>
          <w:rtl w:val="true"/>
        </w:rPr>
        <w:footnoteReference w:id="921"/>
      </w:r>
      <w:r>
        <w:rPr>
          <w:rFonts w:ascii="Amiri" w:hAnsi="Amiri" w:eastAsia="Amiri" w:cs="Amiri"/>
          <w:color w:val="111111"/>
          <w:sz w:val="28"/>
          <w:sz w:val="28"/>
          <w:szCs w:val="28"/>
          <w:rtl w:val="true"/>
          <w:lang w:bidi="ar-SA"/>
        </w:rPr>
        <w:t>، والفقيه العامِلي قدس سره</w:t>
      </w:r>
      <w:r>
        <w:rPr>
          <w:rStyle w:val="FootnoteAnchor"/>
          <w:rtl w:val="true"/>
        </w:rPr>
        <w:footnoteReference w:id="922"/>
      </w:r>
      <w:r>
        <w:rPr>
          <w:rFonts w:ascii="Amiri" w:hAnsi="Amiri" w:eastAsia="Amiri" w:cs="Amiri"/>
          <w:color w:val="111111"/>
          <w:sz w:val="28"/>
          <w:sz w:val="28"/>
          <w:szCs w:val="28"/>
          <w:rtl w:val="true"/>
          <w:lang w:bidi="ar-SA"/>
        </w:rPr>
        <w:t>، وإلى ما ذكره أيضًا صاحبُ الشَّرائع قدس سره</w:t>
      </w:r>
      <w:r>
        <w:rPr>
          <w:rStyle w:val="FootnoteAnchor"/>
          <w:rtl w:val="true"/>
        </w:rPr>
        <w:footnoteReference w:id="923"/>
      </w:r>
      <w:r>
        <w:rPr>
          <w:rFonts w:ascii="Amiri" w:hAnsi="Amiri" w:eastAsia="Amiri" w:cs="Amiri"/>
          <w:color w:val="111111"/>
          <w:sz w:val="28"/>
          <w:sz w:val="28"/>
          <w:szCs w:val="28"/>
          <w:rtl w:val="true"/>
          <w:lang w:bidi="ar-SA"/>
        </w:rPr>
        <w:t>، والشَّهيد الأوَّل</w:t>
      </w:r>
      <w:r>
        <w:rPr>
          <w:rStyle w:val="FootnoteAnchor"/>
          <w:rtl w:val="true"/>
        </w:rPr>
        <w:footnoteReference w:id="924"/>
      </w:r>
      <w:r>
        <w:rPr>
          <w:rFonts w:ascii="Amiri" w:hAnsi="Amiri" w:eastAsia="Amiri" w:cs="Amiri"/>
          <w:color w:val="111111"/>
          <w:sz w:val="28"/>
          <w:sz w:val="28"/>
          <w:szCs w:val="28"/>
          <w:rtl w:val="true"/>
          <w:lang w:bidi="ar-SA"/>
        </w:rPr>
        <w:t>، وثانيهما قدس سرهما</w:t>
      </w:r>
      <w:r>
        <w:rPr>
          <w:rStyle w:val="FootnoteAnchor"/>
          <w:rtl w:val="true"/>
        </w:rPr>
        <w:footnoteReference w:id="925"/>
      </w:r>
      <w:r>
        <w:rPr>
          <w:rFonts w:ascii="Amiri" w:hAnsi="Amiri" w:eastAsia="Amiri" w:cs="Amiri"/>
          <w:color w:val="111111"/>
          <w:sz w:val="28"/>
          <w:sz w:val="28"/>
          <w:szCs w:val="28"/>
          <w:rtl w:val="true"/>
          <w:lang w:bidi="ar-SA"/>
        </w:rPr>
        <w:t>، والقطَّان قدس سره</w:t>
      </w:r>
      <w:r>
        <w:rPr>
          <w:rStyle w:val="FootnoteAnchor"/>
          <w:rtl w:val="true"/>
        </w:rPr>
        <w:footnoteReference w:id="926"/>
      </w:r>
      <w:r>
        <w:rPr>
          <w:rFonts w:ascii="Amiri" w:hAnsi="Amiri" w:eastAsia="Amiri" w:cs="Amiri"/>
          <w:color w:val="111111"/>
          <w:sz w:val="28"/>
          <w:sz w:val="28"/>
          <w:szCs w:val="28"/>
          <w:rtl w:val="true"/>
          <w:lang w:bidi="ar-SA"/>
        </w:rPr>
        <w:t>، والفيض قدس سره</w:t>
      </w:r>
      <w:r>
        <w:rPr>
          <w:rStyle w:val="FootnoteAnchor"/>
          <w:rtl w:val="true"/>
        </w:rPr>
        <w:footnoteReference w:id="927"/>
      </w:r>
      <w:r>
        <w:rPr>
          <w:rFonts w:ascii="IRNazanin" w:hAnsi="IRNazanin" w:eastAsia="IRNazanin"/>
          <w:color w:val="111111"/>
          <w:sz w:val="28"/>
          <w:sz w:val="28"/>
          <w:szCs w:val="28"/>
          <w:rtl w:val="true"/>
          <w:lang w:bidi="fa-IR"/>
        </w:rPr>
        <w:t>، وشارحه قدس سره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الفقيه السَّبزواريُّ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للواقف أن يجعل النَّظر لنفسه ولغيره، فلوشرط في عقد الوقف النَّظر لنفسه أو لغيره أو لهما صحَّ ولزم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أيضًا إلى ما ذكره العلَّامة قدس سره</w:t>
      </w:r>
      <w:r>
        <w:rPr>
          <w:rStyle w:val="FootnoteAnchor"/>
          <w:rtl w:val="true"/>
        </w:rPr>
        <w:footnoteReference w:id="929"/>
      </w:r>
      <w:r>
        <w:rPr>
          <w:rFonts w:ascii="Amiri" w:hAnsi="Amiri" w:eastAsia="Amiri" w:cs="Amiri"/>
          <w:color w:val="111111"/>
          <w:sz w:val="28"/>
          <w:sz w:val="28"/>
          <w:szCs w:val="28"/>
          <w:rtl w:val="true"/>
          <w:lang w:bidi="ar-SA"/>
        </w:rPr>
        <w:t>، والشَّهيد قدس سره</w:t>
      </w:r>
      <w:r>
        <w:rPr>
          <w:rStyle w:val="FootnoteAnchor"/>
          <w:rtl w:val="true"/>
        </w:rPr>
        <w:footnoteReference w:id="930"/>
      </w:r>
      <w:r>
        <w:rPr>
          <w:rFonts w:ascii="Amiri" w:hAnsi="Amiri" w:eastAsia="Amiri" w:cs="Amiri"/>
          <w:color w:val="111111"/>
          <w:sz w:val="28"/>
          <w:sz w:val="28"/>
          <w:szCs w:val="28"/>
          <w:rtl w:val="true"/>
          <w:lang w:bidi="ar-SA"/>
        </w:rPr>
        <w:t>، وابنُفهدٍ قدس سره</w:t>
      </w:r>
      <w:r>
        <w:rPr>
          <w:rStyle w:val="FootnoteAnchor"/>
          <w:rtl w:val="true"/>
        </w:rPr>
        <w:footnoteReference w:id="931"/>
      </w:r>
      <w:r>
        <w:rPr>
          <w:rFonts w:ascii="Amiri" w:hAnsi="Amiri" w:eastAsia="Amiri" w:cs="Amiri"/>
          <w:color w:val="111111"/>
          <w:sz w:val="28"/>
          <w:sz w:val="28"/>
          <w:szCs w:val="28"/>
          <w:rtl w:val="true"/>
          <w:lang w:bidi="ar-SA"/>
        </w:rPr>
        <w:t>، والمحقِّق الفيض قدس سره</w:t>
      </w:r>
      <w:r>
        <w:rPr>
          <w:rStyle w:val="FootnoteAnchor"/>
          <w:rtl w:val="true"/>
        </w:rPr>
        <w:footnoteReference w:id="932"/>
      </w:r>
      <w:r>
        <w:rPr>
          <w:rFonts w:ascii="Amiri" w:hAnsi="Amiri" w:eastAsia="Amiri" w:cs="Amiri"/>
          <w:color w:val="111111"/>
          <w:sz w:val="28"/>
          <w:sz w:val="28"/>
          <w:szCs w:val="28"/>
          <w:rtl w:val="true"/>
          <w:lang w:bidi="ar-SA"/>
        </w:rPr>
        <w:t>، والبحرانيُّ قدس سره</w:t>
      </w:r>
      <w:r>
        <w:rPr>
          <w:rStyle w:val="FootnoteAnchor"/>
          <w:rtl w:val="true"/>
        </w:rPr>
        <w:footnoteReference w:id="933"/>
      </w:r>
      <w:r>
        <w:rPr>
          <w:rFonts w:ascii="Amiri" w:hAnsi="Amiri" w:eastAsia="Amiri" w:cs="Amiri"/>
          <w:color w:val="111111"/>
          <w:sz w:val="28"/>
          <w:sz w:val="28"/>
          <w:szCs w:val="28"/>
          <w:rtl w:val="true"/>
          <w:lang w:bidi="ar-SA"/>
        </w:rPr>
        <w:t xml:space="preserve">، والشَّيخ هادي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كاشف الغطاء قدس سره</w:t>
      </w:r>
      <w:r>
        <w:rPr>
          <w:rStyle w:val="FootnoteAnchor"/>
          <w:rtl w:val="true"/>
        </w:rPr>
        <w:footnoteReference w:id="93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bookmarkStart w:id="216" w:name="pg20337_261494"/>
    </w:p>
    <w:p>
      <w:pPr>
        <w:pStyle w:val="Heading2"/>
        <w:numPr>
          <w:ilvl w:val="1"/>
          <w:numId w:val="1"/>
        </w:numPr>
        <w:rPr/>
      </w:pPr>
      <w:bookmarkStart w:id="217" w:name="__RefHeading___Toc11945050_1280447820"/>
      <w:bookmarkStart w:id="218" w:name="_Toc77"/>
      <w:bookmarkEnd w:id="216"/>
      <w:bookmarkEnd w:id="217"/>
      <w:r>
        <w:rPr>
          <w:rtl w:val="true"/>
        </w:rPr>
        <w:t>[</w:t>
      </w:r>
      <w:r>
        <w:rPr/>
        <w:t>29</w:t>
      </w:r>
      <w:r>
        <w:rPr>
          <w:rtl w:val="true"/>
        </w:rPr>
        <w:t xml:space="preserve">:] </w:t>
      </w:r>
      <w:r>
        <w:rPr>
          <w:rtl w:val="true"/>
        </w:rPr>
        <w:t>قاعدة اليد</w:t>
      </w:r>
      <w:bookmarkEnd w:id="218"/>
    </w:p>
    <w:p>
      <w:pPr>
        <w:pStyle w:val="Heading3"/>
        <w:numPr>
          <w:ilvl w:val="2"/>
          <w:numId w:val="1"/>
        </w:numPr>
        <w:rPr/>
      </w:pPr>
      <w:bookmarkStart w:id="219" w:name="__RefHeading___Toc11945052_1280447820"/>
      <w:bookmarkStart w:id="220" w:name="_Toc78"/>
      <w:bookmarkEnd w:id="219"/>
      <w:r>
        <w:rPr>
          <w:rtl w:val="true"/>
        </w:rPr>
        <w:t>عناوين أُخرىٰ للقاعدة توضيح مفاد القاعدة</w:t>
      </w:r>
      <w:bookmarkEnd w:id="220"/>
    </w:p>
    <w:p>
      <w:pPr>
        <w:pStyle w:val="BookText"/>
        <w:rPr/>
      </w:pPr>
      <w:r>
        <w:rPr>
          <w:rFonts w:ascii="Amiri" w:hAnsi="Amiri" w:eastAsia="Amiri" w:cs="Amiri"/>
          <w:color w:val="111111"/>
          <w:sz w:val="28"/>
          <w:sz w:val="28"/>
          <w:szCs w:val="28"/>
          <w:rtl w:val="true"/>
          <w:lang w:bidi="ar-SA"/>
        </w:rPr>
        <w:t>القاعدة تُشيرُ إلى السُّلطة والاِستيلاء علىٰ شيءٍ‌، مهما كان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والسُّلطة تختلف بحسب الموارد، فهي علىٰ المتاع علىٰ نحوٍ، وعلىٰ البيت علىٰ نحوٍ آخر، وعلىٰ المرتعِ وعلىٰ المملكة علىٰ أنحاءٍ أُخر أيضًا؛ وبالجملة إنَّ السُّلطة والاِستيلاء أمرٌ إعتباريٌّ عرفيٌّ‌، والعرف يرىٰ الإختلاف فيهما بحسب الأشخاص</w:t>
      </w:r>
      <w:r>
        <w:rPr>
          <w:rStyle w:val="FootnoteAnchor"/>
          <w:rtl w:val="true"/>
        </w:rPr>
        <w:footnoteReference w:id="935"/>
      </w:r>
      <w:r>
        <w:rPr>
          <w:rFonts w:ascii="Amiri" w:hAnsi="Amiri" w:eastAsia="Amiri" w:cs="Amiri"/>
          <w:color w:val="111111"/>
          <w:sz w:val="28"/>
          <w:sz w:val="28"/>
          <w:szCs w:val="28"/>
          <w:rtl w:val="true"/>
          <w:lang w:bidi="ar-SA"/>
        </w:rPr>
        <w:t>، وبحسب المستولىٰ عليه، بعد اتِّفاق العقلاء في ثبوت استيلاء النَّاس علىٰ ما يملكونه، من غير خلافٍ فيه لأحدٍ منهم أصلًا</w:t>
      </w:r>
      <w:r>
        <w:rPr>
          <w:rFonts w:eastAsia="Amiri" w:cs="Amiri" w:ascii="Amiri" w:hAnsi="Amiri"/>
          <w:color w:val="111111"/>
          <w:sz w:val="28"/>
          <w:szCs w:val="28"/>
          <w:rtl w:val="true"/>
          <w:lang w:bidi="ar-SA"/>
        </w:rPr>
        <w:t xml:space="preserve">. </w:t>
      </w:r>
      <w:bookmarkStart w:id="221" w:name="pg20337_261495"/>
    </w:p>
    <w:p>
      <w:pPr>
        <w:pStyle w:val="Heading3"/>
        <w:numPr>
          <w:ilvl w:val="2"/>
          <w:numId w:val="1"/>
        </w:numPr>
        <w:rPr/>
      </w:pPr>
      <w:bookmarkStart w:id="222" w:name="__RefHeading___Toc11945054_1280447820"/>
      <w:bookmarkStart w:id="223" w:name="_Toc79"/>
      <w:bookmarkEnd w:id="221"/>
      <w:bookmarkEnd w:id="222"/>
      <w:r>
        <w:rPr>
          <w:rtl w:val="true"/>
        </w:rPr>
        <w:t>مدركُ القاعدة</w:t>
      </w:r>
      <w:bookmarkEnd w:id="223"/>
    </w:p>
    <w:p>
      <w:pPr>
        <w:pStyle w:val="Heading4"/>
        <w:numPr>
          <w:ilvl w:val="3"/>
          <w:numId w:val="1"/>
        </w:numPr>
        <w:rPr/>
      </w:pPr>
      <w:bookmarkStart w:id="224" w:name="__RefHeading___Toc11945056_1280447820"/>
      <w:bookmarkStart w:id="225" w:name="_Toc80"/>
      <w:bookmarkEnd w:id="224"/>
      <w:r>
        <w:rPr>
          <w:rtl w:val="true"/>
        </w:rPr>
        <w:t>أوَّلًا</w:t>
      </w:r>
      <w:r>
        <w:rPr>
          <w:rtl w:val="true"/>
        </w:rPr>
        <w:t xml:space="preserve">: </w:t>
      </w:r>
      <w:r>
        <w:rPr>
          <w:rtl w:val="true"/>
        </w:rPr>
        <w:t>سيرة العقلاء</w:t>
      </w:r>
      <w:bookmarkEnd w:id="225"/>
    </w:p>
    <w:p>
      <w:pPr>
        <w:pStyle w:val="BookText"/>
        <w:rPr/>
      </w:pPr>
      <w:r>
        <w:rPr>
          <w:rFonts w:ascii="Amiri" w:hAnsi="Amiri" w:eastAsia="Amiri" w:cs="Amiri"/>
          <w:color w:val="111111"/>
          <w:sz w:val="28"/>
          <w:sz w:val="28"/>
          <w:szCs w:val="28"/>
          <w:rtl w:val="true"/>
          <w:lang w:bidi="ar-SA"/>
        </w:rPr>
        <w:t>العُمدة في مدرك القاعدة هي سيرة العقلاء</w:t>
      </w:r>
      <w:r>
        <w:rPr>
          <w:rStyle w:val="FootnoteAnchor"/>
          <w:rtl w:val="true"/>
        </w:rPr>
        <w:footnoteReference w:id="936"/>
      </w:r>
      <w:r>
        <w:rPr>
          <w:rFonts w:ascii="Amiri" w:hAnsi="Amiri" w:eastAsia="Amiri" w:cs="Amiri"/>
          <w:color w:val="111111"/>
          <w:sz w:val="28"/>
          <w:sz w:val="28"/>
          <w:szCs w:val="28"/>
          <w:rtl w:val="true"/>
          <w:lang w:bidi="ar-SA"/>
        </w:rPr>
        <w:t>، وتلك السِّيرة من الضَّروريَّات</w:t>
      </w:r>
      <w:r>
        <w:rPr>
          <w:rStyle w:val="FootnoteAnchor"/>
          <w:rtl w:val="true"/>
        </w:rPr>
        <w:footnoteReference w:id="937"/>
      </w:r>
      <w:r>
        <w:rPr>
          <w:rFonts w:ascii="Amiri" w:hAnsi="Amiri" w:eastAsia="Amiri" w:cs="Amiri"/>
          <w:color w:val="111111"/>
          <w:sz w:val="28"/>
          <w:sz w:val="28"/>
          <w:szCs w:val="28"/>
          <w:rtl w:val="true"/>
          <w:lang w:bidi="ar-SA"/>
        </w:rPr>
        <w:t xml:space="preserve">ولايشكُّ فيها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يردَعْ عنها الشَّارعُ‌، بل أمضاها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كونَها أمارةً عندهم، بل كونها من أوضح الأمارات ممَّا لاإشكال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ثبوت ذلك لايهمُّنا البحث عن مدرك تلك السِّيرة وما تستند إليه؛ ولعلَّ ذلك هو حفظ نظام المعاش ونظام المجتمع، كما هو كذلك في خبر الثِّقة والخبر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أصلٌ عمليٌّ عُيِّنتْ في ظرف الشَّكِّ‌</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في غاية السُّقوط</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إحتمال الخلاف فيها مغفولٌ عنه جدًّا بين النَّاس، حيث لايرون هذا الإحتمال قابلًا للنَّظر والتَّدقيق؛ وليس هذا إلَّالكونها أمارةً كاشفةً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كشفَها عن الواقع أوضحُ وأجلىٰ من كشف خبر الثِّقة عنه عندهم</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يتَّضحُ بأدنىٰ تأمُّلٍ‌، ولايحتاج إلى التَّطويل في البحث عنه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11945058_1280447820"/>
      <w:bookmarkStart w:id="227" w:name="_Toc81"/>
      <w:bookmarkEnd w:id="226"/>
      <w:r>
        <w:rPr>
          <w:rtl w:val="true"/>
        </w:rPr>
        <w:t>ثانيًا</w:t>
      </w:r>
      <w:r>
        <w:rPr>
          <w:rtl w:val="true"/>
        </w:rPr>
        <w:t xml:space="preserve">: </w:t>
      </w:r>
      <w:r>
        <w:rPr>
          <w:rtl w:val="true"/>
        </w:rPr>
        <w:t>السُّنَّة المطهَّرة</w:t>
      </w:r>
      <w:bookmarkEnd w:id="227"/>
    </w:p>
    <w:p>
      <w:pPr>
        <w:pStyle w:val="BookText"/>
        <w:rPr/>
      </w:pPr>
      <w:r>
        <w:rPr>
          <w:rFonts w:ascii="Amiri" w:hAnsi="Amiri" w:eastAsia="Amiri" w:cs="Amiri"/>
          <w:color w:val="111111"/>
          <w:sz w:val="28"/>
          <w:sz w:val="28"/>
          <w:szCs w:val="28"/>
          <w:rtl w:val="true"/>
          <w:lang w:bidi="ar-SA"/>
        </w:rPr>
        <w:t>ثمَّ إنَّ هناك عدَّةً من الرِّوايات</w:t>
      </w:r>
      <w:r>
        <w:rPr>
          <w:rStyle w:val="FootnoteAnchor"/>
          <w:rtl w:val="true"/>
        </w:rPr>
        <w:footnoteReference w:id="941"/>
      </w:r>
      <w:r>
        <w:rPr>
          <w:rFonts w:ascii="Amiri" w:hAnsi="Amiri" w:eastAsia="Amiri" w:cs="Amiri"/>
          <w:color w:val="111111"/>
          <w:sz w:val="28"/>
          <w:sz w:val="28"/>
          <w:szCs w:val="28"/>
          <w:rtl w:val="true"/>
          <w:lang w:bidi="ar-SA"/>
        </w:rPr>
        <w:t>تشير إلى إمضاء الشَّارع تلك السِّيرة، بل يظهر من جملةٍ منها أنَّ حجِّيَّتها مفروغٌ عنها عند المتشرِّعة وعند روسائهم ساداتنا المعصومين عليهم السلام؛</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رواية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هذه صدرَتْ في امرأةٍ تموت قبل زوجها، أو رجلٍ يموت قبل زوجه؛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 وما كان من متاع الرِّجال والنِّساء فهو بينهما، ومَن استولىٰ علىٰ شيءٍ منه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الشَّيخُ قدس سره</w:t>
      </w:r>
      <w:r>
        <w:rPr>
          <w:rStyle w:val="FootnoteAnchor"/>
          <w:rtl w:val="true"/>
        </w:rPr>
        <w:footnoteReference w:id="942"/>
      </w:r>
      <w:r>
        <w:rPr>
          <w:rFonts w:ascii="Amiri" w:hAnsi="Amiri" w:eastAsia="Amiri" w:cs="Amiri"/>
          <w:color w:val="111111"/>
          <w:sz w:val="28"/>
          <w:sz w:val="28"/>
          <w:szCs w:val="28"/>
          <w:rtl w:val="true"/>
          <w:lang w:bidi="ar-SA"/>
        </w:rPr>
        <w:t>، والفيضُ قدس سره</w:t>
      </w:r>
      <w:r>
        <w:rPr>
          <w:rStyle w:val="FootnoteAnchor"/>
          <w:rtl w:val="true"/>
        </w:rPr>
        <w:footnoteReference w:id="943"/>
      </w:r>
      <w:r>
        <w:rPr>
          <w:rFonts w:ascii="Amiri" w:hAnsi="Amiri" w:eastAsia="Amiri" w:cs="Amiri"/>
          <w:color w:val="111111"/>
          <w:sz w:val="28"/>
          <w:sz w:val="28"/>
          <w:szCs w:val="28"/>
          <w:rtl w:val="true"/>
          <w:lang w:bidi="ar-SA"/>
        </w:rPr>
        <w:t>، والشَّيخ الحرُّ قدس سره</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وإن كان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وثَّقه المجلسيُّ قدس سره</w:t>
      </w:r>
      <w:r>
        <w:rPr>
          <w:rStyle w:val="FootnoteAnchor"/>
          <w:rtl w:val="true"/>
        </w:rPr>
        <w:footnoteReference w:id="945"/>
      </w:r>
      <w:r>
        <w:rPr>
          <w:rFonts w:ascii="Amiri" w:hAnsi="Amiri" w:eastAsia="Amiri" w:cs="Amiri"/>
          <w:color w:val="111111"/>
          <w:sz w:val="28"/>
          <w:sz w:val="28"/>
          <w:szCs w:val="28"/>
          <w:rtl w:val="true"/>
          <w:lang w:bidi="ar-SA"/>
        </w:rPr>
        <w:t>، والفقيه الطَّباطبائيُّ قدس سره</w:t>
      </w:r>
      <w:r>
        <w:rPr>
          <w:rStyle w:val="FootnoteAnchor"/>
          <w:rtl w:val="true"/>
        </w:rPr>
        <w:footnoteReference w:id="946"/>
      </w:r>
      <w:r>
        <w:rPr>
          <w:rFonts w:ascii="Amiri" w:hAnsi="Amiri" w:eastAsia="Amiri" w:cs="Amiri"/>
          <w:color w:val="111111"/>
          <w:sz w:val="28"/>
          <w:sz w:val="28"/>
          <w:szCs w:val="28"/>
          <w:rtl w:val="true"/>
          <w:lang w:bidi="ar-SA"/>
        </w:rPr>
        <w:t>، والمحقِّق القمِّي قدس سره</w:t>
      </w:r>
      <w:r>
        <w:rPr>
          <w:rStyle w:val="FootnoteAnchor"/>
          <w:rtl w:val="true"/>
        </w:rPr>
        <w:footnoteReference w:id="947"/>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لابأس بها، لأنَّ يونس بن يعقوب لاخلاف في جلالته ووثاقته وإن كان في اعتقاده ما اضطرَّهُم إلى جَعْله من الموثَّقين؛ </w:t>
      </w:r>
    </w:p>
    <w:p>
      <w:pPr>
        <w:pStyle w:val="BookText"/>
        <w:rPr/>
      </w:pPr>
      <w:r>
        <w:rPr>
          <w:rFonts w:ascii="Amiri" w:hAnsi="Amiri" w:eastAsia="Amiri" w:cs="Amiri"/>
          <w:color w:val="111111"/>
          <w:sz w:val="28"/>
          <w:sz w:val="28"/>
          <w:szCs w:val="28"/>
          <w:rtl w:val="true"/>
          <w:lang w:bidi="ar-SA"/>
        </w:rPr>
        <w:t>وكيف كان فلابأس بالسَّند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المشاهَد في هذه الرِّواية أنَّ الإمام عليه السلام جعَلَ الجملة الَّتي هي عنوان القاعدة كبرىً مفروغًا عنها، ثمَّ فرَّع عليها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رواها الكلينيُّ قدس سره</w:t>
      </w:r>
      <w:r>
        <w:rPr>
          <w:rStyle w:val="FootnoteAnchor"/>
          <w:rtl w:val="true"/>
        </w:rPr>
        <w:footnoteReference w:id="948"/>
      </w:r>
      <w:r>
        <w:rPr>
          <w:rFonts w:ascii="Amiri" w:hAnsi="Amiri" w:eastAsia="Amiri" w:cs="Amiri"/>
          <w:color w:val="111111"/>
          <w:sz w:val="28"/>
          <w:sz w:val="28"/>
          <w:szCs w:val="28"/>
          <w:rtl w:val="true"/>
          <w:lang w:bidi="ar-SA"/>
        </w:rPr>
        <w:t>، والصَّدوقُ قدس سره</w:t>
      </w:r>
      <w:r>
        <w:rPr>
          <w:rStyle w:val="FootnoteAnchor"/>
          <w:rtl w:val="true"/>
        </w:rPr>
        <w:footnoteReference w:id="949"/>
      </w:r>
      <w:r>
        <w:rPr>
          <w:rFonts w:ascii="Amiri" w:hAnsi="Amiri" w:eastAsia="Amiri" w:cs="Amiri"/>
          <w:color w:val="111111"/>
          <w:sz w:val="28"/>
          <w:sz w:val="28"/>
          <w:szCs w:val="28"/>
          <w:rtl w:val="true"/>
          <w:lang w:bidi="ar-SA"/>
        </w:rPr>
        <w:t>، والشَّيخ قدس سره</w:t>
      </w:r>
      <w:r>
        <w:rPr>
          <w:rStyle w:val="FootnoteAnchor"/>
          <w:rtl w:val="true"/>
        </w:rPr>
        <w:footnoteReference w:id="950"/>
      </w:r>
      <w:r>
        <w:rPr>
          <w:rFonts w:ascii="Amiri" w:hAnsi="Amiri" w:eastAsia="Amiri" w:cs="Amiri"/>
          <w:color w:val="111111"/>
          <w:sz w:val="28"/>
          <w:sz w:val="28"/>
          <w:szCs w:val="28"/>
          <w:rtl w:val="true"/>
          <w:lang w:bidi="ar-SA"/>
        </w:rPr>
        <w:t>، والحرُّ قدس سره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أنَّ الإمامَ عليه السلام جعل القاعدة حجَّةً‌، وحجِّيَّتُها عند العقلاء ممَّا لا خلاف فيه؛ سيَّما مع التَّدقيق في 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تلك الرِّوايات كلَّها صدرتْ في مقام بيان إمضاء السِّيرة فهي إرشاديَّةٌ‌، فلوفُرِضَتْ روايةٌ يُتُوهَّم منها كونُها أصلًا تعبُّديًّا؛</w:t>
      </w:r>
    </w:p>
    <w:p>
      <w:pPr>
        <w:pStyle w:val="BookText"/>
        <w:rPr/>
      </w:pPr>
      <w:r>
        <w:rPr>
          <w:rFonts w:ascii="Amiri" w:hAnsi="Amiri" w:eastAsia="Amiri" w:cs="Amiri"/>
          <w:color w:val="111111"/>
          <w:sz w:val="28"/>
          <w:sz w:val="28"/>
          <w:szCs w:val="28"/>
          <w:rtl w:val="true"/>
          <w:lang w:bidi="ar-SA"/>
        </w:rPr>
        <w:t>فلايُعتنىٰ بهذا التَّوهُّم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مثل ذلك التَّوهُّم بل مثل هذه الظَّواهر وأمثالها لايقدر علىٰ ردع السِّيرة؛ فلابدَّ من رفع اليد عن التَّوهُّم هذا، بل عن هذا الظهور أيضًا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وعمدةُ ما يُتوهَّم منه أنَّها أصلٌ تعبُّديٌّ‌، هو رواية مسعدة بن صدقة عن أبي عبداللَّه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حلالٌ حتَّى تعلمَ أنَّه حرامٌ بعينه فتدَعه مِن قِبَل نفسك، وذلك مثل الثَّوب يكون عليك قد اشتريتَه وهو سَرِقَةٌ‌، </w:t>
      </w:r>
    </w:p>
    <w:p>
      <w:pPr>
        <w:pStyle w:val="BookText"/>
        <w:rPr/>
      </w:pPr>
      <w:r>
        <w:rPr>
          <w:rFonts w:ascii="Amiri" w:hAnsi="Amiri" w:eastAsia="Amiri" w:cs="Amiri"/>
          <w:color w:val="111111"/>
          <w:sz w:val="28"/>
          <w:sz w:val="28"/>
          <w:szCs w:val="28"/>
          <w:rtl w:val="true"/>
          <w:lang w:bidi="ar-SA"/>
        </w:rPr>
        <w:t>أو المملوك عندك ولعلَّه حرٌّ قد باع نفسَه أو خُدِع فبيعَ قهرًا، 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952"/>
      </w:r>
      <w:r>
        <w:rPr>
          <w:rFonts w:ascii="Amiri" w:hAnsi="Amiri" w:eastAsia="Amiri" w:cs="Amiri"/>
          <w:color w:val="111111"/>
          <w:sz w:val="28"/>
          <w:sz w:val="28"/>
          <w:szCs w:val="28"/>
          <w:rtl w:val="true"/>
          <w:lang w:bidi="ar-SA"/>
        </w:rPr>
        <w:t>، والشَّيخ قدس سره</w:t>
      </w:r>
      <w:r>
        <w:rPr>
          <w:rStyle w:val="FootnoteAnchor"/>
          <w:rtl w:val="true"/>
        </w:rPr>
        <w:footnoteReference w:id="953"/>
      </w:r>
      <w:r>
        <w:rPr>
          <w:rFonts w:ascii="Amiri" w:hAnsi="Amiri" w:eastAsia="Amiri" w:cs="Amiri"/>
          <w:color w:val="111111"/>
          <w:sz w:val="28"/>
          <w:sz w:val="28"/>
          <w:szCs w:val="28"/>
          <w:rtl w:val="true"/>
          <w:lang w:bidi="ar-SA"/>
        </w:rPr>
        <w:t>، والفيض قدس سره</w:t>
      </w:r>
      <w:r>
        <w:rPr>
          <w:rStyle w:val="FootnoteAnchor"/>
          <w:rtl w:val="true"/>
        </w:rPr>
        <w:footnoteReference w:id="954"/>
      </w:r>
      <w:r>
        <w:rPr>
          <w:rFonts w:ascii="Amiri" w:hAnsi="Amiri" w:eastAsia="Amiri" w:cs="Amiri"/>
          <w:color w:val="111111"/>
          <w:sz w:val="28"/>
          <w:sz w:val="28"/>
          <w:szCs w:val="28"/>
          <w:rtl w:val="true"/>
          <w:lang w:bidi="ar-SA"/>
        </w:rPr>
        <w:t>، والشَّيخ الحرُّ قدس سره</w:t>
      </w:r>
      <w:r>
        <w:rPr>
          <w:rStyle w:val="FootnoteAnchor"/>
          <w:rtl w:val="true"/>
        </w:rPr>
        <w:footnoteReference w:id="95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وإن كان وصفَه العلَّامةُ المجلسيُّ قدس سره في مرآته</w:t>
      </w:r>
      <w:r>
        <w:rPr>
          <w:rStyle w:val="FootnoteAnchor"/>
          <w:rtl w:val="true"/>
        </w:rPr>
        <w:footnoteReference w:id="956"/>
      </w:r>
      <w:r>
        <w:rPr>
          <w:rFonts w:ascii="IRNazanin" w:hAnsi="IRNazanin" w:eastAsia="IRNazanin"/>
          <w:color w:val="111111"/>
          <w:sz w:val="28"/>
          <w:sz w:val="28"/>
          <w:szCs w:val="28"/>
          <w:rtl w:val="true"/>
          <w:lang w:bidi="fa-IR"/>
        </w:rPr>
        <w:t>وملاذه</w:t>
      </w:r>
      <w:r>
        <w:rPr>
          <w:rStyle w:val="FootnoteAnchor"/>
          <w:rtl w:val="true"/>
        </w:rPr>
        <w:footnoteReference w:id="957"/>
      </w:r>
      <w:r>
        <w:rPr>
          <w:rFonts w:ascii="Amiri" w:hAnsi="Amiri" w:eastAsia="Amiri" w:cs="Amiri"/>
          <w:color w:val="111111"/>
          <w:sz w:val="28"/>
          <w:sz w:val="28"/>
          <w:szCs w:val="28"/>
          <w:rtl w:val="true"/>
          <w:lang w:bidi="ar-SA"/>
        </w:rPr>
        <w:t>بكونه ضعيفًا، لكن جعَلَه والدُه قدس سره من القويِّ كالصَّحيح</w:t>
      </w:r>
      <w:r>
        <w:rPr>
          <w:rStyle w:val="FootnoteAnchor"/>
          <w:rtl w:val="true"/>
        </w:rPr>
        <w:footnoteReference w:id="958"/>
      </w:r>
      <w:r>
        <w:rPr>
          <w:rFonts w:ascii="Amiri" w:hAnsi="Amiri" w:eastAsia="Amiri" w:cs="Amiri"/>
          <w:color w:val="111111"/>
          <w:sz w:val="28"/>
          <w:sz w:val="28"/>
          <w:szCs w:val="28"/>
          <w:rtl w:val="true"/>
          <w:lang w:bidi="ar-SA"/>
        </w:rPr>
        <w:t>وعن البحرانيِّ قدس سره كونه موثَّقًا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والتَّضعيف لمكان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المحقِّق البهبهانيُّ الكرمانشاهيُّ قدس سره</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لابأس به عندنا، لكثرة نقل الأصحاب هذه الرِّواية أوَّلًا، ولكثرة نقل أصحاب المجامع عنه ثانيًا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الظَّاهر كون الأمثلة من باب التَّقريب بالذِّهن، لا أنَّها مصاديق لذلك الكبرىٰ‌، ضرورةَ أنَّ اشتراءَ العبد ودفع إحتمال كونه حرًّا وعدم الإلتفات إلى </w:t>
      </w:r>
      <w:bookmarkStart w:id="228" w:name="pg20337_261499"/>
    </w:p>
    <w:p>
      <w:pPr>
        <w:pStyle w:val="BookText"/>
        <w:rPr/>
      </w:pPr>
      <w:bookmarkEnd w:id="228"/>
      <w:r>
        <w:rPr>
          <w:rFonts w:ascii="Amiri" w:hAnsi="Amiri" w:eastAsia="Amiri" w:cs="Amiri"/>
          <w:color w:val="111111"/>
          <w:sz w:val="28"/>
          <w:sz w:val="28"/>
          <w:szCs w:val="28"/>
          <w:rtl w:val="true"/>
          <w:lang w:bidi="ar-SA"/>
        </w:rPr>
        <w:t>هذا الإحتمال، ليس من باب قاعدة اليد، بل من باب قاعدة إقرار العقلاء علىٰ أنفسهم جائزٌ؛ وهو أمارةٌ أُخرىٰ من الأمارات؛</w:t>
      </w:r>
    </w:p>
    <w:p>
      <w:pPr>
        <w:pStyle w:val="BookText"/>
        <w:rPr/>
      </w:pPr>
      <w:r>
        <w:rPr>
          <w:rFonts w:ascii="Amiri" w:hAnsi="Amiri" w:eastAsia="Amiri" w:cs="Amiri"/>
          <w:color w:val="111111"/>
          <w:sz w:val="28"/>
          <w:sz w:val="28"/>
          <w:szCs w:val="28"/>
          <w:rtl w:val="true"/>
          <w:lang w:bidi="ar-SA"/>
        </w:rPr>
        <w:t>ودفع شبهة الأخت أو الرَّضيعة بالاِستصحاب، لا من باب قاعدة اليد، بل القاعدة لا مساس لها بها أصلًا؛</w:t>
      </w:r>
    </w:p>
    <w:p>
      <w:pPr>
        <w:pStyle w:val="BookText"/>
        <w:rPr/>
      </w:pPr>
      <w:r>
        <w:rPr>
          <w:rFonts w:ascii="Amiri" w:hAnsi="Amiri" w:eastAsia="Amiri" w:cs="Amiri"/>
          <w:color w:val="111111"/>
          <w:sz w:val="28"/>
          <w:sz w:val="28"/>
          <w:szCs w:val="28"/>
          <w:rtl w:val="true"/>
          <w:lang w:bidi="ar-SA"/>
        </w:rPr>
        <w:t>وكذلك في غيرها من الموارد المذكورة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فلاينبغي التَّفصيل في ذكر هذه الطَّائفة من الرِّوايات، لكونها إرشادًا إلى حكم العقل وسيرة العقلاء فقط، وهي تُتابِعُها في السَّعة والضِّيق وغيرهما ممَّا يرجع إلى مدىٰ حجِّيَّة القاعدة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945060_1280447820"/>
      <w:bookmarkStart w:id="230" w:name="_Toc82"/>
      <w:bookmarkEnd w:id="229"/>
      <w:r>
        <w:rPr>
          <w:rtl w:val="true"/>
        </w:rPr>
        <w:t>ثالثًا</w:t>
      </w:r>
      <w:r>
        <w:rPr>
          <w:rtl w:val="true"/>
        </w:rPr>
        <w:t xml:space="preserve">: </w:t>
      </w:r>
      <w:r>
        <w:rPr>
          <w:rtl w:val="true"/>
        </w:rPr>
        <w:t>الإجماع</w:t>
      </w:r>
      <w:bookmarkEnd w:id="230"/>
    </w:p>
    <w:p>
      <w:pPr>
        <w:pStyle w:val="BookText"/>
        <w:rPr/>
      </w:pPr>
      <w:r>
        <w:rPr>
          <w:rFonts w:ascii="Amiri" w:hAnsi="Amiri" w:eastAsia="Amiri" w:cs="Amiri"/>
          <w:color w:val="111111"/>
          <w:sz w:val="28"/>
          <w:sz w:val="28"/>
          <w:szCs w:val="28"/>
          <w:rtl w:val="true"/>
          <w:lang w:bidi="ar-SA"/>
        </w:rPr>
        <w:t xml:space="preserve">واستُدِلَّ للقاعدة بالإجماع أيضًا، بل بكونها من ضروريَّات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ثاني النَّراقيَّين قدس سرهما</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الإجماعُ هذا مدركيًّا 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المحقِّق البُجنورديُّ قدس سره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وهيهنا تنبيهاتٌ هامَّةٌ‌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1945062_1280447820"/>
      <w:bookmarkStart w:id="232" w:name="_Toc83"/>
      <w:bookmarkEnd w:id="231"/>
      <w:r>
        <w:rPr>
          <w:rtl w:val="true"/>
        </w:rPr>
        <w:t>تنبيهاتٌ‌</w:t>
      </w:r>
      <w:r>
        <w:rPr>
          <w:rtl w:val="true"/>
        </w:rPr>
        <w:t>:</w:t>
      </w:r>
      <w:bookmarkEnd w:id="232"/>
    </w:p>
    <w:p>
      <w:pPr>
        <w:pStyle w:val="Heading4"/>
        <w:numPr>
          <w:ilvl w:val="3"/>
          <w:numId w:val="1"/>
        </w:numPr>
        <w:rPr/>
      </w:pPr>
      <w:bookmarkStart w:id="233" w:name="__RefHeading___Toc11945064_1280447820"/>
      <w:bookmarkStart w:id="234" w:name="_Toc84"/>
      <w:bookmarkEnd w:id="233"/>
      <w:r>
        <w:rPr>
          <w:rtl w:val="true"/>
        </w:rPr>
        <w:t>التَّنبيه الأوَّل</w:t>
      </w:r>
      <w:r>
        <w:rPr>
          <w:rtl w:val="true"/>
        </w:rPr>
        <w:t>:</w:t>
      </w:r>
      <w:bookmarkEnd w:id="234"/>
    </w:p>
    <w:p>
      <w:pPr>
        <w:pStyle w:val="BookText"/>
        <w:rPr/>
      </w:pPr>
      <w:r>
        <w:rPr>
          <w:rFonts w:ascii="Amiri" w:hAnsi="Amiri" w:eastAsia="Amiri" w:cs="Amiri"/>
          <w:color w:val="111111"/>
          <w:sz w:val="28"/>
          <w:sz w:val="28"/>
          <w:szCs w:val="28"/>
          <w:rtl w:val="true"/>
          <w:lang w:bidi="ar-SA"/>
        </w:rPr>
        <w:t>لاإشكال في أنَّ اليد كاشفةٌ عن الحجِّيَّة إذا استظهَر ذواليد أنَّ ما في يده ملكُه؛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إشكال في أنَّها كاشفةٌ عن عدم الملكيَّة إذا استظهَر أنَّه ليس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الإشكال كلُّه في استظهار ذي اليد عدمَ العلم بكون ما في يده له، أو أنَّه ليس له؛ فهل اليد إذن كاشفةٌ عن كونِه له‌؟؛</w:t>
      </w:r>
    </w:p>
    <w:p>
      <w:pPr>
        <w:pStyle w:val="BookText"/>
        <w:rPr/>
      </w:pPr>
      <w:r>
        <w:rPr>
          <w:rFonts w:ascii="Amiri" w:hAnsi="Amiri" w:eastAsia="Amiri" w:cs="Amiri"/>
          <w:color w:val="111111"/>
          <w:sz w:val="28"/>
          <w:sz w:val="28"/>
          <w:szCs w:val="28"/>
          <w:rtl w:val="true"/>
          <w:lang w:bidi="ar-SA"/>
        </w:rPr>
        <w:t>أو ليس بكاشفةٍ عن ذلك</w:t>
      </w:r>
      <w:r>
        <w:rPr>
          <w:rStyle w:val="FootnoteAnchor"/>
          <w:rtl w:val="true"/>
        </w:rPr>
        <w:footnoteReference w:id="9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الأقوىٰ هو الكاشفيَّة، لأنَّ الدَّليل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ملكه، حتَّى يعلَمَ ويُوقِنَ بخلافه؛ وقد أمضىٰ الشَّارع المقدَّس هذه السِّيرة في جملةٍ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منزله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 يدَه في صُندُوقه غيرُه أو يضَع فيه شيئًا؟،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964"/>
      </w:r>
      <w:r>
        <w:rPr>
          <w:rFonts w:ascii="Amiri" w:hAnsi="Amiri" w:eastAsia="Amiri" w:cs="Amiri"/>
          <w:color w:val="111111"/>
          <w:sz w:val="28"/>
          <w:sz w:val="28"/>
          <w:szCs w:val="28"/>
          <w:rtl w:val="true"/>
          <w:lang w:bidi="ar-SA"/>
        </w:rPr>
        <w:t>، والصَّدوق قدس سره</w:t>
      </w:r>
      <w:r>
        <w:rPr>
          <w:rStyle w:val="FootnoteAnchor"/>
          <w:rtl w:val="true"/>
        </w:rPr>
        <w:footnoteReference w:id="965"/>
      </w:r>
      <w:r>
        <w:rPr>
          <w:rFonts w:ascii="Amiri" w:hAnsi="Amiri" w:eastAsia="Amiri" w:cs="Amiri"/>
          <w:color w:val="111111"/>
          <w:sz w:val="28"/>
          <w:sz w:val="28"/>
          <w:szCs w:val="28"/>
          <w:rtl w:val="true"/>
          <w:lang w:bidi="ar-SA"/>
        </w:rPr>
        <w:t>، والشَّيخ قدس سره</w:t>
      </w:r>
      <w:r>
        <w:rPr>
          <w:rStyle w:val="FootnoteAnchor"/>
          <w:rtl w:val="true"/>
        </w:rPr>
        <w:footnoteReference w:id="966"/>
      </w:r>
      <w:r>
        <w:rPr>
          <w:rFonts w:ascii="Amiri" w:hAnsi="Amiri" w:eastAsia="Amiri" w:cs="Amiri"/>
          <w:color w:val="111111"/>
          <w:sz w:val="28"/>
          <w:sz w:val="28"/>
          <w:szCs w:val="28"/>
          <w:rtl w:val="true"/>
          <w:lang w:bidi="ar-SA"/>
        </w:rPr>
        <w:t>، والفيض قدس سره</w:t>
      </w:r>
      <w:r>
        <w:rPr>
          <w:rStyle w:val="FootnoteAnchor"/>
          <w:rtl w:val="true"/>
        </w:rPr>
        <w:footnoteReference w:id="967"/>
      </w:r>
      <w:r>
        <w:rPr>
          <w:rFonts w:ascii="Amiri" w:hAnsi="Amiri" w:eastAsia="Amiri" w:cs="Amiri"/>
          <w:color w:val="111111"/>
          <w:sz w:val="28"/>
          <w:sz w:val="28"/>
          <w:szCs w:val="28"/>
          <w:rtl w:val="true"/>
          <w:lang w:bidi="ar-SA"/>
        </w:rPr>
        <w:t>، والحرُّ قدس سره</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 صحيحٍ‌، كما عن أوَّل المجلسيَّين</w:t>
      </w:r>
      <w:r>
        <w:rPr>
          <w:rStyle w:val="FootnoteAnchor"/>
          <w:rtl w:val="true"/>
        </w:rPr>
        <w:footnoteReference w:id="969"/>
      </w:r>
      <w:r>
        <w:rPr>
          <w:rFonts w:ascii="Amiri" w:hAnsi="Amiri" w:eastAsia="Amiri" w:cs="Amiri"/>
          <w:color w:val="111111"/>
          <w:sz w:val="28"/>
          <w:sz w:val="28"/>
          <w:szCs w:val="28"/>
          <w:rtl w:val="true"/>
          <w:lang w:bidi="ar-SA"/>
        </w:rPr>
        <w:t>، وثانيهما قدس سرهما في مرآته</w:t>
      </w:r>
      <w:r>
        <w:rPr>
          <w:rStyle w:val="FootnoteAnchor"/>
          <w:rtl w:val="true"/>
        </w:rPr>
        <w:footnoteReference w:id="970"/>
      </w:r>
      <w:r>
        <w:rPr>
          <w:rFonts w:ascii="IRNazanin" w:hAnsi="IRNazanin" w:eastAsia="IRNazanin"/>
          <w:color w:val="111111"/>
          <w:sz w:val="28"/>
          <w:sz w:val="28"/>
          <w:szCs w:val="28"/>
          <w:rtl w:val="true"/>
          <w:lang w:bidi="fa-IR"/>
        </w:rPr>
        <w:t>، وملاذه</w:t>
      </w:r>
      <w:r>
        <w:rPr>
          <w:rStyle w:val="FootnoteAnchor"/>
          <w:rtl w:val="true"/>
        </w:rPr>
        <w:footnoteReference w:id="971"/>
      </w:r>
      <w:r>
        <w:rPr>
          <w:rFonts w:ascii="IRNazanin" w:hAnsi="IRNazanin" w:eastAsia="IRNazanin"/>
          <w:color w:val="111111"/>
          <w:sz w:val="28"/>
          <w:sz w:val="28"/>
          <w:szCs w:val="28"/>
          <w:rtl w:val="true"/>
          <w:lang w:bidi="fa-IR"/>
        </w:rPr>
        <w:t xml:space="preserve">، </w:t>
      </w:r>
      <w:bookmarkStart w:id="235" w:name="pg20337_261501"/>
    </w:p>
    <w:p>
      <w:pPr>
        <w:pStyle w:val="BookText"/>
        <w:rPr/>
      </w:pPr>
      <w:bookmarkEnd w:id="235"/>
      <w:r>
        <w:rPr>
          <w:rFonts w:ascii="Amiri" w:hAnsi="Amiri" w:eastAsia="Amiri" w:cs="Amiri"/>
          <w:color w:val="111111"/>
          <w:sz w:val="28"/>
          <w:sz w:val="28"/>
          <w:szCs w:val="28"/>
          <w:rtl w:val="true"/>
          <w:lang w:bidi="ar-SA"/>
        </w:rPr>
        <w:t>والفقيهِ الطَّباطبائيِّ قدس سره</w:t>
      </w:r>
      <w:r>
        <w:rPr>
          <w:rStyle w:val="FootnoteAnchor"/>
          <w:rtl w:val="true"/>
        </w:rPr>
        <w:footnoteReference w:id="97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بوضوحٍ تامٍّ يدلُّ علىٰ المطلوب</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1945066_1280447820"/>
      <w:bookmarkStart w:id="237" w:name="_Toc85"/>
      <w:bookmarkEnd w:id="236"/>
      <w:r>
        <w:rPr>
          <w:rtl w:val="true"/>
        </w:rPr>
        <w:t>التَّنبيه الثَّاني</w:t>
      </w:r>
      <w:r>
        <w:rPr>
          <w:rtl w:val="true"/>
        </w:rPr>
        <w:t>:</w:t>
      </w:r>
      <w:bookmarkEnd w:id="237"/>
    </w:p>
    <w:p>
      <w:pPr>
        <w:pStyle w:val="BookText"/>
        <w:rPr/>
      </w:pPr>
      <w:r>
        <w:rPr>
          <w:rFonts w:ascii="Amiri" w:hAnsi="Amiri" w:eastAsia="Amiri" w:cs="Amiri"/>
          <w:color w:val="111111"/>
          <w:sz w:val="28"/>
          <w:sz w:val="28"/>
          <w:szCs w:val="28"/>
          <w:rtl w:val="true"/>
          <w:lang w:bidi="ar-SA"/>
        </w:rPr>
        <w:t>إذا ادَّعىٰ من كان الشَّيء بيده قبلًا ملكيَّةَ هذا الشَّيء الَّذي هو الآنَ بيد غيره، فلاإشكال في أنَّ قاعدة اليد محكَّمةٌ‌؛ فللمدَّعي إقامة البيِّنة علىٰ دعواه، سواءٌ كان أقرَّ ذواليد بكونه ملكًا للمدَّعي سابقًا، أو أنكر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مِن إنقلاب النِّسبة لوأقرَّ بملكيَّته عليه سابقًا، فيصير ذواليد إذن مدَّعيًا والمدَّعي منكرًا؛</w:t>
      </w:r>
    </w:p>
    <w:p>
      <w:pPr>
        <w:pStyle w:val="BookText"/>
        <w:rPr/>
      </w:pPr>
      <w:r>
        <w:rPr>
          <w:rFonts w:ascii="Amiri" w:hAnsi="Amiri" w:eastAsia="Amiri" w:cs="Amiri"/>
          <w:color w:val="111111"/>
          <w:sz w:val="28"/>
          <w:sz w:val="28"/>
          <w:szCs w:val="28"/>
          <w:rtl w:val="true"/>
          <w:lang w:bidi="ar-SA"/>
        </w:rPr>
        <w:t>لاوجه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لحكومة قاعدة اليد علىٰ كلِّ أصلٍ يُتصوَّر جريانُه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بقاء المِلكيَّة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القبيل قضيَّةُ فدك، لأنَّ الصِّدِّيقة الطَّاهرة المعصومة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ذات اليد علىٰ فدك، وأنَّه كان نحلةً لها فانتقل إليها؛</w:t>
      </w:r>
    </w:p>
    <w:p>
      <w:pPr>
        <w:pStyle w:val="BookText"/>
        <w:rPr/>
      </w:pPr>
      <w:r>
        <w:rPr>
          <w:rFonts w:ascii="Amiri" w:hAnsi="Amiri" w:eastAsia="Amiri" w:cs="Amiri"/>
          <w:color w:val="111111"/>
          <w:sz w:val="28"/>
          <w:sz w:val="28"/>
          <w:szCs w:val="28"/>
          <w:rtl w:val="true"/>
          <w:lang w:bidi="ar-SA"/>
        </w:rPr>
        <w:t>فالَّذي ادَّعىٰ أنَّه فيءٌ للمسلمين، عليه إقامة البيِّنة علىٰ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أُشير في روايةٍ شريفةٍ‌،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w:t>
      </w:r>
      <w:r>
        <w:rPr>
          <w:rStyle w:val="FootnoteAnchor"/>
          <w:rtl w:val="true"/>
        </w:rPr>
        <w:footnoteReference w:id="974"/>
      </w:r>
      <w:r>
        <w:rPr>
          <w:rFonts w:ascii="Amiri" w:hAnsi="Amiri" w:eastAsia="Amiri" w:cs="Amiri"/>
          <w:color w:val="111111"/>
          <w:sz w:val="28"/>
          <w:sz w:val="28"/>
          <w:szCs w:val="28"/>
          <w:rtl w:val="true"/>
          <w:lang w:bidi="ar-SA"/>
        </w:rPr>
        <w:t>عن أبيه عن ابنِ أبي عميرٍ عن عثمانَ بنِ عيسىٰ وحمَّادِ بن عثمانَ جميعًا عن أبي عبداللَّه عليه السلام في حديث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أميرالمؤمنين عليه السلام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تحكُمُ فينا بخلاف حُكمِ اللَّه في </w:t>
      </w:r>
    </w:p>
    <w:p>
      <w:pPr>
        <w:pStyle w:val="BookText"/>
        <w:rPr/>
      </w:pPr>
      <w:r>
        <w:rPr>
          <w:rFonts w:ascii="Amiri" w:hAnsi="Amiri" w:eastAsia="Amiri" w:cs="Amiri"/>
          <w:color w:val="111111"/>
          <w:sz w:val="28"/>
          <w:sz w:val="28"/>
          <w:szCs w:val="28"/>
          <w:rtl w:val="true"/>
          <w:lang w:bidi="ar-SA"/>
        </w:rPr>
        <w:t>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ادَّعَيتُ أنا فيه، مَن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يدي شيءٌ فادَّعىٰ فيه المسلمونَ تسألُني البيِّنةَ علىٰ ما في يدي وقد ملَكتُه في حيوة رسول اللَّه صلى الله عليه و آله وبعده ولم تسأل المؤمنينَ البيِّنةَ علىٰ ما ادَّعوا عليَّ كما سألتَني البيِّنةَ علىٰ ما ادَّعيتُ عليهم‌؟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رواها الحرُّ قدس سره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والبحرانيُّ قدس سره</w:t>
      </w:r>
      <w:r>
        <w:rPr>
          <w:rStyle w:val="FootnoteAnchor"/>
          <w:rtl w:val="true"/>
        </w:rPr>
        <w:footnoteReference w:id="976"/>
      </w:r>
      <w:r>
        <w:rPr>
          <w:rFonts w:ascii="Amiri" w:hAnsi="Amiri" w:eastAsia="Amiri" w:cs="Amiri"/>
          <w:color w:val="111111"/>
          <w:sz w:val="28"/>
          <w:sz w:val="28"/>
          <w:szCs w:val="28"/>
          <w:rtl w:val="true"/>
          <w:lang w:bidi="ar-SA"/>
        </w:rPr>
        <w:t>، وسيِّدُنا الأستاذ الفقيه البروجرديُّ قدس سره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مع ادِّعاء المِلكيَّة محكَّمةٌ إلَّافي مواردَ يكون الادِّعاء من النَّوادر الَّتي لايُعبأ بها غالبًا، كما كان المِلكُ وقفًا سابقًا، فادِّعاءُ المِلكيَّة عليه مدَّعيًا أنَّه باعَهَ لطُرُوِّ مسوِّغات البيع عليه، ممَّا لايقبله العُقلاء؛</w:t>
      </w:r>
    </w:p>
    <w:p>
      <w:pPr>
        <w:pStyle w:val="BookText"/>
        <w:rPr/>
      </w:pPr>
      <w:r>
        <w:rPr>
          <w:rFonts w:ascii="Amiri" w:hAnsi="Amiri" w:eastAsia="Amiri" w:cs="Amiri"/>
          <w:color w:val="111111"/>
          <w:sz w:val="28"/>
          <w:sz w:val="28"/>
          <w:szCs w:val="28"/>
          <w:rtl w:val="true"/>
          <w:lang w:bidi="ar-SA"/>
        </w:rPr>
        <w:t>ولعلَّ ذلك لانصراف القاعدة عن مثل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بتقدُّم اِستصحابِ الوقفيَّة أو اِستصحاب عدم طرُوِّ مسوِّغات البيع عليه</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لأنَّ الشَّكَّ في ملكيَّة ذي اليد مسبَّبٌ عن الشَّكِّ في الوقفيَّة، أو طروِّ المسوِّغات عليه؛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فالاِستصحابُ رافعٌ للشَّكِّ‌</w:t>
      </w:r>
      <w:r>
        <w:rPr>
          <w:rFonts w:eastAsia="Amiri" w:cs="Amiri" w:ascii="Amiri" w:hAnsi="Amiri"/>
          <w:color w:val="111111"/>
          <w:sz w:val="28"/>
          <w:szCs w:val="28"/>
          <w:rtl w:val="true"/>
          <w:lang w:bidi="ar-SA"/>
        </w:rPr>
        <w:t xml:space="preserve">. </w:t>
      </w:r>
      <w:bookmarkStart w:id="238" w:name="pg20337_261503"/>
    </w:p>
    <w:p>
      <w:pPr>
        <w:pStyle w:val="BookText"/>
        <w:rPr/>
      </w:pPr>
      <w:bookmarkEnd w:id="238"/>
      <w:r>
        <w:rPr>
          <w:rFonts w:ascii="Amiri" w:hAnsi="Amiri" w:eastAsia="Amiri" w:cs="Amiri"/>
          <w:color w:val="111111"/>
          <w:sz w:val="28"/>
          <w:sz w:val="28"/>
          <w:szCs w:val="28"/>
          <w:rtl w:val="true"/>
          <w:lang w:bidi="ar-SA"/>
        </w:rPr>
        <w:t>فيكون المقامُ من باب الأصل السَّببيِّ والمُسَبَّبيِّ‌</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945068_1280447820"/>
      <w:bookmarkStart w:id="240" w:name="_Toc86"/>
      <w:bookmarkEnd w:id="239"/>
      <w:r>
        <w:rPr>
          <w:rtl w:val="true"/>
        </w:rPr>
        <w:t>التَّنبيه الثَّالث</w:t>
      </w:r>
      <w:r>
        <w:rPr>
          <w:rtl w:val="true"/>
        </w:rPr>
        <w:t>:</w:t>
      </w:r>
      <w:bookmarkEnd w:id="240"/>
    </w:p>
    <w:p>
      <w:pPr>
        <w:pStyle w:val="BookText"/>
        <w:rPr/>
      </w:pPr>
      <w:r>
        <w:rPr>
          <w:rFonts w:ascii="Amiri" w:hAnsi="Amiri" w:eastAsia="Amiri" w:cs="Amiri"/>
          <w:color w:val="111111"/>
          <w:sz w:val="28"/>
          <w:sz w:val="28"/>
          <w:szCs w:val="28"/>
          <w:rtl w:val="true"/>
          <w:lang w:bidi="ar-SA"/>
        </w:rPr>
        <w:t>لاإشكال عُرفًا في جواز ثبوت يدين علىٰ شيءٍ واحدٍ بالإشاعة؛ وهو الَّذي يُقال له في العُرف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انعقَد عقدُ الشِّركة واختلط ما وقع عليه العقدُ وكان بين اثنين أو أكثر منهما، يُقال لهذه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الإختياريَّة؛ كما أشار إلى هذا النَّوع من الشِّركة جمعٌ من الفقهاء، كالعلَّامة قدس سره</w:t>
      </w:r>
      <w:r>
        <w:rPr>
          <w:rStyle w:val="FootnoteAnchor"/>
          <w:rtl w:val="true"/>
        </w:rPr>
        <w:footnoteReference w:id="980"/>
      </w:r>
      <w:r>
        <w:rPr>
          <w:rFonts w:ascii="Amiri" w:hAnsi="Amiri" w:eastAsia="Amiri" w:cs="Amiri"/>
          <w:color w:val="111111"/>
          <w:sz w:val="28"/>
          <w:sz w:val="28"/>
          <w:szCs w:val="28"/>
          <w:rtl w:val="true"/>
          <w:lang w:bidi="ar-SA"/>
        </w:rPr>
        <w:t>، والمحقِّق الثَّاني قدس سره</w:t>
      </w:r>
      <w:r>
        <w:rPr>
          <w:rStyle w:val="FootnoteAnchor"/>
          <w:rtl w:val="true"/>
        </w:rPr>
        <w:footnoteReference w:id="981"/>
      </w:r>
      <w:r>
        <w:rPr>
          <w:rFonts w:ascii="Amiri" w:hAnsi="Amiri" w:eastAsia="Amiri" w:cs="Amiri"/>
          <w:color w:val="111111"/>
          <w:sz w:val="28"/>
          <w:sz w:val="28"/>
          <w:szCs w:val="28"/>
          <w:rtl w:val="true"/>
          <w:lang w:bidi="ar-SA"/>
        </w:rPr>
        <w:t>، والشَّهيد الثَّاني قدس سره</w:t>
      </w:r>
      <w:r>
        <w:rPr>
          <w:rStyle w:val="FootnoteAnchor"/>
          <w:rtl w:val="true"/>
        </w:rPr>
        <w:footnoteReference w:id="982"/>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983"/>
      </w:r>
      <w:r>
        <w:rPr>
          <w:rFonts w:ascii="Amiri" w:hAnsi="Amiri" w:eastAsia="Amiri" w:cs="Amiri"/>
          <w:color w:val="111111"/>
          <w:sz w:val="28"/>
          <w:sz w:val="28"/>
          <w:szCs w:val="28"/>
          <w:rtl w:val="true"/>
          <w:lang w:bidi="ar-SA"/>
        </w:rPr>
        <w:t>وغيرهم في طيِّ مباحثهم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اختلط المالانِ من غير عقدٍ، أو مات أبٌ له ابنانِ مثلًا فوقع بينهما الشِّركة في مالِه،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القَهْريَّة؛ وقد أُشير إلى هذا المُصطَلح في كلمات الفقهاء، كالمحقِّق الرَّشتي قدس سره</w:t>
      </w:r>
      <w:r>
        <w:rPr>
          <w:rStyle w:val="FootnoteAnchor"/>
          <w:rtl w:val="true"/>
        </w:rPr>
        <w:footnoteReference w:id="984"/>
      </w:r>
      <w:r>
        <w:rPr>
          <w:rFonts w:ascii="Amiri" w:hAnsi="Amiri" w:eastAsia="Amiri" w:cs="Amiri"/>
          <w:color w:val="111111"/>
          <w:sz w:val="28"/>
          <w:sz w:val="28"/>
          <w:szCs w:val="28"/>
          <w:rtl w:val="true"/>
          <w:lang w:bidi="ar-SA"/>
        </w:rPr>
        <w:t>، والمحقِّق الهَمَدانيِّ قدس سره</w:t>
      </w:r>
      <w:r>
        <w:rPr>
          <w:rStyle w:val="FootnoteAnchor"/>
          <w:rtl w:val="true"/>
        </w:rPr>
        <w:footnoteReference w:id="985"/>
      </w:r>
      <w:r>
        <w:rPr>
          <w:rFonts w:ascii="Amiri" w:hAnsi="Amiri" w:eastAsia="Amiri" w:cs="Amiri"/>
          <w:color w:val="111111"/>
          <w:sz w:val="28"/>
          <w:sz w:val="28"/>
          <w:szCs w:val="28"/>
          <w:rtl w:val="true"/>
          <w:lang w:bidi="ar-SA"/>
        </w:rPr>
        <w:t>، والسَّيِّد الفقيه اليزديِّ قدس سره</w:t>
      </w:r>
      <w:r>
        <w:rPr>
          <w:rStyle w:val="FootnoteAnchor"/>
          <w:rtl w:val="true"/>
        </w:rPr>
        <w:footnoteReference w:id="98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الشِّركة عند العُرف واضحٌ‌، إذ هو من المفاهيم الواضحة الَّتي بُني عليها </w:t>
      </w:r>
    </w:p>
    <w:p>
      <w:pPr>
        <w:pStyle w:val="BookText"/>
        <w:rPr/>
      </w:pPr>
      <w:r>
        <w:rPr>
          <w:rFonts w:ascii="Amiri" w:hAnsi="Amiri" w:eastAsia="Amiri" w:cs="Amiri"/>
          <w:color w:val="111111"/>
          <w:sz w:val="28"/>
          <w:sz w:val="28"/>
          <w:szCs w:val="28"/>
          <w:rtl w:val="true"/>
          <w:lang w:bidi="ar-SA"/>
        </w:rPr>
        <w:t>الحياةُ الجَماعيَّة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الإشاعة عرفًا وشرعًا جوازُ انتقال مالِه إلى الغير من غير استجازةٍ من الشَّريك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الشُّفعَة مطلبٌ آخر لايرتبط بما نحن فيه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جواز تصرُّفه في المال إلَّاباستجازةٍ من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التَّصرُّف في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لأنَّ الإشاعة تلزم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مال نفسه ومال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مستقلٌّ في التَّصرُّف في مال نفسه بينما ليس له يدٌ علىٰ مال الغير، لعدم جواز التَّصرُّف فيه إلَّابإذنٍ منه؛</w:t>
      </w:r>
    </w:p>
    <w:p>
      <w:pPr>
        <w:pStyle w:val="BookText"/>
        <w:rPr/>
      </w:pPr>
      <w:r>
        <w:rPr>
          <w:rFonts w:ascii="Amiri" w:hAnsi="Amiri" w:eastAsia="Amiri" w:cs="Amiri"/>
          <w:color w:val="111111"/>
          <w:sz w:val="28"/>
          <w:sz w:val="28"/>
          <w:szCs w:val="28"/>
          <w:rtl w:val="true"/>
          <w:lang w:bidi="ar-SA"/>
        </w:rPr>
        <w:t>فيلزم منه عدم جواز تصرُّف كلٍّ منهما في المال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جواز تصرُّفِ كلٍّ منهما فيه ليس لأجل نقصان يدهما عليه، بل لاستلزام تصرُّفِهما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فالشَّريكان تكون لكلٍّ منهما يدٌ مستقلَّةٌ علىٰ ماله فقط، دون مال الآخر؛</w:t>
      </w:r>
    </w:p>
    <w:p>
      <w:pPr>
        <w:pStyle w:val="BookText"/>
        <w:rPr/>
      </w:pPr>
      <w:r>
        <w:rPr>
          <w:rFonts w:ascii="Amiri" w:hAnsi="Amiri" w:eastAsia="Amiri" w:cs="Amiri"/>
          <w:color w:val="111111"/>
          <w:sz w:val="28"/>
          <w:sz w:val="28"/>
          <w:szCs w:val="28"/>
          <w:rtl w:val="true"/>
          <w:lang w:bidi="ar-SA"/>
        </w:rPr>
        <w:t>وليس في ذلك نقصٌ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أنَّ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معنىٰ الإشاعة اجتماعُ المالِكَين علىٰ سبيل الاِستقلال لمالٍ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يظهر ذلك عن السَّيِّد قدس سره في ملحقات العروة في كتاب القضاء</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له وجهٌ‌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الإشاعة هي اجتماع المالِكَين علىٰ سبيل النَّقص لمالٍ‌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يظهر من المحقِّق الأصفهانيِّ قدس سره</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القولين خلاف المُتفاهَم العرفيِّ‌، والعرفُ يأبىٰ عن مثل هذه الإحتمالات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اليدين علىٰ شيءٍ واحدٍ علىٰ نحو الإشاعة يختلف الحكم فيها، فلوادَّعىٰ أحدُ الشريكين أنَّ يد الآخر يد غصبٍ‌، فهو المدَّعي، والآخر هو المنكر؛</w:t>
      </w:r>
    </w:p>
    <w:p>
      <w:pPr>
        <w:pStyle w:val="BookText"/>
        <w:rPr/>
      </w:pPr>
      <w:r>
        <w:rPr>
          <w:rFonts w:ascii="Amiri" w:hAnsi="Amiri" w:eastAsia="Amiri" w:cs="Amiri"/>
          <w:color w:val="111111"/>
          <w:sz w:val="28"/>
          <w:sz w:val="28"/>
          <w:szCs w:val="28"/>
          <w:rtl w:val="true"/>
          <w:lang w:bidi="ar-SA"/>
        </w:rPr>
        <w:t>ولوادَّعىٰ كلٌّ منهما أنَّ الآخر غصبيٌّ‌، فهما مدَّعيان بالنِّسبة إلى نصفِه المُشاع، وبالنِّسبة إلى النِّصف الآخر منكران؛</w:t>
      </w:r>
    </w:p>
    <w:p>
      <w:pPr>
        <w:pStyle w:val="BookText"/>
        <w:rPr/>
      </w:pPr>
      <w:r>
        <w:rPr>
          <w:rFonts w:ascii="Amiri" w:hAnsi="Amiri" w:eastAsia="Amiri" w:cs="Amiri"/>
          <w:color w:val="111111"/>
          <w:sz w:val="28"/>
          <w:sz w:val="28"/>
          <w:szCs w:val="28"/>
          <w:rtl w:val="true"/>
          <w:lang w:bidi="ar-SA"/>
        </w:rPr>
        <w:t>ولوادَّعىٰ واحدٌ منهما أنَّ الآخر شريك في المنفعة فقط دون العين، فهو المدَّعي أيضًا، لأنَّ الظَّاهر من اليد أنَّه مسلَّطٌ علىٰ العين؛ واليد علىٰ المنفعة وإن كانتْ جائزةً‌، إلَّا أنَّها فرعُ إحراز كون العين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وللمسألة فروضٌ أُخرىٰ خارجةٌ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الدَّعوىٰ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تصرُّفات كلٍّ منهما بعد ثبوت يدِهما علىٰ العين الخارجيِّ‌، فهي بقاعدة اليد، وبقاعدة أصالة الصِّحَّة في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اليد تدلُّ علىٰ أنَّه يملك العينَ علىٰ نحو الإشاعة، وقاعدة أصالة الصِّحَّة تدلُّ علىٰ أنَّه يتصرَّف في العين بالإجازة؛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لوأخبر بطهارة العين مثلًا، أو أجاز للغير التَّصرُّف في ماله، فقاعدة اليد </w:t>
      </w:r>
      <w:bookmarkStart w:id="241" w:name="pg20337_261506"/>
    </w:p>
    <w:p>
      <w:pPr>
        <w:pStyle w:val="BookText"/>
        <w:rPr/>
      </w:pPr>
      <w:bookmarkEnd w:id="241"/>
      <w:r>
        <w:rPr>
          <w:rFonts w:ascii="Amiri" w:hAnsi="Amiri" w:eastAsia="Amiri" w:cs="Amiri"/>
          <w:color w:val="111111"/>
          <w:sz w:val="28"/>
          <w:sz w:val="28"/>
          <w:szCs w:val="28"/>
          <w:rtl w:val="true"/>
          <w:lang w:bidi="ar-SA"/>
        </w:rPr>
        <w:t>وقاعدة أصالة الصِّحَّة مثبِتَتان صحَّةَ تلك الإجازة وهذا الخبر؛</w:t>
      </w:r>
    </w:p>
    <w:p>
      <w:pPr>
        <w:pStyle w:val="BookText"/>
        <w:rPr/>
      </w:pPr>
      <w:r>
        <w:rPr>
          <w:rFonts w:ascii="Amiri" w:hAnsi="Amiri" w:eastAsia="Amiri" w:cs="Amiri"/>
          <w:color w:val="111111"/>
          <w:sz w:val="28"/>
          <w:sz w:val="28"/>
          <w:szCs w:val="28"/>
          <w:rtl w:val="true"/>
          <w:lang w:bidi="ar-SA"/>
        </w:rPr>
        <w:t>كما أنَّه لوباع حقَّ الغير فقط علىٰ نحو الإشاعة، فقاعدة أصالة الصِّحَّة تدلُّ 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حجِّيَّة مثبَتات الأمارات ففي بعض الأمثلة قاعدة اليد كافيَةٌ‌، ولانحتاج معها إلى قاعدة أصالة الصِّحَّة أصلًا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1945070_1280447820"/>
      <w:bookmarkStart w:id="243" w:name="_Toc87"/>
      <w:bookmarkEnd w:id="242"/>
      <w:r>
        <w:rPr>
          <w:rtl w:val="true"/>
        </w:rPr>
        <w:t>أمثلةٌ لاستعمال القاعدة في الفقه</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الحلِّي قدس سره في مسألة الإذن في الشِّركة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ولوتعدَّىٰ المتصرِّف فيما حُدَّ له، ضمنَ‌</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فأضاف الفقيه النَّجفيُّ في مقام الاِستدلال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لقاعدة اليد</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الفقيه الشَّيخ محمَّدحسين كاشف الغطاء قدس سره في مسألة المال المقبوض اشتباهًا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لوتخيَّل أنَّ مال زيدٍ مالُه فأخذه فتلف في يده فإنَّه ضامنٌ له، بقاعدة اليد</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الفقيه اليزديُّ قدس سره في مسألة إذا كان في يده مالٌ لغيره يدَّعي أنَّه وكيلٌ عنه في التَّصرُّف يجوز الأخذ منه بالشِّراء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ذلك الغير معيَّنًا، أو لا؛ وذلك لليد</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20337_261508"/>
      <w:bookmarkStart w:id="245" w:name="pg20337_261508"/>
      <w:bookmarkEnd w:id="245"/>
    </w:p>
    <w:p>
      <w:pPr>
        <w:pStyle w:val="Heading2"/>
        <w:numPr>
          <w:ilvl w:val="1"/>
          <w:numId w:val="1"/>
        </w:numPr>
        <w:rPr/>
      </w:pPr>
      <w:bookmarkStart w:id="246" w:name="pg20337_261508"/>
      <w:bookmarkStart w:id="247" w:name="__RefHeading___Toc11945072_1280447820"/>
      <w:bookmarkStart w:id="248" w:name="_Toc88"/>
      <w:bookmarkEnd w:id="246"/>
      <w:bookmarkEnd w:id="247"/>
      <w:r>
        <w:rPr>
          <w:rtl w:val="true"/>
        </w:rPr>
        <w:t>[</w:t>
      </w:r>
      <w:r>
        <w:rPr/>
        <w:t>30</w:t>
      </w:r>
      <w:r>
        <w:rPr>
          <w:rtl w:val="true"/>
        </w:rPr>
        <w:t xml:space="preserve">:] </w:t>
      </w:r>
      <w:r>
        <w:rPr>
          <w:rtl w:val="true"/>
        </w:rPr>
        <w:t>قاعدة إنَّ الإجارةَ أحدُ معايش العبادِ</w:t>
      </w:r>
      <w:bookmarkEnd w:id="248"/>
    </w:p>
    <w:p>
      <w:pPr>
        <w:pStyle w:val="Heading3"/>
        <w:numPr>
          <w:ilvl w:val="2"/>
          <w:numId w:val="1"/>
        </w:numPr>
        <w:rPr/>
      </w:pPr>
      <w:bookmarkStart w:id="249" w:name="__RefHeading___Toc11945074_1280447820"/>
      <w:bookmarkStart w:id="250" w:name="_Toc89"/>
      <w:bookmarkEnd w:id="249"/>
      <w:r>
        <w:rPr>
          <w:rtl w:val="true"/>
        </w:rPr>
        <w:t>عناوين أُخرىٰ للقاعدة</w:t>
      </w:r>
      <w:bookmarkEnd w:id="250"/>
    </w:p>
    <w:p>
      <w:pPr>
        <w:pStyle w:val="BookText"/>
        <w:rPr/>
      </w:pPr>
      <w:r>
        <w:rPr>
          <w:rFonts w:ascii="Amiri" w:hAnsi="Amiri" w:eastAsia="Amiri" w:cs="Amiri"/>
          <w:color w:val="111111"/>
          <w:sz w:val="28"/>
          <w:sz w:val="28"/>
          <w:szCs w:val="28"/>
          <w:rtl w:val="true"/>
          <w:lang w:bidi="ar-SA"/>
        </w:rPr>
        <w:t xml:space="preserve">العنوان مأخوذٌ من نصِّ حديثٍ شريفٍ رووه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وسنأتي بنصِّه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أجمعتْ كلمةُ الفقهاء عليه، فلم أجد له عنوانًا آخر غيره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1945076_1280447820"/>
      <w:bookmarkStart w:id="252" w:name="_Toc90"/>
      <w:bookmarkEnd w:id="251"/>
      <w:r>
        <w:rPr>
          <w:rtl w:val="true"/>
        </w:rPr>
        <w:t>توضيح مفاد القاعدة</w:t>
      </w:r>
      <w:bookmarkEnd w:id="25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بين الأصحاب في تعريف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تمليك المنفعة بعِوَضٍ‌؛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تسليط الغير علىٰ عينٍ للانتفاع منها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أو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العلَّامةُ قدس سره</w:t>
      </w:r>
      <w:r>
        <w:rPr>
          <w:rStyle w:val="FootnoteAnchor"/>
          <w:rtl w:val="true"/>
        </w:rPr>
        <w:footnoteReference w:id="993"/>
      </w:r>
      <w:r>
        <w:rPr>
          <w:rFonts w:ascii="IRNazanin" w:hAnsi="IRNazanin" w:eastAsia="IRNazanin"/>
          <w:color w:val="111111"/>
          <w:sz w:val="28"/>
          <w:sz w:val="28"/>
          <w:szCs w:val="28"/>
          <w:rtl w:val="true"/>
          <w:lang w:bidi="fa-IR"/>
        </w:rPr>
        <w:t>، والمقداد قدس سره</w:t>
      </w:r>
      <w:r>
        <w:rPr>
          <w:rStyle w:val="FootnoteAnchor"/>
          <w:rtl w:val="true"/>
        </w:rPr>
        <w:footnoteReference w:id="994"/>
      </w:r>
      <w:r>
        <w:rPr>
          <w:rFonts w:ascii="Amiri" w:hAnsi="Amiri" w:eastAsia="Amiri" w:cs="Amiri"/>
          <w:color w:val="111111"/>
          <w:sz w:val="28"/>
          <w:sz w:val="28"/>
          <w:szCs w:val="28"/>
          <w:rtl w:val="true"/>
          <w:lang w:bidi="ar-SA"/>
        </w:rPr>
        <w:t>، والمحقِّق الثَّاني قدس سرهما</w:t>
      </w:r>
      <w:r>
        <w:rPr>
          <w:rStyle w:val="FootnoteAnchor"/>
          <w:rtl w:val="true"/>
        </w:rPr>
        <w:footnoteReference w:id="995"/>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996"/>
      </w:r>
      <w:r>
        <w:rPr>
          <w:rFonts w:ascii="IRNazanin" w:hAnsi="IRNazanin" w:eastAsia="IRNazanin"/>
          <w:color w:val="111111"/>
          <w:sz w:val="28"/>
          <w:sz w:val="28"/>
          <w:szCs w:val="28"/>
          <w:rtl w:val="true"/>
          <w:lang w:bidi="fa-IR"/>
        </w:rPr>
        <w:t xml:space="preserve">، والفاضل </w:t>
      </w:r>
    </w:p>
    <w:p>
      <w:pPr>
        <w:pStyle w:val="BookText"/>
        <w:rPr/>
      </w:pPr>
      <w:r>
        <w:rPr>
          <w:rFonts w:ascii="Amiri" w:hAnsi="Amiri" w:eastAsia="Amiri" w:cs="Amiri"/>
          <w:color w:val="111111"/>
          <w:sz w:val="28"/>
          <w:sz w:val="28"/>
          <w:szCs w:val="28"/>
          <w:rtl w:val="true"/>
          <w:lang w:bidi="ar-SA"/>
        </w:rPr>
        <w:t>الأردبيليُّ قدس سره</w:t>
      </w:r>
      <w:r>
        <w:rPr>
          <w:rStyle w:val="FootnoteAnchor"/>
          <w:rtl w:val="true"/>
        </w:rPr>
        <w:footnoteReference w:id="997"/>
      </w:r>
      <w:r>
        <w:rPr>
          <w:rFonts w:ascii="Amiri" w:hAnsi="Amiri" w:eastAsia="Amiri" w:cs="Amiri"/>
          <w:color w:val="111111"/>
          <w:sz w:val="28"/>
          <w:sz w:val="28"/>
          <w:szCs w:val="28"/>
          <w:rtl w:val="true"/>
          <w:lang w:bidi="ar-SA"/>
        </w:rPr>
        <w:t>، والفاضل الخراسانيُّ قدس سره</w:t>
      </w:r>
      <w:r>
        <w:rPr>
          <w:rStyle w:val="FootnoteAnchor"/>
          <w:rtl w:val="true"/>
        </w:rPr>
        <w:footnoteReference w:id="998"/>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والثَّاني ما اختاره المحقِّق اليزديُّ صاحب العروة قدس سره</w:t>
      </w:r>
      <w:r>
        <w:rPr>
          <w:rStyle w:val="FootnoteAnchor"/>
          <w:rtl w:val="true"/>
        </w:rPr>
        <w:footnoteReference w:id="999"/>
      </w:r>
      <w:r>
        <w:rPr>
          <w:rFonts w:ascii="Amiri" w:hAnsi="Amiri" w:eastAsia="Amiri" w:cs="Amiri"/>
          <w:color w:val="111111"/>
          <w:sz w:val="28"/>
          <w:sz w:val="28"/>
          <w:szCs w:val="28"/>
          <w:rtl w:val="true"/>
          <w:lang w:bidi="ar-SA"/>
        </w:rPr>
        <w:t>، وأشار إليه المحقِّق النَّائينيُّ قدس سره</w:t>
      </w:r>
      <w:r>
        <w:rPr>
          <w:rStyle w:val="FootnoteAnchor"/>
          <w:rtl w:val="true"/>
        </w:rPr>
        <w:footnoteReference w:id="1000"/>
      </w:r>
      <w:r>
        <w:rPr>
          <w:rFonts w:ascii="Amiri" w:hAnsi="Amiri" w:eastAsia="Amiri" w:cs="Amiri"/>
          <w:color w:val="111111"/>
          <w:sz w:val="28"/>
          <w:sz w:val="28"/>
          <w:szCs w:val="28"/>
          <w:rtl w:val="true"/>
          <w:lang w:bidi="ar-SA"/>
        </w:rPr>
        <w:t>، وغيرهما؛</w:t>
      </w:r>
    </w:p>
    <w:p>
      <w:pPr>
        <w:pStyle w:val="BookText"/>
        <w:rPr/>
      </w:pPr>
      <w:r>
        <w:rPr>
          <w:rFonts w:ascii="Amiri" w:hAnsi="Amiri" w:eastAsia="Amiri" w:cs="Amiri"/>
          <w:color w:val="111111"/>
          <w:sz w:val="28"/>
          <w:sz w:val="28"/>
          <w:szCs w:val="28"/>
          <w:rtl w:val="true"/>
          <w:lang w:bidi="ar-SA"/>
        </w:rPr>
        <w:t>ولها تعاريف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والتَّعريفان كلاهما جيِّدان، حيث لايلزم في التَّعريف أن يكون جامعًا للأفراد ومانعًا عن الأغيار؛ لأنَّ التَّعريف يُؤتىٰ به للتَّقريب إلى الذِّهن فقط، وهما كافيان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يُتَراءىٰ من بعضِهم من التَّفصيل في قيود التَّعريف والقيل والقال فيه</w:t>
      </w:r>
      <w:r>
        <w:rPr>
          <w:rStyle w:val="FootnoteAnchor"/>
          <w:rtl w:val="true"/>
        </w:rPr>
        <w:footnoteReference w:id="10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لامحلَّ له قطعًا، بل هو تطويلٌ بلاطائلٍ‌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لك هذا بالنَّظر إلى مظانَّه، كأقوالٍ حكاها الفقيهُ العامليُّ قدس سره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قال الفقيه البحرانيُّ قدس سره بعد نقل اختلاف التَّعابير من ناحيَة الألفاظ</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والبحثُ في ذلك لاثمرة له بعد ظهور المُراد</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253" w:name="pg20337_261510"/>
    </w:p>
    <w:p>
      <w:pPr>
        <w:pStyle w:val="BookText"/>
        <w:rPr/>
      </w:pPr>
      <w:bookmarkEnd w:id="253"/>
      <w:r>
        <w:rPr>
          <w:rFonts w:ascii="Amiri" w:hAnsi="Amiri" w:eastAsia="Amiri" w:cs="Amiri"/>
          <w:color w:val="111111"/>
          <w:sz w:val="28"/>
          <w:sz w:val="28"/>
          <w:szCs w:val="28"/>
          <w:rtl w:val="true"/>
          <w:lang w:bidi="ar-SA"/>
        </w:rPr>
        <w:t>والقاعدة تُشير إلى أمرٍ عرفيٍّ شائعٍ بين النَّاس في جميع المِلَل والنِّحَل،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طريقٌ من طُرُق النَّاس في أمر معيشتهم، حيث استقرَّتْ سيرتُهُم علىٰ إجارة شيءٍ عن آخر عند حصول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عرفيٌّ لايطلب الكلامَ أزيدَ من هذا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1945078_1280447820"/>
      <w:bookmarkStart w:id="255" w:name="_Toc91"/>
      <w:bookmarkEnd w:id="254"/>
      <w:r>
        <w:rPr>
          <w:rtl w:val="true"/>
        </w:rPr>
        <w:t>مدركُ القاعدة</w:t>
      </w:r>
      <w:bookmarkEnd w:id="255"/>
    </w:p>
    <w:p>
      <w:pPr>
        <w:pStyle w:val="Heading4"/>
        <w:numPr>
          <w:ilvl w:val="3"/>
          <w:numId w:val="1"/>
        </w:numPr>
        <w:rPr/>
      </w:pPr>
      <w:bookmarkStart w:id="256" w:name="__RefHeading___Toc11945080_1280447820"/>
      <w:bookmarkStart w:id="257" w:name="_Toc92"/>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أمَّا مدرك القاعدة، فهو الأدلَّة الأربعة بأجمَعها</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1945082_1280447820"/>
      <w:bookmarkStart w:id="259" w:name="_Toc93"/>
      <w:bookmarkEnd w:id="258"/>
      <w:r>
        <w:rPr>
          <w:rtl w:val="true"/>
        </w:rPr>
        <w:t>أوَّلًا</w:t>
      </w:r>
      <w:r>
        <w:rPr>
          <w:rtl w:val="true"/>
        </w:rPr>
        <w:t xml:space="preserve">: </w:t>
      </w:r>
      <w:r>
        <w:rPr>
          <w:rtl w:val="true"/>
        </w:rPr>
        <w:t>الكتاب العزيز</w:t>
      </w:r>
      <w:bookmarkEnd w:id="2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w:t>
      </w:r>
      <w:r>
        <w:rPr>
          <w:rStyle w:val="FootnoteAnchor"/>
          <w:rtl w:val="true"/>
        </w:rPr>
        <w:footnoteReference w:id="1005"/>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أُنْكِحَكَ إِحْدَى اِبْنَتَيَّ هٰاتَيْنِ عَلىٰ أَنْ تَأْجُرَنِي ثَمٰانِيَ حِجَجٍ فَإِنْ أَتْمَمْتَ عَشْراً فَمِنْ عِنْدِكَ‌</w:t>
      </w:r>
      <w:r>
        <w:rPr>
          <w:rFonts w:eastAsia="Amiri" w:cs="Amiri" w:ascii="Amiri" w:hAnsi="Amiri"/>
          <w:color w:val="111111"/>
          <w:sz w:val="28"/>
          <w:szCs w:val="28"/>
          <w:rtl w:val="true"/>
          <w:lang w:bidi="ar-SA"/>
        </w:rPr>
        <w:t>»</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ابنُالعربيِّ الفقيه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اِسْتَأْجِرْهُ‌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علىٰ أنَّ الإجارةَ بينهم وعندهم مشروعةٌ معلومةٌ‌، وكذلك كانت في كلِّ ملَّةٍ‌، وهي من ضرورة الخليقة ومصلحة الخُلطَة بين النَّاس</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وعن الفاضل الجواد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دالَّةٌ علىٰ مشروعيَّةِ الإجارة في زمن </w:t>
      </w:r>
      <w:bookmarkStart w:id="260" w:name="pg20337_261511"/>
    </w:p>
    <w:p>
      <w:pPr>
        <w:pStyle w:val="BookText"/>
        <w:rPr/>
      </w:pPr>
      <w:bookmarkEnd w:id="260"/>
      <w:r>
        <w:rPr>
          <w:rFonts w:ascii="Amiri" w:hAnsi="Amiri" w:eastAsia="Amiri" w:cs="Amiri"/>
          <w:color w:val="111111"/>
          <w:sz w:val="28"/>
          <w:sz w:val="28"/>
          <w:szCs w:val="28"/>
          <w:rtl w:val="true"/>
          <w:lang w:bidi="ar-SA"/>
        </w:rPr>
        <w:t>شُعَيبٍ عليه السلام</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وللفاضل المقداد قدس سره هيهنا كلامٌ في غاية النِّفاسة، فراجع إليه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 الشَّيخ قدس سره لم يذكر شيئًا عن مباحث الإجارة الفقهيَّة في تفسير الآيتين</w:t>
      </w:r>
      <w:r>
        <w:rPr>
          <w:rStyle w:val="FootnoteAnchor"/>
          <w:rtl w:val="true"/>
        </w:rPr>
        <w:footnoteReference w:id="1010"/>
      </w:r>
      <w:r>
        <w:rPr>
          <w:rFonts w:ascii="Amiri" w:hAnsi="Amiri" w:eastAsia="Amiri" w:cs="Amiri"/>
          <w:color w:val="111111"/>
          <w:sz w:val="28"/>
          <w:sz w:val="28"/>
          <w:szCs w:val="28"/>
          <w:rtl w:val="true"/>
          <w:lang w:bidi="ar-SA"/>
        </w:rPr>
        <w:t>، نفس ما فعله الطَّبرسيُّ قدس سره فيها</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الآيتين غيرُهما ممَّا استفادَت الفقهاءُ منه جواز الإجارة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1945084_1280447820"/>
      <w:bookmarkStart w:id="262" w:name="_Toc94"/>
      <w:bookmarkEnd w:id="261"/>
      <w:r>
        <w:rPr>
          <w:rtl w:val="true"/>
        </w:rPr>
        <w:t>ثانيًا</w:t>
      </w:r>
      <w:r>
        <w:rPr>
          <w:rtl w:val="true"/>
        </w:rPr>
        <w:t xml:space="preserve">: </w:t>
      </w:r>
      <w:r>
        <w:rPr>
          <w:rtl w:val="true"/>
        </w:rPr>
        <w:t>السُّنَّة المطهَّرة</w:t>
      </w:r>
      <w:bookmarkEnd w:id="262"/>
    </w:p>
    <w:p>
      <w:pPr>
        <w:pStyle w:val="BookText"/>
        <w:rPr/>
      </w:pPr>
      <w:r>
        <w:rPr>
          <w:rFonts w:ascii="Amiri" w:hAnsi="Amiri" w:eastAsia="Amiri" w:cs="Amiri"/>
          <w:color w:val="111111"/>
          <w:sz w:val="28"/>
          <w:sz w:val="28"/>
          <w:szCs w:val="28"/>
          <w:rtl w:val="true"/>
          <w:lang w:bidi="ar-SA"/>
        </w:rPr>
        <w:t>ومن السُّنَّة المطهَّرة</w:t>
      </w:r>
      <w:r>
        <w:rPr>
          <w:rStyle w:val="FootnoteAnchor"/>
          <w:rtl w:val="true"/>
        </w:rPr>
        <w:footnoteReference w:id="1012"/>
      </w:r>
      <w:r>
        <w:rPr>
          <w:rFonts w:ascii="Amiri" w:hAnsi="Amiri" w:eastAsia="Amiri" w:cs="Amiri"/>
          <w:color w:val="111111"/>
          <w:sz w:val="28"/>
          <w:sz w:val="28"/>
          <w:szCs w:val="28"/>
          <w:rtl w:val="true"/>
          <w:lang w:bidi="ar-SA"/>
        </w:rPr>
        <w:t xml:space="preserve">رواياتٌ كثيرةٌ تدلُّ علىٰ أصل مشروعيَّتها وكيفيَّتها وأحكامها، حتَّى أنَّ كثيرًا من أصحاب المجامع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 قدس سره</w:t>
      </w:r>
      <w:r>
        <w:rPr>
          <w:rStyle w:val="FootnoteAnchor"/>
          <w:rtl w:val="true"/>
        </w:rPr>
        <w:footnoteReference w:id="1013"/>
      </w:r>
      <w:r>
        <w:rPr>
          <w:rFonts w:ascii="Amiri" w:hAnsi="Amiri" w:eastAsia="Amiri" w:cs="Amiri"/>
          <w:color w:val="111111"/>
          <w:sz w:val="28"/>
          <w:sz w:val="28"/>
          <w:szCs w:val="28"/>
          <w:rtl w:val="true"/>
          <w:lang w:bidi="ar-SA"/>
        </w:rPr>
        <w:t>، والصَّدوق قدس سره</w:t>
      </w:r>
      <w:r>
        <w:rPr>
          <w:rStyle w:val="FootnoteAnchor"/>
          <w:rtl w:val="true"/>
        </w:rPr>
        <w:footnoteReference w:id="1014"/>
      </w:r>
      <w:r>
        <w:rPr>
          <w:rFonts w:ascii="Amiri" w:hAnsi="Amiri" w:eastAsia="Amiri" w:cs="Amiri"/>
          <w:color w:val="111111"/>
          <w:sz w:val="28"/>
          <w:sz w:val="28"/>
          <w:szCs w:val="28"/>
          <w:rtl w:val="true"/>
          <w:lang w:bidi="ar-SA"/>
        </w:rPr>
        <w:t>، والفيض قدس سره</w:t>
      </w:r>
      <w:r>
        <w:rPr>
          <w:rStyle w:val="FootnoteAnchor"/>
          <w:rtl w:val="true"/>
        </w:rPr>
        <w:footnoteReference w:id="1015"/>
      </w:r>
      <w:r>
        <w:rPr>
          <w:rFonts w:ascii="Amiri" w:hAnsi="Amiri" w:eastAsia="Amiri" w:cs="Amiri"/>
          <w:color w:val="111111"/>
          <w:sz w:val="28"/>
          <w:sz w:val="28"/>
          <w:szCs w:val="28"/>
          <w:rtl w:val="true"/>
          <w:lang w:bidi="ar-SA"/>
        </w:rPr>
        <w:t>، والحرِّ قدس سره</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عقدوا لها بابًا بحيالِه؛ فلاحاجة إلى ذكر بعضها حيث إنَّها في الاشتهار كالشَّمس في رابعة النَّهار</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1945086_1280447820"/>
      <w:bookmarkStart w:id="264" w:name="_Toc95"/>
      <w:bookmarkEnd w:id="263"/>
      <w:r>
        <w:rPr>
          <w:rtl w:val="true"/>
        </w:rPr>
        <w:t>ثالثًا</w:t>
      </w:r>
      <w:r>
        <w:rPr>
          <w:rtl w:val="true"/>
        </w:rPr>
        <w:t xml:space="preserve">: </w:t>
      </w:r>
      <w:r>
        <w:rPr>
          <w:rtl w:val="true"/>
        </w:rPr>
        <w:t>الإجماع</w:t>
      </w:r>
      <w:bookmarkEnd w:id="26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الإجماع ما حكاه كثيرٌ منهم، حيث ادَّعوا ثبوت الإجماع علىٰ مشروعيَّة </w:t>
      </w:r>
      <w:bookmarkStart w:id="265" w:name="pg20337_261512"/>
    </w:p>
    <w:p>
      <w:pPr>
        <w:pStyle w:val="BookText"/>
        <w:rPr/>
      </w:pPr>
      <w:bookmarkEnd w:id="265"/>
      <w:r>
        <w:rPr>
          <w:rFonts w:ascii="Amiri" w:hAnsi="Amiri" w:eastAsia="Amiri" w:cs="Amiri"/>
          <w:color w:val="111111"/>
          <w:sz w:val="28"/>
          <w:sz w:val="28"/>
          <w:szCs w:val="28"/>
          <w:rtl w:val="true"/>
          <w:lang w:bidi="ar-SA"/>
        </w:rPr>
        <w:t>أصل الإجارة وجواز العمل بها؛ منهم القطب الرَّاونديُّ قدس سره</w:t>
      </w:r>
      <w:r>
        <w:rPr>
          <w:rStyle w:val="FootnoteAnchor"/>
          <w:rtl w:val="true"/>
        </w:rPr>
        <w:footnoteReference w:id="1017"/>
      </w:r>
      <w:r>
        <w:rPr>
          <w:rFonts w:ascii="Amiri" w:hAnsi="Amiri" w:eastAsia="Amiri" w:cs="Amiri"/>
          <w:color w:val="111111"/>
          <w:sz w:val="28"/>
          <w:sz w:val="28"/>
          <w:szCs w:val="28"/>
          <w:rtl w:val="true"/>
          <w:lang w:bidi="ar-SA"/>
        </w:rPr>
        <w:t>، والشَّيخ قدس سره</w:t>
      </w:r>
      <w:r>
        <w:rPr>
          <w:rStyle w:val="FootnoteAnchor"/>
          <w:rtl w:val="true"/>
        </w:rPr>
        <w:footnoteReference w:id="1018"/>
      </w:r>
      <w:r>
        <w:rPr>
          <w:rFonts w:ascii="Amiri" w:hAnsi="Amiri" w:eastAsia="Amiri" w:cs="Amiri"/>
          <w:color w:val="111111"/>
          <w:sz w:val="28"/>
          <w:sz w:val="28"/>
          <w:szCs w:val="28"/>
          <w:rtl w:val="true"/>
          <w:lang w:bidi="ar-SA"/>
        </w:rPr>
        <w:t>، والعلَّامة قدس سره</w:t>
      </w:r>
      <w:r>
        <w:rPr>
          <w:rStyle w:val="FootnoteAnchor"/>
          <w:rtl w:val="true"/>
        </w:rPr>
        <w:footnoteReference w:id="101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1945088_1280447820"/>
      <w:bookmarkStart w:id="267" w:name="_Toc96"/>
      <w:bookmarkEnd w:id="266"/>
      <w:r>
        <w:rPr>
          <w:rtl w:val="true"/>
        </w:rPr>
        <w:t>رابعًا</w:t>
      </w:r>
      <w:r>
        <w:rPr>
          <w:rtl w:val="true"/>
        </w:rPr>
        <w:t xml:space="preserve">: </w:t>
      </w:r>
      <w:r>
        <w:rPr>
          <w:rtl w:val="true"/>
        </w:rPr>
        <w:t>بناء العقلاء</w:t>
      </w:r>
      <w:bookmarkEnd w:id="267"/>
    </w:p>
    <w:p>
      <w:pPr>
        <w:pStyle w:val="BookText"/>
        <w:rPr/>
      </w:pPr>
      <w:r>
        <w:rPr>
          <w:rFonts w:ascii="Amiri" w:hAnsi="Amiri" w:eastAsia="Amiri" w:cs="Amiri"/>
          <w:color w:val="111111"/>
          <w:sz w:val="28"/>
          <w:sz w:val="28"/>
          <w:szCs w:val="28"/>
          <w:rtl w:val="true"/>
          <w:lang w:bidi="ar-SA"/>
        </w:rPr>
        <w:t xml:space="preserve">لكنَّ العُمدة هيهنا هو السِّيرة وبناء العقلاء،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استقرَّتْ سيرةُ العقلاء في جميع الأعصار والأمصار علىٰ أنَّ للمرء استيجارَ ما يحتاج إليه لوكان عادمًا له؛ ولذلك لانُجازِف في القول لوقلنا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الثَّلاثة الأُوَل تشير إلى هذه السِّيرة، فهي مرشدةٌ إليها فتتبَعُها في الحدود واللَّوازم وغيرهما ممَّا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تنبيهاتٌ‌</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1945090_1280447820"/>
      <w:bookmarkStart w:id="269" w:name="_Toc97"/>
      <w:bookmarkEnd w:id="268"/>
      <w:r>
        <w:rPr>
          <w:rtl w:val="true"/>
        </w:rPr>
        <w:t>تنبيهاتٌ‌</w:t>
      </w:r>
      <w:r>
        <w:rPr>
          <w:rtl w:val="true"/>
        </w:rPr>
        <w:t>:</w:t>
      </w:r>
      <w:bookmarkEnd w:id="269"/>
    </w:p>
    <w:p>
      <w:pPr>
        <w:pStyle w:val="Heading4"/>
        <w:numPr>
          <w:ilvl w:val="3"/>
          <w:numId w:val="1"/>
        </w:numPr>
        <w:rPr/>
      </w:pPr>
      <w:bookmarkStart w:id="270" w:name="__RefHeading___Toc11945092_1280447820"/>
      <w:bookmarkStart w:id="271" w:name="_Toc98"/>
      <w:bookmarkEnd w:id="270"/>
      <w:r>
        <w:rPr>
          <w:rtl w:val="true"/>
        </w:rPr>
        <w:t>التَّنبيه الأوَّل</w:t>
      </w:r>
      <w:r>
        <w:rPr>
          <w:rtl w:val="true"/>
        </w:rPr>
        <w:t>:</w:t>
      </w:r>
      <w:bookmarkEnd w:id="271"/>
    </w:p>
    <w:p>
      <w:pPr>
        <w:pStyle w:val="BookText"/>
        <w:rPr/>
      </w:pPr>
      <w:r>
        <w:rPr>
          <w:rFonts w:ascii="Amiri" w:hAnsi="Amiri" w:eastAsia="Amiri" w:cs="Amiri"/>
          <w:color w:val="111111"/>
          <w:sz w:val="28"/>
          <w:sz w:val="28"/>
          <w:szCs w:val="28"/>
          <w:rtl w:val="true"/>
          <w:lang w:bidi="ar-SA"/>
        </w:rPr>
        <w:t>لاريب في أنَّ عنوان القاعدة لايشير إلى قاعدةٍ كلِّيَّةٍ قطعًا، حيث ليست العبارةُ مشيرةً إلى قاعدةٍ تجري في أكثر من مسألةٍ واحدةٍ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ترىٰ أنَّ الباحثين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البُجنورديِّ قدس سره</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هيهنا فروعَ كتاب الإجارة واستعابوا في البحث عنها؛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لايليق بهم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ليستْ مصادر القواعد موضوعةً لتبيين الفروع، </w:t>
      </w:r>
      <w:bookmarkStart w:id="272" w:name="pg20337_261513"/>
    </w:p>
    <w:p>
      <w:pPr>
        <w:pStyle w:val="BookText"/>
        <w:rPr/>
      </w:pPr>
      <w:bookmarkEnd w:id="272"/>
      <w:r>
        <w:rPr>
          <w:rFonts w:ascii="Amiri" w:hAnsi="Amiri" w:eastAsia="Amiri" w:cs="Amiri"/>
          <w:color w:val="111111"/>
          <w:sz w:val="28"/>
          <w:sz w:val="28"/>
          <w:szCs w:val="28"/>
          <w:rtl w:val="true"/>
          <w:lang w:bidi="ar-SA"/>
        </w:rPr>
        <w:t>بل لبيان نفس القواعد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نتَّبع أثرَهم فنتكلَّم عن بعض هذه الفروع هيهنا باختصارٍ تامٍّ‌</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1945094_1280447820"/>
      <w:bookmarkStart w:id="274" w:name="_Toc99"/>
      <w:bookmarkEnd w:id="273"/>
      <w:r>
        <w:rPr>
          <w:rtl w:val="true"/>
        </w:rPr>
        <w:t>التَّنبيه الثَّاني</w:t>
      </w:r>
      <w:r>
        <w:rPr>
          <w:rtl w:val="true"/>
        </w:rPr>
        <w:t>:</w:t>
      </w:r>
      <w:bookmarkEnd w:id="274"/>
    </w:p>
    <w:p>
      <w:pPr>
        <w:pStyle w:val="BookText"/>
        <w:rPr/>
      </w:pPr>
      <w:r>
        <w:rPr>
          <w:rFonts w:ascii="Amiri" w:hAnsi="Amiri" w:eastAsia="Amiri" w:cs="Amiri"/>
          <w:color w:val="111111"/>
          <w:sz w:val="28"/>
          <w:sz w:val="28"/>
          <w:szCs w:val="28"/>
          <w:rtl w:val="true"/>
          <w:lang w:bidi="ar-SA"/>
        </w:rPr>
        <w:t>الإجارةُ عقدٌ لازمٌ يحتاج إلى إيجابٍ وقبولٍ‌، بأيِّ لفظٍ كان، وبأيٍّ عمل برَزَ من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كثيرٌ من الأصحاب علىٰ لزومها، كابن زهرة قدس سره</w:t>
      </w:r>
      <w:r>
        <w:rPr>
          <w:rStyle w:val="FootnoteAnchor"/>
          <w:rtl w:val="true"/>
        </w:rPr>
        <w:footnoteReference w:id="1021"/>
      </w:r>
      <w:r>
        <w:rPr>
          <w:rFonts w:ascii="Amiri" w:hAnsi="Amiri" w:eastAsia="Amiri" w:cs="Amiri"/>
          <w:color w:val="111111"/>
          <w:sz w:val="28"/>
          <w:sz w:val="28"/>
          <w:szCs w:val="28"/>
          <w:rtl w:val="true"/>
          <w:lang w:bidi="ar-SA"/>
        </w:rPr>
        <w:t>، والكَيدريِّ قدس سره</w:t>
      </w:r>
      <w:r>
        <w:rPr>
          <w:rStyle w:val="FootnoteAnchor"/>
          <w:rtl w:val="true"/>
        </w:rPr>
        <w:footnoteReference w:id="1022"/>
      </w:r>
      <w:r>
        <w:rPr>
          <w:rFonts w:ascii="Amiri" w:hAnsi="Amiri" w:eastAsia="Amiri" w:cs="Amiri"/>
          <w:color w:val="111111"/>
          <w:sz w:val="28"/>
          <w:sz w:val="28"/>
          <w:szCs w:val="28"/>
          <w:rtl w:val="true"/>
          <w:lang w:bidi="ar-SA"/>
        </w:rPr>
        <w:t>، والمحقِّق قدس سره</w:t>
      </w:r>
      <w:r>
        <w:rPr>
          <w:rStyle w:val="FootnoteAnchor"/>
          <w:rtl w:val="true"/>
        </w:rPr>
        <w:footnoteReference w:id="1023"/>
      </w:r>
      <w:r>
        <w:rPr>
          <w:rFonts w:ascii="Amiri" w:hAnsi="Amiri" w:eastAsia="Amiri" w:cs="Amiri"/>
          <w:color w:val="111111"/>
          <w:sz w:val="28"/>
          <w:sz w:val="28"/>
          <w:szCs w:val="28"/>
          <w:rtl w:val="true"/>
          <w:lang w:bidi="ar-SA"/>
        </w:rPr>
        <w:t>، والقمِّيِّ السَّبزواريِّ قدس سره</w:t>
      </w:r>
      <w:r>
        <w:rPr>
          <w:rStyle w:val="FootnoteAnchor"/>
          <w:rtl w:val="true"/>
        </w:rPr>
        <w:footnoteReference w:id="1024"/>
      </w:r>
      <w:r>
        <w:rPr>
          <w:rFonts w:ascii="Amiri" w:hAnsi="Amiri" w:eastAsia="Amiri" w:cs="Amiri"/>
          <w:color w:val="111111"/>
          <w:sz w:val="28"/>
          <w:sz w:val="28"/>
          <w:szCs w:val="28"/>
          <w:rtl w:val="true"/>
          <w:lang w:bidi="ar-SA"/>
        </w:rPr>
        <w:t>، والعلَّامة قدس سره في إرشاده</w:t>
      </w:r>
      <w:r>
        <w:rPr>
          <w:rStyle w:val="FootnoteAnchor"/>
          <w:rtl w:val="true"/>
        </w:rPr>
        <w:footnoteReference w:id="1025"/>
      </w:r>
      <w:r>
        <w:rPr>
          <w:rFonts w:ascii="Amiri" w:hAnsi="Amiri" w:eastAsia="Amiri" w:cs="Amiri"/>
          <w:color w:val="111111"/>
          <w:sz w:val="28"/>
          <w:sz w:val="28"/>
          <w:szCs w:val="28"/>
          <w:rtl w:val="true"/>
          <w:lang w:bidi="ar-SA"/>
        </w:rPr>
        <w:t>، وتحريره</w:t>
      </w:r>
      <w:r>
        <w:rPr>
          <w:rStyle w:val="FootnoteAnchor"/>
          <w:rtl w:val="true"/>
        </w:rPr>
        <w:footnoteReference w:id="1026"/>
      </w:r>
      <w:r>
        <w:rPr>
          <w:rFonts w:ascii="Amiri" w:hAnsi="Amiri" w:eastAsia="Amiri" w:cs="Amiri"/>
          <w:color w:val="111111"/>
          <w:sz w:val="28"/>
          <w:sz w:val="28"/>
          <w:szCs w:val="28"/>
          <w:rtl w:val="true"/>
          <w:lang w:bidi="ar-SA"/>
        </w:rPr>
        <w:t>وعن المحقِّق النَّجفيِّ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الإجارة عقدٌ لازمٌ بلاخلافٍ ولاإشكالٍ‌</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لاتجري فيها الصِّيغة، وهذا لشيوع المعاطاة وكثرتها في العُرف</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القول بعدم كون الإجارة لازمةً‌، بل القولُ بأنَّها من الإباحات؛</w:t>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1945096_1280447820"/>
      <w:bookmarkStart w:id="276" w:name="_Toc100"/>
      <w:bookmarkEnd w:id="275"/>
      <w:r>
        <w:rPr>
          <w:rtl w:val="true"/>
        </w:rPr>
        <w:t>التَّنبيه الثَّالث</w:t>
      </w:r>
      <w:r>
        <w:rPr>
          <w:rtl w:val="true"/>
        </w:rPr>
        <w:t>:</w:t>
      </w:r>
      <w:bookmarkEnd w:id="2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لاتبطل الإجارةُ ببيع العين المستأجرة</w:t>
      </w:r>
      <w:r>
        <w:rPr>
          <w:rStyle w:val="FootnoteAnchor"/>
          <w:rtl w:val="true"/>
        </w:rPr>
        <w:footnoteReference w:id="1029"/>
      </w:r>
      <w:r>
        <w:rPr>
          <w:rFonts w:ascii="Amiri" w:hAnsi="Amiri" w:eastAsia="Amiri" w:cs="Amiri"/>
          <w:color w:val="111111"/>
          <w:sz w:val="28"/>
          <w:sz w:val="28"/>
          <w:szCs w:val="28"/>
          <w:rtl w:val="true"/>
          <w:lang w:bidi="ar-SA"/>
        </w:rPr>
        <w:t xml:space="preserve">، لعدم وجهٍ يدلُّ علىٰ فسادها </w:t>
      </w:r>
    </w:p>
    <w:p>
      <w:pPr>
        <w:pStyle w:val="BookText"/>
        <w:rPr/>
      </w:pPr>
      <w:r>
        <w:rPr>
          <w:rFonts w:ascii="Amiri" w:hAnsi="Amiri" w:eastAsia="Amiri" w:cs="Amiri"/>
          <w:color w:val="111111"/>
          <w:sz w:val="28"/>
          <w:sz w:val="28"/>
          <w:szCs w:val="28"/>
          <w:rtl w:val="true"/>
          <w:lang w:bidi="ar-SA"/>
        </w:rPr>
        <w:t>وبطلانها، سيَّما إذا عَلِم المشتري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عدم قدرة البائع علىٰ نقل المُثمن أوَّلًا؛</w:t>
      </w:r>
    </w:p>
    <w:p>
      <w:pPr>
        <w:pStyle w:val="BookText"/>
        <w:rPr/>
      </w:pPr>
      <w:r>
        <w:rPr>
          <w:rFonts w:ascii="Amiri" w:hAnsi="Amiri" w:eastAsia="Amiri" w:cs="Amiri"/>
          <w:color w:val="111111"/>
          <w:sz w:val="28"/>
          <w:sz w:val="28"/>
          <w:szCs w:val="28"/>
          <w:rtl w:val="true"/>
          <w:lang w:bidi="ar-SA"/>
        </w:rPr>
        <w:t>ومن جهة كون المعاملة مغبونًا فيها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المشتري جاهلًا بكون العين المُشتراة مستأجرةً‌؛</w:t>
      </w:r>
    </w:p>
    <w:p>
      <w:pPr>
        <w:pStyle w:val="BookText"/>
        <w:rPr/>
      </w:pPr>
      <w:r>
        <w:rPr>
          <w:rFonts w:ascii="Amiri" w:hAnsi="Amiri" w:eastAsia="Amiri" w:cs="Amiri"/>
          <w:color w:val="111111"/>
          <w:sz w:val="28"/>
          <w:sz w:val="28"/>
          <w:szCs w:val="28"/>
          <w:rtl w:val="true"/>
          <w:lang w:bidi="ar-SA"/>
        </w:rPr>
        <w:t>وأمَّا إذا كان عالمًا، فالظَّاهر عدمُ ثبوت الخيار له، حتَّى لوقلنا بأنَّ ثمنَ الإجارة للبائع دون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الكلامَ الشَّيخُ قدس سره عن الفرع في خلافِه</w:t>
      </w:r>
      <w:r>
        <w:rPr>
          <w:rStyle w:val="FootnoteAnchor"/>
          <w:rtl w:val="true"/>
        </w:rPr>
        <w:footnoteReference w:id="1030"/>
      </w:r>
      <w:r>
        <w:rPr>
          <w:rFonts w:ascii="Amiri" w:hAnsi="Amiri" w:eastAsia="Amiri" w:cs="Amiri"/>
          <w:color w:val="111111"/>
          <w:sz w:val="28"/>
          <w:sz w:val="28"/>
          <w:szCs w:val="28"/>
          <w:rtl w:val="true"/>
          <w:lang w:bidi="ar-SA"/>
        </w:rPr>
        <w:t>، ونهايته</w:t>
      </w:r>
      <w:r>
        <w:rPr>
          <w:rStyle w:val="FootnoteAnchor"/>
          <w:rtl w:val="true"/>
        </w:rPr>
        <w:footnoteReference w:id="1031"/>
      </w:r>
      <w:r>
        <w:rPr>
          <w:rFonts w:ascii="Amiri" w:hAnsi="Amiri" w:eastAsia="Amiri" w:cs="Amiri"/>
          <w:color w:val="111111"/>
          <w:sz w:val="28"/>
          <w:sz w:val="28"/>
          <w:szCs w:val="28"/>
          <w:rtl w:val="true"/>
          <w:lang w:bidi="ar-SA"/>
        </w:rPr>
        <w:t>وأشار إليه ابنُالبرَّاج قدس سره</w:t>
      </w:r>
      <w:r>
        <w:rPr>
          <w:rStyle w:val="FootnoteAnchor"/>
          <w:rtl w:val="true"/>
        </w:rPr>
        <w:footnoteReference w:id="1032"/>
      </w:r>
      <w:r>
        <w:rPr>
          <w:rFonts w:ascii="Amiri" w:hAnsi="Amiri" w:eastAsia="Amiri" w:cs="Amiri"/>
          <w:color w:val="111111"/>
          <w:sz w:val="28"/>
          <w:sz w:val="28"/>
          <w:szCs w:val="28"/>
          <w:rtl w:val="true"/>
          <w:lang w:bidi="ar-SA"/>
        </w:rPr>
        <w:t>، والكيدريُّ قدس سره</w:t>
      </w:r>
      <w:r>
        <w:rPr>
          <w:rStyle w:val="FootnoteAnchor"/>
          <w:rtl w:val="true"/>
        </w:rPr>
        <w:footnoteReference w:id="1033"/>
      </w:r>
      <w:r>
        <w:rPr>
          <w:rFonts w:ascii="Amiri" w:hAnsi="Amiri" w:eastAsia="Amiri" w:cs="Amiri"/>
          <w:color w:val="111111"/>
          <w:sz w:val="28"/>
          <w:sz w:val="28"/>
          <w:szCs w:val="28"/>
          <w:rtl w:val="true"/>
          <w:lang w:bidi="ar-SA"/>
        </w:rPr>
        <w:t>، والمحقِّق قدس سره</w:t>
      </w:r>
      <w:r>
        <w:rPr>
          <w:rStyle w:val="FootnoteAnchor"/>
          <w:rtl w:val="true"/>
        </w:rPr>
        <w:footnoteReference w:id="1034"/>
      </w:r>
      <w:r>
        <w:rPr>
          <w:rFonts w:ascii="Amiri" w:hAnsi="Amiri" w:eastAsia="Amiri" w:cs="Amiri"/>
          <w:color w:val="111111"/>
          <w:sz w:val="28"/>
          <w:sz w:val="28"/>
          <w:szCs w:val="28"/>
          <w:rtl w:val="true"/>
          <w:lang w:bidi="ar-SA"/>
        </w:rPr>
        <w:t>، والعلَّامة قدس سره</w:t>
      </w:r>
      <w:r>
        <w:rPr>
          <w:rStyle w:val="FootnoteAnchor"/>
          <w:rtl w:val="true"/>
        </w:rPr>
        <w:footnoteReference w:id="103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 في صحَّتها وفَسادها إذا كان المشتري هو المستأجر؛ والخلاف هذا أشار إليه وبيَّنَه العلَّامة قدس سره</w:t>
      </w:r>
      <w:r>
        <w:rPr>
          <w:rStyle w:val="FootnoteAnchor"/>
          <w:rtl w:val="true"/>
        </w:rPr>
        <w:footnoteReference w:id="1036"/>
      </w:r>
      <w:r>
        <w:rPr>
          <w:rFonts w:ascii="IRNazanin" w:hAnsi="IRNazanin" w:eastAsia="IRNazanin"/>
          <w:color w:val="111111"/>
          <w:sz w:val="28"/>
          <w:sz w:val="28"/>
          <w:szCs w:val="28"/>
          <w:rtl w:val="true"/>
          <w:lang w:bidi="fa-IR"/>
        </w:rPr>
        <w:t>، وولده الفاضل قدس سره</w:t>
      </w:r>
      <w:r>
        <w:rPr>
          <w:rStyle w:val="FootnoteAnchor"/>
          <w:rtl w:val="true"/>
        </w:rPr>
        <w:footnoteReference w:id="1037"/>
      </w:r>
      <w:r>
        <w:rPr>
          <w:rFonts w:ascii="Amiri" w:hAnsi="Amiri" w:eastAsia="Amiri" w:cs="Amiri"/>
          <w:color w:val="111111"/>
          <w:sz w:val="28"/>
          <w:sz w:val="28"/>
          <w:szCs w:val="28"/>
          <w:rtl w:val="true"/>
          <w:lang w:bidi="ar-SA"/>
        </w:rPr>
        <w:t>، والشَّهيدُ</w:t>
      </w:r>
      <w:r>
        <w:rPr>
          <w:rStyle w:val="FootnoteAnchor"/>
          <w:rtl w:val="true"/>
        </w:rPr>
        <w:footnoteReference w:id="1038"/>
      </w:r>
      <w:r>
        <w:rPr>
          <w:rFonts w:ascii="Amiri" w:hAnsi="Amiri" w:eastAsia="Amiri" w:cs="Amiri"/>
          <w:color w:val="111111"/>
          <w:sz w:val="28"/>
          <w:sz w:val="28"/>
          <w:szCs w:val="28"/>
          <w:rtl w:val="true"/>
          <w:lang w:bidi="ar-SA"/>
        </w:rPr>
        <w:t>، وثانيهما قدس سرهما في روضته</w:t>
      </w:r>
      <w:r>
        <w:rPr>
          <w:rStyle w:val="FootnoteAnchor"/>
          <w:rtl w:val="true"/>
        </w:rPr>
        <w:footnoteReference w:id="1039"/>
      </w:r>
      <w:r>
        <w:rPr>
          <w:rFonts w:ascii="Amiri" w:hAnsi="Amiri" w:eastAsia="Amiri" w:cs="Amiri"/>
          <w:color w:val="111111"/>
          <w:sz w:val="28"/>
          <w:sz w:val="28"/>
          <w:szCs w:val="28"/>
          <w:rtl w:val="true"/>
          <w:lang w:bidi="ar-SA"/>
        </w:rPr>
        <w:t>، ومسالكه</w:t>
      </w:r>
      <w:r>
        <w:rPr>
          <w:rStyle w:val="FootnoteAnchor"/>
          <w:rtl w:val="true"/>
        </w:rPr>
        <w:footnoteReference w:id="1040"/>
      </w:r>
      <w:r>
        <w:rPr>
          <w:rFonts w:ascii="Amiri" w:hAnsi="Amiri" w:eastAsia="Amiri" w:cs="Amiri"/>
          <w:color w:val="111111"/>
          <w:sz w:val="28"/>
          <w:sz w:val="28"/>
          <w:szCs w:val="28"/>
          <w:rtl w:val="true"/>
          <w:lang w:bidi="ar-SA"/>
        </w:rPr>
        <w:t>، والبحرانيُّ قدس سره</w:t>
      </w:r>
      <w:r>
        <w:rPr>
          <w:rStyle w:val="FootnoteAnchor"/>
          <w:rtl w:val="true"/>
        </w:rPr>
        <w:footnoteReference w:id="1041"/>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04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bookmarkStart w:id="277" w:name="pg20337_261515"/>
    </w:p>
    <w:p>
      <w:pPr>
        <w:pStyle w:val="BookText"/>
        <w:rPr/>
      </w:pPr>
      <w:bookmarkEnd w:id="277"/>
      <w:r>
        <w:rPr>
          <w:rFonts w:ascii="Amiri" w:hAnsi="Amiri" w:eastAsia="Amiri" w:cs="Amiri"/>
          <w:color w:val="111111"/>
          <w:sz w:val="28"/>
          <w:sz w:val="28"/>
          <w:szCs w:val="28"/>
          <w:rtl w:val="true"/>
          <w:lang w:bidi="ar-SA"/>
        </w:rPr>
        <w:t>والأقوىٰ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قيل لعدم الصِّحَّة إذن قول المحقِّق الثَّاني قدس سره،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يعطي المشتري مالَه لنفسه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ذلك لوقلنا بأنَّ مال الإجارة ينتقل إلى المشتري، وأمَّا لوقلنا بأنَّ المال للبائع فلايلزم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الإلتزام بذلك لابأس به، حيث لايلزم منه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تعدُّد العِنوانين في شخصٍ واحدٍ، فبعنوانٍ يُعدُّ مشتريًا، وبعِنوانٍ آخر يكون مستأجرًا؛ ولا ضير في ذلك أصلًا </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1945098_1280447820"/>
      <w:bookmarkStart w:id="279" w:name="_Toc101"/>
      <w:bookmarkEnd w:id="278"/>
      <w:r>
        <w:rPr>
          <w:rtl w:val="true"/>
        </w:rPr>
        <w:t>التَّنبيه الرَّابع</w:t>
      </w:r>
      <w:r>
        <w:rPr>
          <w:rtl w:val="true"/>
        </w:rPr>
        <w:t>:</w:t>
      </w:r>
      <w:bookmarkEnd w:id="2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نُقِل عن بعض الأصحاب بطلانُ الإجارة بموت المؤجر، أو المستأجر؛ كما عن المفيد قدس سره</w:t>
      </w:r>
      <w:r>
        <w:rPr>
          <w:rStyle w:val="FootnoteAnchor"/>
          <w:rtl w:val="true"/>
        </w:rPr>
        <w:footnoteReference w:id="1044"/>
      </w:r>
      <w:r>
        <w:rPr>
          <w:rFonts w:ascii="Amiri" w:hAnsi="Amiri" w:eastAsia="Amiri" w:cs="Amiri"/>
          <w:color w:val="111111"/>
          <w:sz w:val="28"/>
          <w:sz w:val="28"/>
          <w:szCs w:val="28"/>
          <w:rtl w:val="true"/>
          <w:lang w:bidi="ar-SA"/>
        </w:rPr>
        <w:t>، والشَّيخ قدس سره في نهايته</w:t>
      </w:r>
      <w:r>
        <w:rPr>
          <w:rStyle w:val="FootnoteAnchor"/>
          <w:rtl w:val="true"/>
        </w:rPr>
        <w:footnoteReference w:id="1045"/>
      </w:r>
      <w:r>
        <w:rPr>
          <w:rFonts w:ascii="IRNazanin" w:hAnsi="IRNazanin" w:eastAsia="IRNazanin"/>
          <w:color w:val="111111"/>
          <w:sz w:val="28"/>
          <w:sz w:val="28"/>
          <w:szCs w:val="28"/>
          <w:rtl w:val="true"/>
          <w:lang w:bidi="fa-IR"/>
        </w:rPr>
        <w:t>، ومبسوطه</w:t>
      </w:r>
      <w:r>
        <w:rPr>
          <w:rStyle w:val="FootnoteAnchor"/>
          <w:rtl w:val="true"/>
        </w:rPr>
        <w:footnoteReference w:id="1046"/>
      </w:r>
      <w:r>
        <w:rPr>
          <w:rFonts w:ascii="Amiri" w:hAnsi="Amiri" w:eastAsia="Amiri" w:cs="Amiri"/>
          <w:color w:val="111111"/>
          <w:sz w:val="28"/>
          <w:sz w:val="28"/>
          <w:szCs w:val="28"/>
          <w:rtl w:val="true"/>
          <w:lang w:bidi="ar-SA"/>
        </w:rPr>
        <w:t>، وابن زهرة قدس سره</w:t>
      </w:r>
      <w:r>
        <w:rPr>
          <w:rStyle w:val="FootnoteAnchor"/>
          <w:rtl w:val="true"/>
        </w:rPr>
        <w:footnoteReference w:id="104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سعيدٍ قدس سره</w:t>
      </w:r>
      <w:r>
        <w:rPr>
          <w:rStyle w:val="FootnoteAnchor"/>
          <w:rtl w:val="true"/>
        </w:rPr>
        <w:footnoteReference w:id="104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غيرُ واحدٍ منهم ثبوتَ الإجماع علىٰ ذلك، كما ادَّعاه الشَّيخُ قدس سره</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وهذا الإجماعُ موهونٌ جدًّا، كما سنذكرُ جملةً من الفقهاء القائلين بعدم فسخ الإجارة؛ ولذلك قال ابنُإدريس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ادَّعىٰ أحدٌ إجماعًا فقد بيَّنَّا أنَّ أصحابنا مختلفون</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البجنورديِّ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هناك إجماعٌ‌، فهو؛ وإلَّا فإنَّ القاعدة تقتضي عدمَ البطلان، وما كان للميِّت يُنقَل إلى وارثه، عينُه ومنافعُه؛ ووافقنا في هذا الحكم كثيرٌ من الأصحاب، كأبي الصَّلاح قدس سره</w:t>
      </w:r>
      <w:r>
        <w:rPr>
          <w:rStyle w:val="FootnoteAnchor"/>
          <w:rtl w:val="true"/>
        </w:rPr>
        <w:footnoteReference w:id="1051"/>
      </w:r>
      <w:r>
        <w:rPr>
          <w:rFonts w:ascii="Amiri" w:hAnsi="Amiri" w:eastAsia="Amiri" w:cs="Amiri"/>
          <w:color w:val="111111"/>
          <w:sz w:val="28"/>
          <w:sz w:val="28"/>
          <w:szCs w:val="28"/>
          <w:rtl w:val="true"/>
          <w:lang w:bidi="ar-SA"/>
        </w:rPr>
        <w:t>، وابن إدريس قدس سره</w:t>
      </w:r>
      <w:r>
        <w:rPr>
          <w:rStyle w:val="FootnoteAnchor"/>
          <w:rtl w:val="true"/>
        </w:rPr>
        <w:footnoteReference w:id="1052"/>
      </w:r>
      <w:r>
        <w:rPr>
          <w:rFonts w:ascii="Amiri" w:hAnsi="Amiri" w:eastAsia="Amiri" w:cs="Amiri"/>
          <w:color w:val="111111"/>
          <w:sz w:val="28"/>
          <w:sz w:val="28"/>
          <w:szCs w:val="28"/>
          <w:rtl w:val="true"/>
          <w:lang w:bidi="ar-SA"/>
        </w:rPr>
        <w:t>، والمحقِّق قدس سره</w:t>
      </w:r>
      <w:r>
        <w:rPr>
          <w:rStyle w:val="FootnoteAnchor"/>
          <w:rtl w:val="true"/>
        </w:rPr>
        <w:footnoteReference w:id="1053"/>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1054"/>
      </w:r>
      <w:r>
        <w:rPr>
          <w:rFonts w:ascii="Amiri" w:hAnsi="Amiri" w:eastAsia="Amiri" w:cs="Amiri"/>
          <w:color w:val="111111"/>
          <w:sz w:val="28"/>
          <w:sz w:val="28"/>
          <w:szCs w:val="28"/>
          <w:rtl w:val="true"/>
          <w:lang w:bidi="ar-SA"/>
        </w:rPr>
        <w:t>، والعلَّامة</w:t>
      </w:r>
      <w:r>
        <w:rPr>
          <w:rStyle w:val="FootnoteAnchor"/>
          <w:rtl w:val="true"/>
        </w:rPr>
        <w:footnoteReference w:id="1055"/>
      </w:r>
      <w:r>
        <w:rPr>
          <w:rFonts w:ascii="IRNazanin" w:hAnsi="IRNazanin" w:eastAsia="IRNazanin"/>
          <w:color w:val="111111"/>
          <w:sz w:val="28"/>
          <w:sz w:val="28"/>
          <w:szCs w:val="28"/>
          <w:rtl w:val="true"/>
          <w:lang w:bidi="fa-IR"/>
        </w:rPr>
        <w:t>، وولده الفاضل قدس سرهما</w:t>
      </w:r>
      <w:r>
        <w:rPr>
          <w:rStyle w:val="FootnoteAnchor"/>
          <w:rtl w:val="true"/>
        </w:rPr>
        <w:footnoteReference w:id="1056"/>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1057"/>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10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 الأردبيليِّ قدس سره</w:t>
      </w:r>
      <w:r>
        <w:rPr>
          <w:rStyle w:val="FootnoteAnchor"/>
          <w:rtl w:val="true"/>
        </w:rPr>
        <w:footnoteReference w:id="105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المنافعُ للغير بالاستيجار، فالعين تُنقَل إلى الوارث مسلوبَ المنفعة، والمنافع تَبقىٰ عند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 الإجارة بلاريبٍ‌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المنافع تتبعُ العينَ‌، فإذا انتقل العينُ إلى الوارث فتتبَعُه المنافع أيضًا</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ليس للميِّت ملكيَّةٌ بالنِّسبة إلى المنافع ما دامت الإجارة حتَّى تنتقل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تفكيك المنفعةِ عن العين أمرٌ بديهيٌّ عرفيٌّ‌؛ بل ليست الإجارة إلَّاهذا الفكِّ بين العين وبين منافعه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هيهنا برواية إبراهيم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وسألتُه عن امرأةٍ آجرَتْ ضيعَتَها عشرَ سنين علىٰ أن تُعطىٰ الإجارة في كلِّ سنةٍ عند انقضائها لايُقدَّم لها شيءٌ من الإجارة ما لم يمضِ الوقتُ‌، فماتَتْ قبل ثلاث سنينَ أو بعدها، هل يجب علىٰ ورثَتِها إنفادُ الإجارة إلى الوقت أم تكونُ الإجارةُ منقضِيَةً بموت المرأةِ؟؛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وقتٌ مسمًّى لم يبلغ فماتَتْ فلورَثَتَها تلك الإجارة، فإن لم تبلغ ذلك الوقت وبلغَتْ ثلثَه أو نصفَها أو شيئًا منه فتعطىٰ ورثتها بقدر ما بلغَتْ من ذلك الوقت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رواها الكلينيُّ قدس سره</w:t>
      </w:r>
      <w:r>
        <w:rPr>
          <w:rStyle w:val="FootnoteAnchor"/>
          <w:rtl w:val="true"/>
        </w:rPr>
        <w:footnoteReference w:id="1061"/>
      </w:r>
      <w:r>
        <w:rPr>
          <w:rFonts w:ascii="IRNazanin" w:hAnsi="IRNazanin" w:eastAsia="IRNazanin"/>
          <w:color w:val="111111"/>
          <w:sz w:val="28"/>
          <w:sz w:val="28"/>
          <w:szCs w:val="28"/>
          <w:rtl w:val="true"/>
          <w:lang w:bidi="fa-IR"/>
        </w:rPr>
        <w:t xml:space="preserve">، </w:t>
      </w:r>
      <w:bookmarkStart w:id="280" w:name="pg20337_261518"/>
    </w:p>
    <w:p>
      <w:pPr>
        <w:pStyle w:val="BookText"/>
        <w:rPr/>
      </w:pPr>
      <w:bookmarkEnd w:id="280"/>
      <w:r>
        <w:rPr>
          <w:rFonts w:ascii="Amiri" w:hAnsi="Amiri" w:eastAsia="Amiri" w:cs="Amiri"/>
          <w:color w:val="111111"/>
          <w:sz w:val="28"/>
          <w:sz w:val="28"/>
          <w:szCs w:val="28"/>
          <w:rtl w:val="true"/>
          <w:lang w:bidi="ar-SA"/>
        </w:rPr>
        <w:t>والشَّيخُ قدس سره</w:t>
      </w:r>
      <w:r>
        <w:rPr>
          <w:rStyle w:val="FootnoteAnchor"/>
          <w:rtl w:val="true"/>
        </w:rPr>
        <w:footnoteReference w:id="1062"/>
      </w:r>
      <w:r>
        <w:rPr>
          <w:rFonts w:ascii="Amiri" w:hAnsi="Amiri" w:eastAsia="Amiri" w:cs="Amiri"/>
          <w:color w:val="111111"/>
          <w:sz w:val="28"/>
          <w:sz w:val="28"/>
          <w:szCs w:val="28"/>
          <w:rtl w:val="true"/>
          <w:lang w:bidi="ar-SA"/>
        </w:rPr>
        <w:t>، والفيض قدس سره</w:t>
      </w:r>
      <w:r>
        <w:rPr>
          <w:rStyle w:val="FootnoteAnchor"/>
          <w:rtl w:val="true"/>
        </w:rPr>
        <w:footnoteReference w:id="1063"/>
      </w:r>
      <w:r>
        <w:rPr>
          <w:rFonts w:ascii="Amiri" w:hAnsi="Amiri" w:eastAsia="Amiri" w:cs="Amiri"/>
          <w:color w:val="111111"/>
          <w:sz w:val="28"/>
          <w:sz w:val="28"/>
          <w:szCs w:val="28"/>
          <w:rtl w:val="true"/>
          <w:lang w:bidi="ar-SA"/>
        </w:rPr>
        <w:t>، والحرُّ قدس سره</w:t>
      </w:r>
      <w:r>
        <w:rPr>
          <w:rStyle w:val="FootnoteAnchor"/>
          <w:rtl w:val="true"/>
        </w:rPr>
        <w:footnoteReference w:id="1064"/>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والسَّند قد صحَّحه صاحب الجواهر قدس سره</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وجوب إنفاذ الورثة الإجارةَ‌، فأجاب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فلورَثَتِها تلك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الإجارة بيد الورثة، فإنْ أحبُّوا أمضوها، وإن أحبُّوا أسقطوها وأبطلوها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المرادَ من الحديث الشَّريف أنَّ الإجارة للورثة، بمعنىٰ أنَّ المالَ يُنتَقَل إليهم حالكونه مسلوبَ المنفعة؛</w:t>
      </w:r>
    </w:p>
    <w:p>
      <w:pPr>
        <w:pStyle w:val="BookText"/>
        <w:rPr/>
      </w:pPr>
      <w:r>
        <w:rPr>
          <w:rFonts w:ascii="Amiri" w:hAnsi="Amiri" w:eastAsia="Amiri" w:cs="Amiri"/>
          <w:color w:val="111111"/>
          <w:sz w:val="28"/>
          <w:sz w:val="28"/>
          <w:szCs w:val="28"/>
          <w:rtl w:val="true"/>
          <w:lang w:bidi="ar-SA"/>
        </w:rPr>
        <w:t>ولاأقلَّ من الشَّكِّ في المراد منها، فلا دلالة لها علىٰ ما أرادوا منها؛</w:t>
      </w:r>
    </w:p>
    <w:p>
      <w:pPr>
        <w:pStyle w:val="BookText"/>
        <w:rPr/>
      </w:pPr>
      <w:r>
        <w:rPr>
          <w:rFonts w:ascii="Amiri" w:hAnsi="Amiri" w:eastAsia="Amiri" w:cs="Amiri"/>
          <w:color w:val="111111"/>
          <w:sz w:val="28"/>
          <w:sz w:val="28"/>
          <w:szCs w:val="28"/>
          <w:rtl w:val="true"/>
          <w:lang w:bidi="ar-SA"/>
        </w:rPr>
        <w:t>ثمَّ تصِلُ النَّوبة إذن إلى الاِستصحاب</w:t>
      </w:r>
      <w:r>
        <w:rPr>
          <w:rStyle w:val="FootnoteAnchor"/>
          <w:rtl w:val="true"/>
        </w:rPr>
        <w:footnoteReference w:id="1066"/>
      </w:r>
      <w:r>
        <w:rPr>
          <w:rFonts w:ascii="Amiri" w:hAnsi="Amiri" w:eastAsia="Amiri" w:cs="Amiri"/>
          <w:color w:val="111111"/>
          <w:sz w:val="28"/>
          <w:sz w:val="28"/>
          <w:szCs w:val="28"/>
          <w:rtl w:val="true"/>
          <w:lang w:bidi="ar-SA"/>
        </w:rPr>
        <w:t>، وهو يدلُّ علىٰ بقاء الإجارة بعد موت المؤجر وانتقال العين إلى ورثته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1945100_1280447820"/>
      <w:bookmarkStart w:id="282" w:name="_Toc102"/>
      <w:bookmarkEnd w:id="281"/>
      <w:r>
        <w:rPr>
          <w:rtl w:val="true"/>
        </w:rPr>
        <w:t>التَّنبيه الخامس</w:t>
      </w:r>
      <w:r>
        <w:rPr>
          <w:rtl w:val="true"/>
        </w:rPr>
        <w:t>:</w:t>
      </w:r>
      <w:bookmarkEnd w:id="28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w:t>
      </w:r>
      <w:r>
        <w:rPr>
          <w:rStyle w:val="FootnoteAnchor"/>
          <w:rtl w:val="true"/>
        </w:rPr>
        <w:footnoteReference w:id="1067"/>
      </w:r>
      <w:r>
        <w:rPr>
          <w:rFonts w:ascii="Amiri" w:hAnsi="Amiri" w:eastAsia="Amiri" w:cs="Amiri"/>
          <w:color w:val="111111"/>
          <w:sz w:val="28"/>
          <w:sz w:val="28"/>
          <w:szCs w:val="28"/>
          <w:rtl w:val="true"/>
          <w:lang w:bidi="ar-SA"/>
        </w:rPr>
        <w:t xml:space="preserve">بين الأصحاب عدمُ جواز الضَّمان في العين، لكونه مخالفًا للكتاب </w:t>
      </w:r>
    </w:p>
    <w:p>
      <w:pPr>
        <w:pStyle w:val="BookText"/>
        <w:rPr/>
      </w:pPr>
      <w:r>
        <w:rPr>
          <w:rFonts w:ascii="Amiri" w:hAnsi="Amiri" w:eastAsia="Amiri" w:cs="Amiri"/>
          <w:color w:val="111111"/>
          <w:sz w:val="28"/>
          <w:sz w:val="28"/>
          <w:szCs w:val="28"/>
          <w:rtl w:val="true"/>
          <w:lang w:bidi="ar-SA"/>
        </w:rPr>
        <w:t>والسُّنَّة، ومقتضىٰ العقد، كما عن العلَّامة قدس سره</w:t>
      </w:r>
      <w:r>
        <w:rPr>
          <w:rStyle w:val="FootnoteAnchor"/>
          <w:rtl w:val="true"/>
        </w:rPr>
        <w:footnoteReference w:id="1068"/>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1069"/>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070"/>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لأنَّ المستأجرَ أمينٌ‌، فضمانُه بالشَّرط يخالفُ مقتضىٰ العقد ومقتضىٰ الكتاب والسُّنَّة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ذلك في جميع الأمانات ومنها العين المستأجرة؛ ولكنَّ الأقوىٰ هو الصِّحَّة، كما قال به السَّيِّد الفقيه اليزديُّ قدس سره في بابَي الإجارة والمضاربة وغيرهما من أبواب العروة</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السَّيِّدُ قدس سره بأنَّ ذلك لايخالف الكتابَ‌، ولا السُّنَّة المطهَّرة، لأنَّه بالشَّرط يُنتَقَلُ العينُ‌، لا أنَّ الشَّرط بدعةٌ تقابِلُ الكتابَ العزيز؛ واختاره الفقيهُ المحقِّقُ الطَّباطبائيُّ قدس سره أيضًا</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الشُّروط في جميع المواضع يخالِفُ الكتابَ والسُّنَّة ومقتضىٰ العقد، فيستلزم القول ببطلان الشُّروط كلِّها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83" w:name="pg20337_261520"/>
    </w:p>
    <w:p>
      <w:pPr>
        <w:pStyle w:val="BookText"/>
        <w:rPr/>
      </w:pPr>
      <w:bookmarkEnd w:id="283"/>
      <w:r>
        <w:rPr>
          <w:rFonts w:ascii="Amiri" w:hAnsi="Amiri" w:eastAsia="Amiri" w:cs="Amiri"/>
          <w:color w:val="111111"/>
          <w:sz w:val="28"/>
          <w:sz w:val="28"/>
          <w:szCs w:val="28"/>
          <w:rtl w:val="true"/>
          <w:lang w:bidi="ar-SA"/>
        </w:rPr>
        <w:t>ولا قائل به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أقوىٰ دليلٍ علىٰ الجواز</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1945102_1280447820"/>
      <w:bookmarkStart w:id="285" w:name="_Toc103"/>
      <w:bookmarkEnd w:id="284"/>
      <w:r>
        <w:rPr>
          <w:rtl w:val="true"/>
        </w:rPr>
        <w:t>التَّنبيه السَّادس</w:t>
      </w:r>
      <w:r>
        <w:rPr>
          <w:rtl w:val="true"/>
        </w:rPr>
        <w:t>:</w:t>
      </w:r>
      <w:bookmarkEnd w:id="285"/>
    </w:p>
    <w:p>
      <w:pPr>
        <w:pStyle w:val="BookText"/>
        <w:rPr/>
      </w:pPr>
      <w:r>
        <w:rPr>
          <w:rFonts w:ascii="IRNazanin" w:hAnsi="IRNazanin" w:eastAsia="IRNazanin"/>
          <w:color w:val="111111"/>
          <w:sz w:val="28"/>
          <w:sz w:val="28"/>
          <w:szCs w:val="28"/>
          <w:rtl w:val="true"/>
          <w:lang w:bidi="fa-IR"/>
        </w:rPr>
        <w:t>قد اشتهر</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أنَّه لايجوز أن يؤجِر المستأجرُ موردَ الإجارة بآخر بأكثر ممَّا استأجره، إلَّاأن يُحدِثَ في العين حدَثًا مَّا؛ كما أشار إلى المسألة المرتضىٰ قدس سره</w:t>
      </w:r>
      <w:r>
        <w:rPr>
          <w:rStyle w:val="FootnoteAnchor"/>
          <w:rtl w:val="true"/>
        </w:rPr>
        <w:footnoteReference w:id="1075"/>
      </w:r>
      <w:r>
        <w:rPr>
          <w:rFonts w:ascii="Amiri" w:hAnsi="Amiri" w:eastAsia="Amiri" w:cs="Amiri"/>
          <w:color w:val="111111"/>
          <w:sz w:val="28"/>
          <w:sz w:val="28"/>
          <w:szCs w:val="28"/>
          <w:rtl w:val="true"/>
          <w:lang w:bidi="ar-SA"/>
        </w:rPr>
        <w:t>، وابنُإدريس قدس سره</w:t>
      </w:r>
      <w:r>
        <w:rPr>
          <w:rStyle w:val="FootnoteAnchor"/>
          <w:rtl w:val="true"/>
        </w:rPr>
        <w:footnoteReference w:id="1076"/>
      </w:r>
      <w:r>
        <w:rPr>
          <w:rFonts w:ascii="Amiri" w:hAnsi="Amiri" w:eastAsia="Amiri" w:cs="Amiri"/>
          <w:color w:val="111111"/>
          <w:sz w:val="28"/>
          <w:sz w:val="28"/>
          <w:szCs w:val="28"/>
          <w:rtl w:val="true"/>
          <w:lang w:bidi="ar-SA"/>
        </w:rPr>
        <w:t>، والدَّيلمي قدس سره</w:t>
      </w:r>
      <w:r>
        <w:rPr>
          <w:rStyle w:val="FootnoteAnchor"/>
          <w:rtl w:val="true"/>
        </w:rPr>
        <w:footnoteReference w:id="1077"/>
      </w:r>
      <w:r>
        <w:rPr>
          <w:rFonts w:ascii="Amiri" w:hAnsi="Amiri" w:eastAsia="Amiri" w:cs="Amiri"/>
          <w:color w:val="111111"/>
          <w:sz w:val="28"/>
          <w:sz w:val="28"/>
          <w:szCs w:val="28"/>
          <w:rtl w:val="true"/>
          <w:lang w:bidi="ar-SA"/>
        </w:rPr>
        <w:t>، والقاضي ابن البرَّاج قدس سره</w:t>
      </w:r>
      <w:r>
        <w:rPr>
          <w:rStyle w:val="FootnoteAnchor"/>
          <w:rtl w:val="true"/>
        </w:rPr>
        <w:footnoteReference w:id="1078"/>
      </w:r>
      <w:r>
        <w:rPr>
          <w:rFonts w:ascii="Amiri" w:hAnsi="Amiri" w:eastAsia="Amiri" w:cs="Amiri"/>
          <w:color w:val="111111"/>
          <w:sz w:val="28"/>
          <w:sz w:val="28"/>
          <w:szCs w:val="28"/>
          <w:rtl w:val="true"/>
          <w:lang w:bidi="ar-SA"/>
        </w:rPr>
        <w:t>، والفقيه الطَّباطبائيُّ قدس سره</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وقد فصَّل الكلامَ في المسألة وشقوقها المحقِّقُ البحرانيُّ قدس سره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برواياتٍ‌؛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يستأجر الرَّجلُ الدَّارَ أو الأرضَ أو السَّفينةَ ثمَّ يُؤاجِرَها بأكثرَ ممَّا استأجَرَها به إذا أصلَح فيها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الشَّيخ قدس سره</w:t>
      </w:r>
      <w:r>
        <w:rPr>
          <w:rStyle w:val="FootnoteAnchor"/>
          <w:rtl w:val="true"/>
        </w:rPr>
        <w:footnoteReference w:id="1081"/>
      </w:r>
      <w:r>
        <w:rPr>
          <w:rFonts w:ascii="Amiri" w:hAnsi="Amiri" w:eastAsia="Amiri" w:cs="Amiri"/>
          <w:color w:val="111111"/>
          <w:sz w:val="28"/>
          <w:sz w:val="28"/>
          <w:szCs w:val="28"/>
          <w:rtl w:val="true"/>
          <w:lang w:bidi="ar-SA"/>
        </w:rPr>
        <w:t>، والفيض قدس سره</w:t>
      </w:r>
      <w:r>
        <w:rPr>
          <w:rStyle w:val="FootnoteAnchor"/>
          <w:rtl w:val="true"/>
        </w:rPr>
        <w:footnoteReference w:id="1082"/>
      </w:r>
      <w:r>
        <w:rPr>
          <w:rFonts w:ascii="Amiri" w:hAnsi="Amiri" w:eastAsia="Amiri" w:cs="Amiri"/>
          <w:color w:val="111111"/>
          <w:sz w:val="28"/>
          <w:sz w:val="28"/>
          <w:szCs w:val="28"/>
          <w:rtl w:val="true"/>
          <w:lang w:bidi="ar-SA"/>
        </w:rPr>
        <w:t>، والحرُّ قدس سره</w:t>
      </w:r>
      <w:r>
        <w:rPr>
          <w:rStyle w:val="FootnoteAnchor"/>
          <w:rtl w:val="true"/>
        </w:rPr>
        <w:footnoteReference w:id="108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وفي رواية أبي بصيرٍ عن الصَّادق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أستأجِرَ رحىً وحدها ثمَّ أُواجِرَها بأكثر ما استَأجَرُتها به، إلَّاأن يحدث فيها حدثًا أو يُغرَمَ فيها غَرامةٌ‌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الكراهةُ‌؛ وقد رواها الكلينيُّ قدس سره</w:t>
      </w:r>
      <w:r>
        <w:rPr>
          <w:rStyle w:val="FootnoteAnchor"/>
          <w:rtl w:val="true"/>
        </w:rPr>
        <w:footnoteReference w:id="1084"/>
      </w:r>
      <w:r>
        <w:rPr>
          <w:rFonts w:ascii="Amiri" w:hAnsi="Amiri" w:eastAsia="Amiri" w:cs="Amiri"/>
          <w:color w:val="111111"/>
          <w:sz w:val="28"/>
          <w:sz w:val="28"/>
          <w:szCs w:val="28"/>
          <w:rtl w:val="true"/>
          <w:lang w:bidi="ar-SA"/>
        </w:rPr>
        <w:t>، والشَّيخ قدس سره</w:t>
      </w:r>
      <w:r>
        <w:rPr>
          <w:rStyle w:val="FootnoteAnchor"/>
          <w:rtl w:val="true"/>
        </w:rPr>
        <w:footnoteReference w:id="1085"/>
      </w:r>
      <w:r>
        <w:rPr>
          <w:rFonts w:ascii="Amiri" w:hAnsi="Amiri" w:eastAsia="Amiri" w:cs="Amiri"/>
          <w:color w:val="111111"/>
          <w:sz w:val="28"/>
          <w:sz w:val="28"/>
          <w:szCs w:val="28"/>
          <w:rtl w:val="true"/>
          <w:lang w:bidi="ar-SA"/>
        </w:rPr>
        <w:t>، والفيض قدس سره</w:t>
      </w:r>
      <w:r>
        <w:rPr>
          <w:rStyle w:val="FootnoteAnchor"/>
          <w:rtl w:val="true"/>
        </w:rPr>
        <w:footnoteReference w:id="1086"/>
      </w:r>
      <w:r>
        <w:rPr>
          <w:rFonts w:ascii="Amiri" w:hAnsi="Amiri" w:eastAsia="Amiri" w:cs="Amiri"/>
          <w:color w:val="111111"/>
          <w:sz w:val="28"/>
          <w:sz w:val="28"/>
          <w:szCs w:val="28"/>
          <w:rtl w:val="true"/>
          <w:lang w:bidi="ar-SA"/>
        </w:rPr>
        <w:t>، والشَّيخ الحرُّ قدس سره</w:t>
      </w:r>
      <w:r>
        <w:rPr>
          <w:rStyle w:val="FootnoteAnchor"/>
          <w:rtl w:val="true"/>
        </w:rPr>
        <w:footnoteReference w:id="108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الحرمة من بعض روايات المسألة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الثَّلاثة وأشباهِها يقتضي القولُ بالكراهة، ولاأقلَّ من إحتمال الكراهة، لا الحرمة، لاسيَّما إذا دقَّقتَ النَّظر في أنَّ المنصوصَ به في بعض هذه الرِّوايات هو الدَّارُ ومثلُها؛ ثمَّ نُصَّ علىٰ جواز ذلك في الأرض وما يُشبِهها؛ وفي بعضها الآخر نُصَّ علىٰ عدم جواز ذلك في الأرض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ونحوُه يدلُّ علىٰ عدم الحرمة، بل علىٰ الكراهة أو الشَّديدة منها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أوَّلًا؛</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يخالف مقتضىٰ القاعدة، حيث إنَّ المستأجِر كأنَّه يملك المنافع، فله أن يؤجِرها لمَن أحبَّ وشاء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من إستجازةٍ من المالك، لأنَّ انتقالَ العين إلى الغير من دون إجازة المالك يُعدُّ غَصبًا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الإجارة صحيحةٌ والمستأجرُ المؤجرُ ضامنٌ‌ </w:t>
      </w:r>
      <w:bookmarkStart w:id="286" w:name="pg20337_261522"/>
    </w:p>
    <w:p>
      <w:pPr>
        <w:pStyle w:val="BookText"/>
        <w:rPr/>
      </w:pPr>
      <w:bookmarkEnd w:id="286"/>
      <w:r>
        <w:rPr>
          <w:rFonts w:ascii="Amiri" w:hAnsi="Amiri" w:eastAsia="Amiri" w:cs="Amiri"/>
          <w:color w:val="111111"/>
          <w:sz w:val="28"/>
          <w:sz w:val="28"/>
          <w:szCs w:val="28"/>
          <w:rtl w:val="true"/>
          <w:lang w:bidi="ar-SA"/>
        </w:rPr>
        <w:t>وقد فعل فعلًا محرَّمًا، لستَ قائلًا قولًا خلافًا للواقع</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1945104_1280447820"/>
      <w:bookmarkStart w:id="288" w:name="_Toc104"/>
      <w:bookmarkEnd w:id="287"/>
      <w:r>
        <w:rPr>
          <w:rtl w:val="true"/>
        </w:rPr>
        <w:t>التَّنبيه السَّابع</w:t>
      </w:r>
      <w:r>
        <w:rPr>
          <w:rtl w:val="true"/>
        </w:rPr>
        <w:t>:</w:t>
      </w:r>
      <w:bookmarkEnd w:id="288"/>
    </w:p>
    <w:p>
      <w:pPr>
        <w:pStyle w:val="BookText"/>
        <w:rPr/>
      </w:pPr>
      <w:r>
        <w:rPr>
          <w:rFonts w:ascii="Amiri" w:hAnsi="Amiri" w:eastAsia="Amiri" w:cs="Amiri"/>
          <w:color w:val="111111"/>
          <w:sz w:val="28"/>
          <w:sz w:val="28"/>
          <w:szCs w:val="28"/>
          <w:rtl w:val="true"/>
          <w:lang w:bidi="ar-SA"/>
        </w:rPr>
        <w:t xml:space="preserve">لاإشكال في أنَّ المستأجر ليس ضامنًا للعين المستأجرة إذا تلفتْ لو لم يفرط في حفظها عادةً‌، لقاعدة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بأنَّه ليس علىٰ المحسنينَ من سبيلٍ‌</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لاإشكال في ضمانه بالنِّسبة إليها إذا تلفتْ لتفريطه فيها، لقاعدةِ مَن أتلَف مالَ الغير فهو له ضامنٌ‌</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وهذا ممَّا لاكلام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أراد المستأجرُ أن يُصلِحَ العينَ فأفسدها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فهل هو ضامنٌ إذن‌؟؛</w:t>
      </w:r>
    </w:p>
    <w:p>
      <w:pPr>
        <w:pStyle w:val="BookText"/>
        <w:rPr/>
      </w:pPr>
      <w:r>
        <w:rPr>
          <w:rFonts w:ascii="Amiri" w:hAnsi="Amiri" w:eastAsia="Amiri" w:cs="Amiri"/>
          <w:color w:val="111111"/>
          <w:sz w:val="28"/>
          <w:sz w:val="28"/>
          <w:szCs w:val="28"/>
          <w:rtl w:val="true"/>
          <w:lang w:bidi="ar-SA"/>
        </w:rPr>
        <w:t xml:space="preserve">أو لا 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قد بحثوا عن هذا الفرع في تلف العين في أيدي الصُّنَّاع، كالبحرانيِّ قدس سره</w:t>
      </w:r>
      <w:r>
        <w:rPr>
          <w:rStyle w:val="FootnoteAnchor"/>
          <w:rtl w:val="true"/>
        </w:rPr>
        <w:footnoteReference w:id="1091"/>
      </w:r>
      <w:r>
        <w:rPr>
          <w:rFonts w:ascii="Amiri" w:hAnsi="Amiri" w:eastAsia="Amiri" w:cs="Amiri"/>
          <w:color w:val="111111"/>
          <w:sz w:val="28"/>
          <w:sz w:val="28"/>
          <w:szCs w:val="28"/>
          <w:rtl w:val="true"/>
          <w:lang w:bidi="ar-SA"/>
        </w:rPr>
        <w:t>، وشارح المفاتيح قدس سره</w:t>
      </w:r>
      <w:r>
        <w:rPr>
          <w:rStyle w:val="FootnoteAnchor"/>
          <w:rtl w:val="true"/>
        </w:rPr>
        <w:footnoteReference w:id="1092"/>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093"/>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هو الضَّمان، لأنَّ الفَساد يُنسَب إليه عرفًا، فلامحالة يُنسَب الإتلاف إليه؛ فتدلُّ قاعدةُ من أتلفَ مال الغير علىٰ ثبوت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أيضًا تدلُّ علىٰ المختار؛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القصَّار يُفسِد؟،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أجيرٍ يُعطىٰ الأجرةَ علىٰ أن يُصلِحَ فيُفسِدُ 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الكلينيُّ قدس سره</w:t>
      </w:r>
      <w:r>
        <w:rPr>
          <w:rStyle w:val="FootnoteAnchor"/>
          <w:rtl w:val="true"/>
        </w:rPr>
        <w:footnoteReference w:id="1094"/>
      </w:r>
      <w:r>
        <w:rPr>
          <w:rFonts w:ascii="Amiri" w:hAnsi="Amiri" w:eastAsia="Amiri" w:cs="Amiri"/>
          <w:color w:val="111111"/>
          <w:sz w:val="28"/>
          <w:sz w:val="28"/>
          <w:szCs w:val="28"/>
          <w:rtl w:val="true"/>
          <w:lang w:bidi="ar-SA"/>
        </w:rPr>
        <w:t>، والشَّيخ قدس سره في اِستبصاره</w:t>
      </w:r>
      <w:r>
        <w:rPr>
          <w:rStyle w:val="FootnoteAnchor"/>
          <w:rtl w:val="true"/>
        </w:rPr>
        <w:footnoteReference w:id="1095"/>
      </w:r>
      <w:r>
        <w:rPr>
          <w:rFonts w:ascii="Amiri" w:hAnsi="Amiri" w:eastAsia="Amiri" w:cs="Amiri"/>
          <w:color w:val="111111"/>
          <w:sz w:val="28"/>
          <w:sz w:val="28"/>
          <w:szCs w:val="28"/>
          <w:rtl w:val="true"/>
          <w:lang w:bidi="ar-SA"/>
        </w:rPr>
        <w:t>، وتهذيبه</w:t>
      </w:r>
      <w:r>
        <w:rPr>
          <w:rStyle w:val="FootnoteAnchor"/>
          <w:rtl w:val="true"/>
        </w:rPr>
        <w:footnoteReference w:id="1096"/>
      </w:r>
      <w:r>
        <w:rPr>
          <w:rFonts w:ascii="Amiri" w:hAnsi="Amiri" w:eastAsia="Amiri" w:cs="Amiri"/>
          <w:color w:val="111111"/>
          <w:sz w:val="28"/>
          <w:sz w:val="28"/>
          <w:szCs w:val="28"/>
          <w:rtl w:val="true"/>
          <w:lang w:bidi="ar-SA"/>
        </w:rPr>
        <w:t>، والفيضُ قدس سره</w:t>
      </w:r>
      <w:r>
        <w:rPr>
          <w:rStyle w:val="FootnoteAnchor"/>
          <w:rtl w:val="true"/>
        </w:rPr>
        <w:footnoteReference w:id="1097"/>
      </w:r>
      <w:r>
        <w:rPr>
          <w:rFonts w:ascii="Amiri" w:hAnsi="Amiri" w:eastAsia="Amiri" w:cs="Amiri"/>
          <w:color w:val="111111"/>
          <w:sz w:val="28"/>
          <w:sz w:val="28"/>
          <w:szCs w:val="28"/>
          <w:rtl w:val="true"/>
          <w:lang w:bidi="ar-SA"/>
        </w:rPr>
        <w:t>، والحرُّ قدس سره</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وسندها وإن اختلف في المصادر ولكن لاضير في هذا الإختلاف؛ ولذلك قال أوَّل المجلسيَّين 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الصَّحيح والشَّيخان في الحسن كالصَّحيح</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وهي باعتبار سند الكلينيِّ قدس سره إليها حسنةٌ عند الأردبيليِّ قدس سره</w:t>
      </w:r>
      <w:r>
        <w:rPr>
          <w:rStyle w:val="FootnoteAnchor"/>
          <w:rtl w:val="true"/>
        </w:rPr>
        <w:footnoteReference w:id="1100"/>
      </w:r>
      <w:r>
        <w:rPr>
          <w:rFonts w:ascii="Amiri" w:hAnsi="Amiri" w:eastAsia="Amiri" w:cs="Amiri"/>
          <w:color w:val="111111"/>
          <w:sz w:val="28"/>
          <w:sz w:val="28"/>
          <w:szCs w:val="28"/>
          <w:rtl w:val="true"/>
          <w:lang w:bidi="ar-SA"/>
        </w:rPr>
        <w:t>، كما هي عند العلَّامة المجلسيِّ قدس سره في مرآته</w:t>
      </w:r>
      <w:r>
        <w:rPr>
          <w:rStyle w:val="FootnoteAnchor"/>
          <w:rtl w:val="true"/>
        </w:rPr>
        <w:footnoteReference w:id="1101"/>
      </w:r>
      <w:r>
        <w:rPr>
          <w:rFonts w:ascii="Amiri" w:hAnsi="Amiri" w:eastAsia="Amiri" w:cs="Amiri"/>
          <w:color w:val="111111"/>
          <w:sz w:val="28"/>
          <w:sz w:val="28"/>
          <w:szCs w:val="28"/>
          <w:rtl w:val="true"/>
          <w:lang w:bidi="ar-SA"/>
        </w:rPr>
        <w:t>وكذلك باعتبار إسناد الشَّيخ إليها عنده أيضًا</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يعارضُها غيرُها ممَّا ورد في الباب، كرواية معاوية بن وهبٍ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الصَّبَّاغ والقصَّار؟،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يُضَمَّنانِ‌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رواها الشَّيخُ قدس سره في تهذيبه</w:t>
      </w:r>
      <w:r>
        <w:rPr>
          <w:rStyle w:val="FootnoteAnchor"/>
          <w:rtl w:val="true"/>
        </w:rPr>
        <w:footnoteReference w:id="1103"/>
      </w:r>
      <w:r>
        <w:rPr>
          <w:rFonts w:ascii="IRNazanin" w:hAnsi="IRNazanin" w:eastAsia="IRNazanin"/>
          <w:color w:val="111111"/>
          <w:sz w:val="28"/>
          <w:sz w:val="28"/>
          <w:szCs w:val="28"/>
          <w:rtl w:val="true"/>
          <w:lang w:bidi="fa-IR"/>
        </w:rPr>
        <w:t>، واِستبصاره</w:t>
      </w:r>
      <w:r>
        <w:rPr>
          <w:rStyle w:val="FootnoteAnchor"/>
          <w:rtl w:val="true"/>
        </w:rPr>
        <w:footnoteReference w:id="1104"/>
      </w:r>
      <w:r>
        <w:rPr>
          <w:rFonts w:ascii="Amiri" w:hAnsi="Amiri" w:eastAsia="Amiri" w:cs="Amiri"/>
          <w:color w:val="111111"/>
          <w:sz w:val="28"/>
          <w:sz w:val="28"/>
          <w:szCs w:val="28"/>
          <w:rtl w:val="true"/>
          <w:lang w:bidi="ar-SA"/>
        </w:rPr>
        <w:t>، والفيضُ قدس سره</w:t>
      </w:r>
      <w:r>
        <w:rPr>
          <w:rStyle w:val="FootnoteAnchor"/>
          <w:rtl w:val="true"/>
        </w:rPr>
        <w:footnoteReference w:id="1105"/>
      </w:r>
      <w:r>
        <w:rPr>
          <w:rFonts w:ascii="Amiri" w:hAnsi="Amiri" w:eastAsia="Amiri" w:cs="Amiri"/>
          <w:color w:val="111111"/>
          <w:sz w:val="28"/>
          <w:sz w:val="28"/>
          <w:szCs w:val="28"/>
          <w:rtl w:val="true"/>
          <w:lang w:bidi="ar-SA"/>
        </w:rPr>
        <w:t>، والشَّيخ الحرُّ قدس سره</w:t>
      </w:r>
      <w:r>
        <w:rPr>
          <w:rStyle w:val="FootnoteAnchor"/>
          <w:rtl w:val="true"/>
        </w:rPr>
        <w:footnoteReference w:id="11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وهي صحيحةٌ عند العلَّامة قدس سره</w:t>
      </w:r>
      <w:r>
        <w:rPr>
          <w:rStyle w:val="FootnoteAnchor"/>
          <w:rtl w:val="true"/>
        </w:rPr>
        <w:footnoteReference w:id="1107"/>
      </w:r>
      <w:r>
        <w:rPr>
          <w:rFonts w:ascii="Amiri" w:hAnsi="Amiri" w:eastAsia="Amiri" w:cs="Amiri"/>
          <w:color w:val="111111"/>
          <w:sz w:val="28"/>
          <w:sz w:val="28"/>
          <w:szCs w:val="28"/>
          <w:rtl w:val="true"/>
          <w:lang w:bidi="ar-SA"/>
        </w:rPr>
        <w:t>، والمحقِّق جمال الدَّين قدس سره</w:t>
      </w:r>
      <w:r>
        <w:rPr>
          <w:rStyle w:val="FootnoteAnchor"/>
          <w:rtl w:val="true"/>
        </w:rPr>
        <w:footnoteReference w:id="1108"/>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10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الرِّوايتين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بينها يقتضي القول بأنَّه لوكان التَّلفُ منسوبًا إليه، فهو ضامنٌ له؛ وإن لم يُنسب التَّلفُ إليه، فلاضمان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لهذا الجمع قوله عليه السلام في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مأمونًا فليس عليه شيءٌ‌، وإن كان غير مأمونٍ 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1110"/>
      </w:r>
      <w:r>
        <w:rPr>
          <w:rFonts w:ascii="Amiri" w:hAnsi="Amiri" w:eastAsia="Amiri" w:cs="Amiri"/>
          <w:color w:val="111111"/>
          <w:sz w:val="28"/>
          <w:sz w:val="28"/>
          <w:szCs w:val="28"/>
          <w:rtl w:val="true"/>
          <w:lang w:bidi="ar-SA"/>
        </w:rPr>
        <w:t>، والصَّدوق قدس سره</w:t>
      </w:r>
      <w:r>
        <w:rPr>
          <w:rStyle w:val="FootnoteAnchor"/>
          <w:rtl w:val="true"/>
        </w:rPr>
        <w:footnoteReference w:id="1111"/>
      </w:r>
      <w:r>
        <w:rPr>
          <w:rFonts w:ascii="Amiri" w:hAnsi="Amiri" w:eastAsia="Amiri" w:cs="Amiri"/>
          <w:color w:val="111111"/>
          <w:sz w:val="28"/>
          <w:sz w:val="28"/>
          <w:szCs w:val="28"/>
          <w:rtl w:val="true"/>
          <w:lang w:bidi="ar-SA"/>
        </w:rPr>
        <w:t>، والشَّيخ قدس سره</w:t>
      </w:r>
      <w:r>
        <w:rPr>
          <w:rStyle w:val="FootnoteAnchor"/>
          <w:rtl w:val="true"/>
        </w:rPr>
        <w:footnoteReference w:id="1112"/>
      </w:r>
      <w:r>
        <w:rPr>
          <w:rFonts w:ascii="Amiri" w:hAnsi="Amiri" w:eastAsia="Amiri" w:cs="Amiri"/>
          <w:color w:val="111111"/>
          <w:sz w:val="28"/>
          <w:sz w:val="28"/>
          <w:szCs w:val="28"/>
          <w:rtl w:val="true"/>
          <w:lang w:bidi="ar-SA"/>
        </w:rPr>
        <w:t>، والفيض قدس سره</w:t>
      </w:r>
      <w:r>
        <w:rPr>
          <w:rStyle w:val="FootnoteAnchor"/>
          <w:rtl w:val="true"/>
        </w:rPr>
        <w:footnoteReference w:id="1113"/>
      </w:r>
      <w:r>
        <w:rPr>
          <w:rFonts w:ascii="Amiri" w:hAnsi="Amiri" w:eastAsia="Amiri" w:cs="Amiri"/>
          <w:color w:val="111111"/>
          <w:sz w:val="28"/>
          <w:sz w:val="28"/>
          <w:szCs w:val="28"/>
          <w:rtl w:val="true"/>
          <w:lang w:bidi="ar-SA"/>
        </w:rPr>
        <w:t>، والحرُّ قدس سره</w:t>
      </w:r>
      <w:r>
        <w:rPr>
          <w:rStyle w:val="FootnoteAnchor"/>
          <w:rtl w:val="true"/>
        </w:rPr>
        <w:footnoteReference w:id="1114"/>
      </w:r>
      <w:r>
        <w:rPr>
          <w:rFonts w:ascii="Amiri" w:hAnsi="Amiri" w:eastAsia="Amiri" w:cs="Amiri"/>
          <w:color w:val="111111"/>
          <w:sz w:val="28"/>
          <w:sz w:val="28"/>
          <w:szCs w:val="28"/>
          <w:rtl w:val="true"/>
          <w:lang w:bidi="ar-SA"/>
        </w:rPr>
        <w:t>، وغيرهم؛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لاخلاف في صحَّته، كما عن أوَّل المجلسيَّين</w:t>
      </w:r>
      <w:r>
        <w:rPr>
          <w:rStyle w:val="FootnoteAnchor"/>
          <w:rtl w:val="true"/>
        </w:rPr>
        <w:footnoteReference w:id="1115"/>
      </w:r>
      <w:r>
        <w:rPr>
          <w:rFonts w:ascii="Amiri" w:hAnsi="Amiri" w:eastAsia="Amiri" w:cs="Amiri"/>
          <w:color w:val="111111"/>
          <w:sz w:val="28"/>
          <w:sz w:val="28"/>
          <w:szCs w:val="28"/>
          <w:rtl w:val="true"/>
          <w:lang w:bidi="ar-SA"/>
        </w:rPr>
        <w:t>، وثانيهما قدس سرهما في مرآته</w:t>
      </w:r>
      <w:r>
        <w:rPr>
          <w:rStyle w:val="FootnoteAnchor"/>
          <w:rtl w:val="true"/>
        </w:rPr>
        <w:footnoteReference w:id="1116"/>
      </w:r>
      <w:r>
        <w:rPr>
          <w:rFonts w:ascii="IRNazanin" w:hAnsi="IRNazanin" w:eastAsia="IRNazanin"/>
          <w:color w:val="111111"/>
          <w:sz w:val="28"/>
          <w:sz w:val="28"/>
          <w:szCs w:val="28"/>
          <w:rtl w:val="true"/>
          <w:lang w:bidi="fa-IR"/>
        </w:rPr>
        <w:t>، وملاذه</w:t>
      </w:r>
      <w:r>
        <w:rPr>
          <w:rStyle w:val="FootnoteAnchor"/>
          <w:rtl w:val="true"/>
        </w:rPr>
        <w:footnoteReference w:id="1117"/>
      </w:r>
      <w:r>
        <w:rPr>
          <w:rFonts w:ascii="Amiri" w:hAnsi="Amiri" w:eastAsia="Amiri" w:cs="Amiri"/>
          <w:color w:val="111111"/>
          <w:sz w:val="28"/>
          <w:sz w:val="28"/>
          <w:szCs w:val="28"/>
          <w:rtl w:val="true"/>
          <w:lang w:bidi="ar-SA"/>
        </w:rPr>
        <w:t>، والطَّباطبائيِّ قدس سره</w:t>
      </w:r>
      <w:r>
        <w:rPr>
          <w:rStyle w:val="FootnoteAnchor"/>
          <w:rtl w:val="true"/>
        </w:rPr>
        <w:footnoteReference w:id="111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bookmarkStart w:id="289" w:name="pg20337_261525"/>
    </w:p>
    <w:p>
      <w:pPr>
        <w:pStyle w:val="Heading4"/>
        <w:numPr>
          <w:ilvl w:val="3"/>
          <w:numId w:val="1"/>
        </w:numPr>
        <w:rPr/>
      </w:pPr>
      <w:bookmarkStart w:id="290" w:name="__RefHeading___Toc11945106_1280447820"/>
      <w:bookmarkStart w:id="291" w:name="_Toc105"/>
      <w:bookmarkEnd w:id="289"/>
      <w:bookmarkEnd w:id="290"/>
      <w:r>
        <w:rPr>
          <w:rtl w:val="true"/>
        </w:rPr>
        <w:t>التَّنبيه الثَّامن</w:t>
      </w:r>
      <w:r>
        <w:rPr>
          <w:rtl w:val="true"/>
        </w:rPr>
        <w:t>:</w:t>
      </w:r>
      <w:bookmarkEnd w:id="291"/>
    </w:p>
    <w:p>
      <w:pPr>
        <w:pStyle w:val="BookText"/>
        <w:rPr/>
      </w:pPr>
      <w:r>
        <w:rPr>
          <w:rFonts w:ascii="Amiri" w:hAnsi="Amiri" w:eastAsia="Amiri" w:cs="Amiri"/>
          <w:color w:val="111111"/>
          <w:sz w:val="28"/>
          <w:sz w:val="28"/>
          <w:szCs w:val="28"/>
          <w:rtl w:val="true"/>
          <w:lang w:bidi="ar-SA"/>
        </w:rPr>
        <w:t>لوادَّعىٰ من بيده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إجارةٌ‌، وقال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غصبٌ‌؛</w:t>
      </w:r>
    </w:p>
    <w:p>
      <w:pPr>
        <w:pStyle w:val="BookText"/>
        <w:rPr/>
      </w:pPr>
      <w:r>
        <w:rPr>
          <w:rFonts w:ascii="Amiri" w:hAnsi="Amiri" w:eastAsia="Amiri" w:cs="Amiri"/>
          <w:color w:val="111111"/>
          <w:sz w:val="28"/>
          <w:sz w:val="28"/>
          <w:szCs w:val="28"/>
          <w:rtl w:val="true"/>
          <w:lang w:bidi="ar-SA"/>
        </w:rPr>
        <w:t>فالمدَّعِي هو من يدَّعي الإجارة، فعليه البيِّنةُ‌؛ وإن لم تكن له بيِّنةٌ فعلىٰ صاحب المِلك اليمينُ‌، تثبيتًا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جدًّا لاسترة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أصالة الصِّحَّة في فعل الغير تدلُّ علىٰ أنَّ يده عليه يدٌ أمانيَّةٌ‌، فتدلُّ علىٰ كونه إجارةً‌، وإذن لاتصل النَّوبة إلى الدَّعوىٰ‌</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ليس بسديدٍ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أصالة الصِّحَّة دليلٌ حيثيٌّ لامدخل لها في المُنازَعات أصلًا، بل لا محلَّ لها إلَّافي غير المنازَعات، لأنَّ الَّتمسُّكَ بها في المنازَعات يعادلُ الَّتمسُّك بالعامِّ في الشُّبهة المصداقيَّة، وهذا ممَّا أجمعَتْ الأصحابُ علىٰ بطلانه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تعارض أصالة الصِّحَّة هيهنا بأصالة الصِّحَّة في قول الغير، فتتعارضان، فتتساقطان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أنَّه لامنزلة لأصالة الصِّحَّة في المقام وأمثاله أصلًا</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945108_1280447820"/>
      <w:bookmarkStart w:id="293" w:name="_Toc106"/>
      <w:bookmarkEnd w:id="292"/>
      <w:r>
        <w:rPr>
          <w:rtl w:val="true"/>
        </w:rPr>
        <w:t>التَّنبيه التَّاسع</w:t>
      </w:r>
      <w:r>
        <w:rPr>
          <w:rtl w:val="true"/>
        </w:rPr>
        <w:t>:</w:t>
      </w:r>
      <w:bookmarkEnd w:id="29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لوادَّعىٰ المستأجرُ تلفَ العين، وادَّعىٰ المؤجرُ البقاءَ‌؛ فالمدَّعي هو المستأجر، فعليه 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أمينٌ‌، والأمينُ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للقاعدة في الدَّعوىٰ‌، لأنَّ المؤجر ادَّعىٰ عدمَ كون المستأجر أمينًا، فلاتجري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قولانِ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 إلى ثبوت الضَّمان عليه؛</w:t>
      </w:r>
    </w:p>
    <w:p>
      <w:pPr>
        <w:pStyle w:val="BookText"/>
        <w:rPr/>
      </w:pPr>
      <w:r>
        <w:rPr>
          <w:rFonts w:ascii="IRNazanin" w:hAnsi="IRNazanin" w:eastAsia="IRNazanin"/>
          <w:color w:val="111111"/>
          <w:sz w:val="28"/>
          <w:sz w:val="28"/>
          <w:szCs w:val="28"/>
          <w:rtl w:val="true"/>
          <w:lang w:bidi="fa-IR"/>
        </w:rPr>
        <w:t>وبعضٌ آخر إلى عدم 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وتفصيل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موضوع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المحقِّق قدس سره</w:t>
      </w:r>
      <w:r>
        <w:rPr>
          <w:rStyle w:val="FootnoteAnchor"/>
          <w:rtl w:val="true"/>
        </w:rPr>
        <w:footnoteReference w:id="1120"/>
      </w:r>
      <w:r>
        <w:rPr>
          <w:rFonts w:ascii="Amiri" w:hAnsi="Amiri" w:eastAsia="Amiri" w:cs="Amiri"/>
          <w:color w:val="111111"/>
          <w:sz w:val="28"/>
          <w:sz w:val="28"/>
          <w:szCs w:val="28"/>
          <w:rtl w:val="true"/>
          <w:lang w:bidi="ar-SA"/>
        </w:rPr>
        <w:t>، والعلَّامة قدس سره</w:t>
      </w:r>
      <w:r>
        <w:rPr>
          <w:rStyle w:val="FootnoteAnchor"/>
          <w:rtl w:val="true"/>
        </w:rPr>
        <w:footnoteReference w:id="1121"/>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1122"/>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123"/>
      </w:r>
      <w:r>
        <w:rPr>
          <w:rFonts w:ascii="Amiri" w:hAnsi="Amiri" w:eastAsia="Amiri" w:cs="Amiri"/>
          <w:color w:val="111111"/>
          <w:sz w:val="28"/>
          <w:sz w:val="28"/>
          <w:szCs w:val="28"/>
          <w:rtl w:val="true"/>
          <w:lang w:bidi="ar-SA"/>
        </w:rPr>
        <w:t>، والفقيه الخراسانيِّ قدس سره</w:t>
      </w:r>
      <w:r>
        <w:rPr>
          <w:rStyle w:val="FootnoteAnchor"/>
          <w:rtl w:val="true"/>
        </w:rPr>
        <w:footnoteReference w:id="1124"/>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وللجميع رواياتٌ تمسَّكوا بها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القائلون بثبوت الضَّمان، فقد تمسَّكوا برواية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الغسَّال والصَّبَّاغ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سُرِقَ منهم من شيءٍ فلم يخرُجْ منه علىٰ أمرٍ بَيِّنٍ أنَّه قد سُرِق وكلُّ قليلٍ له أو كثيرٍ فإن فعلَ فليس عليه شيءٌ‌، وإن لم يقُم البيِّنة وزعم أنَّه قد ذهب الَّذي ادَّعىٰ عليه فقد ضمِنَه إن لم يكن له بيِّنَةٌ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رواها الكلينيُّ قدس سره</w:t>
      </w:r>
      <w:r>
        <w:rPr>
          <w:rStyle w:val="FootnoteAnchor"/>
          <w:rtl w:val="true"/>
        </w:rPr>
        <w:footnoteReference w:id="11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والشَّيخ قدس سره</w:t>
      </w:r>
      <w:r>
        <w:rPr>
          <w:rStyle w:val="FootnoteAnchor"/>
          <w:rtl w:val="true"/>
        </w:rPr>
        <w:footnoteReference w:id="1126"/>
      </w:r>
      <w:r>
        <w:rPr>
          <w:rFonts w:ascii="Amiri" w:hAnsi="Amiri" w:eastAsia="Amiri" w:cs="Amiri"/>
          <w:color w:val="111111"/>
          <w:sz w:val="28"/>
          <w:sz w:val="28"/>
          <w:szCs w:val="28"/>
          <w:rtl w:val="true"/>
          <w:lang w:bidi="ar-SA"/>
        </w:rPr>
        <w:t>، والفيض قدس سره</w:t>
      </w:r>
      <w:r>
        <w:rPr>
          <w:rStyle w:val="FootnoteAnchor"/>
          <w:rtl w:val="true"/>
        </w:rPr>
        <w:footnoteReference w:id="1127"/>
      </w:r>
      <w:r>
        <w:rPr>
          <w:rFonts w:ascii="Amiri" w:hAnsi="Amiri" w:eastAsia="Amiri" w:cs="Amiri"/>
          <w:color w:val="111111"/>
          <w:sz w:val="28"/>
          <w:sz w:val="28"/>
          <w:szCs w:val="28"/>
          <w:rtl w:val="true"/>
          <w:lang w:bidi="ar-SA"/>
        </w:rPr>
        <w:t>، والشَّيخ الحرُّ قدس سره</w:t>
      </w:r>
      <w:r>
        <w:rPr>
          <w:rStyle w:val="FootnoteAnchor"/>
          <w:rtl w:val="true"/>
        </w:rPr>
        <w:footnoteReference w:id="1128"/>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وهي حسنةٌ عند المجلسيِّ قدس سره</w:t>
      </w:r>
      <w:r>
        <w:rPr>
          <w:rStyle w:val="FootnoteAnchor"/>
          <w:rtl w:val="true"/>
        </w:rPr>
        <w:footnoteReference w:id="1129"/>
      </w:r>
      <w:r>
        <w:rPr>
          <w:rFonts w:ascii="Amiri" w:hAnsi="Amiri" w:eastAsia="Amiri" w:cs="Amiri"/>
          <w:color w:val="111111"/>
          <w:sz w:val="28"/>
          <w:sz w:val="28"/>
          <w:szCs w:val="28"/>
          <w:rtl w:val="true"/>
          <w:lang w:bidi="ar-SA"/>
        </w:rPr>
        <w:t>، وصحيحةٌ أو حسنةٌ عند البحرانيِّ قدس سره</w:t>
      </w:r>
      <w:r>
        <w:rPr>
          <w:rStyle w:val="FootnoteAnchor"/>
          <w:rtl w:val="true"/>
        </w:rPr>
        <w:footnoteReference w:id="1130"/>
      </w:r>
      <w:r>
        <w:rPr>
          <w:rFonts w:ascii="Amiri" w:hAnsi="Amiri" w:eastAsia="Amiri" w:cs="Amiri"/>
          <w:color w:val="111111"/>
          <w:sz w:val="28"/>
          <w:sz w:val="28"/>
          <w:szCs w:val="28"/>
          <w:rtl w:val="true"/>
          <w:lang w:bidi="ar-SA"/>
        </w:rPr>
        <w:t>، وصحيحةٌ عند شارح المفاتيح قدس سره</w:t>
      </w:r>
      <w:r>
        <w:rPr>
          <w:rStyle w:val="FootnoteAnchor"/>
          <w:rtl w:val="true"/>
        </w:rPr>
        <w:footnoteReference w:id="1131"/>
      </w:r>
      <w:r>
        <w:rPr>
          <w:rFonts w:ascii="Amiri" w:hAnsi="Amiri" w:eastAsia="Amiri" w:cs="Amiri"/>
          <w:color w:val="111111"/>
          <w:sz w:val="28"/>
          <w:sz w:val="28"/>
          <w:szCs w:val="28"/>
          <w:rtl w:val="true"/>
          <w:lang w:bidi="ar-SA"/>
        </w:rPr>
        <w:t>، والنَّراقي الثَّاني قدس سرهما</w:t>
      </w:r>
      <w:r>
        <w:rPr>
          <w:rStyle w:val="FootnoteAnchor"/>
          <w:rtl w:val="true"/>
        </w:rPr>
        <w:footnoteReference w:id="1132"/>
      </w:r>
      <w:r>
        <w:rPr>
          <w:rFonts w:ascii="Amiri" w:hAnsi="Amiri" w:eastAsia="Amiri" w:cs="Amiri"/>
          <w:color w:val="111111"/>
          <w:sz w:val="28"/>
          <w:sz w:val="28"/>
          <w:szCs w:val="28"/>
          <w:rtl w:val="true"/>
          <w:lang w:bidi="ar-SA"/>
        </w:rPr>
        <w:t>وكيف كان فلابأس بسندها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القائلون بعدم ثبوت الضَّمان، فقد تمسَّكوا بصحيحة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المجلسيُّ قدس سره</w:t>
      </w:r>
      <w:r>
        <w:rPr>
          <w:rStyle w:val="FootnoteAnchor"/>
          <w:rtl w:val="true"/>
        </w:rPr>
        <w:footnoteReference w:id="1133"/>
      </w:r>
      <w:r>
        <w:rPr>
          <w:rFonts w:ascii="Amiri" w:hAnsi="Amiri" w:eastAsia="Amiri" w:cs="Amiri"/>
          <w:color w:val="111111"/>
          <w:sz w:val="28"/>
          <w:sz w:val="28"/>
          <w:szCs w:val="28"/>
          <w:rtl w:val="true"/>
          <w:lang w:bidi="ar-SA"/>
        </w:rPr>
        <w:t>، والبحرانيُّ قدس سره</w:t>
      </w:r>
      <w:r>
        <w:rPr>
          <w:rStyle w:val="FootnoteAnchor"/>
          <w:rtl w:val="true"/>
        </w:rPr>
        <w:footnoteReference w:id="1134"/>
      </w:r>
      <w:r>
        <w:rPr>
          <w:rFonts w:ascii="Amiri" w:hAnsi="Amiri" w:eastAsia="Amiri" w:cs="Amiri"/>
          <w:color w:val="111111"/>
          <w:sz w:val="28"/>
          <w:sz w:val="28"/>
          <w:szCs w:val="28"/>
          <w:rtl w:val="true"/>
          <w:lang w:bidi="ar-SA"/>
        </w:rPr>
        <w:t>، والمحقِّق القمِّيُّ قدس سره</w:t>
      </w:r>
      <w:r>
        <w:rPr>
          <w:rStyle w:val="FootnoteAnchor"/>
          <w:rtl w:val="true"/>
        </w:rPr>
        <w:footnoteReference w:id="1135"/>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لايُضَمَّنُ الصَّائغُ ولا القصَّارُ ولا الحائِكُ إلَّاأن يكونوا متَّهَمين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رواها الصَّدوقُ قدس سره</w:t>
      </w:r>
      <w:r>
        <w:rPr>
          <w:rStyle w:val="FootnoteAnchor"/>
          <w:rtl w:val="true"/>
        </w:rPr>
        <w:footnoteReference w:id="1136"/>
      </w:r>
      <w:r>
        <w:rPr>
          <w:rFonts w:ascii="Amiri" w:hAnsi="Amiri" w:eastAsia="Amiri" w:cs="Amiri"/>
          <w:color w:val="111111"/>
          <w:sz w:val="28"/>
          <w:sz w:val="28"/>
          <w:szCs w:val="28"/>
          <w:rtl w:val="true"/>
          <w:lang w:bidi="ar-SA"/>
        </w:rPr>
        <w:t>، والشَّيخ قدس سره</w:t>
      </w:r>
      <w:r>
        <w:rPr>
          <w:rStyle w:val="FootnoteAnchor"/>
          <w:rtl w:val="true"/>
        </w:rPr>
        <w:footnoteReference w:id="1137"/>
      </w:r>
      <w:r>
        <w:rPr>
          <w:rFonts w:ascii="Amiri" w:hAnsi="Amiri" w:eastAsia="Amiri" w:cs="Amiri"/>
          <w:color w:val="111111"/>
          <w:sz w:val="28"/>
          <w:sz w:val="28"/>
          <w:szCs w:val="28"/>
          <w:rtl w:val="true"/>
          <w:lang w:bidi="ar-SA"/>
        </w:rPr>
        <w:t>، والفيض قدس سره</w:t>
      </w:r>
      <w:r>
        <w:rPr>
          <w:rStyle w:val="FootnoteAnchor"/>
          <w:rtl w:val="true"/>
        </w:rPr>
        <w:footnoteReference w:id="1138"/>
      </w:r>
      <w:r>
        <w:rPr>
          <w:rFonts w:ascii="Amiri" w:hAnsi="Amiri" w:eastAsia="Amiri" w:cs="Amiri"/>
          <w:color w:val="111111"/>
          <w:sz w:val="28"/>
          <w:sz w:val="28"/>
          <w:szCs w:val="28"/>
          <w:rtl w:val="true"/>
          <w:lang w:bidi="ar-SA"/>
        </w:rPr>
        <w:t>، والحرُّ قدس سره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294" w:name="pg20337_261528"/>
    </w:p>
    <w:p>
      <w:pPr>
        <w:pStyle w:val="BookText"/>
        <w:rPr/>
      </w:pPr>
      <w:bookmarkEnd w:id="294"/>
      <w:r>
        <w:rPr>
          <w:rFonts w:ascii="Amiri" w:hAnsi="Amiri" w:eastAsia="Amiri" w:cs="Amiri"/>
          <w:color w:val="111111"/>
          <w:sz w:val="28"/>
          <w:sz w:val="28"/>
          <w:szCs w:val="28"/>
          <w:rtl w:val="true"/>
          <w:lang w:bidi="ar-SA"/>
        </w:rPr>
        <w:t>وللرِّوايَتَين أمثالٌ كثيرةٌ تجدُها في موضعها من مصادرنا الرِّوائيَّة</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العرفيُّ بين هاتين الطَّائفتين من الرِّوايات يقتضي الذِّهاب إلى قوله عليه السلام في ذيل الحديث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يكونوا متَّهَمين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قاعدةُ الأمين غير ضامنٍ تدلُّ علىٰ عدم الضَّمان لو لم يكن بمفرِّطٍ في حفظ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متَّهمًا فليس بأمينٍ إذن، فهو ضامنٌ‌؛ إلَّاأن يُقيمَ بيِّنةً علىٰ كونه أمينًا، فلاضمانَ عليه إذن</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1945110_1280447820"/>
      <w:bookmarkStart w:id="296" w:name="_Toc107"/>
      <w:bookmarkEnd w:id="295"/>
      <w:r>
        <w:rPr>
          <w:rtl w:val="true"/>
        </w:rPr>
        <w:t>أمثلةٌ لاستعمال القاعدة في الفقه</w:t>
      </w:r>
      <w:r>
        <w:rPr>
          <w:rtl w:val="true"/>
        </w:rPr>
        <w:t>:</w:t>
      </w:r>
      <w:bookmarkEnd w:id="296"/>
    </w:p>
    <w:p>
      <w:pPr>
        <w:pStyle w:val="BookText"/>
        <w:rPr/>
      </w:pPr>
      <w:r>
        <w:rPr>
          <w:rFonts w:ascii="Amiri" w:hAnsi="Amiri" w:eastAsia="Amiri" w:cs="Amiri"/>
          <w:color w:val="111111"/>
          <w:sz w:val="28"/>
          <w:sz w:val="28"/>
          <w:szCs w:val="28"/>
          <w:rtl w:val="true"/>
          <w:lang w:bidi="ar-SA"/>
        </w:rPr>
        <w:t>أشرنا إلى أنَّ القاعدة ليست من القواعد الَّتي تجري في طائفةٍ من المسائل الفقهيَّة، بل هي ليست إلَّاعنوانًا عامًّا يشمل جميع مباحث كتاب الإجارة؛</w:t>
      </w:r>
    </w:p>
    <w:p>
      <w:pPr>
        <w:pStyle w:val="BookText"/>
        <w:rPr/>
      </w:pPr>
      <w:r>
        <w:rPr>
          <w:rFonts w:ascii="Amiri" w:hAnsi="Amiri" w:eastAsia="Amiri" w:cs="Amiri"/>
          <w:color w:val="111111"/>
          <w:sz w:val="28"/>
          <w:sz w:val="28"/>
          <w:szCs w:val="28"/>
          <w:rtl w:val="true"/>
          <w:lang w:bidi="ar-SA"/>
        </w:rPr>
        <w:t>فنأتي هيهنا بإشارةٍ خاطفةٍ إلى جملةٍ من هذه المسائل كأنموذج لمباحث هذا الكتاب فقط، فتفطَّن من هذا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الفقيه ثاني النَّراقيَّين قدس سره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الإجارة علىٰ العمل المعيَّن لايجوز العدول عنه إلى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بلاخلافٍ إذا كان الغيرُ مرجوحًا، لقاعدة الإجارة السَّالمة عن المعارض بالمرَّة</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الحلِّيُّ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آجر مملوكًا له فأفسد كان ذلك لازمًا لمولاه في سعيه، وكذا لوآجر نفسَه بإذن مولاه</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وانظر إلى ما ذكره شُرَّاح عبارته والمعلِّقين عليها، كالشَّهيد الثَّاني قدس سرهما في حاشيته عليها</w:t>
      </w:r>
      <w:r>
        <w:rPr>
          <w:rStyle w:val="FootnoteAnchor"/>
          <w:rtl w:val="true"/>
        </w:rPr>
        <w:footnoteReference w:id="1143"/>
      </w:r>
      <w:r>
        <w:rPr>
          <w:rFonts w:ascii="Amiri" w:hAnsi="Amiri" w:eastAsia="Amiri" w:cs="Amiri"/>
          <w:color w:val="111111"/>
          <w:sz w:val="28"/>
          <w:sz w:val="28"/>
          <w:szCs w:val="28"/>
          <w:rtl w:val="true"/>
          <w:lang w:bidi="ar-SA"/>
        </w:rPr>
        <w:t>، وشرحه عليها</w:t>
      </w:r>
      <w:r>
        <w:rPr>
          <w:rStyle w:val="FootnoteAnchor"/>
          <w:rtl w:val="true"/>
        </w:rPr>
        <w:footnoteReference w:id="1144"/>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الفقيه اليزديُّ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آجر نفسَه للحجِّ في سنةٍ معيَّنةٍ لايجوز له التَّأخير، بل ولاالتَّقديم إلَّامع رِضي المستأجر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ولشُرَّاح كلامه هيهنا فوائد لاتغفَلْ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كالسَّيِّد الحكيم قدس سره</w:t>
      </w:r>
      <w:r>
        <w:rPr>
          <w:rStyle w:val="FootnoteAnchor"/>
          <w:rtl w:val="true"/>
        </w:rPr>
        <w:footnoteReference w:id="1146"/>
      </w:r>
      <w:r>
        <w:rPr>
          <w:rFonts w:ascii="Amiri" w:hAnsi="Amiri" w:eastAsia="Amiri" w:cs="Amiri"/>
          <w:color w:val="111111"/>
          <w:sz w:val="28"/>
          <w:sz w:val="28"/>
          <w:szCs w:val="28"/>
          <w:rtl w:val="true"/>
          <w:lang w:bidi="ar-SA"/>
        </w:rPr>
        <w:t>، والشَّيخ الآملي قدس سره</w:t>
      </w:r>
      <w:r>
        <w:rPr>
          <w:rStyle w:val="FootnoteAnchor"/>
          <w:rtl w:val="true"/>
        </w:rPr>
        <w:footnoteReference w:id="1147"/>
      </w:r>
      <w:r>
        <w:rPr>
          <w:rFonts w:ascii="Amiri" w:hAnsi="Amiri" w:eastAsia="Amiri" w:cs="Amiri"/>
          <w:color w:val="111111"/>
          <w:sz w:val="28"/>
          <w:sz w:val="28"/>
          <w:szCs w:val="28"/>
          <w:rtl w:val="true"/>
          <w:lang w:bidi="ar-SA"/>
        </w:rPr>
        <w:t>، والسَّيِّد الشَّاهرودي قدس سره</w:t>
      </w:r>
      <w:r>
        <w:rPr>
          <w:rStyle w:val="FootnoteAnchor"/>
          <w:rtl w:val="true"/>
        </w:rPr>
        <w:footnoteReference w:id="1148"/>
      </w:r>
      <w:r>
        <w:rPr>
          <w:rFonts w:ascii="Amiri" w:hAnsi="Amiri" w:eastAsia="Amiri" w:cs="Amiri"/>
          <w:color w:val="111111"/>
          <w:sz w:val="28"/>
          <w:sz w:val="28"/>
          <w:szCs w:val="28"/>
          <w:rtl w:val="true"/>
          <w:lang w:bidi="ar-SA"/>
        </w:rPr>
        <w:t>، والسَّيِّد المحقِّق الخوئي قدس سره</w:t>
      </w:r>
      <w:r>
        <w:rPr>
          <w:rStyle w:val="FootnoteAnchor"/>
          <w:rtl w:val="true"/>
        </w:rPr>
        <w:footnoteReference w:id="1149"/>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1150"/>
      </w:r>
      <w:r>
        <w:rPr>
          <w:rFonts w:ascii="Amiri" w:hAnsi="Amiri" w:eastAsia="Amiri" w:cs="Amiri"/>
          <w:color w:val="111111"/>
          <w:sz w:val="28"/>
          <w:sz w:val="28"/>
          <w:szCs w:val="28"/>
          <w:rtl w:val="true"/>
          <w:lang w:bidi="ar-SA"/>
        </w:rPr>
        <w:t>، وغيرهم</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 الحجِّ‌،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الإشتهارديِّ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الفيَّاض؛</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تعاليق مبسوطة علىٰ العُروة الوثقىٰ‌،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20337_261530"/>
    </w:p>
    <w:p>
      <w:pPr>
        <w:pStyle w:val="Heading2"/>
        <w:numPr>
          <w:ilvl w:val="1"/>
          <w:numId w:val="1"/>
        </w:numPr>
        <w:rPr/>
      </w:pPr>
      <w:bookmarkStart w:id="298" w:name="__RefHeading___Toc11945112_1280447820"/>
      <w:bookmarkStart w:id="299" w:name="_Toc108"/>
      <w:bookmarkEnd w:id="297"/>
      <w:bookmarkEnd w:id="298"/>
      <w:r>
        <w:rPr>
          <w:rtl w:val="true"/>
        </w:rPr>
        <w:t>[</w:t>
      </w:r>
      <w:r>
        <w:rPr/>
        <w:t>31</w:t>
      </w:r>
      <w:r>
        <w:rPr>
          <w:rtl w:val="true"/>
        </w:rPr>
        <w:t xml:space="preserve">:] </w:t>
      </w:r>
      <w:r>
        <w:rPr>
          <w:rtl w:val="true"/>
        </w:rPr>
        <w:t>قاعدة إنحلال العُقود إلى عقودٍ أُخَر</w:t>
      </w:r>
      <w:bookmarkEnd w:id="299"/>
    </w:p>
    <w:p>
      <w:pPr>
        <w:pStyle w:val="Heading3"/>
        <w:numPr>
          <w:ilvl w:val="2"/>
          <w:numId w:val="1"/>
        </w:numPr>
        <w:rPr/>
      </w:pPr>
      <w:bookmarkStart w:id="300" w:name="__RefHeading___Toc11945114_1280447820"/>
      <w:bookmarkStart w:id="301" w:name="_Toc109"/>
      <w:bookmarkEnd w:id="300"/>
      <w:r>
        <w:rPr>
          <w:rtl w:val="true"/>
        </w:rPr>
        <w:t>عناوين أُخرىٰ للقاعدة</w:t>
      </w:r>
      <w:bookmarkEnd w:id="301"/>
    </w:p>
    <w:p>
      <w:pPr>
        <w:pStyle w:val="BookText"/>
        <w:rPr/>
      </w:pPr>
      <w:r>
        <w:rPr>
          <w:rFonts w:ascii="Amiri" w:hAnsi="Amiri" w:eastAsia="Amiri" w:cs="Amiri"/>
          <w:color w:val="111111"/>
          <w:sz w:val="28"/>
          <w:sz w:val="28"/>
          <w:szCs w:val="28"/>
          <w:rtl w:val="true"/>
          <w:lang w:bidi="ar-SA"/>
        </w:rPr>
        <w:t>العقد ينحلُّ إلى عقودٍ</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11945116_1280447820"/>
      <w:bookmarkStart w:id="303" w:name="_Toc110"/>
      <w:bookmarkEnd w:id="302"/>
      <w:r>
        <w:rPr>
          <w:rtl w:val="true"/>
        </w:rPr>
        <w:t>توضيح مفاد القاعدة</w:t>
      </w:r>
      <w:bookmarkEnd w:id="303"/>
    </w:p>
    <w:p>
      <w:pPr>
        <w:pStyle w:val="BookText"/>
        <w:rPr/>
      </w:pPr>
      <w:r>
        <w:rPr>
          <w:rFonts w:ascii="Amiri" w:hAnsi="Amiri" w:eastAsia="Amiri" w:cs="Amiri"/>
          <w:color w:val="111111"/>
          <w:sz w:val="28"/>
          <w:sz w:val="28"/>
          <w:szCs w:val="28"/>
          <w:rtl w:val="true"/>
          <w:lang w:bidi="ar-SA"/>
        </w:rPr>
        <w:t>قد اشتهرَتْ بين الأصحاب قاعدةٌ قائلةٌ بأنَّ العقود</w:t>
      </w:r>
      <w:r>
        <w:rPr>
          <w:rStyle w:val="FootnoteAnchor"/>
          <w:rtl w:val="true"/>
        </w:rPr>
        <w:footnoteReference w:id="1153"/>
      </w:r>
      <w:r>
        <w:rPr>
          <w:rFonts w:ascii="Amiri" w:hAnsi="Amiri" w:eastAsia="Amiri" w:cs="Amiri"/>
          <w:color w:val="111111"/>
          <w:sz w:val="28"/>
          <w:sz w:val="28"/>
          <w:szCs w:val="28"/>
          <w:rtl w:val="true"/>
          <w:lang w:bidi="ar-SA"/>
        </w:rPr>
        <w:t>كلَّها تنحلُّ إلى عقودٍ متَعدَّدةٍ أُخَر بحسب ما للعقد من الأجزاء، فمَن باع دارَه لغيره فهذا البيعُ ينحلُّ إلى بيوعٍ متعدَّدةٍ بحسب أجزاء هذا البيع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عبَّر عنه بعضُ الأعلام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الإنحلال في العقود عبارةٌ عن تعلُّق </w:t>
      </w:r>
      <w:bookmarkStart w:id="304" w:name="pg20337_261531"/>
    </w:p>
    <w:p>
      <w:pPr>
        <w:pStyle w:val="BookText"/>
        <w:rPr/>
      </w:pPr>
      <w:bookmarkEnd w:id="304"/>
      <w:r>
        <w:rPr>
          <w:rFonts w:ascii="Amiri" w:hAnsi="Amiri" w:eastAsia="Amiri" w:cs="Amiri"/>
          <w:color w:val="111111"/>
          <w:sz w:val="28"/>
          <w:sz w:val="28"/>
          <w:szCs w:val="28"/>
          <w:rtl w:val="true"/>
          <w:lang w:bidi="ar-SA"/>
        </w:rPr>
        <w:t>العقد بالأجزاء مثل تعلُّقه بالكلِّ‌،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المجموع في قبال مجموع ما جُعِل في العقد عِوَضًا، كذلك يكون كلُّ جزءٍ من أحد العِوَضين قي قبال الجزء من العِوَض الآخر</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البهيَّة،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1945118_1280447820"/>
      <w:bookmarkStart w:id="306" w:name="_Toc111"/>
      <w:bookmarkEnd w:id="305"/>
      <w:r>
        <w:rPr>
          <w:rtl w:val="true"/>
        </w:rPr>
        <w:t>مدركُ القاعدة</w:t>
      </w:r>
      <w:bookmarkEnd w:id="306"/>
    </w:p>
    <w:p>
      <w:pPr>
        <w:pStyle w:val="Heading4"/>
        <w:numPr>
          <w:ilvl w:val="3"/>
          <w:numId w:val="1"/>
        </w:numPr>
        <w:rPr/>
      </w:pPr>
      <w:bookmarkStart w:id="307" w:name="__RefHeading___Toc11945120_1280447820"/>
      <w:bookmarkStart w:id="308" w:name="_Toc112"/>
      <w:bookmarkEnd w:id="307"/>
      <w:r>
        <w:rPr>
          <w:rtl w:val="true"/>
        </w:rPr>
        <w:t>أوَّلًا</w:t>
      </w:r>
      <w:r>
        <w:rPr>
          <w:rtl w:val="true"/>
        </w:rPr>
        <w:t xml:space="preserve">: </w:t>
      </w:r>
      <w:r>
        <w:rPr>
          <w:rtl w:val="true"/>
        </w:rPr>
        <w:t>بناء العقلاء</w:t>
      </w:r>
      <w:bookmarkEnd w:id="308"/>
    </w:p>
    <w:p>
      <w:pPr>
        <w:pStyle w:val="BookText"/>
        <w:rPr/>
      </w:pPr>
      <w:r>
        <w:rPr>
          <w:rFonts w:ascii="Amiri" w:hAnsi="Amiri" w:eastAsia="Amiri" w:cs="Amiri"/>
          <w:color w:val="111111"/>
          <w:sz w:val="28"/>
          <w:sz w:val="28"/>
          <w:szCs w:val="28"/>
          <w:rtl w:val="true"/>
          <w:lang w:bidi="ar-SA"/>
        </w:rPr>
        <w:t>أمَّا الأصحابُ‌</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البهيَّة،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استدلُّوا علىٰ هذه القاعدة بحكم العقلاء وبنائهم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صغرويًّا وكبرويًّا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يقعُ وينعقدُ علىٰ العنوان والهويَّة الخارجيَّة، والعنوان بسيطٌ، فإذن إنحلالُه إلى عقودٍ أُخَر محالٌ‌، نظرًا إلى أنَّه ليس بمركَّبٍ حتَّى ينحَلَّ إلى أجزاءٍ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إدِّعاء أنَّ العقدَ الواحد هي عقودٌ متعدَّدةٌ انحلَّ إليها، إدِّعاءٌ لاتقبله العقلاءُ‌، بل لايسمعون إليه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لاتستَغْرِب إن قلنا أنَّهم يستوحشون من هذا القول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يُقال في بيان تركُّب البيع من الأجزاء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المبيعَ لووُصِف بوصفٍ أو جزءٍ أو شرطٍ فظَهَر أنَّه ليس فيه هذا الوصف أو الجزء أو الشَّرط، فالبيع فاسدٌ </w:t>
      </w:r>
    </w:p>
    <w:p>
      <w:pPr>
        <w:pStyle w:val="BookText"/>
        <w:rPr/>
      </w:pPr>
      <w:r>
        <w:rPr>
          <w:rFonts w:ascii="Amiri" w:hAnsi="Amiri" w:eastAsia="Amiri" w:cs="Amiri"/>
          <w:color w:val="111111"/>
          <w:sz w:val="28"/>
          <w:sz w:val="28"/>
          <w:szCs w:val="28"/>
          <w:rtl w:val="true"/>
          <w:lang w:bidi="ar-SA"/>
        </w:rPr>
        <w:t xml:space="preserve">بالنِّسبة إلى هذا المفقود صحيحٌ بالنِّسبة إلى أصل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حينئذٍ الخيارُ للمشتري؛ كما جاء في المجلَّة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مالًا بوصفٍ مرغوبٍ فظهر المبيع خاليًا عن ذلك الوصف كان المشتري مخيَّرًا، إن شاء فسخ البيعَ وإن شاء أخذه بجميع الَّثمن</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الشَّهيدين 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 كذبُه في الإخبار بقدر الَّثمن أو ما في حكمه أو جنسه أو وصفه أو غلط فيه، ببيِّنةٍ أو إقرارٍ، تخيَّر المشتري</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وإليه يشير كلماتُ غيرهم، كالفقيه الشَّيخ عبَّاس آل كاشف الغطاء قدس سره</w:t>
      </w:r>
      <w:r>
        <w:rPr>
          <w:rStyle w:val="FootnoteAnchor"/>
          <w:rtl w:val="true"/>
        </w:rPr>
        <w:footnoteReference w:id="1158"/>
      </w:r>
      <w:r>
        <w:rPr>
          <w:rFonts w:ascii="Amiri" w:hAnsi="Amiri" w:eastAsia="Amiri" w:cs="Amiri"/>
          <w:color w:val="111111"/>
          <w:sz w:val="28"/>
          <w:sz w:val="28"/>
          <w:szCs w:val="28"/>
          <w:rtl w:val="true"/>
          <w:lang w:bidi="ar-SA"/>
        </w:rPr>
        <w:t>، والعلَّامة قدس سره</w:t>
      </w:r>
      <w:r>
        <w:rPr>
          <w:rStyle w:val="FootnoteAnchor"/>
          <w:rtl w:val="true"/>
        </w:rPr>
        <w:footnoteReference w:id="1159"/>
      </w:r>
      <w:r>
        <w:rPr>
          <w:rFonts w:ascii="Amiri" w:hAnsi="Amiri" w:eastAsia="Amiri" w:cs="Amiri"/>
          <w:color w:val="111111"/>
          <w:sz w:val="28"/>
          <w:sz w:val="28"/>
          <w:szCs w:val="28"/>
          <w:rtl w:val="true"/>
          <w:lang w:bidi="ar-SA"/>
        </w:rPr>
        <w:t>، وفي قواعده</w:t>
      </w:r>
      <w:r>
        <w:rPr>
          <w:rStyle w:val="FootnoteAnchor"/>
          <w:rtl w:val="true"/>
        </w:rPr>
        <w:footnoteReference w:id="1160"/>
      </w:r>
      <w:r>
        <w:rPr>
          <w:rFonts w:ascii="Amiri" w:hAnsi="Amiri" w:eastAsia="Amiri" w:cs="Amiri"/>
          <w:color w:val="111111"/>
          <w:sz w:val="28"/>
          <w:sz w:val="28"/>
          <w:szCs w:val="28"/>
          <w:rtl w:val="true"/>
          <w:lang w:bidi="ar-SA"/>
        </w:rPr>
        <w:t>أيضًا، والسَّيِّد العميديِّ قدس سره</w:t>
      </w:r>
      <w:r>
        <w:rPr>
          <w:rStyle w:val="FootnoteAnchor"/>
          <w:rtl w:val="true"/>
        </w:rPr>
        <w:footnoteReference w:id="1161"/>
      </w:r>
      <w:r>
        <w:rPr>
          <w:rFonts w:ascii="Amiri" w:hAnsi="Amiri" w:eastAsia="Amiri" w:cs="Amiri"/>
          <w:color w:val="111111"/>
          <w:sz w:val="28"/>
          <w:sz w:val="28"/>
          <w:szCs w:val="28"/>
          <w:rtl w:val="true"/>
          <w:lang w:bidi="ar-SA"/>
        </w:rPr>
        <w:t>، وغيرهم</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علىٰ أنَّ البيعَ مركَّبٌ من عدَّة أجزاءٍ‌، فهو صحيحٌ بالنِّسبة إلى بعضها فاسدٌ بالنِّسبة إلى بعضها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ثبوت الخيار في المقام لاربطَ له باِنحلال البيع إلى أجزاءٍ أصلًا، لأنَّ العقدَ انعَقَد علىٰ الهويَّة الخارجيَّة؛ فللمُشتري طلبُ المَبيع بما وُصِف له، فإذا </w:t>
      </w:r>
      <w:bookmarkStart w:id="309" w:name="pg20337_261533"/>
    </w:p>
    <w:p>
      <w:pPr>
        <w:pStyle w:val="BookText"/>
        <w:rPr/>
      </w:pPr>
      <w:bookmarkEnd w:id="309"/>
      <w:r>
        <w:rPr>
          <w:rFonts w:ascii="Amiri" w:hAnsi="Amiri" w:eastAsia="Amiri" w:cs="Amiri"/>
          <w:color w:val="111111"/>
          <w:sz w:val="28"/>
          <w:sz w:val="28"/>
          <w:szCs w:val="28"/>
          <w:rtl w:val="true"/>
          <w:lang w:bidi="ar-SA"/>
        </w:rPr>
        <w:t>تخلَّف المبيعُ عن الوصف يَثبُتُ له الخيارُ عند العقلاء، جبرًا لما خَسُر به في المبيع؛</w:t>
      </w:r>
    </w:p>
    <w:p>
      <w:pPr>
        <w:pStyle w:val="BookText"/>
        <w:rPr/>
      </w:pPr>
      <w:r>
        <w:rPr>
          <w:rFonts w:ascii="Amiri" w:hAnsi="Amiri" w:eastAsia="Amiri" w:cs="Amiri"/>
          <w:color w:val="111111"/>
          <w:sz w:val="28"/>
          <w:sz w:val="28"/>
          <w:szCs w:val="28"/>
          <w:rtl w:val="true"/>
          <w:lang w:bidi="ar-SA"/>
        </w:rPr>
        <w:t xml:space="preserve">فالخيارُ أصلٌ عُقَلائيٌّ عندنا، وبه نقول في الخيارات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في محلِّه من علم الفقه عن أنَّه لاتعبُّد في الخيارات أصلًا إلَّافيما شذَّ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قائمةٌ علىٰ أساس رأي العُقلاء في معامَلاتِهم ومعاشَراتهم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بعضُ الزِّيادات علىٰ 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في محلِّه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1945122_1280447820"/>
      <w:bookmarkStart w:id="311" w:name="_Toc113"/>
      <w:bookmarkEnd w:id="310"/>
      <w:r>
        <w:rPr>
          <w:rtl w:val="true"/>
        </w:rPr>
        <w:t>ثانيًا</w:t>
      </w:r>
      <w:r>
        <w:rPr>
          <w:rtl w:val="true"/>
        </w:rPr>
        <w:t xml:space="preserve">: </w:t>
      </w:r>
      <w:r>
        <w:rPr>
          <w:rtl w:val="true"/>
        </w:rPr>
        <w:t>الإجماع</w:t>
      </w:r>
      <w:bookmarkEnd w:id="311"/>
    </w:p>
    <w:p>
      <w:pPr>
        <w:pStyle w:val="BookText"/>
        <w:rPr/>
      </w:pPr>
      <w:r>
        <w:rPr>
          <w:rFonts w:ascii="Amiri" w:hAnsi="Amiri" w:eastAsia="Amiri" w:cs="Amiri"/>
          <w:color w:val="111111"/>
          <w:sz w:val="28"/>
          <w:sz w:val="28"/>
          <w:szCs w:val="28"/>
          <w:rtl w:val="true"/>
          <w:lang w:bidi="ar-SA"/>
        </w:rPr>
        <w:t>واستدلَّ المحقِّق المراغيُّ قدس سره هيهنا بالإجماع أوَّلًا؛</w:t>
      </w:r>
    </w:p>
    <w:p>
      <w:pPr>
        <w:pStyle w:val="Heading4"/>
        <w:numPr>
          <w:ilvl w:val="3"/>
          <w:numId w:val="1"/>
        </w:numPr>
        <w:rPr/>
      </w:pPr>
      <w:bookmarkStart w:id="312" w:name="__RefHeading___Toc11945124_1280447820"/>
      <w:bookmarkStart w:id="313" w:name="_Toc114"/>
      <w:bookmarkEnd w:id="312"/>
      <w:r>
        <w:rPr>
          <w:rtl w:val="true"/>
        </w:rPr>
        <w:t>ثالثًا</w:t>
      </w:r>
      <w:r>
        <w:rPr>
          <w:rtl w:val="true"/>
        </w:rPr>
        <w:t xml:space="preserve">: </w:t>
      </w:r>
      <w:r>
        <w:rPr>
          <w:rtl w:val="true"/>
        </w:rPr>
        <w:t>دليل العقل</w:t>
      </w:r>
      <w:bookmarkEnd w:id="313"/>
    </w:p>
    <w:p>
      <w:pPr>
        <w:pStyle w:val="BookText"/>
        <w:rPr/>
      </w:pPr>
      <w:r>
        <w:rPr>
          <w:rFonts w:ascii="Amiri" w:hAnsi="Amiri" w:eastAsia="Amiri" w:cs="Amiri"/>
          <w:color w:val="111111"/>
          <w:sz w:val="28"/>
          <w:sz w:val="28"/>
          <w:szCs w:val="28"/>
          <w:rtl w:val="true"/>
          <w:lang w:bidi="ar-SA"/>
        </w:rPr>
        <w:t>ثمَّ بالاِستقراء ثانيًا</w:t>
      </w:r>
      <w:r>
        <w:rPr>
          <w:rStyle w:val="FootnoteAnchor"/>
          <w:rtl w:val="true"/>
        </w:rPr>
        <w:footnoteReference w:id="1163"/>
      </w:r>
      <w:r>
        <w:rPr>
          <w:rFonts w:ascii="Amiri" w:hAnsi="Amiri" w:eastAsia="Amiri" w:cs="Amiri"/>
          <w:color w:val="111111"/>
          <w:sz w:val="28"/>
          <w:sz w:val="28"/>
          <w:szCs w:val="28"/>
          <w:rtl w:val="true"/>
          <w:lang w:bidi="ar-SA"/>
        </w:rPr>
        <w:t>وتابعه في الاِستدلال بالإجماع المحقِّق البجنورديُّ قدس سره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هذان غير بناء العقلاء الَّذي ذكرناه آنفًا، لرجوعهما إليه قطعًا</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1945126_1280447820"/>
      <w:bookmarkStart w:id="315" w:name="_Toc115"/>
      <w:bookmarkEnd w:id="314"/>
      <w:r>
        <w:rPr>
          <w:rtl w:val="true"/>
        </w:rPr>
        <w:t>تنبيهاتٌ‌</w:t>
      </w:r>
      <w:r>
        <w:rPr>
          <w:rtl w:val="true"/>
        </w:rPr>
        <w:t>:</w:t>
      </w:r>
      <w:bookmarkEnd w:id="315"/>
    </w:p>
    <w:p>
      <w:pPr>
        <w:pStyle w:val="Heading4"/>
        <w:numPr>
          <w:ilvl w:val="3"/>
          <w:numId w:val="1"/>
        </w:numPr>
        <w:rPr/>
      </w:pPr>
      <w:bookmarkStart w:id="316" w:name="__RefHeading___Toc11945128_1280447820"/>
      <w:bookmarkStart w:id="317" w:name="_Toc116"/>
      <w:bookmarkEnd w:id="316"/>
      <w:r>
        <w:rPr>
          <w:rtl w:val="true"/>
        </w:rPr>
        <w:t>التَّنبيه الأوَّل</w:t>
      </w:r>
      <w:r>
        <w:rPr>
          <w:rtl w:val="true"/>
        </w:rPr>
        <w:t>:</w:t>
      </w:r>
      <w:bookmarkEnd w:id="317"/>
    </w:p>
    <w:p>
      <w:pPr>
        <w:pStyle w:val="BookText"/>
        <w:rPr/>
      </w:pPr>
      <w:r>
        <w:rPr>
          <w:rFonts w:ascii="Amiri" w:hAnsi="Amiri" w:eastAsia="Amiri" w:cs="Amiri"/>
          <w:color w:val="111111"/>
          <w:sz w:val="28"/>
          <w:sz w:val="28"/>
          <w:szCs w:val="28"/>
          <w:rtl w:val="true"/>
          <w:lang w:bidi="ar-SA"/>
        </w:rPr>
        <w:t>قد تمسَّك الأصحاب</w:t>
      </w:r>
      <w:r>
        <w:rPr>
          <w:rStyle w:val="FootnoteAnchor"/>
          <w:rtl w:val="true"/>
        </w:rPr>
        <w:footnoteReference w:id="1165"/>
      </w:r>
      <w:r>
        <w:rPr>
          <w:rFonts w:ascii="Amiri" w:hAnsi="Amiri" w:eastAsia="Amiri" w:cs="Amiri"/>
          <w:color w:val="111111"/>
          <w:sz w:val="28"/>
          <w:sz w:val="28"/>
          <w:szCs w:val="28"/>
          <w:rtl w:val="true"/>
          <w:lang w:bidi="ar-SA"/>
        </w:rPr>
        <w:t>للاِنحلال هذا بأمثلةٍ كلُّها خارجةٌ عن المقام راجعةٌ إلى الكلِّيَّات والأفراد، لا إلى الكلِّ وأجزائه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الخنزير مع الشَّاة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فلوباع شاةً مع خنزيرٍ فالبيعُ صحيحٌ بالنِّسبة إلى الشَّاة باطلٌ بالنِّسبة إلى </w:t>
      </w:r>
    </w:p>
    <w:p>
      <w:pPr>
        <w:pStyle w:val="BookText"/>
        <w:rPr/>
      </w:pP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ذكر الفرعَ البحرانيُّ قدس سره</w:t>
      </w:r>
      <w:r>
        <w:rPr>
          <w:rStyle w:val="FootnoteAnchor"/>
          <w:rtl w:val="true"/>
        </w:rPr>
        <w:footnoteReference w:id="1166"/>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1167"/>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فانحلَّ عقدُ البيع إلى بيعيَن صحيحٍ وفاسدٍ</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ما يكون له منفعةٌ محلَّلَةٌ ومنفعةٌ غير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لوأجار دارَه لمَن سكن فيها ثمَّ جعل قسمًا منها محلًّا لبيع الخمر؛ فالإجارةُ بالنِّسبة إلى الجزء الأوَّل صحيحةٌ‌، أمَّا بالنِّسبة إلى الجزء الثَّاني فهي باطلةٌ قطعًا؛</w:t>
      </w:r>
    </w:p>
    <w:p>
      <w:pPr>
        <w:pStyle w:val="BookText"/>
        <w:rPr/>
      </w:pPr>
      <w:r>
        <w:rPr>
          <w:rFonts w:ascii="Amiri" w:hAnsi="Amiri" w:eastAsia="Amiri" w:cs="Amiri"/>
          <w:color w:val="111111"/>
          <w:sz w:val="28"/>
          <w:sz w:val="28"/>
          <w:szCs w:val="28"/>
          <w:rtl w:val="true"/>
          <w:lang w:bidi="ar-SA"/>
        </w:rPr>
        <w:t>لأنَّ الإجارة لامنع في أصلها،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جزءٌ منها بما هو حرامٌ‌، فهذا الجزء حرامٌ‌؛ ولذلك قال أبوعبداللَّه الصَّادق عليه السلام في خبر جابرٍ حينما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يُؤاجِرُ بيته فيبتاع فيه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أُجرتُه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1169"/>
      </w:r>
      <w:r>
        <w:rPr>
          <w:rFonts w:ascii="Amiri" w:hAnsi="Amiri" w:eastAsia="Amiri" w:cs="Amiri"/>
          <w:color w:val="111111"/>
          <w:sz w:val="28"/>
          <w:sz w:val="28"/>
          <w:szCs w:val="28"/>
          <w:rtl w:val="true"/>
          <w:lang w:bidi="ar-SA"/>
        </w:rPr>
        <w:t>، والفيضُ قدس سره</w:t>
      </w:r>
      <w:r>
        <w:rPr>
          <w:rStyle w:val="FootnoteAnchor"/>
          <w:rtl w:val="true"/>
        </w:rPr>
        <w:footnoteReference w:id="1170"/>
      </w:r>
      <w:r>
        <w:rPr>
          <w:rFonts w:ascii="Amiri" w:hAnsi="Amiri" w:eastAsia="Amiri" w:cs="Amiri"/>
          <w:color w:val="111111"/>
          <w:sz w:val="28"/>
          <w:sz w:val="28"/>
          <w:szCs w:val="28"/>
          <w:rtl w:val="true"/>
          <w:lang w:bidi="ar-SA"/>
        </w:rPr>
        <w:t>، والسَّيِّد الأستاذ البروجرديُّ قدس سره</w:t>
      </w:r>
      <w:r>
        <w:rPr>
          <w:rStyle w:val="FootnoteAnchor"/>
          <w:rtl w:val="true"/>
        </w:rPr>
        <w:footnoteReference w:id="1171"/>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نصَّ الأصحابُ علىٰ حرمة إجارة الدَّار، أو الدُّكَّان لعمل الخمر، أو لبيعه؛ كالشَّيخ محمَّد حسين آل كاشف الغطاء قدس سره</w:t>
      </w:r>
      <w:r>
        <w:rPr>
          <w:rStyle w:val="FootnoteAnchor"/>
          <w:rtl w:val="true"/>
        </w:rPr>
        <w:footnoteReference w:id="1172"/>
      </w:r>
      <w:r>
        <w:rPr>
          <w:rFonts w:ascii="Amiri" w:hAnsi="Amiri" w:eastAsia="Amiri" w:cs="Amiri"/>
          <w:color w:val="111111"/>
          <w:sz w:val="28"/>
          <w:sz w:val="28"/>
          <w:szCs w:val="28"/>
          <w:rtl w:val="true"/>
          <w:lang w:bidi="ar-SA"/>
        </w:rPr>
        <w:t>، والعلَّامة قدس سره في تذكرته</w:t>
      </w:r>
      <w:r>
        <w:rPr>
          <w:rStyle w:val="FootnoteAnchor"/>
          <w:rtl w:val="true"/>
        </w:rPr>
        <w:footnoteReference w:id="1173"/>
      </w:r>
      <w:r>
        <w:rPr>
          <w:rFonts w:ascii="IRNazanin" w:hAnsi="IRNazanin" w:eastAsia="IRNazanin"/>
          <w:color w:val="111111"/>
          <w:sz w:val="28"/>
          <w:sz w:val="28"/>
          <w:szCs w:val="28"/>
          <w:rtl w:val="true"/>
          <w:lang w:bidi="fa-IR"/>
        </w:rPr>
        <w:t>، وقواعده</w:t>
      </w:r>
      <w:r>
        <w:rPr>
          <w:rStyle w:val="FootnoteAnchor"/>
          <w:rtl w:val="true"/>
        </w:rPr>
        <w:footnoteReference w:id="1174"/>
      </w:r>
      <w:r>
        <w:rPr>
          <w:rFonts w:ascii="Amiri" w:hAnsi="Amiri" w:eastAsia="Amiri" w:cs="Amiri"/>
          <w:color w:val="111111"/>
          <w:sz w:val="28"/>
          <w:sz w:val="28"/>
          <w:szCs w:val="28"/>
          <w:rtl w:val="true"/>
          <w:lang w:bidi="ar-SA"/>
        </w:rPr>
        <w:t>، وتحريره</w:t>
      </w:r>
      <w:r>
        <w:rPr>
          <w:rStyle w:val="FootnoteAnchor"/>
          <w:rtl w:val="true"/>
        </w:rPr>
        <w:footnoteReference w:id="1175"/>
      </w:r>
      <w:r>
        <w:rPr>
          <w:rFonts w:ascii="Amiri" w:hAnsi="Amiri" w:eastAsia="Amiri" w:cs="Amiri"/>
          <w:color w:val="111111"/>
          <w:sz w:val="28"/>
          <w:sz w:val="28"/>
          <w:szCs w:val="28"/>
          <w:rtl w:val="true"/>
          <w:lang w:bidi="ar-SA"/>
        </w:rPr>
        <w:t>، وفخرالمحقِّقين قدس سره</w:t>
      </w:r>
      <w:r>
        <w:rPr>
          <w:rStyle w:val="FootnoteAnchor"/>
          <w:rtl w:val="true"/>
        </w:rPr>
        <w:footnoteReference w:id="1176"/>
      </w:r>
      <w:r>
        <w:rPr>
          <w:rFonts w:ascii="Amiri" w:hAnsi="Amiri" w:eastAsia="Amiri" w:cs="Amiri"/>
          <w:color w:val="111111"/>
          <w:sz w:val="28"/>
          <w:sz w:val="28"/>
          <w:szCs w:val="28"/>
          <w:rtl w:val="true"/>
          <w:lang w:bidi="ar-SA"/>
        </w:rPr>
        <w:t>، والمحقِّق الثَّاني قدس سره</w:t>
      </w:r>
      <w:r>
        <w:rPr>
          <w:rStyle w:val="FootnoteAnchor"/>
          <w:rtl w:val="true"/>
        </w:rPr>
        <w:footnoteReference w:id="1177"/>
      </w:r>
      <w:r>
        <w:rPr>
          <w:rFonts w:ascii="Amiri" w:hAnsi="Amiri" w:eastAsia="Amiri" w:cs="Amiri"/>
          <w:color w:val="111111"/>
          <w:sz w:val="28"/>
          <w:sz w:val="28"/>
          <w:szCs w:val="28"/>
          <w:rtl w:val="true"/>
          <w:lang w:bidi="ar-SA"/>
        </w:rPr>
        <w:t xml:space="preserve">، والشَّهيد </w:t>
      </w:r>
      <w:bookmarkStart w:id="318" w:name="pg20337_261535"/>
    </w:p>
    <w:p>
      <w:pPr>
        <w:pStyle w:val="BookText"/>
        <w:rPr/>
      </w:pPr>
      <w:bookmarkEnd w:id="318"/>
      <w:r>
        <w:rPr>
          <w:rFonts w:ascii="Amiri" w:hAnsi="Amiri" w:eastAsia="Amiri" w:cs="Amiri"/>
          <w:color w:val="111111"/>
          <w:sz w:val="28"/>
          <w:sz w:val="28"/>
          <w:szCs w:val="28"/>
          <w:rtl w:val="true"/>
          <w:lang w:bidi="ar-SA"/>
        </w:rPr>
        <w:t>الثَّاني قدس سره</w:t>
      </w:r>
      <w:r>
        <w:rPr>
          <w:rStyle w:val="FootnoteAnchor"/>
          <w:rtl w:val="true"/>
        </w:rPr>
        <w:footnoteReference w:id="1178"/>
      </w:r>
      <w:r>
        <w:rPr>
          <w:rFonts w:ascii="Amiri" w:hAnsi="Amiri" w:eastAsia="Amiri" w:cs="Amiri"/>
          <w:color w:val="111111"/>
          <w:sz w:val="28"/>
          <w:sz w:val="28"/>
          <w:szCs w:val="28"/>
          <w:rtl w:val="true"/>
          <w:lang w:bidi="ar-SA"/>
        </w:rPr>
        <w:t>، والمحقِّق العامليِّ قدس سره</w:t>
      </w:r>
      <w:r>
        <w:rPr>
          <w:rStyle w:val="FootnoteAnchor"/>
          <w:rtl w:val="true"/>
        </w:rPr>
        <w:footnoteReference w:id="1179"/>
      </w:r>
      <w:r>
        <w:rPr>
          <w:rFonts w:ascii="Amiri" w:hAnsi="Amiri" w:eastAsia="Amiri" w:cs="Amiri"/>
          <w:color w:val="111111"/>
          <w:sz w:val="28"/>
          <w:sz w:val="28"/>
          <w:szCs w:val="28"/>
          <w:rtl w:val="true"/>
          <w:lang w:bidi="ar-SA"/>
        </w:rPr>
        <w:t>، وغيرهم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هذين المثالين كثيرٌ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الَّذي جرىٰ عليه العقدُ في جميع الأمثلة واحدٌ في ظاهره متكرَّرٌ في واقعه؛ لأنَّ التِّكرار هو مقتضىٰ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بيع الشَّاة مع الخنزير وقعَتْ صيغةٌ علىٰ بيع الشَّاة، وصيغةٌ أُخرىٰ علىٰ بيع الخنزير، والأوَّلُ وقعتْ صحيحةً والثَّاني فاسدةً‌؛</w:t>
      </w:r>
    </w:p>
    <w:p>
      <w:pPr>
        <w:pStyle w:val="BookText"/>
        <w:rPr/>
      </w:pPr>
      <w:r>
        <w:rPr>
          <w:rFonts w:ascii="Amiri" w:hAnsi="Amiri" w:eastAsia="Amiri" w:cs="Amiri"/>
          <w:color w:val="111111"/>
          <w:sz w:val="28"/>
          <w:sz w:val="28"/>
          <w:szCs w:val="28"/>
          <w:rtl w:val="true"/>
          <w:lang w:bidi="ar-SA"/>
        </w:rPr>
        <w:t>فالعقد لم ينحلَّ إلى عقدين، بل العقدان منهما ما هو صحيحٌ وما هو فاسدٌ، والفرقُ بينهما أوضحُ من أن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ما تمثَّلوا به من إجارة داره، وكذلك في غيرهما من الأمثلة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1945130_1280447820"/>
      <w:bookmarkStart w:id="320" w:name="_Toc117"/>
      <w:bookmarkEnd w:id="319"/>
      <w:r>
        <w:rPr>
          <w:rtl w:val="true"/>
        </w:rPr>
        <w:t>التَّنبيه الثَّاني</w:t>
      </w:r>
      <w:r>
        <w:rPr>
          <w:rtl w:val="true"/>
        </w:rPr>
        <w:t>:</w:t>
      </w:r>
      <w:bookmarkEnd w:id="320"/>
    </w:p>
    <w:p>
      <w:pPr>
        <w:pStyle w:val="BookText"/>
        <w:rPr/>
      </w:pPr>
      <w:r>
        <w:rPr>
          <w:rFonts w:ascii="Amiri" w:hAnsi="Amiri" w:eastAsia="Amiri" w:cs="Amiri"/>
          <w:color w:val="111111"/>
          <w:sz w:val="28"/>
          <w:sz w:val="28"/>
          <w:szCs w:val="28"/>
          <w:rtl w:val="true"/>
          <w:lang w:bidi="ar-SA"/>
        </w:rPr>
        <w:t>اشتهر بين الأعلام هيهنا ما هُم ساكتون عنه في علم الأصول، أو نافوه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الأوامر والنَّواهي تنحلُّ إلى أوامر متعدَّدةٍ ونواهي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بعضُهم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الأوامر تنحلُّ إلى الأجزاء، وهي متشتِّتةٌ‌</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المأثورة،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bookmarkStart w:id="321" w:name="pg20337_261536"/>
    </w:p>
    <w:p>
      <w:pPr>
        <w:pStyle w:val="BookText"/>
        <w:rPr/>
      </w:pPr>
      <w:bookmarkEnd w:id="321"/>
      <w:r>
        <w:rPr>
          <w:rFonts w:ascii="Amiri" w:hAnsi="Amiri" w:eastAsia="Amiri" w:cs="Amiri"/>
          <w:color w:val="111111"/>
          <w:sz w:val="28"/>
          <w:sz w:val="28"/>
          <w:szCs w:val="28"/>
          <w:rtl w:val="true"/>
          <w:lang w:bidi="ar-SA"/>
        </w:rPr>
        <w:t>كلَّ أمرٍ من الأوامر الإنحلاليَّة تنحلُّ بأوامر متعدِّدةٍ بعدد موضوعاتها</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العقبىٰ‌،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المولىٰ الآمِر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نواهي متعدَّدةٍ بحسب الموضوع؛</w:t>
      </w:r>
    </w:p>
    <w:p>
      <w:pPr>
        <w:pStyle w:val="BookText"/>
        <w:rPr/>
      </w:pPr>
      <w:r>
        <w:rPr>
          <w:rFonts w:ascii="Amiri" w:hAnsi="Amiri" w:eastAsia="Amiri" w:cs="Amiri"/>
          <w:color w:val="111111"/>
          <w:sz w:val="28"/>
          <w:sz w:val="28"/>
          <w:szCs w:val="28"/>
          <w:rtl w:val="true"/>
          <w:lang w:bidi="ar-SA"/>
        </w:rPr>
        <w:t>وكذلك في الأوامر، إلَّاأنَّه في الأخير لمَّا كان الموضوع صرفَ الوجود، فاذا أوجَد المكلَّفُ فردًا منه، سقَط الحكمُ بإتيانه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خطأٌ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الأوامر والنَّواهي تتعلَّق بالطَّبيعة، وحيث إنَّ الماهيَّة تُوجَد بفردٍ مَّا وتنعدم بجميع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بينهم، وقد ذكره بعضُ مقرِّري أبحاث سيِّدنا الأستاذ الإمام الخمينيِّ قدس سره</w:t>
      </w:r>
      <w:r>
        <w:rPr>
          <w:rStyle w:val="FootnoteAnchor"/>
          <w:rtl w:val="true"/>
        </w:rPr>
        <w:footnoteReference w:id="1182"/>
      </w:r>
      <w:r>
        <w:rPr>
          <w:rFonts w:ascii="Amiri" w:hAnsi="Amiri" w:eastAsia="Amiri" w:cs="Amiri"/>
          <w:color w:val="111111"/>
          <w:sz w:val="28"/>
          <w:sz w:val="28"/>
          <w:szCs w:val="28"/>
          <w:rtl w:val="true"/>
          <w:lang w:bidi="ar-SA"/>
        </w:rPr>
        <w:t>، وغيره</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انظر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الأصول،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شرح الحلقة الثَّالثة،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فبمقتضىٰ ذلك أنَّه إذا أوجد الطَّبيعة في الخارج فقد أتىٰ بالمأمور به، فلامحالة سقطَ التَّكليف عنه؛ لتطابُق المأمور به مع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النَّواهي، فلاتحصل الطَّاعةُ إلَّابترك الطَّبيعة في الخارج، فإنْ أتىٰ به فيه ولوبفردٍ واحدٍ منها، فقد أوجدها، فحينئذٍ يصدُقُ عليه أنَّه عصىٰ النَّهيَ‌؛</w:t>
      </w:r>
    </w:p>
    <w:p>
      <w:pPr>
        <w:pStyle w:val="BookText"/>
        <w:rPr/>
      </w:pPr>
      <w:r>
        <w:rPr>
          <w:rFonts w:ascii="Amiri" w:hAnsi="Amiri" w:eastAsia="Amiri" w:cs="Amiri"/>
          <w:color w:val="111111"/>
          <w:sz w:val="28"/>
          <w:sz w:val="28"/>
          <w:szCs w:val="28"/>
          <w:rtl w:val="true"/>
          <w:lang w:bidi="ar-SA"/>
        </w:rPr>
        <w:t>فمقتضىٰ ذلك أنَّ الطَّاعة في النَّهي تتوقَّف علىٰ ترك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فالإنحلال هيهنا أيضًا ليس بموجودٍ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 w:name="__RefHeading___Toc11945132_1280447820"/>
      <w:bookmarkStart w:id="323" w:name="_Toc118"/>
      <w:bookmarkEnd w:id="322"/>
      <w:r>
        <w:rPr>
          <w:rtl w:val="true"/>
        </w:rPr>
        <w:t>التَّنبيه الثَّالث</w:t>
      </w:r>
      <w:r>
        <w:rPr>
          <w:rtl w:val="true"/>
        </w:rPr>
        <w:t>:</w:t>
      </w:r>
      <w:bookmarkEnd w:id="323"/>
    </w:p>
    <w:p>
      <w:pPr>
        <w:pStyle w:val="BookText"/>
        <w:rPr/>
      </w:pPr>
      <w:r>
        <w:rPr>
          <w:rFonts w:ascii="Amiri" w:hAnsi="Amiri" w:eastAsia="Amiri" w:cs="Amiri"/>
          <w:color w:val="111111"/>
          <w:sz w:val="28"/>
          <w:sz w:val="28"/>
          <w:szCs w:val="28"/>
          <w:rtl w:val="true"/>
          <w:lang w:bidi="ar-SA"/>
        </w:rPr>
        <w:t xml:space="preserve">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أنَّ الإنحلال هيهنا علىٰ ثلاثة أقسامٍ‌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إنحلال العقود؛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إنحلال الأحكام بالنِّسبة إلى موضوعاتها</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إنحلال العلم الإجماليِّ إلى العلم التَّفصيليِّ والشَّكِّ البدويِّ في دوران الأمر بين الأقلِّ والأكثر</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الإنحلال ليس له واقعٌ أصلًا؛</w:t>
      </w:r>
    </w:p>
    <w:p>
      <w:pPr>
        <w:pStyle w:val="BookText"/>
        <w:rPr/>
      </w:pPr>
      <w:r>
        <w:rPr>
          <w:rFonts w:ascii="Amiri" w:hAnsi="Amiri" w:eastAsia="Amiri" w:cs="Amiri"/>
          <w:color w:val="111111"/>
          <w:sz w:val="28"/>
          <w:sz w:val="28"/>
          <w:szCs w:val="28"/>
          <w:rtl w:val="true"/>
          <w:lang w:bidi="ar-SA"/>
        </w:rPr>
        <w:t>أمَّا بالنِّسبة إلى العقود والأحكام، فقد تقدَّم الكلامُ فيه؛</w:t>
      </w:r>
    </w:p>
    <w:p>
      <w:pPr>
        <w:pStyle w:val="BookText"/>
        <w:rPr/>
      </w:pPr>
      <w:r>
        <w:rPr>
          <w:rFonts w:ascii="Amiri" w:hAnsi="Amiri" w:eastAsia="Amiri" w:cs="Amiri"/>
          <w:color w:val="111111"/>
          <w:sz w:val="28"/>
          <w:sz w:val="28"/>
          <w:szCs w:val="28"/>
          <w:rtl w:val="true"/>
          <w:lang w:bidi="ar-SA"/>
        </w:rPr>
        <w:t>وأمَّا قضيَّة العلم الإجماليِّ‌، فلامعنىٰ للإجمال في العلم أصلًا؛</w:t>
      </w:r>
    </w:p>
    <w:p>
      <w:pPr>
        <w:pStyle w:val="BookText"/>
        <w:rPr/>
      </w:pPr>
      <w:r>
        <w:rPr>
          <w:rFonts w:ascii="Amiri" w:hAnsi="Amiri" w:eastAsia="Amiri" w:cs="Amiri"/>
          <w:color w:val="111111"/>
          <w:sz w:val="28"/>
          <w:sz w:val="28"/>
          <w:szCs w:val="28"/>
          <w:rtl w:val="true"/>
          <w:lang w:bidi="ar-SA"/>
        </w:rPr>
        <w:t>وأمَّا في دوران الأمر بين المتبايِنَين، فالمعلوم مجمَلٌ‌، لا العلم؛ فلاإنحلال أيضًا أصلًا؛</w:t>
      </w:r>
    </w:p>
    <w:p>
      <w:pPr>
        <w:pStyle w:val="BookText"/>
        <w:rPr/>
      </w:pPr>
      <w:r>
        <w:rPr>
          <w:rFonts w:ascii="Amiri" w:hAnsi="Amiri" w:eastAsia="Amiri" w:cs="Amiri"/>
          <w:color w:val="111111"/>
          <w:sz w:val="28"/>
          <w:sz w:val="28"/>
          <w:szCs w:val="28"/>
          <w:rtl w:val="true"/>
          <w:lang w:bidi="ar-SA"/>
        </w:rPr>
        <w:t>وأمَّا في دوران الأمر بين الأقلِّ والأكثر، فمِن أوَّل الأمر لم يُوجَد في البين إلَّاعلمٌ تفصيليٌّ بالأقلِّ والشَّكُّ البدويُّ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العلم الإجماليَّ ينحلُّ إلى هذين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bookmarkStart w:id="324" w:name="pg20337_261538"/>
    </w:p>
    <w:p>
      <w:pPr>
        <w:pStyle w:val="BookText"/>
        <w:rPr/>
      </w:pPr>
      <w:bookmarkEnd w:id="324"/>
      <w:r>
        <w:rPr>
          <w:rFonts w:ascii="Amiri" w:hAnsi="Amiri" w:eastAsia="Amiri" w:cs="Amiri"/>
          <w:color w:val="111111"/>
          <w:sz w:val="28"/>
          <w:sz w:val="28"/>
          <w:szCs w:val="28"/>
          <w:rtl w:val="true"/>
          <w:lang w:bidi="ar-SA"/>
        </w:rPr>
        <w:t>فتلخَّص ممَّا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نجد موردًا ينحلُّ فيه شيءٌ إلى شيءٍ آخر؛ كما لم نجد دليلًا من العُرف ولا من الشَّرع يدلُّ علىٰ هذا الإنحلال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إذًا سالبةٌ بانتفاء الموضوع</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1945134_1280447820"/>
      <w:bookmarkStart w:id="326" w:name="_Toc119"/>
      <w:bookmarkEnd w:id="325"/>
      <w:r>
        <w:rPr>
          <w:rtl w:val="true"/>
        </w:rPr>
        <w:t>أمثلةٌ لاستعمال القاعدة في الفقه</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العراقيُّ قدس سره في مسألة النَّائب في الحجِّ عن غيره إذا أحرم ومات قبل دخول الحرم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من المسمَّىٰ ما بإزاء عمله هذا، لأنَّه مأخوذٌ في محطِّ عقده المنحَلِّ إلى العقود الموجبة للمسمَّىٰ في قبال ما أتىٰ به من العمل</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الخراسانيُّ قدس سره في التَّعليق علىٰ قول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يُعتَبَرُ في صحَّة الإجازة مطابقتها للعقد الواقع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لاريب في اعتبار المطابقة في الصِّحَّة، وإلَّا لزم تأثير ما لم يقع أو ما لم يجز؛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العقد ينحلُّ إلى العقود كما في العقد علىٰ صفقةٍ واحدةٍ‌، فلابأس بإجازته بالنِّسبة إلى بعضها</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الفقيه الشَّيخ المدنيُّ الكاشانيُّ قدس سره في جملة كلامٍ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بطلان غير المملوك لايُوجِب بطلان المملوك إذا باعهما بصفقةٍ واحدةٍ‌، فيُحكَم بصحَّة البيع بالنِّسبة إلى المملوك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البيع ينحلُّ إلى العقود المتعدِّدة بحسب تعدُّد أجزاء المبيع</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20337_261540"/>
      <w:bookmarkStart w:id="328" w:name="pg20337_261540"/>
      <w:bookmarkEnd w:id="328"/>
    </w:p>
    <w:p>
      <w:pPr>
        <w:pStyle w:val="Heading2"/>
        <w:numPr>
          <w:ilvl w:val="1"/>
          <w:numId w:val="1"/>
        </w:numPr>
        <w:rPr/>
      </w:pPr>
      <w:bookmarkStart w:id="329" w:name="pg20337_261540"/>
      <w:bookmarkStart w:id="330" w:name="__RefHeading___Toc11945136_1280447820"/>
      <w:bookmarkStart w:id="331" w:name="_Toc120"/>
      <w:bookmarkEnd w:id="329"/>
      <w:bookmarkEnd w:id="330"/>
      <w:r>
        <w:rPr>
          <w:rtl w:val="true"/>
        </w:rPr>
        <w:t>[</w:t>
      </w:r>
      <w:r>
        <w:rPr/>
        <w:t>32</w:t>
      </w:r>
      <w:r>
        <w:rPr>
          <w:rtl w:val="true"/>
        </w:rPr>
        <w:t xml:space="preserve">:] </w:t>
      </w:r>
      <w:r>
        <w:rPr>
          <w:rtl w:val="true"/>
        </w:rPr>
        <w:t>قاعدة أخذ الأُجرة علىٰ الواجبات</w:t>
      </w:r>
      <w:bookmarkEnd w:id="331"/>
    </w:p>
    <w:p>
      <w:pPr>
        <w:pStyle w:val="Heading3"/>
        <w:numPr>
          <w:ilvl w:val="2"/>
          <w:numId w:val="1"/>
        </w:numPr>
        <w:rPr/>
      </w:pPr>
      <w:bookmarkStart w:id="332" w:name="__RefHeading___Toc11945138_1280447820"/>
      <w:bookmarkStart w:id="333" w:name="_Toc121"/>
      <w:bookmarkEnd w:id="332"/>
      <w:r>
        <w:rPr>
          <w:rtl w:val="true"/>
        </w:rPr>
        <w:t>عناوين أُخرىٰ للقاعدة</w:t>
      </w:r>
      <w:bookmarkEnd w:id="333"/>
    </w:p>
    <w:p>
      <w:pPr>
        <w:pStyle w:val="BookText"/>
        <w:rPr/>
      </w:pPr>
      <w:r>
        <w:rPr>
          <w:rFonts w:ascii="Amiri" w:hAnsi="Amiri" w:eastAsia="Amiri" w:cs="Amiri"/>
          <w:color w:val="111111"/>
          <w:sz w:val="28"/>
          <w:sz w:val="28"/>
          <w:szCs w:val="28"/>
          <w:rtl w:val="true"/>
          <w:lang w:bidi="ar-SA"/>
        </w:rPr>
        <w:t>حكمُ أخذ الأجرة علىٰ ما يجب علىٰ الإنسان فعلُه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1945140_1280447820"/>
      <w:bookmarkStart w:id="335" w:name="_Toc122"/>
      <w:bookmarkEnd w:id="334"/>
      <w:r>
        <w:rPr>
          <w:rtl w:val="true"/>
        </w:rPr>
        <w:t>توضيح مفاد القاعدة</w:t>
      </w:r>
      <w:bookmarkEnd w:id="33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بين الأصحاب بين القديم منهم والحديثِ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لايجوز أخذُ الأُجرة علىٰ الواجبات؛ كما نصَّ عليه المفيدُ قدس سره</w:t>
      </w:r>
      <w:r>
        <w:rPr>
          <w:rStyle w:val="FootnoteAnchor"/>
          <w:rtl w:val="true"/>
        </w:rPr>
        <w:footnoteReference w:id="1191"/>
      </w:r>
      <w:r>
        <w:rPr>
          <w:rFonts w:ascii="Amiri" w:hAnsi="Amiri" w:eastAsia="Amiri" w:cs="Amiri"/>
          <w:color w:val="111111"/>
          <w:sz w:val="28"/>
          <w:sz w:val="28"/>
          <w:szCs w:val="28"/>
          <w:rtl w:val="true"/>
          <w:lang w:bidi="ar-SA"/>
        </w:rPr>
        <w:t>، والشَّيخ قدس سره</w:t>
      </w:r>
      <w:r>
        <w:rPr>
          <w:rStyle w:val="FootnoteAnchor"/>
          <w:rtl w:val="true"/>
        </w:rPr>
        <w:footnoteReference w:id="1192"/>
      </w:r>
      <w:r>
        <w:rPr>
          <w:rFonts w:ascii="Amiri" w:hAnsi="Amiri" w:eastAsia="Amiri" w:cs="Amiri"/>
          <w:color w:val="111111"/>
          <w:sz w:val="28"/>
          <w:sz w:val="28"/>
          <w:szCs w:val="28"/>
          <w:rtl w:val="true"/>
          <w:lang w:bidi="ar-SA"/>
        </w:rPr>
        <w:t>، وابنُإدريسٍ قدس سره</w:t>
      </w:r>
      <w:r>
        <w:rPr>
          <w:rStyle w:val="FootnoteAnchor"/>
          <w:rtl w:val="true"/>
        </w:rPr>
        <w:footnoteReference w:id="119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 الثَّاني قدس سره</w:t>
      </w:r>
      <w:r>
        <w:rPr>
          <w:rStyle w:val="FootnoteAnchor"/>
          <w:rtl w:val="true"/>
        </w:rPr>
        <w:footnoteReference w:id="1194"/>
      </w:r>
      <w:r>
        <w:rPr>
          <w:rFonts w:ascii="Amiri" w:hAnsi="Amiri" w:eastAsia="Amiri" w:cs="Amiri"/>
          <w:color w:val="111111"/>
          <w:sz w:val="28"/>
          <w:sz w:val="28"/>
          <w:szCs w:val="28"/>
          <w:rtl w:val="true"/>
          <w:lang w:bidi="ar-SA"/>
        </w:rPr>
        <w:t>، وفخرالمحقِّقين قدس سره</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ثاني الشَّهيدَين قدس سرهما أنَّه المشهور بين القوم</w:t>
      </w:r>
      <w:r>
        <w:rPr>
          <w:rStyle w:val="FootnoteAnchor"/>
          <w:rtl w:val="true"/>
        </w:rPr>
        <w:footnoteReference w:id="1196"/>
      </w:r>
      <w:r>
        <w:rPr>
          <w:rFonts w:ascii="Amiri" w:hAnsi="Amiri" w:eastAsia="Amiri" w:cs="Amiri"/>
          <w:color w:val="111111"/>
          <w:sz w:val="28"/>
          <w:sz w:val="28"/>
          <w:szCs w:val="28"/>
          <w:rtl w:val="true"/>
          <w:lang w:bidi="ar-SA"/>
        </w:rPr>
        <w:t>وعن المحقِّق الأردبيليِّ قدس سره</w:t>
      </w:r>
      <w:r>
        <w:rPr>
          <w:rStyle w:val="FootnoteAnchor"/>
          <w:rtl w:val="true"/>
        </w:rPr>
        <w:footnoteReference w:id="1197"/>
      </w:r>
      <w:r>
        <w:rPr>
          <w:rFonts w:ascii="Amiri" w:hAnsi="Amiri" w:eastAsia="Amiri" w:cs="Amiri"/>
          <w:color w:val="111111"/>
          <w:sz w:val="28"/>
          <w:sz w:val="28"/>
          <w:szCs w:val="28"/>
          <w:rtl w:val="true"/>
          <w:lang w:bidi="ar-SA"/>
        </w:rPr>
        <w:t>والفقيه الطَّباطبائي قدس سره</w:t>
      </w:r>
      <w:r>
        <w:rPr>
          <w:rStyle w:val="FootnoteAnchor"/>
          <w:rtl w:val="true"/>
        </w:rPr>
        <w:footnoteReference w:id="1198"/>
      </w:r>
      <w:r>
        <w:rPr>
          <w:rFonts w:ascii="Amiri" w:hAnsi="Amiri" w:eastAsia="Amiri" w:cs="Amiri"/>
          <w:color w:val="111111"/>
          <w:sz w:val="28"/>
          <w:sz w:val="28"/>
          <w:szCs w:val="28"/>
          <w:rtl w:val="true"/>
          <w:lang w:bidi="ar-SA"/>
        </w:rPr>
        <w:t>ادِّعاءُ ثبوت الإجماع عليه؛</w:t>
      </w:r>
    </w:p>
    <w:p>
      <w:pPr>
        <w:pStyle w:val="BookText"/>
        <w:rPr/>
      </w:pPr>
      <w:r>
        <w:rPr>
          <w:rFonts w:ascii="Amiri" w:hAnsi="Amiri" w:eastAsia="Amiri" w:cs="Amiri"/>
          <w:color w:val="111111"/>
          <w:sz w:val="28"/>
          <w:sz w:val="28"/>
          <w:szCs w:val="28"/>
          <w:rtl w:val="true"/>
          <w:lang w:bidi="ar-SA"/>
        </w:rPr>
        <w:t>وإن ذهب بهضُهم إلى الجواز أيضًا، كالمرتضىٰ قدس سره</w:t>
      </w:r>
      <w:r>
        <w:rPr>
          <w:rStyle w:val="FootnoteAnchor"/>
          <w:rtl w:val="true"/>
        </w:rPr>
        <w:footnoteReference w:id="1199"/>
      </w:r>
      <w:r>
        <w:rPr>
          <w:rFonts w:ascii="Amiri" w:hAnsi="Amiri" w:eastAsia="Amiri" w:cs="Amiri"/>
          <w:color w:val="111111"/>
          <w:sz w:val="28"/>
          <w:sz w:val="28"/>
          <w:szCs w:val="28"/>
          <w:rtl w:val="true"/>
          <w:lang w:bidi="ar-SA"/>
        </w:rPr>
        <w:t>، والوحيد البهبهانيِّ قدس سره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اختلفُوا في هذا اختلافًا شديدًا حتَّى كادت الأقوال في هذا الميدان أن تصل إلى عشرة أقوالٍ‌</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فرقٍ بين الواجب عينًا وكفايةً‌، تعبُّدًا أو توصُّلًا، كما نصَّ عليه الشَّيخ الأعظم قدس سره</w:t>
      </w:r>
      <w:r>
        <w:rPr>
          <w:rStyle w:val="FootnoteAnchor"/>
          <w:rtl w:val="true"/>
        </w:rPr>
        <w:footnoteReference w:id="1202"/>
      </w:r>
      <w:r>
        <w:rPr>
          <w:rFonts w:ascii="Amiri" w:hAnsi="Amiri" w:eastAsia="Amiri" w:cs="Amiri"/>
          <w:color w:val="111111"/>
          <w:sz w:val="28"/>
          <w:sz w:val="28"/>
          <w:szCs w:val="28"/>
          <w:rtl w:val="true"/>
          <w:lang w:bidi="ar-SA"/>
        </w:rPr>
        <w:t>، وكما ذكر أقسامَه البحرانيُّ قدس سره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تُطابِقها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أخذ الأُجرة </w:t>
      </w:r>
    </w:p>
    <w:p>
      <w:pPr>
        <w:pStyle w:val="BookText"/>
        <w:rPr/>
      </w:pPr>
      <w:r>
        <w:rPr>
          <w:rFonts w:ascii="Amiri" w:hAnsi="Amiri" w:eastAsia="Amiri" w:cs="Amiri"/>
          <w:color w:val="111111"/>
          <w:sz w:val="28"/>
          <w:sz w:val="28"/>
          <w:szCs w:val="28"/>
          <w:rtl w:val="true"/>
          <w:lang w:bidi="ar-SA"/>
        </w:rPr>
        <w:t>علىٰ الواجبات، لجواز أخذ الأجرة علىٰ ما له فائدةٌ عُقلائيَّةٌ‌</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وقد أخذ عليه المحقِّق البجنورديُّ قدس سره بأمورٍ لا داعي إلى ذكرها، بعد وضوح المبنىٰ وتماميَّته؛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القول بعدم الجواز يساوي الظُّلم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قاعدةٌ عقلائيَّةٌ صار عليه العُقلاء في جميع شؤون معاشهم الفرديَّة والجَماعيَّة</w:t>
      </w:r>
      <w:r>
        <w:rPr>
          <w:rStyle w:val="FootnoteAnchor"/>
          <w:rtl w:val="true"/>
        </w:rPr>
        <w:footnoteReference w:id="1205"/>
      </w:r>
      <w:r>
        <w:rPr>
          <w:rFonts w:ascii="Amiri" w:hAnsi="Amiri" w:eastAsia="Amiri" w:cs="Amiri"/>
          <w:color w:val="111111"/>
          <w:sz w:val="28"/>
          <w:sz w:val="28"/>
          <w:szCs w:val="28"/>
          <w:rtl w:val="true"/>
          <w:lang w:bidi="ar-SA"/>
        </w:rPr>
        <w:t>، ضرورةَ دوران أمر المعاش علىٰ أخذ الأُجرة علىٰ العمل؛</w:t>
      </w:r>
    </w:p>
    <w:p>
      <w:pPr>
        <w:pStyle w:val="BookText"/>
        <w:rPr/>
      </w:pPr>
      <w:r>
        <w:rPr>
          <w:rFonts w:ascii="Amiri" w:hAnsi="Amiri" w:eastAsia="Amiri" w:cs="Amiri"/>
          <w:color w:val="111111"/>
          <w:sz w:val="28"/>
          <w:sz w:val="28"/>
          <w:szCs w:val="28"/>
          <w:rtl w:val="true"/>
          <w:lang w:bidi="ar-SA"/>
        </w:rPr>
        <w:t xml:space="preserve">وهذه السِّيرة العُقلائيَّة لم يردَع عنها الشَّارع، بل أمضاها صريحًا؛ فانظر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هُمْ يَقْسِمُونَ رَحْمَتَ رَبِّكَ نَحْنُ قَسَمْنٰا بَيْنَهُمْ مَعِيشَتَهُمْ فِي اَلْحَيٰاةِ اَلدُّنْيٰا وَ رَفَعْنٰا بَعْضَهُمْ فَوْقَ بَعْضٍ دَرَجٰاتٍ لِيَتَّخِذَ بَعْضُهُمْ بَعْضاً سُخْرِيًّا وَ رَحْمَتُ رَبِّكَ خَيْرٌ مِمّٰا يَجْمَعُونَ‌</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شيخُ الطَّائفة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يقسم الرِّزق في المعيشة علىٰ حسب ما يعلم من مصالح عباده، فليس لأحدٍ أن يتحكَّم في شيءٍ من ذلك</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336" w:name="pg20337_261543"/>
    </w:p>
    <w:p>
      <w:pPr>
        <w:pStyle w:val="BookText"/>
        <w:rPr/>
      </w:pPr>
      <w:bookmarkEnd w:id="336"/>
      <w:r>
        <w:rPr>
          <w:rFonts w:ascii="Amiri" w:hAnsi="Amiri" w:eastAsia="Amiri" w:cs="Amiri"/>
          <w:color w:val="111111"/>
          <w:sz w:val="28"/>
          <w:sz w:val="28"/>
          <w:szCs w:val="28"/>
          <w:rtl w:val="true"/>
          <w:lang w:bidi="ar-SA"/>
        </w:rPr>
        <w:t>وقد استشهد بها صاحب الجواهر قدس سره أيضًا في المقام</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نعهَدْ لهذه القاعدة العقليَّة العُقلائيَّة مانعًا، بل المنع عنها يلزم اِختلال النِّظام، وهو قبيحٌ عقلًا ممنوعٌ شرعًا بلاريبٍ وارتيابٍ‌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بما يخالفها يحتاج إلى دليلٍ قويٍّ في المقام؛ ولِنَتكلَّم عن هذه الأدلَّة هيهنا لنَرىٰ مَدىٰ حجِّيَّتها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1945142_1280447820"/>
      <w:bookmarkStart w:id="338" w:name="_Toc123"/>
      <w:bookmarkEnd w:id="337"/>
      <w:r>
        <w:rPr>
          <w:rtl w:val="true"/>
        </w:rPr>
        <w:t>مدركُ القاعدة</w:t>
      </w:r>
      <w:bookmarkEnd w:id="338"/>
    </w:p>
    <w:p>
      <w:pPr>
        <w:pStyle w:val="Heading4"/>
        <w:numPr>
          <w:ilvl w:val="3"/>
          <w:numId w:val="1"/>
        </w:numPr>
        <w:rPr/>
      </w:pPr>
      <w:bookmarkStart w:id="339" w:name="__RefHeading___Toc11945144_1280447820"/>
      <w:bookmarkStart w:id="340" w:name="_Toc124"/>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 xml:space="preserve">إنَّ ما استدلُّوا به علىٰ ثبوت قاعدة عدم جواز أخذ الأُجرة علىٰ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للقاعدة الأوَّليَّة القائلة بجواز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أمورٌ لاتخرج عن الأدلَّة الاِصطياديَّة أصلًا</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1945146_1280447820"/>
      <w:bookmarkStart w:id="342" w:name="_Toc125"/>
      <w:bookmarkEnd w:id="341"/>
      <w:r>
        <w:rPr>
          <w:rtl w:val="true"/>
        </w:rPr>
        <w:t>الأدلَّة الاِصطياديَّة القائلة بعدم جواز أخذ الاجرة علىٰ الواجبات</w:t>
      </w:r>
      <w:bookmarkEnd w:id="342"/>
    </w:p>
    <w:p>
      <w:pPr>
        <w:pStyle w:val="Heading5"/>
        <w:numPr>
          <w:ilvl w:val="4"/>
          <w:numId w:val="1"/>
        </w:numPr>
        <w:rPr/>
      </w:pPr>
      <w:bookmarkStart w:id="343" w:name="__RefHeading___Toc11945148_1280447820"/>
      <w:bookmarkStart w:id="344" w:name="_Toc126"/>
      <w:bookmarkEnd w:id="343"/>
      <w:r>
        <w:rPr>
          <w:rtl w:val="true"/>
        </w:rPr>
        <w:t>منها</w:t>
      </w:r>
      <w:r>
        <w:rPr>
          <w:rtl w:val="true"/>
        </w:rPr>
        <w:t xml:space="preserve">: </w:t>
      </w:r>
      <w:r>
        <w:rPr>
          <w:rtl w:val="true"/>
        </w:rPr>
        <w:t>خروج العمل عن قدرة العامل تشريعًا</w:t>
      </w:r>
      <w:bookmarkEnd w:id="34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بواسطة الإيجاب خرَج عن تحت قدرة العامل تشريعًا، لأنَّه في عالَم التَّشريع صار ضروريَّ الوجود، والضَّروريُّ الشَّرعيُّ كالضَّروريِّ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الحكيم قدس سره</w:t>
      </w:r>
      <w:r>
        <w:rPr>
          <w:rStyle w:val="FootnoteAnchor"/>
          <w:rtl w:val="true"/>
        </w:rPr>
        <w:footnoteReference w:id="1209"/>
      </w:r>
      <w:r>
        <w:rPr>
          <w:rFonts w:ascii="Amiri" w:hAnsi="Amiri" w:eastAsia="Amiri" w:cs="Amiri"/>
          <w:color w:val="111111"/>
          <w:sz w:val="28"/>
          <w:sz w:val="28"/>
          <w:szCs w:val="28"/>
          <w:rtl w:val="true"/>
          <w:lang w:bidi="ar-SA"/>
        </w:rPr>
        <w:t>، والمحقِّق البجنورديِّ قدس سره</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عنه بعض معاصرينا أيضًا؛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أحكام الأطفال وأدلَّتها،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نقله صاحب الجواهر قدس سره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جعفر الكبير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إرتعاش اليد في اليد المرتعشة ضروريٌّ لايقدِر المرءُ علىٰ تركه، فكذلك جميع الواجبات الشَّرعيَّة لايجوز تركُها من قِبَل العامِل، وما لايجوز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لاخيار للعامل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يُؤخَذَ عليه الأجرُ والأجرةُ‌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يختصُّ ببعض الواجبات فقط، وهو أخذ الأُجرة علىٰ ما يجب علىٰ نفس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أراد أن يأخذ الأُجرة لأنْ يصلِّي صلاتَه الصُّبح، أو يغتسل إذا احتاج إلى الغسل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أخذ الأجرة علىٰ ما لايجب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كالنِّيابة عن الغير في حجِّه الواجب، أو النِّيابة عن الميِّت في صلاته الفائتة الواجبة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فلايمنع عنه دليلٌ‌، لعدم وجوب هذا الفعل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اِنعقاد عقد الإجارة يجب عليه أن يقوم بمقتضىٰ الإجارة، فعَلَيه أن يصلِّي عن الميِّت ويحُجَّ عنه؛ وهذا الوجوب نشأ من العقد، لا من الإيجاب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الضَّروريُّ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الأحكام الإلهيَّة، والمكلَّف لايقدر علىٰ الإتيان به، بل عليه أن يأتي بالمأتيِّ به الَّذي يُطابِق المأمور به حتَّى يسقط الوجوب عن عاتقه، ولاريب في أنَّ المأتيَّ به لايخرج عن قدرته، بل هو تحت يده وقدرته؛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بعدم القدرة عليه مكابَرَةٌ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يلزم منه الجبرُ الَّذي لايقول به </w:t>
      </w:r>
      <w:bookmarkStart w:id="345" w:name="pg20337_261545"/>
    </w:p>
    <w:p>
      <w:pPr>
        <w:pStyle w:val="BookText"/>
        <w:rPr/>
      </w:pPr>
      <w:bookmarkEnd w:id="345"/>
      <w:r>
        <w:rPr>
          <w:rFonts w:ascii="Amiri" w:hAnsi="Amiri" w:eastAsia="Amiri" w:cs="Amiri"/>
          <w:color w:val="111111"/>
          <w:sz w:val="28"/>
          <w:sz w:val="28"/>
          <w:szCs w:val="28"/>
          <w:rtl w:val="true"/>
          <w:lang w:bidi="ar-SA"/>
        </w:rPr>
        <w:t>أصحاب مذهب الجبر أيضًا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التَّشريع بالتَّكوين قياسٌ لامعنىٰ له أصلًا، بل تترتَّب علىٰ هذا القياس مصائبُ عظيمة في الفقه</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ونتكلَّم عن بعضها في هذه الرِّسالة، بإذن اللَّه وعونه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أهونُ الإشكالات في المقام</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1945150_1280447820"/>
      <w:bookmarkStart w:id="347" w:name="_Toc127"/>
      <w:bookmarkEnd w:id="346"/>
      <w:r>
        <w:rPr>
          <w:rtl w:val="true"/>
        </w:rPr>
        <w:t>ومنها</w:t>
      </w:r>
      <w:r>
        <w:rPr>
          <w:rtl w:val="true"/>
        </w:rPr>
        <w:t xml:space="preserve">: </w:t>
      </w:r>
      <w:r>
        <w:rPr>
          <w:rtl w:val="true"/>
        </w:rPr>
        <w:t>تنافي أخذ الأجرة مع الإخلاص</w:t>
      </w:r>
      <w:bookmarkEnd w:id="34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الأجرة علىٰ الواجبات ينافي الإخلاص الَّذي هو من أركان العمل الواجب، بل شرطٌ فيه، ولاأقلَّ من كونه شرطًا في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صاحب الرِّياض قدس سره</w:t>
      </w:r>
      <w:r>
        <w:rPr>
          <w:rStyle w:val="FootnoteAnchor"/>
          <w:rtl w:val="true"/>
        </w:rPr>
        <w:footnoteReference w:id="1212"/>
      </w:r>
      <w:r>
        <w:rPr>
          <w:rFonts w:ascii="Amiri" w:hAnsi="Amiri" w:eastAsia="Amiri" w:cs="Amiri"/>
          <w:color w:val="111111"/>
          <w:sz w:val="28"/>
          <w:sz w:val="28"/>
          <w:szCs w:val="28"/>
          <w:rtl w:val="true"/>
          <w:lang w:bidi="ar-SA"/>
        </w:rPr>
        <w:t>، والشَّيخ عباس آل كاشف الغطاء قدس سره</w:t>
      </w:r>
      <w:r>
        <w:rPr>
          <w:rStyle w:val="FootnoteAnchor"/>
          <w:rtl w:val="true"/>
        </w:rPr>
        <w:footnoteReference w:id="1213"/>
      </w:r>
      <w:r>
        <w:rPr>
          <w:rFonts w:ascii="Amiri" w:hAnsi="Amiri" w:eastAsia="Amiri" w:cs="Amiri"/>
          <w:color w:val="111111"/>
          <w:sz w:val="28"/>
          <w:sz w:val="28"/>
          <w:szCs w:val="28"/>
          <w:rtl w:val="true"/>
          <w:lang w:bidi="ar-SA"/>
        </w:rPr>
        <w:t>، والسَّيِّد محمَّد بحرالعلوم قدس سره</w:t>
      </w:r>
      <w:r>
        <w:rPr>
          <w:rStyle w:val="FootnoteAnchor"/>
          <w:rtl w:val="true"/>
        </w:rPr>
        <w:footnoteReference w:id="1214"/>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يختصُّ بالتَّعبُّديَّات، دون التَّوصُّليَّات الَّتي لايلزم فيها قصد القربة </w:t>
      </w:r>
    </w:p>
    <w:p>
      <w:pPr>
        <w:pStyle w:val="BookText"/>
        <w:rPr/>
      </w:pPr>
      <w:r>
        <w:rPr>
          <w:rFonts w:ascii="Amiri" w:hAnsi="Amiri" w:eastAsia="Amiri" w:cs="Amiri"/>
          <w:color w:val="111111"/>
          <w:sz w:val="28"/>
          <w:sz w:val="28"/>
          <w:szCs w:val="28"/>
          <w:rtl w:val="true"/>
          <w:lang w:bidi="ar-SA"/>
        </w:rPr>
        <w:t xml:space="preserve">والخلوص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صاحبُ الجواهر قدس سره</w:t>
      </w:r>
      <w:r>
        <w:rPr>
          <w:rStyle w:val="FootnoteAnchor"/>
          <w:rtl w:val="true"/>
        </w:rPr>
        <w:footnoteReference w:id="1216"/>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الدَّاعي علىٰ الدَّاعي من الأمور المسلَّمة الثَّابتة في كثيرٍ من أفعال النَّاس</w:t>
      </w:r>
      <w:r>
        <w:rPr>
          <w:rStyle w:val="FootnoteAnchor"/>
          <w:rtl w:val="true"/>
        </w:rPr>
        <w:footnoteReference w:id="1218"/>
      </w:r>
      <w:r>
        <w:rPr>
          <w:rFonts w:ascii="Amiri" w:hAnsi="Amiri" w:eastAsia="Amiri" w:cs="Amiri"/>
          <w:color w:val="111111"/>
          <w:sz w:val="28"/>
          <w:sz w:val="28"/>
          <w:szCs w:val="28"/>
          <w:rtl w:val="true"/>
          <w:lang w:bidi="ar-SA"/>
        </w:rPr>
        <w:t xml:space="preserve">، ضرورةَ أنَّهم في أمورهم المَعاشيَّة يتمسَّكون بأمورٍ لا اِستقلال لها، بل يأتون بها لأجل مطلوبٍ آخر؛ وإذن المطلوبُ هو الثَّاني الَّذي جيء بالفعل لأجله، 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يزرعُ ويتحمَّل مشاقًّا كثيرةً فيه لأنْ يصلَ إلى ما يستحصل منه، فالمطلوب هو الأُرُزُّ والحنطةُ وما يشبهُهُما مما يُنتِجُه الزَّرعُ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حالُ جميع المقدَّمات الَّتي نأتي بها في أفعالنا للحصول علىٰ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ومانحن الآنَ بصدده أيضًا من هذا القبيل، حيث إنَّ الَّذي استُؤجِرَ للقيام بالصَّلاة بدلًا عن الميِّت مثلًا، يصلِّي قُربةً إلى اللَّه، فيأتي بمقدَّماتها الدَّاخليَّة والخارجيَّة لأجل القُربة، لكنَّ الدَّاعي إلى هذا الفعل هو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أوضح من أن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عليه جملةٌ من الآيات والرِّوايات الواردة في النُّصوص؛</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عن الاستشهاد بها إلى ما ذكره شيخُ الطَّائفة قدس سره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يحسن من العامل أن يعمل العملَ للثَّواب إذا أوقَعَه علىٰ الوجه الَّذي تدعو إليه الحكمةُ من وجوبٍ أو ندبٍ‌</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وانظر أيضًا في المقام إلى ما ذكره القُرطبيُّ قدس سره</w:t>
      </w:r>
      <w:r>
        <w:rPr>
          <w:rStyle w:val="FootnoteAnchor"/>
          <w:rtl w:val="true"/>
        </w:rPr>
        <w:footnoteReference w:id="1221"/>
      </w:r>
      <w:r>
        <w:rPr>
          <w:rFonts w:ascii="Amiri" w:hAnsi="Amiri" w:eastAsia="Amiri" w:cs="Amiri"/>
          <w:color w:val="111111"/>
          <w:sz w:val="28"/>
          <w:sz w:val="28"/>
          <w:szCs w:val="28"/>
          <w:rtl w:val="true"/>
          <w:lang w:bidi="ar-SA"/>
        </w:rPr>
        <w:t>، وسيِّدنا الأستاذ العلَّامة الطَّباطبائيُّ قدس سره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الآيات الَّتي تشير علىٰ ترتُّب ثوابٍ عظيمٍ علىٰ الأعمال الحسنة في دارَي الدُّنيا والآخرة</w:t>
      </w:r>
      <w:r>
        <w:rPr>
          <w:rStyle w:val="FootnoteAnchor"/>
          <w:rtl w:val="true"/>
        </w:rPr>
        <w:footnoteReference w:id="1223"/>
      </w:r>
      <w:r>
        <w:rPr>
          <w:rFonts w:ascii="Amiri" w:hAnsi="Amiri" w:eastAsia="Amiri" w:cs="Amiri"/>
          <w:color w:val="111111"/>
          <w:sz w:val="28"/>
          <w:sz w:val="28"/>
          <w:szCs w:val="28"/>
          <w:rtl w:val="true"/>
          <w:lang w:bidi="ar-SA"/>
        </w:rPr>
        <w:t>تؤيِّد هذا المبنىٰ‌؛</w:t>
      </w:r>
    </w:p>
    <w:p>
      <w:pPr>
        <w:pStyle w:val="BookText"/>
        <w:rPr/>
      </w:pPr>
      <w:r>
        <w:rPr>
          <w:rFonts w:ascii="Amiri" w:hAnsi="Amiri" w:eastAsia="Amiri" w:cs="Amiri"/>
          <w:color w:val="111111"/>
          <w:sz w:val="28"/>
          <w:sz w:val="28"/>
          <w:szCs w:val="28"/>
          <w:rtl w:val="true"/>
          <w:lang w:bidi="ar-SA"/>
        </w:rPr>
        <w:t xml:space="preserve">بل الرِّوايات الدَّالَّة علىٰ ترتُّب الثَّواب علىٰ رفعِ حوائج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رواها كثيرٌ من المحدِّثين، كالكلينيِّ قدس سره</w:t>
      </w:r>
      <w:r>
        <w:rPr>
          <w:rStyle w:val="FootnoteAnchor"/>
          <w:rtl w:val="true"/>
        </w:rPr>
        <w:footnoteReference w:id="1224"/>
      </w:r>
      <w:r>
        <w:rPr>
          <w:rFonts w:ascii="Amiri" w:hAnsi="Amiri" w:eastAsia="Amiri" w:cs="Amiri"/>
          <w:color w:val="111111"/>
          <w:sz w:val="28"/>
          <w:sz w:val="28"/>
          <w:szCs w:val="28"/>
          <w:rtl w:val="true"/>
          <w:lang w:bidi="ar-SA"/>
        </w:rPr>
        <w:t>، والصَّدوق قدس سره</w:t>
      </w:r>
      <w:r>
        <w:rPr>
          <w:rStyle w:val="FootnoteAnchor"/>
          <w:rtl w:val="true"/>
        </w:rPr>
        <w:footnoteReference w:id="1225"/>
      </w:r>
      <w:r>
        <w:rPr>
          <w:rFonts w:ascii="Amiri" w:hAnsi="Amiri" w:eastAsia="Amiri" w:cs="Amiri"/>
          <w:color w:val="111111"/>
          <w:sz w:val="28"/>
          <w:sz w:val="28"/>
          <w:szCs w:val="28"/>
          <w:rtl w:val="true"/>
          <w:lang w:bidi="ar-SA"/>
        </w:rPr>
        <w:t>، والرَّاوندي قدس سره</w:t>
      </w:r>
      <w:r>
        <w:rPr>
          <w:rStyle w:val="FootnoteAnchor"/>
          <w:rtl w:val="true"/>
        </w:rPr>
        <w:footnoteReference w:id="1226"/>
      </w:r>
      <w:r>
        <w:rPr>
          <w:rFonts w:ascii="Amiri" w:hAnsi="Amiri" w:eastAsia="Amiri" w:cs="Amiri"/>
          <w:color w:val="111111"/>
          <w:sz w:val="28"/>
          <w:sz w:val="28"/>
          <w:szCs w:val="28"/>
          <w:rtl w:val="true"/>
          <w:lang w:bidi="ar-SA"/>
        </w:rPr>
        <w:t>، وأوَّل المجلِسيَّين قدس سرهما</w:t>
      </w:r>
      <w:r>
        <w:rPr>
          <w:rStyle w:val="FootnoteAnchor"/>
          <w:rtl w:val="true"/>
        </w:rPr>
        <w:footnoteReference w:id="1227"/>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من غير إنكارٍ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مراتب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المبحوثُ عنها في علم الأخلاق، والَّتي تصلُ إلى أربع عشرة</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أيضًا تُعَدُّ من قبيل الدَّاعي إلى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للمرتبة الأخيرة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مرتبته العُليا الَّتي أشار إليها أميرالمؤمنين عليه السلام في بعض </w:t>
      </w:r>
      <w:bookmarkStart w:id="348" w:name="pg20337_261548"/>
    </w:p>
    <w:p>
      <w:pPr>
        <w:pStyle w:val="BookText"/>
        <w:rPr/>
      </w:pPr>
      <w:bookmarkEnd w:id="348"/>
      <w:r>
        <w:rPr>
          <w:rFonts w:ascii="Amiri" w:hAnsi="Amiri" w:eastAsia="Amiri" w:cs="Amiri"/>
          <w:color w:val="111111"/>
          <w:sz w:val="28"/>
          <w:sz w:val="28"/>
          <w:szCs w:val="28"/>
          <w:rtl w:val="true"/>
          <w:lang w:bidi="ar-SA"/>
        </w:rPr>
        <w:t>كلماته</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والحديث رواه كثيرٌ من الأعلام؛ منهم ابنُشعبة الحرَّاني،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والآمِديُّ‌،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آخر غير هذا، لكن هذه المرتبة ليسَتْ من الواجبات في الأعمال العِباديَّة بعمومها، بل هي تختصُّ بالأوحديِّ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صاحب الجواهر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الإجارة مؤكِّدةً له، باعتبار تسبيبها الوجوب أيضًا</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هو ما أشرنا إليه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المحقِّق العامليُّ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تضاعُفَ الوجوب يؤكِّد الإخلاص</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وأشار إلى قوله الشَّيخُ الأعظم قدس سره</w:t>
      </w:r>
      <w:r>
        <w:rPr>
          <w:rStyle w:val="FootnoteAnchor"/>
          <w:rtl w:val="true"/>
        </w:rPr>
        <w:footnoteReference w:id="123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الأعظم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الاِستيجار لايوجب امتناعَ قصد القربة</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1945152_1280447820"/>
      <w:bookmarkStart w:id="350" w:name="_Toc128"/>
      <w:bookmarkEnd w:id="349"/>
      <w:r>
        <w:rPr>
          <w:rtl w:val="true"/>
        </w:rPr>
        <w:t>ومنها</w:t>
      </w:r>
      <w:r>
        <w:rPr>
          <w:rtl w:val="true"/>
        </w:rPr>
        <w:t xml:space="preserve">: </w:t>
      </w:r>
      <w:r>
        <w:rPr>
          <w:rtl w:val="true"/>
        </w:rPr>
        <w:t>إنَّ أخذ الأُجرة يساوي أكل المال بالباطل</w:t>
      </w:r>
      <w:bookmarkEnd w:id="35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علىٰ المكلَّف أن يأتِيَ بالواجب، فأَخْذُ الأُجرة عليه أكلٌ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الإشكال الشَّيخُ الأعظم قدس سره</w:t>
      </w:r>
      <w:r>
        <w:rPr>
          <w:rStyle w:val="FootnoteAnchor"/>
          <w:rtl w:val="true"/>
        </w:rPr>
        <w:footnoteReference w:id="1234"/>
      </w:r>
      <w:r>
        <w:rPr>
          <w:rFonts w:ascii="Amiri" w:hAnsi="Amiri" w:eastAsia="Amiri" w:cs="Amiri"/>
          <w:color w:val="111111"/>
          <w:sz w:val="28"/>
          <w:sz w:val="28"/>
          <w:szCs w:val="28"/>
          <w:rtl w:val="true"/>
          <w:lang w:bidi="ar-SA"/>
        </w:rPr>
        <w:t>وبعض كبار تلامذته، كالمحقِّق الآشتيانيِّ قدس سره</w:t>
      </w:r>
      <w:r>
        <w:rPr>
          <w:rStyle w:val="FootnoteAnchor"/>
          <w:rtl w:val="true"/>
        </w:rPr>
        <w:footnoteReference w:id="1235"/>
      </w:r>
      <w:r>
        <w:rPr>
          <w:rFonts w:ascii="Amiri" w:hAnsi="Amiri" w:eastAsia="Amiri" w:cs="Amiri"/>
          <w:color w:val="111111"/>
          <w:sz w:val="28"/>
          <w:sz w:val="28"/>
          <w:szCs w:val="28"/>
          <w:rtl w:val="true"/>
          <w:lang w:bidi="ar-SA"/>
        </w:rPr>
        <w:t>، والمحشِّين علىٰ كتابه كالسَّيِّد اليزدي قدس سره</w:t>
      </w:r>
      <w:r>
        <w:rPr>
          <w:rStyle w:val="FootnoteAnchor"/>
          <w:rtl w:val="true"/>
        </w:rPr>
        <w:footnoteReference w:id="1236"/>
      </w:r>
      <w:r>
        <w:rPr>
          <w:rFonts w:ascii="Amiri" w:hAnsi="Amiri" w:eastAsia="Amiri" w:cs="Amiri"/>
          <w:color w:val="111111"/>
          <w:sz w:val="28"/>
          <w:sz w:val="28"/>
          <w:szCs w:val="28"/>
          <w:rtl w:val="true"/>
          <w:lang w:bidi="ar-SA"/>
        </w:rPr>
        <w:t>، والميرزا الشِّيرازي قدس سره</w:t>
      </w:r>
      <w:r>
        <w:rPr>
          <w:rStyle w:val="FootnoteAnchor"/>
          <w:rtl w:val="true"/>
        </w:rPr>
        <w:footnoteReference w:id="12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والإيروانيِّ قدس سره</w:t>
      </w:r>
      <w:r>
        <w:rPr>
          <w:rStyle w:val="FootnoteAnchor"/>
          <w:rtl w:val="true"/>
        </w:rPr>
        <w:footnoteReference w:id="1238"/>
      </w:r>
      <w:r>
        <w:rPr>
          <w:rFonts w:ascii="Amiri" w:hAnsi="Amiri" w:eastAsia="Amiri" w:cs="Amiri"/>
          <w:color w:val="111111"/>
          <w:sz w:val="28"/>
          <w:sz w:val="28"/>
          <w:szCs w:val="28"/>
          <w:rtl w:val="true"/>
          <w:lang w:bidi="ar-SA"/>
        </w:rPr>
        <w:t>، والشَّهيدي التَّبريزي قدس سره</w:t>
      </w:r>
      <w:r>
        <w:rPr>
          <w:rStyle w:val="FootnoteAnchor"/>
          <w:rtl w:val="true"/>
        </w:rPr>
        <w:footnoteReference w:id="1239"/>
      </w:r>
      <w:r>
        <w:rPr>
          <w:rFonts w:ascii="Amiri" w:hAnsi="Amiri" w:eastAsia="Amiri" w:cs="Amiri"/>
          <w:color w:val="111111"/>
          <w:sz w:val="28"/>
          <w:sz w:val="28"/>
          <w:szCs w:val="28"/>
          <w:rtl w:val="true"/>
          <w:lang w:bidi="ar-SA"/>
        </w:rPr>
        <w:t>وغيرهم من متأخِّري الفقهاء، كالشَّيخ عبَّاس آل كاشف الغطاء قدس سره</w:t>
      </w:r>
      <w:r>
        <w:rPr>
          <w:rStyle w:val="FootnoteAnchor"/>
          <w:rtl w:val="true"/>
        </w:rPr>
        <w:footnoteReference w:id="1240"/>
      </w:r>
      <w:r>
        <w:rPr>
          <w:rFonts w:ascii="Amiri" w:hAnsi="Amiri" w:eastAsia="Amiri" w:cs="Amiri"/>
          <w:color w:val="111111"/>
          <w:sz w:val="28"/>
          <w:sz w:val="28"/>
          <w:szCs w:val="28"/>
          <w:rtl w:val="true"/>
          <w:lang w:bidi="ar-SA"/>
        </w:rPr>
        <w:t>، والسَّيِّد محمَّد بحرالعلوم قدس سره</w:t>
      </w:r>
      <w:r>
        <w:rPr>
          <w:rStyle w:val="FootnoteAnchor"/>
          <w:rtl w:val="true"/>
        </w:rPr>
        <w:footnoteReference w:id="1241"/>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1242"/>
      </w:r>
      <w:r>
        <w:rPr>
          <w:rFonts w:ascii="Amiri" w:hAnsi="Amiri" w:eastAsia="Amiri" w:cs="Amiri"/>
          <w:color w:val="111111"/>
          <w:sz w:val="28"/>
          <w:sz w:val="28"/>
          <w:szCs w:val="28"/>
          <w:rtl w:val="true"/>
          <w:lang w:bidi="ar-SA"/>
        </w:rPr>
        <w:t>، والسَّيِّد المحقِّق البهبهانيِّ قدس سره</w:t>
      </w:r>
      <w:r>
        <w:rPr>
          <w:rStyle w:val="FootnoteAnchor"/>
          <w:rtl w:val="true"/>
        </w:rPr>
        <w:footnoteReference w:id="1243"/>
      </w:r>
      <w:r>
        <w:rPr>
          <w:rFonts w:ascii="Amiri" w:hAnsi="Amiri" w:eastAsia="Amiri" w:cs="Amiri"/>
          <w:color w:val="111111"/>
          <w:sz w:val="28"/>
          <w:sz w:val="28"/>
          <w:szCs w:val="28"/>
          <w:rtl w:val="true"/>
          <w:lang w:bidi="ar-SA"/>
        </w:rPr>
        <w:t>، والسَّيِّد الخوئي قدس سره</w:t>
      </w:r>
      <w:r>
        <w:rPr>
          <w:rStyle w:val="FootnoteAnchor"/>
          <w:rtl w:val="true"/>
        </w:rPr>
        <w:footnoteReference w:id="1244"/>
      </w:r>
      <w:r>
        <w:rPr>
          <w:rFonts w:ascii="Amiri" w:hAnsi="Amiri" w:eastAsia="Amiri" w:cs="Amiri"/>
          <w:color w:val="111111"/>
          <w:sz w:val="28"/>
          <w:sz w:val="28"/>
          <w:szCs w:val="28"/>
          <w:rtl w:val="true"/>
          <w:lang w:bidi="ar-SA"/>
        </w:rPr>
        <w:t>، والسَّيِّد الكلبايكاني قدس سره</w:t>
      </w:r>
      <w:r>
        <w:rPr>
          <w:rStyle w:val="FootnoteAnchor"/>
          <w:rtl w:val="true"/>
        </w:rPr>
        <w:footnoteReference w:id="1245"/>
      </w:r>
      <w:r>
        <w:rPr>
          <w:rFonts w:ascii="Amiri" w:hAnsi="Amiri" w:eastAsia="Amiri" w:cs="Amiri"/>
          <w:color w:val="111111"/>
          <w:sz w:val="28"/>
          <w:sz w:val="28"/>
          <w:szCs w:val="28"/>
          <w:rtl w:val="true"/>
          <w:lang w:bidi="ar-SA"/>
        </w:rPr>
        <w:t xml:space="preserve">، وغيرهم الكثيرين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 العمل للغير يوجبُ اِسقاطَه عنه، كمَن يصلِّي صلاةً لميِّتٍ كانتْ واجبةً عليه؛ فأين هذا من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وأنَّ إعطاء الأجر لأنْ يقومَ المرءُ بواجباته وما هو علىٰ نفسه، أيضًا له 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إنَّه يُعدُّ من مصاديق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يُعطي أجرًا لولده إذا قام بصلاته الواجبة، فللوالد هيهنا أجرٌ عظيمٌ‌، لقيامه بالأمر بالمعروف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هو أضعف الإشكالات؛ ولوقيل بأنَّه ممَّا أبدَعَه الشَّيخ </w:t>
      </w:r>
      <w:bookmarkStart w:id="351" w:name="pg20337_261550"/>
    </w:p>
    <w:p>
      <w:pPr>
        <w:pStyle w:val="BookText"/>
        <w:rPr/>
      </w:pPr>
      <w:bookmarkEnd w:id="351"/>
      <w:r>
        <w:rPr>
          <w:rFonts w:ascii="IRNazanin" w:hAnsi="IRNazanin" w:eastAsia="IRNazanin"/>
          <w:color w:val="111111"/>
          <w:sz w:val="28"/>
          <w:sz w:val="28"/>
          <w:szCs w:val="28"/>
          <w:rtl w:val="true"/>
          <w:lang w:bidi="fa-IR"/>
        </w:rPr>
        <w:t>الأعظم قدس سره</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الكلام في فقه الإسلام،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العمدةُ ممَّا جاء به الأصحاب للقول بعدم جواز أخذ الأُجرة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هيهنا أدلَّةٌ لجواز الأخذ ليس لها واقعٌ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والعمدة منها</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945154_1280447820"/>
      <w:bookmarkStart w:id="353" w:name="_Toc129"/>
      <w:bookmarkEnd w:id="352"/>
      <w:r>
        <w:rPr>
          <w:rtl w:val="true"/>
        </w:rPr>
        <w:t>الأدلَّة الاِصطياديَّة القائلة بجواز أخذ الاجرة علىٰ الواجبات منها</w:t>
      </w:r>
      <w:r>
        <w:rPr>
          <w:rtl w:val="true"/>
        </w:rPr>
        <w:t xml:space="preserve">: </w:t>
      </w:r>
      <w:r>
        <w:rPr>
          <w:rtl w:val="true"/>
        </w:rPr>
        <w:t>العامل لايعمل إلَّالنفسه</w:t>
      </w:r>
      <w:bookmarkEnd w:id="353"/>
    </w:p>
    <w:p>
      <w:pPr>
        <w:pStyle w:val="Heading5"/>
        <w:numPr>
          <w:ilvl w:val="4"/>
          <w:numId w:val="1"/>
        </w:numPr>
        <w:rPr/>
      </w:pPr>
      <w:bookmarkStart w:id="354" w:name="__RefHeading___Toc11945156_1280447820"/>
      <w:bookmarkStart w:id="355" w:name="_Toc130"/>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الأدلَّة الاِصطياديَّة القائلة بجواز أخذ الاجرة علىٰ الواجبات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لايعمل إلَّالنفسه</w:t>
      </w:r>
      <w:r>
        <w:rPr>
          <w:rStyle w:val="FootnoteAnchor"/>
          <w:rtl w:val="true"/>
        </w:rPr>
        <w:footnoteReference w:id="124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يعمل عملًا للغير يعمل به لنفسه أوَّلًا، ثمَّ يُهدي ثوابَه للمؤجَر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الدَّليل المحقِّق البجنورديُّ قدس سره</w:t>
      </w:r>
      <w:r>
        <w:rPr>
          <w:rStyle w:val="FootnoteAnchor"/>
          <w:rtl w:val="true"/>
        </w:rPr>
        <w:footnoteReference w:id="1248"/>
      </w:r>
      <w:r>
        <w:rPr>
          <w:rFonts w:ascii="Amiri" w:hAnsi="Amiri" w:eastAsia="Amiri" w:cs="Amiri"/>
          <w:color w:val="111111"/>
          <w:sz w:val="28"/>
          <w:sz w:val="28"/>
          <w:szCs w:val="28"/>
          <w:rtl w:val="true"/>
          <w:lang w:bidi="ar-SA"/>
        </w:rPr>
        <w:t>، والمحقِّق الآمليُّ قدس سره</w:t>
      </w:r>
      <w:r>
        <w:rPr>
          <w:rStyle w:val="FootnoteAnchor"/>
          <w:rtl w:val="true"/>
        </w:rPr>
        <w:footnoteReference w:id="1249"/>
      </w:r>
      <w:r>
        <w:rPr>
          <w:rFonts w:ascii="Amiri" w:hAnsi="Amiri" w:eastAsia="Amiri" w:cs="Amiri"/>
          <w:color w:val="111111"/>
          <w:sz w:val="28"/>
          <w:sz w:val="28"/>
          <w:szCs w:val="28"/>
          <w:rtl w:val="true"/>
          <w:lang w:bidi="ar-SA"/>
        </w:rPr>
        <w:t>، والمحقِّق المامقانيُّ قدس سره</w:t>
      </w:r>
      <w:r>
        <w:rPr>
          <w:rStyle w:val="FootnoteAnchor"/>
          <w:rtl w:val="true"/>
        </w:rPr>
        <w:footnoteReference w:id="1250"/>
      </w:r>
      <w:r>
        <w:rPr>
          <w:rFonts w:ascii="Amiri" w:hAnsi="Amiri" w:eastAsia="Amiri" w:cs="Amiri"/>
          <w:color w:val="111111"/>
          <w:sz w:val="28"/>
          <w:sz w:val="28"/>
          <w:szCs w:val="28"/>
          <w:rtl w:val="true"/>
          <w:lang w:bidi="ar-SA"/>
        </w:rPr>
        <w:t>، والمحقِّق الميرزا هاشم الآملي قدس سره</w:t>
      </w:r>
      <w:r>
        <w:rPr>
          <w:rStyle w:val="FootnoteAnchor"/>
          <w:rtl w:val="true"/>
        </w:rPr>
        <w:footnoteReference w:id="1251"/>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في </w:t>
      </w:r>
      <w:bookmarkStart w:id="356" w:name="pg20337_261551"/>
    </w:p>
    <w:p>
      <w:pPr>
        <w:pStyle w:val="BookText"/>
        <w:rPr/>
      </w:pPr>
      <w:bookmarkEnd w:id="356"/>
      <w:r>
        <w:rPr>
          <w:rFonts w:ascii="Amiri" w:hAnsi="Amiri" w:eastAsia="Amiri" w:cs="Amiri"/>
          <w:color w:val="111111"/>
          <w:sz w:val="28"/>
          <w:sz w:val="28"/>
          <w:szCs w:val="28"/>
          <w:rtl w:val="true"/>
          <w:lang w:bidi="ar-SA"/>
        </w:rPr>
        <w:t>التَّعبُّديَّات، أو التَّوصُّليَّات، وسواءٌ كان أخذُ الأُجرة لأنْ يعمل لنفسه، أو يعمَلَ لغيره؛</w:t>
      </w:r>
    </w:p>
    <w:p>
      <w:pPr>
        <w:pStyle w:val="BookText"/>
        <w:rPr/>
      </w:pPr>
      <w:r>
        <w:rPr>
          <w:rFonts w:ascii="Amiri" w:hAnsi="Amiri" w:eastAsia="Amiri" w:cs="Amiri"/>
          <w:color w:val="111111"/>
          <w:sz w:val="28"/>
          <w:sz w:val="28"/>
          <w:szCs w:val="28"/>
          <w:rtl w:val="true"/>
          <w:lang w:bidi="ar-SA"/>
        </w:rPr>
        <w:t>فجميعُ هذه الموارد من باب إعطاء الثَّواب، لا إعطاء العملِ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خلاف الفرض الَّذي عنونه الفقهاءُ‌، فهو خارجٌ عن محلِّ البحث بتًّا</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لايُقصد في النِّيابة عن الميِّت في صلاته وصومه وأمثالهما إعطاء ثوابِ الفعل إلى الميَّت أصلًا، بل المُصلِّي يجعل نفسَه نائبًا عن الميِّت ويأخذ الأُجرة بدلًا عن تلك النِّيابة؛ حتَّى أنَّ من أخذ الأُجرة علىٰ أن يأتيَ بالصَّلوة الواجبة علىٰ نفسه لايُهدِي ثوابَها إلى مَن أعطاه الأجر، 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يُعطي المُعطي أجرًا بالغًا علىٰ ما فعله، لأنَّه ممَّن يُرغِّب إلى الحسنات، بل من الآمرين بالمعروف والنَّاهين عن المنكر</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1945158_1280447820"/>
      <w:bookmarkStart w:id="358" w:name="_Toc131"/>
      <w:bookmarkEnd w:id="357"/>
      <w:r>
        <w:rPr>
          <w:rtl w:val="true"/>
        </w:rPr>
        <w:t>منها</w:t>
      </w:r>
      <w:r>
        <w:rPr>
          <w:rtl w:val="true"/>
        </w:rPr>
        <w:t xml:space="preserve">: </w:t>
      </w:r>
      <w:r>
        <w:rPr>
          <w:rtl w:val="true"/>
        </w:rPr>
        <w:t>هذا العمل لايحتاج إلى قصد القربة أصلًا</w:t>
      </w:r>
      <w:bookmarkEnd w:id="35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بالأعمال العباديَّة إجارةً لايحتاج إلى قصدِ القربة أصلًا</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وانظر أيضًا تعاليق السَّيِّد الكلانتر عليه في نفس الكتاب مع تعاليقه،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لعدم إمكان الإتيان به؛ وحيث إنَّه ثبتَتْ صحَّة الإجارة فلامناص من إلغاء وجوب قصد القربة فيها</w:t>
      </w:r>
      <w:r>
        <w:rPr>
          <w:rFonts w:eastAsia="Amiri" w:cs="Amiri" w:ascii="Amiri" w:hAnsi="Amiri"/>
          <w:color w:val="111111"/>
          <w:sz w:val="28"/>
          <w:szCs w:val="28"/>
          <w:rtl w:val="true"/>
          <w:lang w:bidi="ar-SA"/>
        </w:rPr>
        <w:t>.</w:t>
      </w:r>
      <w:bookmarkStart w:id="359" w:name="pg20337_261552"/>
    </w:p>
    <w:p>
      <w:pPr>
        <w:pStyle w:val="BookText"/>
        <w:rPr/>
      </w:pPr>
      <w:bookmarkEnd w:id="359"/>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العباديَّ بلاقصد القُربة لامعنىٰ له أصلًا</w:t>
      </w:r>
      <w:r>
        <w:rPr>
          <w:rStyle w:val="FootnoteAnchor"/>
          <w:rtl w:val="true"/>
        </w:rPr>
        <w:footnoteReference w:id="1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كمَن صلَّىٰ مِن دون وضوءٍ‌، أو بلاتكبيرةٍ‌، فصلاتُه إذن ليستْ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نشأ من شبهة عدم إمكان النِّيابة عن الغير في العمل التَّعبُّديِّ‌، وبما أنَّا أثبتنا جوازَها فلاوَقعَ لهذا القول إذن</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1945160_1280447820"/>
      <w:bookmarkStart w:id="361" w:name="_Toc132"/>
      <w:bookmarkEnd w:id="360"/>
      <w:r>
        <w:rPr>
          <w:rtl w:val="true"/>
        </w:rPr>
        <w:t>منها</w:t>
      </w:r>
      <w:r>
        <w:rPr>
          <w:rtl w:val="true"/>
        </w:rPr>
        <w:t xml:space="preserve">: </w:t>
      </w:r>
      <w:r>
        <w:rPr>
          <w:rtl w:val="true"/>
        </w:rPr>
        <w:t>يكفي هذا القصد عن المؤجر له، ولا حاجة إلى قصد الأجير</w:t>
      </w:r>
      <w:bookmarkEnd w:id="36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الإجارة في العبادات تصحُّ بالقول بوجوب القُربة من جانب المؤجر له، لا الأجير؛ كمَن يبني مسجدًا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فقصدُ القربة في الواقف لا في العامِل الَّذي يبني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والمبنىٰ يُشير إليه بعضُ كلمات القوم، ككاشف الغطاء قدس سره</w:t>
      </w:r>
      <w:r>
        <w:rPr>
          <w:rStyle w:val="FootnoteAnchor"/>
          <w:rtl w:val="true"/>
        </w:rPr>
        <w:footnoteReference w:id="1255"/>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256"/>
      </w:r>
      <w:r>
        <w:rPr>
          <w:rFonts w:ascii="Amiri" w:hAnsi="Amiri" w:eastAsia="Amiri" w:cs="Amiri"/>
          <w:color w:val="111111"/>
          <w:sz w:val="28"/>
          <w:sz w:val="28"/>
          <w:szCs w:val="28"/>
          <w:rtl w:val="true"/>
          <w:lang w:bidi="ar-SA"/>
        </w:rPr>
        <w:t>، والعلَّامة الحلِّي قدس سره</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إلى ما ذكره ثاني النَّراقيَّين قدس سرهما في المقام</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الأجير لو لم يعمل بما وظَّفه عليه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الصَّلوة مُتَقَرِّبًا بها إلى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بشيءٍ أصلًا ولايستحق عليه الأجر، لأنَّه لم يعمل بمورد الإجارة قطعًا</w:t>
      </w:r>
      <w:r>
        <w:rPr>
          <w:rFonts w:eastAsia="Amiri" w:cs="Amiri" w:ascii="Amiri" w:hAnsi="Amiri"/>
          <w:color w:val="111111"/>
          <w:sz w:val="28"/>
          <w:szCs w:val="28"/>
          <w:rtl w:val="true"/>
          <w:lang w:bidi="ar-SA"/>
        </w:rPr>
        <w:t xml:space="preserve">. </w:t>
      </w:r>
      <w:bookmarkStart w:id="362" w:name="pg20337_261553"/>
    </w:p>
    <w:p>
      <w:pPr>
        <w:pStyle w:val="BookText"/>
        <w:rPr/>
      </w:pPr>
      <w:bookmarkEnd w:id="362"/>
      <w:r>
        <w:rPr>
          <w:rFonts w:ascii="Amiri" w:hAnsi="Amiri" w:eastAsia="Amiri" w:cs="Amiri"/>
          <w:color w:val="111111"/>
          <w:sz w:val="28"/>
          <w:sz w:val="28"/>
          <w:szCs w:val="28"/>
          <w:rtl w:val="true"/>
          <w:lang w:bidi="ar-SA"/>
        </w:rPr>
        <w:t>وقياسُه بمَن يبني مسجدًا فيقصد القربةَ‌، قياسٌ مع الفارق؛ وسنشير آنفًا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أُريدَ منه صحَّة أخذ الأُجرة علىٰ الواجبات؛ والظَّاهر أنَّه ليس شأنُ الفقيه البحث عن هذه الموارد وأمثالها، فضلًا عن أن يقبلها</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11945162_1280447820"/>
      <w:bookmarkStart w:id="364" w:name="_Toc133"/>
      <w:bookmarkEnd w:id="363"/>
      <w:r>
        <w:rPr>
          <w:rtl w:val="true"/>
        </w:rPr>
        <w:t>منها</w:t>
      </w:r>
      <w:r>
        <w:rPr>
          <w:rtl w:val="true"/>
        </w:rPr>
        <w:t xml:space="preserve">: </w:t>
      </w:r>
      <w:r>
        <w:rPr>
          <w:rtl w:val="true"/>
        </w:rPr>
        <w:t>كفاية قصد القربة ممَّن هو أقوىٰ من الآخر</w:t>
      </w:r>
      <w:bookmarkEnd w:id="36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للإجارة نسبَتَين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الأجير ونسبةٌ إلى المؤجر له، فكذلك تختلف نسبةُ الإجارة إلى اللَّذَين نُسِبت الإجارة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الأجير والمؤجَر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الموجر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السَّبب أقوىٰ من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 في القُربيَّات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قصد القربة ممَّن هو أقوىٰ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مَن يبني مسجدًا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عليه أن ينوي القربةَ‌، لأنَّه السَّبب الأقوىٰ‌، لا البَنَّاء والعامل باليد، إذ المباشر العامِل ليس إلَّاآلةً في الفعل</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أمَّا في مَن آجَرَ نفسَه للغير ليحُجَّ عنه، فالسَّبب أقوىٰ من المؤجر له؛ فلذلك لابدَّ له من أن يأتي بالعمل علىٰ طبق وظيفته، فعليه قصدُ القربة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لوآجر رجلٌ نفسَه لأنْ يصلِّي صلاةَ الصُّبح بدلًا عن إمرأةٍ ماتَتْ‌، فعليه الجهر في الحمد، ولوكانت الصَّلاة نيابةً عن المرأة، وذلك لوجوب الجهر علىٰ الرَّجل</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365" w:name="pg20337_261554"/>
    </w:p>
    <w:p>
      <w:pPr>
        <w:pStyle w:val="BookText"/>
        <w:rPr/>
      </w:pPr>
      <w:bookmarkEnd w:id="365"/>
      <w:r>
        <w:rPr>
          <w:rFonts w:ascii="Amiri" w:hAnsi="Amiri" w:eastAsia="Amiri" w:cs="Amiri"/>
          <w:color w:val="111111"/>
          <w:sz w:val="28"/>
          <w:sz w:val="28"/>
          <w:szCs w:val="28"/>
          <w:rtl w:val="true"/>
          <w:lang w:bidi="ar-SA"/>
        </w:rPr>
        <w:t xml:space="preserve">وبهذا ينحلُّ كثيرٌ من الإشكالات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استخدم الفقهاءُ حديثَ السَّبب والمباشر في كثيرٍ من المسائل؛ فانظر إلى ما ذكره المحقِّق الرَّشتي قدس سره</w:t>
      </w:r>
      <w:r>
        <w:rPr>
          <w:rStyle w:val="FootnoteAnchor"/>
          <w:rtl w:val="true"/>
        </w:rPr>
        <w:footnoteReference w:id="1261"/>
      </w:r>
      <w:r>
        <w:rPr>
          <w:rFonts w:ascii="Amiri" w:hAnsi="Amiri" w:eastAsia="Amiri" w:cs="Amiri"/>
          <w:color w:val="111111"/>
          <w:sz w:val="28"/>
          <w:sz w:val="28"/>
          <w:szCs w:val="28"/>
          <w:rtl w:val="true"/>
          <w:lang w:bidi="ar-SA"/>
        </w:rPr>
        <w:t>، والمحقِّق الحائريُّ قدس سره</w:t>
      </w:r>
      <w:r>
        <w:rPr>
          <w:rStyle w:val="FootnoteAnchor"/>
          <w:rtl w:val="true"/>
        </w:rPr>
        <w:footnoteReference w:id="1262"/>
      </w:r>
      <w:r>
        <w:rPr>
          <w:rFonts w:ascii="Amiri" w:hAnsi="Amiri" w:eastAsia="Amiri" w:cs="Amiri"/>
          <w:color w:val="111111"/>
          <w:sz w:val="28"/>
          <w:sz w:val="28"/>
          <w:szCs w:val="28"/>
          <w:rtl w:val="true"/>
          <w:lang w:bidi="ar-SA"/>
        </w:rPr>
        <w:t>، والمحقِّق الخوئيُّ قدس سره</w:t>
      </w:r>
      <w:r>
        <w:rPr>
          <w:rStyle w:val="FootnoteAnchor"/>
          <w:rtl w:val="true"/>
        </w:rPr>
        <w:footnoteReference w:id="1263"/>
      </w:r>
      <w:r>
        <w:rPr>
          <w:rFonts w:ascii="Amiri" w:hAnsi="Amiri" w:eastAsia="Amiri" w:cs="Amiri"/>
          <w:color w:val="111111"/>
          <w:sz w:val="28"/>
          <w:sz w:val="28"/>
          <w:szCs w:val="28"/>
          <w:rtl w:val="true"/>
          <w:lang w:bidi="ar-SA"/>
        </w:rPr>
        <w:t xml:space="preserve">بشأن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يُجاب عمَّا أورَد أو يورَدُ علىٰ باب النِّيابة عن الحجِّ والصَّلوة والصَّوم وغيرها من العبادات</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1945164_1280447820"/>
      <w:bookmarkStart w:id="367" w:name="_Toc134"/>
      <w:bookmarkEnd w:id="366"/>
      <w:r>
        <w:rPr>
          <w:rtl w:val="true"/>
        </w:rPr>
        <w:t>منها</w:t>
      </w:r>
      <w:r>
        <w:rPr>
          <w:rtl w:val="true"/>
        </w:rPr>
        <w:t xml:space="preserve">: </w:t>
      </w:r>
      <w:r>
        <w:rPr>
          <w:rtl w:val="true"/>
        </w:rPr>
        <w:t>لافرق بين الواجب والمندوب هيهنا</w:t>
      </w:r>
      <w:bookmarkEnd w:id="36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هيهنا بين الواجبات والمندوبات، فمَن آجر نفسه ليحُجَّ نيابةً عن الغير حجًّا ندبيًّا، فهو كمَن ناب عن الحجِّ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نصَّ كثيرٌ من الأعلام علىٰ استواء أحكام النِّيابة بين النِّيابة عن الغير في الواجب، والنِّيابة عنه في المندوب؛ كالمحقِّق الثَّاني قدس سره</w:t>
      </w:r>
      <w:r>
        <w:rPr>
          <w:rStyle w:val="FootnoteAnchor"/>
          <w:rtl w:val="true"/>
        </w:rPr>
        <w:footnoteReference w:id="1264"/>
      </w:r>
      <w:r>
        <w:rPr>
          <w:rFonts w:ascii="Amiri" w:hAnsi="Amiri" w:eastAsia="Amiri" w:cs="Amiri"/>
          <w:color w:val="111111"/>
          <w:sz w:val="28"/>
          <w:sz w:val="28"/>
          <w:szCs w:val="28"/>
          <w:rtl w:val="true"/>
          <w:lang w:bidi="ar-SA"/>
        </w:rPr>
        <w:t>، والسَّيِّد المجاهد قدس سره</w:t>
      </w:r>
      <w:r>
        <w:rPr>
          <w:rStyle w:val="FootnoteAnchor"/>
          <w:rtl w:val="true"/>
        </w:rPr>
        <w:footnoteReference w:id="1265"/>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266"/>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بعدم الجواز هناك لابدَّ له من أن يُقال بعدم الجواز هيهنا أيضًا، للتَّنافي الواقع بين الإجارة مع قصد القربة في كِلَي الفرضَين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لايتأتَّىٰ هيهنا ما يُقال مِن أنَّ الواجب لايكون تحت اختيار المرء، أو أخذ </w:t>
      </w:r>
      <w:bookmarkStart w:id="368" w:name="pg20337_261555"/>
    </w:p>
    <w:p>
      <w:pPr>
        <w:pStyle w:val="BookText"/>
        <w:rPr/>
      </w:pPr>
      <w:bookmarkEnd w:id="368"/>
      <w:r>
        <w:rPr>
          <w:rFonts w:ascii="Amiri" w:hAnsi="Amiri" w:eastAsia="Amiri" w:cs="Amiri"/>
          <w:color w:val="111111"/>
          <w:sz w:val="28"/>
          <w:sz w:val="28"/>
          <w:szCs w:val="28"/>
          <w:rtl w:val="true"/>
          <w:lang w:bidi="ar-SA"/>
        </w:rPr>
        <w:t>الأجرة عليه ليس إلَّاأكل المال بالباطل؛ وأمَّا تنافي القُربة مع إيجار النَّفس فيأتي هيهنا أيضًا؛</w:t>
      </w:r>
    </w:p>
    <w:p>
      <w:pPr>
        <w:pStyle w:val="BookText"/>
        <w:rPr/>
      </w:pPr>
      <w:r>
        <w:rPr>
          <w:rFonts w:ascii="Amiri" w:hAnsi="Amiri" w:eastAsia="Amiri" w:cs="Amiri"/>
          <w:color w:val="111111"/>
          <w:sz w:val="28"/>
          <w:sz w:val="28"/>
          <w:szCs w:val="28"/>
          <w:rtl w:val="true"/>
          <w:lang w:bidi="ar-SA"/>
        </w:rPr>
        <w:t>وقد مرَّ مِنَّا الجوابُ عن هذا بأنَّ الإجارة تؤكِّد الاِستحباب؛ فلذلك قيل بجواز الإتيان بالواجب والمندوب، نظرًا إلى الدَّاعي إلى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تنبيهٌ هامٌّ جدًّا</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1945166_1280447820"/>
      <w:bookmarkStart w:id="370" w:name="_Toc135"/>
      <w:bookmarkEnd w:id="369"/>
      <w:r>
        <w:rPr>
          <w:rtl w:val="true"/>
        </w:rPr>
        <w:t>تنبيهٌ‌</w:t>
      </w:r>
      <w:r>
        <w:rPr>
          <w:rtl w:val="true"/>
        </w:rPr>
        <w:t>:</w:t>
      </w:r>
      <w:bookmarkEnd w:id="370"/>
    </w:p>
    <w:p>
      <w:pPr>
        <w:pStyle w:val="BookText"/>
        <w:rPr/>
      </w:pPr>
      <w:r>
        <w:rPr>
          <w:rFonts w:ascii="Amiri" w:hAnsi="Amiri" w:eastAsia="Amiri" w:cs="Amiri"/>
          <w:color w:val="111111"/>
          <w:sz w:val="28"/>
          <w:sz w:val="28"/>
          <w:szCs w:val="28"/>
          <w:rtl w:val="true"/>
          <w:lang w:bidi="ar-SA"/>
        </w:rPr>
        <w:t>هل يجوز أخذ الأجرة علىٰ المحرَّمات للإتيان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المانع الشَّرعيِّ كالمانع العقليِّ يمنع عن فعلها، فهو غير مقدورٍ للأجير؛ بينما لابدَّ من أن يكون مورد الإجارة مقدورًا له</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الإجارة،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المُذنِب ليس ذنبُه خارجًا عن تحت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فعله بالتَّكوين لاوجه له أصلًا</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أخذُ الأجرة علىٰ فعل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البحراني قدس سره</w:t>
      </w:r>
      <w:r>
        <w:rPr>
          <w:rStyle w:val="FootnoteAnchor"/>
          <w:rtl w:val="true"/>
        </w:rPr>
        <w:footnoteReference w:id="1269"/>
      </w:r>
      <w:r>
        <w:rPr>
          <w:rFonts w:ascii="Amiri" w:hAnsi="Amiri" w:eastAsia="Amiri" w:cs="Amiri"/>
          <w:color w:val="111111"/>
          <w:sz w:val="28"/>
          <w:sz w:val="28"/>
          <w:szCs w:val="28"/>
          <w:rtl w:val="true"/>
          <w:lang w:bidi="ar-SA"/>
        </w:rPr>
        <w:t>، والمحقِّق العامليِّ قدس سره</w:t>
      </w:r>
      <w:r>
        <w:rPr>
          <w:rStyle w:val="FootnoteAnchor"/>
          <w:rtl w:val="true"/>
        </w:rPr>
        <w:footnoteReference w:id="1270"/>
      </w:r>
      <w:r>
        <w:rPr>
          <w:rFonts w:ascii="Amiri" w:hAnsi="Amiri" w:eastAsia="Amiri" w:cs="Amiri"/>
          <w:color w:val="111111"/>
          <w:sz w:val="28"/>
          <w:sz w:val="28"/>
          <w:szCs w:val="28"/>
          <w:rtl w:val="true"/>
          <w:lang w:bidi="ar-SA"/>
        </w:rPr>
        <w:t>، والشَّيخ جعفر الكبير قدس سره</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أكلٌ للمال بالباطل،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حرَّم شيئًا حرَّم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رواه كثيرٌ من الأصحاب الفقهاء ناسبًا إيَّاه </w:t>
      </w:r>
      <w:bookmarkStart w:id="371" w:name="pg20337_261556"/>
    </w:p>
    <w:p>
      <w:pPr>
        <w:pStyle w:val="BookText"/>
        <w:rPr/>
      </w:pPr>
      <w:bookmarkEnd w:id="371"/>
      <w:r>
        <w:rPr>
          <w:rFonts w:ascii="Amiri" w:hAnsi="Amiri" w:eastAsia="Amiri" w:cs="Amiri"/>
          <w:color w:val="111111"/>
          <w:sz w:val="28"/>
          <w:sz w:val="28"/>
          <w:szCs w:val="28"/>
          <w:rtl w:val="true"/>
          <w:lang w:bidi="ar-SA"/>
        </w:rPr>
        <w:t>صريحًا إلى الرَّسول الأكرم صلى الله عليه و آله، كالشَّيخ قدس سره</w:t>
      </w:r>
      <w:r>
        <w:rPr>
          <w:rStyle w:val="FootnoteAnchor"/>
          <w:rtl w:val="true"/>
        </w:rPr>
        <w:footnoteReference w:id="1272"/>
      </w:r>
      <w:r>
        <w:rPr>
          <w:rFonts w:ascii="Amiri" w:hAnsi="Amiri" w:eastAsia="Amiri" w:cs="Amiri"/>
          <w:color w:val="111111"/>
          <w:sz w:val="28"/>
          <w:sz w:val="28"/>
          <w:szCs w:val="28"/>
          <w:rtl w:val="true"/>
          <w:lang w:bidi="ar-SA"/>
        </w:rPr>
        <w:t>، وابنِزهرة قدس سره</w:t>
      </w:r>
      <w:r>
        <w:rPr>
          <w:rStyle w:val="FootnoteAnchor"/>
          <w:rtl w:val="true"/>
        </w:rPr>
        <w:footnoteReference w:id="1273"/>
      </w:r>
      <w:r>
        <w:rPr>
          <w:rFonts w:ascii="Amiri" w:hAnsi="Amiri" w:eastAsia="Amiri" w:cs="Amiri"/>
          <w:color w:val="111111"/>
          <w:sz w:val="28"/>
          <w:sz w:val="28"/>
          <w:szCs w:val="28"/>
          <w:rtl w:val="true"/>
          <w:lang w:bidi="ar-SA"/>
        </w:rPr>
        <w:t>، وابنِإدريسٍ قدس سره</w:t>
      </w:r>
      <w:r>
        <w:rPr>
          <w:rStyle w:val="FootnoteAnchor"/>
          <w:rtl w:val="true"/>
        </w:rPr>
        <w:footnoteReference w:id="1274"/>
      </w:r>
      <w:r>
        <w:rPr>
          <w:rFonts w:ascii="Amiri" w:hAnsi="Amiri" w:eastAsia="Amiri" w:cs="Amiri"/>
          <w:color w:val="111111"/>
          <w:sz w:val="28"/>
          <w:sz w:val="28"/>
          <w:szCs w:val="28"/>
          <w:rtl w:val="true"/>
          <w:lang w:bidi="ar-SA"/>
        </w:rPr>
        <w:t>، والسَّبزواري القمِّي قدس سره</w:t>
      </w:r>
      <w:r>
        <w:rPr>
          <w:rStyle w:val="FootnoteAnchor"/>
          <w:rtl w:val="true"/>
        </w:rPr>
        <w:footnoteReference w:id="1275"/>
      </w:r>
      <w:r>
        <w:rPr>
          <w:rFonts w:ascii="Amiri" w:hAnsi="Amiri" w:eastAsia="Amiri" w:cs="Amiri"/>
          <w:color w:val="111111"/>
          <w:sz w:val="28"/>
          <w:sz w:val="28"/>
          <w:szCs w:val="28"/>
          <w:rtl w:val="true"/>
          <w:lang w:bidi="ar-SA"/>
        </w:rPr>
        <w:t>، والعلَّامة الحلِّي قدس سره</w:t>
      </w:r>
      <w:r>
        <w:rPr>
          <w:rStyle w:val="FootnoteAnchor"/>
          <w:rtl w:val="true"/>
        </w:rPr>
        <w:footnoteReference w:id="1276"/>
      </w:r>
      <w:r>
        <w:rPr>
          <w:rFonts w:ascii="Amiri" w:hAnsi="Amiri" w:eastAsia="Amiri" w:cs="Amiri"/>
          <w:color w:val="111111"/>
          <w:sz w:val="28"/>
          <w:sz w:val="28"/>
          <w:szCs w:val="28"/>
          <w:rtl w:val="true"/>
          <w:lang w:bidi="ar-SA"/>
        </w:rPr>
        <w:t>، وولده العظيم قدس سره</w:t>
      </w:r>
      <w:r>
        <w:rPr>
          <w:rStyle w:val="FootnoteAnchor"/>
          <w:rtl w:val="true"/>
        </w:rPr>
        <w:footnoteReference w:id="1277"/>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1278"/>
      </w:r>
      <w:r>
        <w:rPr>
          <w:rFonts w:ascii="Amiri" w:hAnsi="Amiri" w:eastAsia="Amiri" w:cs="Amiri"/>
          <w:color w:val="111111"/>
          <w:sz w:val="28"/>
          <w:sz w:val="28"/>
          <w:szCs w:val="28"/>
          <w:rtl w:val="true"/>
          <w:lang w:bidi="ar-SA"/>
        </w:rPr>
        <w:t>، وغيرهم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لم يُوجَد في مصادرنا، إلَّاما رواه الأحسائيُّ قدس سره</w:t>
      </w:r>
      <w:r>
        <w:rPr>
          <w:rStyle w:val="FootnoteAnchor"/>
          <w:rtl w:val="true"/>
        </w:rPr>
        <w:footnoteReference w:id="1279"/>
      </w:r>
      <w:r>
        <w:rPr>
          <w:rFonts w:ascii="Amiri" w:hAnsi="Amiri" w:eastAsia="Amiri" w:cs="Amiri"/>
          <w:color w:val="111111"/>
          <w:sz w:val="28"/>
          <w:sz w:val="28"/>
          <w:szCs w:val="28"/>
          <w:rtl w:val="true"/>
          <w:lang w:bidi="ar-SA"/>
        </w:rPr>
        <w:t>، والظَّاهر أنَّه أخذه عن مصادر العامَّة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وإن تطابَقَ عليه بعضُ روايات الباب، لكنَّا لانحتاج في ذلك إلى روايةٍ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لدلالة العقل عليه أوَّلًا؛</w:t>
      </w:r>
    </w:p>
    <w:p>
      <w:pPr>
        <w:pStyle w:val="BookText"/>
        <w:rPr/>
      </w:pPr>
      <w:r>
        <w:rPr>
          <w:rFonts w:ascii="Amiri" w:hAnsi="Amiri" w:eastAsia="Amiri" w:cs="Amiri"/>
          <w:color w:val="111111"/>
          <w:sz w:val="28"/>
          <w:sz w:val="28"/>
          <w:szCs w:val="28"/>
          <w:rtl w:val="true"/>
          <w:lang w:bidi="ar-SA"/>
        </w:rPr>
        <w:t>ثمَّ إرشاد الرِّوايات إلى هذا الأمر العقليِّ ثانيًا</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1945168_1280447820"/>
      <w:bookmarkStart w:id="373" w:name="_Toc136"/>
      <w:bookmarkEnd w:id="372"/>
      <w:r>
        <w:rPr>
          <w:rtl w:val="true"/>
        </w:rPr>
        <w:t>أمثلةٌ لاستعمال القاعدة في الفقه</w:t>
      </w:r>
      <w:r>
        <w:rPr>
          <w:rtl w:val="true"/>
        </w:rPr>
        <w:t>:</w:t>
      </w:r>
      <w:bookmarkEnd w:id="3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القاعدة قاعدةٌ كلِّيَّةٌ تبحثُ عن جواز أو عدم جواز أمرٍ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الأجرة علىٰ الواجبات أو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فلامورد لها مصداقيًّا حتَّى نأتي به هيهنا؛ حيث لا مصداق للقواعد الكلِّيَّة الَّتي تبحث عن صرف الجواز أو صرف عدم الجواز</w:t>
      </w:r>
      <w:r>
        <w:rPr>
          <w:rFonts w:eastAsia="Amiri" w:cs="Amiri" w:ascii="Amiri" w:hAnsi="Amiri"/>
          <w:color w:val="111111"/>
          <w:sz w:val="28"/>
          <w:szCs w:val="28"/>
          <w:rtl w:val="true"/>
          <w:lang w:bidi="ar-SA"/>
        </w:rPr>
        <w:t xml:space="preserve">. </w:t>
      </w:r>
      <w:bookmarkStart w:id="374" w:name="pg20337_261558"/>
    </w:p>
    <w:p>
      <w:pPr>
        <w:pStyle w:val="Heading2"/>
        <w:numPr>
          <w:ilvl w:val="1"/>
          <w:numId w:val="1"/>
        </w:numPr>
        <w:rPr/>
      </w:pPr>
      <w:bookmarkStart w:id="375" w:name="__RefHeading___Toc11945170_1280447820"/>
      <w:bookmarkStart w:id="376" w:name="_Toc137"/>
      <w:bookmarkEnd w:id="374"/>
      <w:bookmarkEnd w:id="375"/>
      <w:r>
        <w:rPr>
          <w:rtl w:val="true"/>
        </w:rPr>
        <w:t>[</w:t>
      </w:r>
      <w:r>
        <w:rPr/>
        <w:t>33</w:t>
      </w:r>
      <w:r>
        <w:rPr>
          <w:rtl w:val="true"/>
        </w:rPr>
        <w:t xml:space="preserve">:] </w:t>
      </w:r>
      <w:r>
        <w:rPr>
          <w:rtl w:val="true"/>
        </w:rPr>
        <w:t>قاعدة أصالة الصِّحَّة</w:t>
      </w:r>
      <w:bookmarkEnd w:id="376"/>
    </w:p>
    <w:p>
      <w:pPr>
        <w:pStyle w:val="Heading3"/>
        <w:numPr>
          <w:ilvl w:val="2"/>
          <w:numId w:val="1"/>
        </w:numPr>
        <w:rPr/>
      </w:pPr>
      <w:bookmarkStart w:id="377" w:name="__RefHeading___Toc11945172_1280447820"/>
      <w:bookmarkStart w:id="378" w:name="_Toc138"/>
      <w:bookmarkEnd w:id="377"/>
      <w:r>
        <w:rPr>
          <w:rtl w:val="true"/>
        </w:rPr>
        <w:t>عناوين أُخرىٰ للقاعدة</w:t>
      </w:r>
      <w:bookmarkEnd w:id="378"/>
    </w:p>
    <w:p>
      <w:pPr>
        <w:pStyle w:val="BookText"/>
        <w:rPr/>
      </w:pPr>
      <w:r>
        <w:rPr>
          <w:rFonts w:ascii="Amiri" w:hAnsi="Amiri" w:eastAsia="Amiri" w:cs="Amiri"/>
          <w:color w:val="111111"/>
          <w:sz w:val="28"/>
          <w:sz w:val="28"/>
          <w:szCs w:val="28"/>
          <w:rtl w:val="true"/>
          <w:lang w:bidi="ar-SA"/>
        </w:rPr>
        <w:t>الأصل في تصرُّفات المسلم الصِّحَّة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1945174_1280447820"/>
      <w:bookmarkStart w:id="380" w:name="_Toc139"/>
      <w:bookmarkEnd w:id="379"/>
      <w:r>
        <w:rPr>
          <w:rtl w:val="true"/>
        </w:rPr>
        <w:t>توضيح مفاد القاعدة</w:t>
      </w:r>
      <w:bookmarkEnd w:id="380"/>
    </w:p>
    <w:p>
      <w:pPr>
        <w:pStyle w:val="BookText"/>
        <w:rPr/>
      </w:pPr>
      <w:r>
        <w:rPr>
          <w:rFonts w:ascii="Amiri" w:hAnsi="Amiri" w:eastAsia="Amiri" w:cs="Amiri"/>
          <w:color w:val="111111"/>
          <w:sz w:val="28"/>
          <w:sz w:val="28"/>
          <w:szCs w:val="28"/>
          <w:rtl w:val="true"/>
          <w:lang w:bidi="ar-SA"/>
        </w:rPr>
        <w:t xml:space="preserve">قبل الورود في صلب البحث نشير إلى أنَّا لانحتاج إلى البحث عن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هل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الَّذي يُقابله القبح والحرام؛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المؤثِّر الَّذي يقابله الفاسد، كما فعله بعضهم، كالمحكيِّ عن المحقِّق الفقيه </w:t>
      </w:r>
    </w:p>
    <w:p>
      <w:pPr>
        <w:pStyle w:val="BookText"/>
        <w:rPr/>
      </w:pPr>
      <w:r>
        <w:rPr>
          <w:rFonts w:ascii="Amiri" w:hAnsi="Amiri" w:eastAsia="Amiri" w:cs="Amiri"/>
          <w:color w:val="111111"/>
          <w:sz w:val="28"/>
          <w:sz w:val="28"/>
          <w:szCs w:val="28"/>
          <w:rtl w:val="true"/>
          <w:lang w:bidi="ar-SA"/>
        </w:rPr>
        <w:t>الخوئيِّ قدس سره</w:t>
      </w:r>
      <w:r>
        <w:rPr>
          <w:rStyle w:val="FootnoteAnchor"/>
          <w:rtl w:val="true"/>
        </w:rPr>
        <w:footnoteReference w:id="1282"/>
      </w:r>
      <w:r>
        <w:rPr>
          <w:rFonts w:ascii="Amiri" w:hAnsi="Amiri" w:eastAsia="Amiri" w:cs="Amiri"/>
          <w:color w:val="111111"/>
          <w:sz w:val="28"/>
          <w:sz w:val="28"/>
          <w:szCs w:val="28"/>
          <w:rtl w:val="true"/>
          <w:lang w:bidi="ar-SA"/>
        </w:rPr>
        <w:t>، وغيره</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معاصرينا الفضلاء؛</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الفقه الفعَّال،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لوضوح المراد منها وعدم الخلاف فيه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موضوع القاعدة هو العمل الشَّخصيُّ الخارجيُّ‌، فيكون حكمُه أيضًا جزئيًّا شخصيًّا؛ فالقاعدة من القواعد الفقهيَّة، إذ لاطريق إلى وقوعها في طريق الاِستنباط حتَّى تكون مسألةً أصوليَّةً‌</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في أصول الفقه،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القاعدة هي أصلٌ يجري في أفعال الغير وأقواله، ليُثبَت به صحَّة أفعاله وأقواله، أو غيرهما ممَّا يصدر منه؛</w:t>
      </w:r>
    </w:p>
    <w:p>
      <w:pPr>
        <w:pStyle w:val="BookText"/>
        <w:rPr/>
      </w:pPr>
      <w:r>
        <w:rPr>
          <w:rFonts w:ascii="Amiri" w:hAnsi="Amiri" w:eastAsia="Amiri" w:cs="Amiri"/>
          <w:color w:val="111111"/>
          <w:sz w:val="28"/>
          <w:sz w:val="28"/>
          <w:szCs w:val="28"/>
          <w:rtl w:val="true"/>
          <w:lang w:bidi="ar-SA"/>
        </w:rPr>
        <w:t>إمَّا بحسب الواقع؛</w:t>
      </w:r>
    </w:p>
    <w:p>
      <w:pPr>
        <w:pStyle w:val="BookText"/>
        <w:rPr/>
      </w:pPr>
      <w:r>
        <w:rPr>
          <w:rFonts w:ascii="Amiri" w:hAnsi="Amiri" w:eastAsia="Amiri" w:cs="Amiri"/>
          <w:color w:val="111111"/>
          <w:sz w:val="28"/>
          <w:sz w:val="28"/>
          <w:szCs w:val="28"/>
          <w:rtl w:val="true"/>
          <w:lang w:bidi="ar-SA"/>
        </w:rPr>
        <w:t xml:space="preserve">وإمَّا بحسب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وسنتكلَّم عن هذا عن قريبٍ‌، فنبحث عن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الصِّحَّة الواقعيَّة‌؟ أو الصِّحَّة بحسب اِعتقاد العامل أو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قلنا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الغير يُشير إلى عدم جريان القاعدة في أصل الفعل أو القول لوشُكَّ في وجودهما، بل تجري لوشُكَّ في صحَّتِهما فقط</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فلوشُكَّ في أنَّ الفعل وقع أم لا؟، أو صدر من المدِّعي فعلَه أم لا؟، لاتجري هذه القاعدة لنفي الشَّكِّ هذا، </w:t>
      </w:r>
      <w:bookmarkStart w:id="381" w:name="pg20337_261560"/>
    </w:p>
    <w:p>
      <w:pPr>
        <w:pStyle w:val="BookText"/>
        <w:rPr/>
      </w:pPr>
      <w:bookmarkEnd w:id="381"/>
      <w:r>
        <w:rPr>
          <w:rFonts w:ascii="Amiri" w:hAnsi="Amiri" w:eastAsia="Amiri" w:cs="Amiri"/>
          <w:color w:val="111111"/>
          <w:sz w:val="28"/>
          <w:sz w:val="28"/>
          <w:szCs w:val="28"/>
          <w:rtl w:val="true"/>
          <w:lang w:bidi="ar-SA"/>
        </w:rPr>
        <w:t>بل لوشُكَّ في صحَّته فتجري القاعدة لعدم الإعتناء بهذا الشَّكِّ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الشَّكَّ في صحَّة الشَّيء لايقع إلَّابعد فرض وقوعه ووجوده؛ فأصل وجود المشكوك فيه لاتجري فيه القاعدةُ‌</w:t>
      </w:r>
      <w:r>
        <w:rPr>
          <w:rStyle w:val="FootnoteAnchor"/>
          <w:rtl w:val="true"/>
        </w:rPr>
        <w:footnoteReference w:id="1285"/>
      </w:r>
      <w:r>
        <w:rPr>
          <w:rFonts w:ascii="Amiri" w:hAnsi="Amiri" w:eastAsia="Amiri" w:cs="Amiri"/>
          <w:color w:val="111111"/>
          <w:sz w:val="28"/>
          <w:sz w:val="28"/>
          <w:szCs w:val="28"/>
          <w:rtl w:val="true"/>
          <w:lang w:bidi="ar-SA"/>
        </w:rPr>
        <w:t>، بينما أنَّها تجري عند الشَّكِّ في صحَّته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فلوشُكَّ في أنَّ النَّائب في قضاء الصَّلوة أو الصَّوم لميِّتٍ هل قام بهما فأدَّاهما؟، أم لا؟، لايمكن للشَّاكِّ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ببراءة ذمَّة المنوب عنه جريًا علىٰ هذا الأصل؛</w:t>
      </w:r>
    </w:p>
    <w:p>
      <w:pPr>
        <w:pStyle w:val="BookText"/>
        <w:rPr/>
      </w:pPr>
      <w:r>
        <w:rPr>
          <w:rFonts w:ascii="Amiri" w:hAnsi="Amiri" w:eastAsia="Amiri" w:cs="Amiri"/>
          <w:color w:val="111111"/>
          <w:sz w:val="28"/>
          <w:sz w:val="28"/>
          <w:szCs w:val="28"/>
          <w:rtl w:val="true"/>
          <w:lang w:bidi="ar-SA"/>
        </w:rPr>
        <w:t xml:space="preserve">بل 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بأصلٍ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كحجِّيَّة خبر الثِّقة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لوأخبر النَّائب بأنَّه أدَّاهما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لووقع الشَّكُّ في أنَّ ما فعله النَّائبُ هل كان صحيحًا؟ أم لا؟، فيمكن حينئذٍ الَّتمسُّك بأصالة الصِّحَّة لبراءة ذمَّة المنوب عنه عن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لوشُكَّ في عروض الفَساد علىٰ ما فعله مَن يُبالِي بظواهر الشَّرع، فلايجوز الَّتمسُّك بأصالة الصِّحَّة لإثبات ترتُّب الأثر عليه؛</w:t>
      </w:r>
    </w:p>
    <w:p>
      <w:pPr>
        <w:pStyle w:val="BookText"/>
        <w:rPr/>
      </w:pPr>
      <w:r>
        <w:rPr>
          <w:rFonts w:ascii="Amiri" w:hAnsi="Amiri" w:eastAsia="Amiri" w:cs="Amiri"/>
          <w:color w:val="111111"/>
          <w:sz w:val="28"/>
          <w:sz w:val="28"/>
          <w:szCs w:val="28"/>
          <w:rtl w:val="true"/>
          <w:lang w:bidi="ar-SA"/>
        </w:rPr>
        <w:t>بل لوعلم بوقوعه صحيحًا أوَّلًا، ثمَّ شكَّ فيه فله أن يتمسَّك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لوعلم بتحقُّق الإيجاب والقبول في بيعٍ فضوليٍّ ثمَّ شكَّ في تعقُّبِهما بإجازةِ مَن بيده الأمر، لايمكن له ترتُّب الأثر علىٰ أصل البيع، نظرًا إلى أصالة الصِّحَّة، بل لابدَّ له من تصحيح أصل البيع بأصلٍ آخر</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1945176_1280447820"/>
      <w:bookmarkStart w:id="383" w:name="_Toc140"/>
      <w:bookmarkEnd w:id="382"/>
      <w:r>
        <w:rPr>
          <w:rtl w:val="true"/>
        </w:rPr>
        <w:t>مدركُ القاعدة</w:t>
      </w:r>
      <w:bookmarkEnd w:id="38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4" w:name="__RefHeading___Toc11945178_1280447820"/>
      <w:bookmarkStart w:id="385" w:name="_Toc141"/>
      <w:bookmarkEnd w:id="384"/>
      <w:r>
        <w:rPr>
          <w:rtl w:val="true"/>
        </w:rPr>
        <w:t>اشارة</w:t>
      </w:r>
      <w:bookmarkStart w:id="386" w:name="pg20337_261561"/>
      <w:bookmarkEnd w:id="385"/>
    </w:p>
    <w:p>
      <w:pPr>
        <w:pStyle w:val="BookText"/>
        <w:rPr/>
      </w:pPr>
      <w:bookmarkEnd w:id="386"/>
      <w:r>
        <w:rPr>
          <w:rFonts w:ascii="Amiri" w:hAnsi="Amiri" w:eastAsia="Amiri" w:cs="Amiri"/>
          <w:color w:val="111111"/>
          <w:sz w:val="28"/>
          <w:sz w:val="28"/>
          <w:szCs w:val="28"/>
          <w:rtl w:val="true"/>
          <w:lang w:bidi="ar-SA"/>
        </w:rPr>
        <w:t>أمَّا مدرك القاعدة، فقد استَدَلَّ الشَّيخ قدس سره</w:t>
      </w:r>
      <w:r>
        <w:rPr>
          <w:rStyle w:val="FootnoteAnchor"/>
          <w:rtl w:val="true"/>
        </w:rPr>
        <w:footnoteReference w:id="1287"/>
      </w:r>
      <w:r>
        <w:rPr>
          <w:rFonts w:ascii="Amiri" w:hAnsi="Amiri" w:eastAsia="Amiri" w:cs="Amiri"/>
          <w:color w:val="111111"/>
          <w:sz w:val="28"/>
          <w:sz w:val="28"/>
          <w:szCs w:val="28"/>
          <w:rtl w:val="true"/>
          <w:lang w:bidi="ar-SA"/>
        </w:rPr>
        <w:t>لها بالأدلَّة الأربعة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1945180_1280447820"/>
      <w:bookmarkStart w:id="388" w:name="_Toc142"/>
      <w:bookmarkEnd w:id="387"/>
      <w:r>
        <w:rPr>
          <w:rtl w:val="true"/>
        </w:rPr>
        <w:t>أوَّلًا</w:t>
      </w:r>
      <w:r>
        <w:rPr>
          <w:rtl w:val="true"/>
        </w:rPr>
        <w:t xml:space="preserve">: </w:t>
      </w:r>
      <w:r>
        <w:rPr>
          <w:rtl w:val="true"/>
        </w:rPr>
        <w:t>الكتاب</w:t>
      </w:r>
      <w:bookmarkEnd w:id="388"/>
    </w:p>
    <w:p>
      <w:pPr>
        <w:pStyle w:val="BookText"/>
        <w:rPr/>
      </w:pPr>
      <w:r>
        <w:rPr>
          <w:rFonts w:ascii="Amiri" w:hAnsi="Amiri" w:eastAsia="Amiri" w:cs="Amiri"/>
          <w:color w:val="111111"/>
          <w:sz w:val="28"/>
          <w:sz w:val="28"/>
          <w:szCs w:val="28"/>
          <w:rtl w:val="true"/>
          <w:lang w:bidi="ar-SA"/>
        </w:rPr>
        <w:t>بمعنىٰ‌</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ولذلك فإنَّ المحقِّق الأردبيليَّ قدس سره في زبدة البيان والفاضل المقداد قدس سره في كنز العرفان لم يذكرا شيئًا حول الآية الكريمة؛</w:t>
      </w:r>
    </w:p>
    <w:p>
      <w:pPr>
        <w:pStyle w:val="BookText"/>
        <w:rPr/>
      </w:pPr>
      <w:r>
        <w:rPr>
          <w:rFonts w:ascii="Amiri" w:hAnsi="Amiri" w:eastAsia="Amiri" w:cs="Amiri"/>
          <w:color w:val="111111"/>
          <w:sz w:val="28"/>
          <w:sz w:val="28"/>
          <w:szCs w:val="28"/>
          <w:rtl w:val="true"/>
          <w:lang w:bidi="ar-SA"/>
        </w:rPr>
        <w:t>شأنُهما في ذلك شأن القُرطبيِّ قدس سره في جامعه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أعمٌّ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بعضُ أعلام المعاصرين</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11945182_1280447820"/>
      <w:bookmarkStart w:id="390" w:name="_Toc143"/>
      <w:bookmarkEnd w:id="389"/>
      <w:r>
        <w:rPr>
          <w:rtl w:val="true"/>
        </w:rPr>
        <w:t>ثانيًا</w:t>
      </w:r>
      <w:r>
        <w:rPr>
          <w:rtl w:val="true"/>
        </w:rPr>
        <w:t xml:space="preserve">: </w:t>
      </w:r>
      <w:r>
        <w:rPr>
          <w:rtl w:val="true"/>
        </w:rPr>
        <w:t>السُّنَّة</w:t>
      </w:r>
      <w:bookmarkEnd w:id="390"/>
    </w:p>
    <w:p>
      <w:pPr>
        <w:pStyle w:val="BookText"/>
        <w:rPr/>
      </w:pP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الكُلينيُّ قدس سره</w:t>
      </w:r>
      <w:r>
        <w:rPr>
          <w:rStyle w:val="FootnoteAnchor"/>
          <w:rtl w:val="true"/>
        </w:rPr>
        <w:footnoteReference w:id="1290"/>
      </w:r>
      <w:r>
        <w:rPr>
          <w:rFonts w:ascii="Amiri" w:hAnsi="Amiri" w:eastAsia="Amiri" w:cs="Amiri"/>
          <w:color w:val="111111"/>
          <w:sz w:val="28"/>
          <w:sz w:val="28"/>
          <w:szCs w:val="28"/>
          <w:rtl w:val="true"/>
          <w:lang w:bidi="ar-SA"/>
        </w:rPr>
        <w:t>، والشَّيخ الحرُّ قدس سره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بالأحسن هو الحَسَن</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 قدس سره</w:t>
      </w:r>
      <w:r>
        <w:rPr>
          <w:rStyle w:val="FootnoteAnchor"/>
          <w:rtl w:val="true"/>
        </w:rPr>
        <w:footnoteReference w:id="1293"/>
      </w:r>
      <w:r>
        <w:rPr>
          <w:rFonts w:ascii="Amiri" w:hAnsi="Amiri" w:eastAsia="Amiri" w:cs="Amiri"/>
          <w:color w:val="111111"/>
          <w:sz w:val="28"/>
          <w:sz w:val="28"/>
          <w:szCs w:val="28"/>
          <w:rtl w:val="true"/>
          <w:lang w:bidi="ar-SA"/>
        </w:rPr>
        <w:t>علىٰ الاستدلال بهذه الطَّوائف من الآيات والرِّوايات بأنَّهما بصدد بيان أمرٍ آخر أخلاقيٍّ غير مربوطٍ بالمقام، وهو وجوب الاِجتناب عن سوء الظَّنِّ بالمسلمين، بل وجوب جريان الاِعتماد العُرفيِّ في مجتمعهم؛ وهذا لايترتَّب عليه الآثار المطلوبة من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الطَّائفة أقصىٰ ما تدلُّ عليه هو كون الإنسان أُذُنًا بالنِّسبة إلى أخيه المسلم، كما مدح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نبيَّه الكريم صلى الله عليه و آله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أُذُنُ خَيْرٍ لَكُمْ‌</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أنَّ الأُذنَ مجازٌ عن كونه سريع التَّصديق لكلِّ ما يسمع</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وأن يُصدِّقه في أفعاله وأقواله بترتُّب خصوص الآثار الَّتي تنفعه ولاتضرُّ غيره عليهما؛</w:t>
      </w:r>
    </w:p>
    <w:p>
      <w:pPr>
        <w:pStyle w:val="BookText"/>
        <w:rPr/>
      </w:pPr>
      <w:r>
        <w:rPr>
          <w:rFonts w:ascii="Amiri" w:hAnsi="Amiri" w:eastAsia="Amiri" w:cs="Amiri"/>
          <w:color w:val="111111"/>
          <w:sz w:val="28"/>
          <w:sz w:val="28"/>
          <w:szCs w:val="28"/>
          <w:rtl w:val="true"/>
          <w:lang w:bidi="ar-SA"/>
        </w:rPr>
        <w:t>كما وأنَّ القرطبيَّ قدس سره قال في تفسير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خيرٍ لا أذنُ شرٍّ،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 الخير ولايسمع الشَّرَّ</w:t>
      </w:r>
      <w:r>
        <w:rPr>
          <w:rFonts w:eastAsia="Amiri" w:cs="Amiri" w:ascii="Amiri" w:hAnsi="Amiri"/>
          <w:color w:val="111111"/>
          <w:sz w:val="28"/>
          <w:szCs w:val="28"/>
          <w:rtl w:val="true"/>
          <w:lang w:bidi="ar-SA"/>
        </w:rPr>
        <w:t>»</w:t>
      </w:r>
      <w:r>
        <w:rPr>
          <w:rStyle w:val="FootnoteAnchor"/>
          <w:rtl w:val="true"/>
        </w:rPr>
        <w:footnoteReference w:id="129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الطَّبَرسيِّ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أُذُنُ خيرٍ فلايقبل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المؤمنين أيضًا فيما يخبرونه ويقبل منهم</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وانظر أيضًا ما ذكره شيخ الطَّائفة قدس سره</w:t>
      </w:r>
      <w:r>
        <w:rPr>
          <w:rStyle w:val="FootnoteAnchor"/>
          <w:rtl w:val="true"/>
        </w:rPr>
        <w:footnoteReference w:id="1298"/>
      </w:r>
      <w:r>
        <w:rPr>
          <w:rFonts w:ascii="Amiri" w:hAnsi="Amiri" w:eastAsia="Amiri" w:cs="Amiri"/>
          <w:color w:val="111111"/>
          <w:sz w:val="28"/>
          <w:sz w:val="28"/>
          <w:szCs w:val="28"/>
          <w:rtl w:val="true"/>
          <w:lang w:bidi="ar-SA"/>
        </w:rPr>
        <w:t xml:space="preserve">، وأستاذُنا العلَّامة </w:t>
      </w:r>
    </w:p>
    <w:p>
      <w:pPr>
        <w:pStyle w:val="BookText"/>
        <w:rPr/>
      </w:pPr>
      <w:r>
        <w:rPr>
          <w:rFonts w:ascii="Amiri" w:hAnsi="Amiri" w:eastAsia="Amiri" w:cs="Amiri"/>
          <w:color w:val="111111"/>
          <w:sz w:val="28"/>
          <w:sz w:val="28"/>
          <w:szCs w:val="28"/>
          <w:rtl w:val="true"/>
          <w:lang w:bidi="ar-SA"/>
        </w:rPr>
        <w:t>الطَّباطبائيُّ قدس سره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أن يصدِّقه فيترتَّب علىٰ تصديقه إيَّاه هذا جميع الآثار المطلوبة الممكنة التَّرتُّب علىٰ هذا الأصل، كما هو المطلوب عنه، وكما هو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سمعَك وبصرك عن أخيك، فإن شَهِدَ عندك خمسون قسامةً وقال لك قولًا، فصدِّقْه وكذِّبهم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الشَّيخ الصَّدوق قدس سره</w:t>
      </w:r>
      <w:r>
        <w:rPr>
          <w:rStyle w:val="FootnoteAnchor"/>
          <w:rtl w:val="true"/>
        </w:rPr>
        <w:footnoteReference w:id="1300"/>
      </w:r>
      <w:r>
        <w:rPr>
          <w:rFonts w:ascii="Amiri" w:hAnsi="Amiri" w:eastAsia="Amiri" w:cs="Amiri"/>
          <w:color w:val="111111"/>
          <w:sz w:val="28"/>
          <w:sz w:val="28"/>
          <w:szCs w:val="28"/>
          <w:rtl w:val="true"/>
          <w:lang w:bidi="ar-SA"/>
        </w:rPr>
        <w:t>، والشَّيخ الحُرُّ قدس سره</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والكُلينيُّ قدس سره</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وإلَّا فكيف يمكن الحكم بتصديق الواحد في قوله وتكذيب الخمسين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إذن تصديقُه بما ينفعه ولايضرُّ غيره، وتكذيبهم فيما يضرُّه ولاينفعهم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وبما قلنا ظهر ما في كلام بعض المعاصرين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مراده عليه السلام من تصديق الأخ المؤمن تصديقُ قوله بالحمل علىٰ الصِّدق ظاهرًا من دون ترتيب أثرٍ عليه</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حيث إنَّ عدم ترتُّب الأثر علىٰ القول يساوق التَّكديب، لا التَّصديق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 هذه الآيات والرِّوايات خارجةٌ عن محلِّ الكلام؛ هذا محصَّل ما ذكره الشَّيخ الأعظم قدس سره</w:t>
      </w:r>
      <w:r>
        <w:rPr>
          <w:rFonts w:eastAsia="Amiri" w:cs="Amiri" w:ascii="Amiri" w:hAnsi="Amiri"/>
          <w:color w:val="111111"/>
          <w:sz w:val="28"/>
          <w:szCs w:val="28"/>
          <w:rtl w:val="true"/>
          <w:lang w:bidi="ar-SA"/>
        </w:rPr>
        <w:t xml:space="preserve">. </w:t>
      </w:r>
      <w:bookmarkStart w:id="391" w:name="pg20337_261564"/>
    </w:p>
    <w:p>
      <w:pPr>
        <w:pStyle w:val="BookText"/>
        <w:rPr/>
      </w:pPr>
      <w:bookmarkEnd w:id="3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أصالة الصِّحَّة؛ 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خارجٌ عن محل الكلام، ولا دلالة فيه عليه؛ فلايمكن الَّتمسُّك به اِثباتًا لأصالة الصِّحَّة، وإن كان غير منطبقٍ علىٰ ما فسَّرَه به الشَّيخ الأعظم قدس سره أيضًا</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1945184_1280447820"/>
      <w:bookmarkStart w:id="393" w:name="_Toc144"/>
      <w:bookmarkEnd w:id="392"/>
      <w:r>
        <w:rPr>
          <w:rtl w:val="true"/>
        </w:rPr>
        <w:t>ثالثًا</w:t>
      </w:r>
      <w:r>
        <w:rPr>
          <w:rtl w:val="true"/>
        </w:rPr>
        <w:t xml:space="preserve">: </w:t>
      </w:r>
      <w:r>
        <w:rPr>
          <w:rtl w:val="true"/>
        </w:rPr>
        <w:t>الإجماع</w:t>
      </w:r>
      <w:bookmarkEnd w:id="393"/>
    </w:p>
    <w:p>
      <w:pPr>
        <w:pStyle w:val="BookText"/>
        <w:rPr/>
      </w:pPr>
      <w:r>
        <w:rPr>
          <w:rFonts w:ascii="Amiri" w:hAnsi="Amiri" w:eastAsia="Amiri" w:cs="Amiri"/>
          <w:color w:val="111111"/>
          <w:sz w:val="28"/>
          <w:sz w:val="28"/>
          <w:szCs w:val="28"/>
          <w:rtl w:val="true"/>
          <w:lang w:bidi="ar-SA"/>
        </w:rPr>
        <w:t>فلاإشكال في إنعقاد الإجماع بين الفقهاء علىٰ جواز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تتبَّع موارد فتاوىٰ الفقهاء لايبقىٰ له الشَّكُّ في أنَّهم تمسَّكوا به في موارد كثيرةٍ لايمكن عدُّها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إنعقاد الإجماع العمليِّ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الشَّيخُ الأعظم قدس سره</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تابعه فيه بعض أعاظم المعاصرين؛</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أنَّ سيرة المسلمين في جميع الأمصار والأعصار استقرَّتْ علىٰ صحَّته، حيث لايرتابون في جواز العمل به عند بروز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الإجماع هذا ليس بشيءٍ‌، لوضوح كونها محتمَل المدركيَّة، بل مقطوعها، نظرًا إلى تظافر الأدلَّة المُثبِة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قسمٍ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المحقِّق الفقيه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المحكيِّ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تعبُّديًّا كاشفًا عن رأي المعصوم عليهم السلام أشكل</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كما وعن غيره أيضًا</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20337_261565"/>
    </w:p>
    <w:p>
      <w:pPr>
        <w:pStyle w:val="Heading4"/>
        <w:numPr>
          <w:ilvl w:val="3"/>
          <w:numId w:val="1"/>
        </w:numPr>
        <w:rPr/>
      </w:pPr>
      <w:bookmarkStart w:id="395" w:name="__RefHeading___Toc11945186_1280447820"/>
      <w:bookmarkStart w:id="396" w:name="_Toc145"/>
      <w:bookmarkEnd w:id="394"/>
      <w:bookmarkEnd w:id="395"/>
      <w:r>
        <w:rPr>
          <w:rtl w:val="true"/>
        </w:rPr>
        <w:t>رابعًا</w:t>
      </w:r>
      <w:r>
        <w:rPr>
          <w:rtl w:val="true"/>
        </w:rPr>
        <w:t xml:space="preserve">: </w:t>
      </w:r>
      <w:r>
        <w:rPr>
          <w:rtl w:val="true"/>
        </w:rPr>
        <w:t>العقل</w:t>
      </w:r>
      <w:bookmarkEnd w:id="396"/>
    </w:p>
    <w:p>
      <w:pPr>
        <w:pStyle w:val="BookText"/>
        <w:rPr/>
      </w:pPr>
      <w:r>
        <w:rPr>
          <w:rFonts w:ascii="Amiri" w:hAnsi="Amiri" w:eastAsia="Amiri" w:cs="Amiri"/>
          <w:color w:val="111111"/>
          <w:sz w:val="28"/>
          <w:sz w:val="28"/>
          <w:szCs w:val="28"/>
          <w:rtl w:val="true"/>
          <w:lang w:bidi="ar-SA"/>
        </w:rPr>
        <w:t>فإنَّ العقل يستقلُّ بالحكم بهذا الأصل، نظرًا إلى أنَّه لولم يجر هذا الأصل في أمور المجتمع وبين سُكَّانها ليختلُّ نظام معاشهم، بل يلزم إختلال النِّظام قطعًا؛</w:t>
      </w:r>
    </w:p>
    <w:p>
      <w:pPr>
        <w:pStyle w:val="BookText"/>
        <w:rPr/>
      </w:pPr>
      <w:r>
        <w:rPr>
          <w:rFonts w:ascii="Amiri" w:hAnsi="Amiri" w:eastAsia="Amiri" w:cs="Amiri"/>
          <w:color w:val="111111"/>
          <w:sz w:val="28"/>
          <w:sz w:val="28"/>
          <w:szCs w:val="28"/>
          <w:rtl w:val="true"/>
          <w:lang w:bidi="ar-SA"/>
        </w:rPr>
        <w:t xml:space="preserve">ومن البديهيِّ أنَّ الإختلال اللَّازم من ترك العمل بهذا الأصل أزيد وأكثر من الإختلال الَّذي يحصل من ترك العمل بقاعدة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كثيرٌ منهم</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الإمام أباعبداللَّه الصَّادق عليه السلام بعد أن بيَّن حجِّيَّة قاعدة اليد وحكَمَ بصحَّتها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يَجُزْ هذا لم يَقُمْ للمسلمين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1310"/>
      </w:r>
      <w:r>
        <w:rPr>
          <w:rFonts w:ascii="Amiri" w:hAnsi="Amiri" w:eastAsia="Amiri" w:cs="Amiri"/>
          <w:color w:val="111111"/>
          <w:sz w:val="28"/>
          <w:sz w:val="28"/>
          <w:szCs w:val="28"/>
          <w:rtl w:val="true"/>
          <w:lang w:bidi="ar-SA"/>
        </w:rPr>
        <w:t>، والصَّدوق قدس سره</w:t>
      </w:r>
      <w:r>
        <w:rPr>
          <w:rStyle w:val="FootnoteAnchor"/>
          <w:rtl w:val="true"/>
        </w:rPr>
        <w:footnoteReference w:id="1311"/>
      </w:r>
      <w:r>
        <w:rPr>
          <w:rFonts w:ascii="Amiri" w:hAnsi="Amiri" w:eastAsia="Amiri" w:cs="Amiri"/>
          <w:color w:val="111111"/>
          <w:sz w:val="28"/>
          <w:sz w:val="28"/>
          <w:szCs w:val="28"/>
          <w:rtl w:val="true"/>
          <w:lang w:bidi="ar-SA"/>
        </w:rPr>
        <w:t>، والشَّيخ قدس سره</w:t>
      </w:r>
      <w:r>
        <w:rPr>
          <w:rStyle w:val="FootnoteAnchor"/>
          <w:rtl w:val="true"/>
        </w:rPr>
        <w:footnoteReference w:id="1312"/>
      </w:r>
      <w:r>
        <w:rPr>
          <w:rFonts w:ascii="Amiri" w:hAnsi="Amiri" w:eastAsia="Amiri" w:cs="Amiri"/>
          <w:color w:val="111111"/>
          <w:sz w:val="28"/>
          <w:sz w:val="28"/>
          <w:szCs w:val="28"/>
          <w:rtl w:val="true"/>
          <w:lang w:bidi="ar-SA"/>
        </w:rPr>
        <w:t>، والشَّيخ الحرُّ قدس سره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قوله هذا بفحواه علىٰ حجِّيَّة أصالة الصِّحَّة أيضًا وصحَّتها</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صحَّة إحتمالٍ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لابفحواها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حجِّيَّة ما نحن بصدده الآن، بتقريب أن يُقال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ما لزم الإختلال بدونه فهو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الإختلال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الأصل من جملة ما يختلُّ النِّظام بدونه؛</w:t>
      </w:r>
    </w:p>
    <w:p>
      <w:pPr>
        <w:pStyle w:val="BookText"/>
        <w:rPr/>
      </w:pPr>
      <w:r>
        <w:rPr>
          <w:rFonts w:ascii="Amiri" w:hAnsi="Amiri" w:eastAsia="Amiri" w:cs="Amiri"/>
          <w:color w:val="111111"/>
          <w:sz w:val="28"/>
          <w:sz w:val="28"/>
          <w:szCs w:val="28"/>
          <w:rtl w:val="true"/>
          <w:lang w:bidi="ar-SA"/>
        </w:rPr>
        <w:t>فهو حقٌّ واجب الإنقياد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إلى اهتمام الشَّارع بحفظ النِّظام جعَلَ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حفظ نظام المعاش بل الحياة علىٰ جريان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خامسًا من أدلَّة القاعدة</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الفقه الفعَّال،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الأدلَّة صحيحةٌ وإن كان في بعضها شيءٌ‌، لكنَّ العُمدة في المقام هو السِّيرة العقلائيَّة الحاكمة عليه، وهذه السِّيرة لاتختصُّ بطائفةٍ دون طائفةٍ أخرىٰ‌، بل ولا بالمسلمين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بعضُهم</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فالنَّاس كما يعملون بخبر الثِّقة ويعتمدون عليه، وكما يعملون علىٰ مقتضىٰ قاعدة اليد يعملون بقاعدة الصِّحَّة ويُسندون عليها؛ إذ كما أنَّهم يرون الخبر واليد أمارتان كاشفتان عن الواقع يرون أصالة الصِّحَّة كذلك أمارةً تُكشِفُ عن الواقع؛ وكما أنَّ إحتمال الخلاف مغفولٌ عنه بينهم فلايلتفتون إلى هذا الإحتمال ما لم يدلَّ عليه دليلٌ‌، فكذلك سيرتهم في أصالة الصِّحَّة؛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والشَّارع لم يردع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أمضاها في موارد كثيرةٍ تُنبِىء عنها تلك الأحاديث الَّتي أشرنا إلى قسمٍ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فالسِّيرة هذه حجَّةٌ شرعيَّةٌ أيضًا، ضرورةَ استقرار سيرة المعصومين عليهم السلام علىٰ المعاشرات العُرفيَّة مع النَّاس مِن البيع والشِّراء وإيكال الأمور إلى الغير بالوكالة ونحوها؛ </w:t>
      </w:r>
    </w:p>
    <w:p>
      <w:pPr>
        <w:pStyle w:val="BookText"/>
        <w:rPr/>
      </w:pPr>
      <w:r>
        <w:rPr>
          <w:rFonts w:ascii="Amiri" w:hAnsi="Amiri" w:eastAsia="Amiri" w:cs="Amiri"/>
          <w:color w:val="111111"/>
          <w:sz w:val="28"/>
          <w:sz w:val="28"/>
          <w:szCs w:val="28"/>
          <w:rtl w:val="true"/>
          <w:lang w:bidi="ar-SA"/>
        </w:rPr>
        <w:t>ولايمكن تصحيح سيرتهم هذه إلَّابجريان جملةٍ من القواعد، كقاعدة اليد وقاعدة الصِّحَّة وقاعدة حجيَّة خبر الثِّقة وغيرها من الأصول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هذا كلُّه ظهر أنَّه لايلزم علينا أن نبحث عن لِمِّيَّة استقرار هذه السِّيرة، وأنَّه هل كان لأجلِ التَّحرُّز عن إختلال النِّظام‌؟،</w:t>
      </w:r>
    </w:p>
    <w:p>
      <w:pPr>
        <w:pStyle w:val="BookText"/>
        <w:rPr/>
      </w:pPr>
      <w:r>
        <w:rPr>
          <w:rFonts w:ascii="Amiri" w:hAnsi="Amiri" w:eastAsia="Amiri" w:cs="Amiri"/>
          <w:color w:val="111111"/>
          <w:sz w:val="28"/>
          <w:sz w:val="28"/>
          <w:szCs w:val="28"/>
          <w:rtl w:val="true"/>
          <w:lang w:bidi="ar-SA"/>
        </w:rPr>
        <w:t>أو لأجلِ جعلٍ خاصٍّ من ناحيَة كُبَراء القوم‌؟،</w:t>
      </w:r>
    </w:p>
    <w:p>
      <w:pPr>
        <w:pStyle w:val="BookText"/>
        <w:rPr/>
      </w:pPr>
      <w:r>
        <w:rPr>
          <w:rFonts w:ascii="Amiri" w:hAnsi="Amiri" w:eastAsia="Amiri" w:cs="Amiri"/>
          <w:color w:val="111111"/>
          <w:sz w:val="28"/>
          <w:sz w:val="28"/>
          <w:szCs w:val="28"/>
          <w:rtl w:val="true"/>
          <w:lang w:bidi="ar-SA"/>
        </w:rPr>
        <w:t>أو غير ذلك من الاِحتمالات الجارية في تحليل لِمِّيَّته؛ وإن كان الظَّاهر أنَّ جعل تلك القواعد كلِّها ليس إلَّاحذرًا عن وقوع الإختلال فيه؛ كما أشار إليه أبوعبداللَّه الصَّادق عليه السلام بقوله فيما رواه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يَجُزْ هذا لم يَقُمْ للمسلمين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السِّيرة هيهنا محكَمَةٌ بحيث ذهب الفقيه المحقِّق الخوئيُّ قدس سره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مدرك أصالة الصِّحَّة ليس إلَّاالسِّيرة المستمرَّة</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وقال في بيان مدارك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 هو قيام سيرة العقلاء إلى زمان الأئمَّة عليهم السلام علىٰ إجراء أصالة الصِّحَّة في فعل الغير</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وإن ذهب في موضعٍ آخر علىٰ أنَّ الإجماع كالسِّيرة يدلُّ عليها</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بعضُهم علىٰ أنَّ مدرك هذا الأصل إنَّما هو السِّيرة فقط</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الصَّادق،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وتمسَّك بعضُهم بأدلَّةٍ أُخرىٰ لتصحيح القاعدة، كعموم وجوب الوفاء بالعقود، </w:t>
      </w:r>
      <w:bookmarkStart w:id="397" w:name="pg20337_261568"/>
    </w:p>
    <w:p>
      <w:pPr>
        <w:pStyle w:val="BookText"/>
        <w:rPr/>
      </w:pPr>
      <w:bookmarkEnd w:id="397"/>
      <w:r>
        <w:rPr>
          <w:rFonts w:ascii="Amiri" w:hAnsi="Amiri" w:eastAsia="Amiri" w:cs="Amiri"/>
          <w:color w:val="111111"/>
          <w:sz w:val="28"/>
          <w:sz w:val="28"/>
          <w:szCs w:val="28"/>
          <w:rtl w:val="true"/>
          <w:lang w:bidi="ar-SA"/>
        </w:rPr>
        <w:t>وصحَّة التِّجارة عن تراضٍ‌، وغيرهما</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في أصول الفقه،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ولاحاجة إليها بعد إمكان الَّتمسُّك بالسِّيرة، المحكَمَة في المقام</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1945188_1280447820"/>
      <w:bookmarkStart w:id="399" w:name="_Toc146"/>
      <w:bookmarkEnd w:id="398"/>
      <w:r>
        <w:rPr>
          <w:rtl w:val="true"/>
        </w:rPr>
        <w:t>تنبيهاتٌ‌</w:t>
      </w:r>
      <w:r>
        <w:rPr>
          <w:rtl w:val="true"/>
        </w:rPr>
        <w:t>:</w:t>
      </w:r>
      <w:bookmarkEnd w:id="399"/>
    </w:p>
    <w:p>
      <w:pPr>
        <w:pStyle w:val="Heading4"/>
        <w:numPr>
          <w:ilvl w:val="3"/>
          <w:numId w:val="1"/>
        </w:numPr>
        <w:rPr/>
      </w:pPr>
      <w:bookmarkStart w:id="400" w:name="__RefHeading___Toc11945190_1280447820"/>
      <w:bookmarkStart w:id="401" w:name="_Toc147"/>
      <w:bookmarkEnd w:id="400"/>
      <w:r>
        <w:rPr>
          <w:rtl w:val="true"/>
        </w:rPr>
        <w:t>التَّنبيه الأوَّل</w:t>
      </w:r>
      <w:r>
        <w:rPr>
          <w:rtl w:val="true"/>
        </w:rPr>
        <w:t>:</w:t>
      </w:r>
      <w:bookmarkEnd w:id="401"/>
    </w:p>
    <w:p>
      <w:pPr>
        <w:pStyle w:val="BookText"/>
        <w:rPr/>
      </w:pPr>
      <w:r>
        <w:rPr>
          <w:rFonts w:ascii="Amiri" w:hAnsi="Amiri" w:eastAsia="Amiri" w:cs="Amiri"/>
          <w:color w:val="111111"/>
          <w:sz w:val="28"/>
          <w:sz w:val="28"/>
          <w:szCs w:val="28"/>
          <w:rtl w:val="true"/>
          <w:lang w:bidi="ar-SA"/>
        </w:rPr>
        <w:t>هل القاعدة تجري في فعل الغير فقط؟، أو في فعل نفسه أيضًا؟؛</w:t>
      </w:r>
    </w:p>
    <w:p>
      <w:pPr>
        <w:pStyle w:val="BookText"/>
        <w:rPr/>
      </w:pPr>
      <w:r>
        <w:rPr>
          <w:rFonts w:ascii="Amiri" w:hAnsi="Amiri" w:eastAsia="Amiri" w:cs="Amiri"/>
          <w:color w:val="111111"/>
          <w:sz w:val="28"/>
          <w:sz w:val="28"/>
          <w:szCs w:val="28"/>
          <w:rtl w:val="true"/>
          <w:lang w:bidi="ar-SA"/>
        </w:rPr>
        <w:t>وهل هي تختصُّ بفعل المسلمين‌؟، أو يشمل أفعال 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إثبات العموم في هذه كلِّها، لجريان السِّيرة فيها، وفاقًا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اللَّاري قدس سره حيث أوسع في المقام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أصالة الصِّحَّة لاتنحصر في أفعال المسلمين، بل ولا في أفعال القاصدين، بل ولا في فعلٍ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مأخذه غلبة الصِّحَّة علىٰ الفساد وغلبة الَّتمام علىٰ النَّاقص في جميع الأشياء</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وكغيره</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وخلافًا لبعضهم الآخر، كالمحكيِّ عن المحقِّق الفقيه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المؤمن دون غيره</w:t>
      </w:r>
      <w:r>
        <w:rPr>
          <w:rFonts w:eastAsia="Amiri" w:cs="Amiri" w:ascii="Amiri" w:hAnsi="Amiri"/>
          <w:color w:val="111111"/>
          <w:sz w:val="28"/>
          <w:szCs w:val="28"/>
          <w:rtl w:val="true"/>
          <w:lang w:bidi="ar-SA"/>
        </w:rPr>
        <w:t>»</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هيهنا ما ذكره بعضُ‌ </w:t>
      </w:r>
      <w:bookmarkStart w:id="402" w:name="pg20337_261569"/>
    </w:p>
    <w:p>
      <w:pPr>
        <w:pStyle w:val="BookText"/>
        <w:rPr/>
      </w:pPr>
      <w:bookmarkEnd w:id="402"/>
      <w:r>
        <w:rPr>
          <w:rFonts w:ascii="Amiri" w:hAnsi="Amiri" w:eastAsia="Amiri" w:cs="Amiri"/>
          <w:color w:val="111111"/>
          <w:sz w:val="28"/>
          <w:sz w:val="28"/>
          <w:szCs w:val="28"/>
          <w:rtl w:val="true"/>
          <w:lang w:bidi="ar-SA"/>
        </w:rPr>
        <w:t>تلامذته مع أنَّه تابعٌ لآراء أُستاذه الكبير في قاطبة المواضع</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تمسَّك للذِّهاب إلى أنَّ موردَها هو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بعنوان القاعدة أوَّلًا؛</w:t>
      </w:r>
    </w:p>
    <w:p>
      <w:pPr>
        <w:pStyle w:val="BookText"/>
        <w:rPr/>
      </w:pPr>
      <w:r>
        <w:rPr>
          <w:rFonts w:ascii="Amiri" w:hAnsi="Amiri" w:eastAsia="Amiri" w:cs="Amiri"/>
          <w:color w:val="111111"/>
          <w:sz w:val="28"/>
          <w:sz w:val="28"/>
          <w:szCs w:val="28"/>
          <w:rtl w:val="true"/>
          <w:lang w:bidi="ar-SA"/>
        </w:rPr>
        <w:t xml:space="preserve">وبالمُستفاد من أدلَّة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السِّيرة والنُّصوص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الفقه الفعَّال،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فلاضير فيه، حيث إنَّ العنوان يشير إلى الغالب من موارد جريان القاعدة، ولاحصر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فسنتكلَّم عن أنَّ العمدة في المقام هو السِّيرة، وهي تدلُّ علىٰ جريان الأصل في فعل النَّفس، كما وتدلُّ علىٰ جريانه في فعل الغير، وهذا واضحٌ لاسترة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أرجَعَ فعلَ النَّفس إلى قاعدة الفراغ والتَّجاوز</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في أصول الفقه،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صحيحًا لكن لاتنافي بينه وبين اِشتمالها لأفعال النَّفس أيضًا</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945192_1280447820"/>
      <w:bookmarkStart w:id="404" w:name="_Toc148"/>
      <w:bookmarkEnd w:id="403"/>
      <w:r>
        <w:rPr>
          <w:rtl w:val="true"/>
        </w:rPr>
        <w:t>التَّنبيه الثَّاني</w:t>
      </w:r>
      <w:r>
        <w:rPr>
          <w:rtl w:val="true"/>
        </w:rPr>
        <w:t>:</w:t>
      </w:r>
      <w:bookmarkEnd w:id="40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قلنا ظهر أنَّ أصالة الصِّحَّة تُعدُّ أمارةً في عداد غيرها من الأمارات، لا أصلٌ تعبُّديٌّ عُيِّنَت كوظيفةٍ في ظرف الشَّكِّ‌، لأنَّ احتمال الخلاف في فعل الغير مغفولٌ عنه عند العقلاء، فلولم تكن أصالة الصِّحَّة أولىٰ في ذلك من قاعدة اليد فلاأقلَّ من ثبوت </w:t>
      </w:r>
    </w:p>
    <w:p>
      <w:pPr>
        <w:pStyle w:val="BookText"/>
        <w:rPr/>
      </w:pPr>
      <w:r>
        <w:rPr>
          <w:rFonts w:ascii="Amiri" w:hAnsi="Amiri" w:eastAsia="Amiri" w:cs="Amiri"/>
          <w:color w:val="111111"/>
          <w:sz w:val="28"/>
          <w:sz w:val="28"/>
          <w:szCs w:val="28"/>
          <w:rtl w:val="true"/>
          <w:lang w:bidi="ar-SA"/>
        </w:rPr>
        <w:t>المساوات بينها وبين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قلنا من أنَّ اِحتمال الخلاف في فعل الغير وجريان الشَّكِّ فيه ملغىً عند العقلاء، ظهر ما في كلام بعضهم حيث عدَّ القاعدة أصلًا من الأصول، متمسِّكًا باستقرار السِّيرة علىٰ جريان هذا الأصل عند الشَّكِّ في صحَّة فعل الغير</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الفقه الفعَّال،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كلام المحقِّق البجنورديِّ قدس سره حيث عدَّ القاعدة أصلًا محرِزًا، مستنِدًا بدلالة بناء العُقلاء علىٰ ذلك</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بل الحقُّ مع غيره الَّذين لم يهتمُّوا بهذا الإحتمال</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في أصول الفقه،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السَّيِّد الأستاذ الإمام الخمينيِّ قدس سره</w:t>
      </w:r>
      <w:r>
        <w:rPr>
          <w:rStyle w:val="FootnoteAnchor"/>
          <w:rtl w:val="true"/>
        </w:rPr>
        <w:footnoteReference w:id="1331"/>
      </w:r>
      <w:r>
        <w:rPr>
          <w:rFonts w:ascii="Amiri" w:hAnsi="Amiri" w:eastAsia="Amiri" w:cs="Amiri"/>
          <w:color w:val="111111"/>
          <w:sz w:val="28"/>
          <w:sz w:val="28"/>
          <w:szCs w:val="28"/>
          <w:rtl w:val="true"/>
          <w:lang w:bidi="ar-SA"/>
        </w:rPr>
        <w:t>والمحقِّق الفقيه الخوئيِّ قدس سره</w:t>
      </w:r>
      <w:r>
        <w:rPr>
          <w:rStyle w:val="FootnoteAnchor"/>
          <w:rtl w:val="true"/>
        </w:rPr>
        <w:footnoteReference w:id="1332"/>
      </w:r>
      <w:r>
        <w:rPr>
          <w:rFonts w:ascii="Amiri" w:hAnsi="Amiri" w:eastAsia="Amiri" w:cs="Amiri"/>
          <w:color w:val="111111"/>
          <w:sz w:val="28"/>
          <w:sz w:val="28"/>
          <w:szCs w:val="28"/>
          <w:rtl w:val="true"/>
          <w:lang w:bidi="ar-SA"/>
        </w:rPr>
        <w:t>تبعًا للشَّيخ الأعظم قدس سره</w:t>
      </w:r>
      <w:r>
        <w:rPr>
          <w:rStyle w:val="FootnoteAnchor"/>
          <w:rtl w:val="true"/>
        </w:rPr>
        <w:footnoteReference w:id="1333"/>
      </w:r>
      <w:r>
        <w:rPr>
          <w:rFonts w:ascii="Amiri" w:hAnsi="Amiri" w:eastAsia="Amiri" w:cs="Amiri"/>
          <w:color w:val="111111"/>
          <w:sz w:val="28"/>
          <w:sz w:val="28"/>
          <w:szCs w:val="28"/>
          <w:rtl w:val="true"/>
          <w:lang w:bidi="ar-SA"/>
        </w:rPr>
        <w:t>من عدم حجِّيَّة مثبَتاتها</w:t>
      </w:r>
      <w:r>
        <w:rPr>
          <w:rStyle w:val="FootnoteAnchor"/>
          <w:rtl w:val="true"/>
        </w:rPr>
        <w:footnoteReference w:id="1334"/>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لاوجه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العقلاء كما يُثبِتون الأصل يُثبِتون لوازمه وملزوماته وملازماته؛ ألَا ترىٰ أنَّه لواشترى أحدٌ شيئًا يحكم العُرف بوقوعه في ماله، كما يحكم </w:t>
      </w:r>
      <w:bookmarkStart w:id="405" w:name="pg20337_261571"/>
    </w:p>
    <w:p>
      <w:pPr>
        <w:pStyle w:val="BookText"/>
        <w:rPr/>
      </w:pPr>
      <w:bookmarkEnd w:id="405"/>
      <w:r>
        <w:rPr>
          <w:rFonts w:ascii="Amiri" w:hAnsi="Amiri" w:eastAsia="Amiri" w:cs="Amiri"/>
          <w:color w:val="111111"/>
          <w:sz w:val="28"/>
          <w:sz w:val="28"/>
          <w:szCs w:val="28"/>
          <w:rtl w:val="true"/>
          <w:lang w:bidi="ar-SA"/>
        </w:rPr>
        <w:t>بخروج الَّثمَن من يده؛ وهكذا في جميع الموارد؛ فالقول بالتَّفكيك بين أصل الأصل وما يدور حوله مستهجَنٌ بحسب العرف قطعًا؛ كمَن صلَّى ثمَّ شكَّ في أنَّه توضَّأ؟ أم لا؟، فيحكم بصحَّة صلواة نفسه قطعًا، كما يجوز للغير الاقتداء به فيها، حُكمًا لهم بكونه متوضِّأً جامعًا لشرائط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الشَّيخ قدس سره</w:t>
      </w:r>
      <w:r>
        <w:rPr>
          <w:rStyle w:val="FootnoteAnchor"/>
          <w:rtl w:val="true"/>
        </w:rPr>
        <w:footnoteReference w:id="1335"/>
      </w:r>
      <w:r>
        <w:rPr>
          <w:rFonts w:ascii="Amiri" w:hAnsi="Amiri" w:eastAsia="Amiri" w:cs="Amiri"/>
          <w:color w:val="111111"/>
          <w:sz w:val="28"/>
          <w:sz w:val="28"/>
          <w:szCs w:val="28"/>
          <w:rtl w:val="true"/>
          <w:lang w:bidi="ar-SA"/>
        </w:rPr>
        <w:t xml:space="preserve">من أنَّه لوشكَّ الإنسان في صحَّة البيع الواقع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شكَّ في وقوع البيع علىٰ ما لايُملَك، كالخمر والخنزير بعينٍ من أعيان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يحكم بخروج الَّثمن من يده مع صحَّة دخول المال في مِلكه، فيحكم بصحَّة البيع وعدم انتقال شيءٍ من ماله قِبَل المبيع، لأصالة عدمه؛</w:t>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خارجٌ عن مدار العرف قطعًا، إذ يلزم من ذلك جواز تصرُّفه وتصرُّف وارثه في الَّثمن والمثمن معًا</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للبجنوردي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عمدة الوسائل في الحاشيَة علىٰ الرَّسائل،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ما لايُجوِّزه العرف بلاريبٍ فيه</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1945194_1280447820"/>
      <w:bookmarkStart w:id="407" w:name="_Toc149"/>
      <w:bookmarkEnd w:id="406"/>
      <w:r>
        <w:rPr>
          <w:rtl w:val="true"/>
        </w:rPr>
        <w:t>التَّنبيه الثَّالث</w:t>
      </w:r>
      <w:r>
        <w:rPr>
          <w:rtl w:val="true"/>
        </w:rPr>
        <w:t>:</w:t>
      </w:r>
      <w:bookmarkEnd w:id="40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الأصل هو الصِّحَّة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w:t>
      </w:r>
    </w:p>
    <w:p>
      <w:pPr>
        <w:pStyle w:val="BookText"/>
        <w:rPr/>
      </w:pPr>
      <w:r>
        <w:rPr>
          <w:rFonts w:ascii="Amiri" w:hAnsi="Amiri" w:eastAsia="Amiri" w:cs="Amiri"/>
          <w:color w:val="111111"/>
          <w:sz w:val="28"/>
          <w:sz w:val="28"/>
          <w:szCs w:val="28"/>
          <w:rtl w:val="true"/>
          <w:lang w:bidi="ar-SA"/>
        </w:rPr>
        <w:t>بعضُهم، منهم المحقِّق الرَّشتيُّ قدس سره</w:t>
      </w:r>
      <w:r>
        <w:rPr>
          <w:rStyle w:val="FootnoteAnchor"/>
          <w:rtl w:val="true"/>
        </w:rPr>
        <w:footnoteReference w:id="1337"/>
      </w:r>
      <w:r>
        <w:rPr>
          <w:rFonts w:ascii="Amiri" w:hAnsi="Amiri" w:eastAsia="Amiri" w:cs="Amiri"/>
          <w:color w:val="111111"/>
          <w:sz w:val="28"/>
          <w:sz w:val="28"/>
          <w:szCs w:val="28"/>
          <w:rtl w:val="true"/>
          <w:lang w:bidi="ar-SA"/>
        </w:rPr>
        <w:t>، والسَّيِّد المحقِّق الفشاركيُّ قدس سره</w:t>
      </w:r>
      <w:r>
        <w:rPr>
          <w:rStyle w:val="FootnoteAnchor"/>
          <w:rtl w:val="true"/>
        </w:rPr>
        <w:footnoteReference w:id="1338"/>
      </w:r>
      <w:r>
        <w:rPr>
          <w:rFonts w:ascii="Amiri" w:hAnsi="Amiri" w:eastAsia="Amiri" w:cs="Amiri"/>
          <w:color w:val="111111"/>
          <w:sz w:val="28"/>
          <w:sz w:val="28"/>
          <w:szCs w:val="28"/>
          <w:rtl w:val="true"/>
          <w:lang w:bidi="ar-SA"/>
        </w:rPr>
        <w:t>، والمحقِّق الآشتيانيُّ الكبير قدس سره</w:t>
      </w:r>
      <w:r>
        <w:rPr>
          <w:rStyle w:val="FootnoteAnchor"/>
          <w:rtl w:val="true"/>
        </w:rPr>
        <w:footnoteReference w:id="1339"/>
      </w:r>
      <w:r>
        <w:rPr>
          <w:rFonts w:ascii="Amiri" w:hAnsi="Amiri" w:eastAsia="Amiri" w:cs="Amiri"/>
          <w:color w:val="111111"/>
          <w:sz w:val="28"/>
          <w:sz w:val="28"/>
          <w:szCs w:val="28"/>
          <w:rtl w:val="true"/>
          <w:lang w:bidi="ar-SA"/>
        </w:rPr>
        <w:t>، والمحقِّق الخوئيُّ قدس سره</w:t>
      </w:r>
      <w:r>
        <w:rPr>
          <w:rStyle w:val="FootnoteAnchor"/>
          <w:rtl w:val="true"/>
        </w:rPr>
        <w:footnoteReference w:id="1340"/>
      </w:r>
      <w:r>
        <w:rPr>
          <w:rFonts w:ascii="Amiri" w:hAnsi="Amiri" w:eastAsia="Amiri" w:cs="Amiri"/>
          <w:color w:val="111111"/>
          <w:sz w:val="28"/>
          <w:sz w:val="28"/>
          <w:szCs w:val="28"/>
          <w:rtl w:val="true"/>
          <w:lang w:bidi="ar-SA"/>
        </w:rPr>
        <w:t>، ونُسِب إلى المحقِّق الميرزا القمِّي قدس سره أيضًا الذِّهاب إلى هذا القول</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الفقه الفعَّال،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وللمحقِّق النَّراقي في المبحث كلامٌ رشيقٌ‌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الصِّحَّة بحسب اعتقاد القائم بالفعل والقول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صعبَةٌ جدًّا، ولذلك فإنَّ الشَّيخ الأعظم قدس سره فارقها مردَّدًا في المراد من الصِّحَّة فيها</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المختار هو كون المراد بالصِّحَّة هي الصِّحَّة علىٰ مقتضى نظر القائم بالفعل، لأنَّ عمدة الأدلَّة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السِّيرة العُقلائيَّة، والمستفاد منها أنَّهم لايجرون أصالة الصِّحَّة فيما إذا عُلِم أنَّ اعتقاد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اِعتقاد من أراد جريان أصالة الصِّحَّة في حقِّ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رأىٰ عدم وجوب السُّورة في الصَّلوة أو عدم وجوب العربيَّة في العقد فصلَّى أو أجرىٰ العقد طبقًا لما يستحسنه ويفتي به، فليس لمَن رأىٰ وجوب السُّورة فيها ووجوب التَّكلُّم بالعربيَّة </w:t>
      </w:r>
    </w:p>
    <w:p>
      <w:pPr>
        <w:pStyle w:val="BookText"/>
        <w:rPr/>
      </w:pPr>
      <w:r>
        <w:rPr>
          <w:rFonts w:ascii="Amiri" w:hAnsi="Amiri" w:eastAsia="Amiri" w:cs="Amiri"/>
          <w:color w:val="111111"/>
          <w:sz w:val="28"/>
          <w:sz w:val="28"/>
          <w:szCs w:val="28"/>
          <w:rtl w:val="true"/>
          <w:lang w:bidi="ar-SA"/>
        </w:rPr>
        <w:t>فيه أن يُجري أصالة الصِّحَّة في فعل الأوَّل، مع كون ما قام به مخالفًا لرأيه؛ فيحكم بأنَّه صلَّى مع السُّورة وأجرىٰ العقد بالعربيَّة؛</w:t>
      </w:r>
    </w:p>
    <w:p>
      <w:pPr>
        <w:pStyle w:val="BookText"/>
        <w:rPr/>
      </w:pPr>
      <w:r>
        <w:rPr>
          <w:rFonts w:ascii="Amiri" w:hAnsi="Amiri" w:eastAsia="Amiri" w:cs="Amiri"/>
          <w:color w:val="111111"/>
          <w:sz w:val="28"/>
          <w:sz w:val="28"/>
          <w:szCs w:val="28"/>
          <w:rtl w:val="true"/>
          <w:lang w:bidi="ar-SA"/>
        </w:rPr>
        <w:t xml:space="preserve">بل لايبعد القول بأنَّ جريان أصالة الصِّحَّة في بعض الموارد يساوق الفَساد وأصالته، كمَن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إجتهادٍ أو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عند البلوغ إلى أربعة فراسخ من موطنه وإن لم يرجع ليومه إليه، فجريان أصالة الصِّحَّة في صلواته من قِبَل مَن لايرىٰ القصر فيها يوجب حكمُه ببطلان صلاة نفسه، كما هو ظاهرٌ؛</w:t>
      </w:r>
    </w:p>
    <w:p>
      <w:pPr>
        <w:pStyle w:val="BookText"/>
        <w:rPr/>
      </w:pPr>
      <w:r>
        <w:rPr>
          <w:rFonts w:ascii="Amiri" w:hAnsi="Amiri" w:eastAsia="Amiri" w:cs="Amiri"/>
          <w:color w:val="111111"/>
          <w:sz w:val="28"/>
          <w:sz w:val="28"/>
          <w:szCs w:val="28"/>
          <w:rtl w:val="true"/>
          <w:lang w:bidi="ar-SA"/>
        </w:rPr>
        <w:t>فجريان أصالة الصِّحَّة في فعل الغير يساوق في بعض الأحيان جريان أصالة الفَساد في 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أفتىٰ بحرمة صلوة الجُمُعة حال الغيبة لايجوز له الإقتداء بثاني صلاتَي من صلَّىٰ الجُمُعة، لأنَّ اللَّازم منه أن يكون الإمام في صلوة الظُّهر بينما أنَّه من الواضح كونه في صلوة العصر، لا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وأمثلة ذلك كثيرةٌ جدًّا؛</w:t>
      </w:r>
    </w:p>
    <w:p>
      <w:pPr>
        <w:pStyle w:val="BookText"/>
        <w:rPr/>
      </w:pPr>
      <w:r>
        <w:rPr>
          <w:rFonts w:ascii="Amiri" w:hAnsi="Amiri" w:eastAsia="Amiri" w:cs="Amiri"/>
          <w:color w:val="111111"/>
          <w:sz w:val="28"/>
          <w:sz w:val="28"/>
          <w:szCs w:val="28"/>
          <w:rtl w:val="true"/>
          <w:lang w:bidi="ar-SA"/>
        </w:rPr>
        <w:t>بل لامعنىٰ لجريان أصالة الصِّحَّة لاثبات أنَّ الفاعل يطابق بحسب الاعتقاد مَن يريد جريان الأصل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المراد بالصِّحَّة هي الصِّحَّة الواقعيَّة لا الصِّحَّة عند الفاعل، يرجع غالبًا إلى أنَّ المراد بالصِّحَّة هي الصِّحَّة عند العامل بالأصل الجاري له، ضرورةَ أنَّ الواقع لايُكِشف غالبًا إلَّابالاِعتقاد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إجتهادًا كان أو تقليدًا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لايُشترَط في جريان أصالة الصِّحَّة إحراز اعتقاد الفاعل أصلًا، ولامانع من القول بجريان الأصل في تلك الموارد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لوقلنا باِبتناء الأصل علىٰ بناء العقلاء علىٰ الغاء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الغالب في أفعالهم صدورها علىٰ النَّحو الصَّحيح، لأنَّ الفاعل المُريد لإيجاد فعلٍ يتوقَّع ترتُّب الأثر عليه، فلايخلُ بشيءٍ ممَّا هو معتبرٌ فيه عمدًا</w:t>
      </w:r>
      <w:r>
        <w:rPr>
          <w:rStyle w:val="FootnoteAnchor"/>
          <w:rtl w:val="true"/>
        </w:rPr>
        <w:footnoteReference w:id="1344"/>
      </w:r>
      <w:r>
        <w:rPr>
          <w:rFonts w:ascii="Amiri" w:hAnsi="Amiri" w:eastAsia="Amiri" w:cs="Amiri"/>
          <w:color w:val="111111"/>
          <w:sz w:val="28"/>
          <w:sz w:val="28"/>
          <w:szCs w:val="28"/>
          <w:rtl w:val="true"/>
          <w:lang w:bidi="ar-SA"/>
        </w:rPr>
        <w:t xml:space="preserve">، وأمَّا إخلاله فيه سهوًا فنادرٌ بحيث لايُلتَفَت إليه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فالصِّحَّة حينئذٍ تساوق الصِّحَّة علىٰ رأي الفاعل، لندورة تخلُّفه عن شرائط صِّحَّة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أنَّ مدركَه هو بناء العقلاء لأجلِ سهولة الأمر وعدم اِختلال النِّظام ونحو ذلك، فالصِّحَّة هذه هي الصِّحَّة الواقعيَّة غير المرتبطة باعتقاد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الأعظم قدس سره اختار أنَّ مدرك أصالة الصِّحَّة هو الثَّاني</w:t>
      </w:r>
      <w:r>
        <w:rPr>
          <w:rStyle w:val="FootnoteAnchor"/>
          <w:rtl w:val="true"/>
        </w:rPr>
        <w:footnoteReference w:id="1345"/>
      </w:r>
      <w:r>
        <w:rPr>
          <w:rFonts w:ascii="Amiri" w:hAnsi="Amiri" w:eastAsia="Amiri" w:cs="Amiri"/>
          <w:color w:val="111111"/>
          <w:sz w:val="28"/>
          <w:sz w:val="28"/>
          <w:szCs w:val="28"/>
          <w:rtl w:val="true"/>
          <w:lang w:bidi="ar-SA"/>
        </w:rPr>
        <w:t>، لا الأوَّل؛</w:t>
      </w:r>
    </w:p>
    <w:p>
      <w:pPr>
        <w:pStyle w:val="BookText"/>
        <w:rPr/>
      </w:pPr>
      <w:r>
        <w:rPr>
          <w:rFonts w:ascii="Amiri" w:hAnsi="Amiri" w:eastAsia="Amiri" w:cs="Amiri"/>
          <w:color w:val="111111"/>
          <w:sz w:val="28"/>
          <w:sz w:val="28"/>
          <w:szCs w:val="28"/>
          <w:rtl w:val="true"/>
          <w:lang w:bidi="ar-SA"/>
        </w:rPr>
        <w:t>ثمَّ تردَّد فيه وأخذ في الرَّدِّ والإجابة عنه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ومختاره 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النَّفس تُدرِك أنَّ المدرك هو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المدرك هيهنا بمنزلة الدَّاعي للجعل، فكما أنَّ الدَّاعي في جعل القوانين برمَّتها غير معتبرٍ لاشأن له غير نفس الجعل، فكذلك الدَّاعي في بناء العقلاء وسيرتهم ليس إلَّاكذلك؛ فكما أنَّ المناط في الجعل هو الظُّهورات، فكذلك المناط في سِيَر العقلاء هو جريُهم طبق الأصل وجريانهم إيَّاه في موارده، وقد مرَّ الكلام في أنَّهم لايجرون أصالة الصِّحَّة لاثبات الصِّحَّة الواقعيَّة، بل لتوافُقِهم علىٰ العمل بها </w:t>
      </w:r>
      <w:bookmarkStart w:id="408" w:name="pg20337_261575"/>
    </w:p>
    <w:p>
      <w:pPr>
        <w:pStyle w:val="BookText"/>
        <w:rPr/>
      </w:pPr>
      <w:bookmarkEnd w:id="408"/>
      <w:r>
        <w:rPr>
          <w:rFonts w:ascii="Amiri" w:hAnsi="Amiri" w:eastAsia="Amiri" w:cs="Amiri"/>
          <w:color w:val="111111"/>
          <w:sz w:val="28"/>
          <w:sz w:val="28"/>
          <w:szCs w:val="28"/>
          <w:rtl w:val="true"/>
          <w:lang w:bidi="ar-SA"/>
        </w:rPr>
        <w:t>حفظًا للنِّظام عن الاِختلال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قلنا ظهر أنَّه لاحاجة إلى 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حمل فعل الغير علىٰ الصِّحَّة علىٰ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بعضُهم</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لعموم دلالة السِّيرة علىٰ الموارد كلِّها</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1945196_1280447820"/>
      <w:bookmarkStart w:id="410" w:name="_Toc150"/>
      <w:bookmarkEnd w:id="409"/>
      <w:r>
        <w:rPr>
          <w:rtl w:val="true"/>
        </w:rPr>
        <w:t>التَّنبيه الرَّابع</w:t>
      </w:r>
      <w:r>
        <w:rPr>
          <w:rtl w:val="true"/>
        </w:rPr>
        <w:t>:</w:t>
      </w:r>
      <w:bookmarkEnd w:id="410"/>
    </w:p>
    <w:p>
      <w:pPr>
        <w:pStyle w:val="BookText"/>
        <w:rPr/>
      </w:pPr>
      <w:r>
        <w:rPr>
          <w:rFonts w:ascii="Amiri" w:hAnsi="Amiri" w:eastAsia="Amiri" w:cs="Amiri"/>
          <w:color w:val="111111"/>
          <w:sz w:val="28"/>
          <w:sz w:val="28"/>
          <w:szCs w:val="28"/>
          <w:rtl w:val="true"/>
          <w:lang w:bidi="ar-SA"/>
        </w:rPr>
        <w:t>في أقسام الشَّكِّ في العمل</w:t>
      </w:r>
    </w:p>
    <w:p>
      <w:pPr>
        <w:pStyle w:val="BookText"/>
        <w:rPr/>
      </w:pPr>
      <w:r>
        <w:rPr>
          <w:rFonts w:ascii="Amiri" w:hAnsi="Amiri" w:eastAsia="Amiri" w:cs="Amiri"/>
          <w:color w:val="111111"/>
          <w:sz w:val="28"/>
          <w:sz w:val="28"/>
          <w:szCs w:val="28"/>
          <w:rtl w:val="true"/>
          <w:lang w:bidi="ar-SA"/>
        </w:rPr>
        <w:t>قد أشرنا إلى أنَّ أصالة الصِّحَّة لاتجري في الشَّكِّ في أصل وقوع الفعل وصدوره عن الفاعل، بل مجراه فيما إذا شُكَّ في صحَّة ما صدر عنه؛ ضرروة أنَّ صحَّة العمل فرعُ صدور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واضحٌ‌؛ إنَّما الإشكال والكلام فيما إذا شُكَّ في ركن العمل الَّذي لاقوام للعمل إلَّابه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كالنِّيَّة للصَّلوة، والإنشاء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يجري هذا الأصلُ لإثبات وقوع النِّيَّة وكون العمل بعدها، أو وقع العقد مع الإنشاء؟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 والأقوىٰ المختار عندنا هو الجريان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وقياس ذلك بما إذا شُكَّ في أصل العمل، معلِّلًا بأنَّ الإخلال بالرُّكن إخلالٌ بتحقُّق نفس العمل، فكما لايمكن جريان الأصل بالنِّسبة إلى أصل العمل، فكذلك لايمكن جريانه بالنِّسبة إلى ما هو الرُّكن 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الأستاذ الإمام الخمينيِّ قدس سره</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المفروض صدور الفعل عن الفاعل، وبعد ذلك لافرق في فَساده بين الإخلال بالرُّكن والإخلال بغيره ممَّا يوجب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 أصالة الصِّحَّة فيهما علىٰ السِّواء، فهي كما تُصحِّح العمل فيما إذا كان الشَّكُّ من ناحيَة غير الرُّكن من الأجزاء والشَّرائط فكذلك تُصحِّحُه فيما إذا كان الشَّكُّ من ناحيَة الرُّكن وما هو قوام الفعل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النَّائينيُّ قدس سره إلى أنَّ دليل أصالة الصِّحَّة في العقود هو الإجماع</w:t>
      </w:r>
      <w:r>
        <w:rPr>
          <w:rStyle w:val="FootnoteAnchor"/>
          <w:rtl w:val="true"/>
        </w:rPr>
        <w:footnoteReference w:id="1348"/>
      </w:r>
      <w:r>
        <w:rPr>
          <w:rFonts w:ascii="Amiri" w:hAnsi="Amiri" w:eastAsia="Amiri" w:cs="Amiri"/>
          <w:color w:val="111111"/>
          <w:sz w:val="28"/>
          <w:sz w:val="28"/>
          <w:szCs w:val="28"/>
          <w:rtl w:val="true"/>
          <w:lang w:bidi="ar-SA"/>
        </w:rPr>
        <w:t xml:space="preserve">، وحيث إنَّه لا دليل لبِّيٍّ هناك فلابدَّ من الأخذ بالقدر المُتيقَّن في المقام، وهو ما إذا شُكَّ في تأثير العقد لنقل الَّثمن والمُثمن بعد الفراغ عن قدرة العاقد لإيجاد العقد من حيث نفسه، ومن حيث المعقود عليه؛ فلوشُكَّ في أهليَّة العاقد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 في أهليَّة المعقود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كونه خمرًا أو لحم 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مجرىٰ لأصالة الصِّحَّة؛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مأخوذان في أصل وضع العقد، فلابدَّ من إحرازهما أوَّلًا ثمَّ لوشُكَّ في صحَّة ما يتبع العقد فيُمكننا جريانها إذن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العمدة من أدلَّة أصالة الصِّحَّة هي بناء العقلاء، لا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مقطوع المدركيَّة،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مراعاة تلك السِّيرة وقد قدَّمنا أنَّ العرف يُجريها في مطلق ما يكون له دخلٌ في العمل بعد الفراغ عن أصل صدور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في صدر كلامه هو عدم ثبوت دليلٍ علىٰ جريان الأصل في الفرضَين المذكورين، وفي ذيله توقَّف جريان الأصل علىٰ وجود الشَّرطين، ولولا </w:t>
      </w:r>
      <w:bookmarkStart w:id="411" w:name="pg20337_261577"/>
    </w:p>
    <w:p>
      <w:pPr>
        <w:pStyle w:val="BookText"/>
        <w:rPr/>
      </w:pPr>
      <w:bookmarkEnd w:id="411"/>
      <w:r>
        <w:rPr>
          <w:rFonts w:ascii="Amiri" w:hAnsi="Amiri" w:eastAsia="Amiri" w:cs="Amiri"/>
          <w:color w:val="111111"/>
          <w:sz w:val="28"/>
          <w:sz w:val="28"/>
          <w:szCs w:val="28"/>
          <w:rtl w:val="true"/>
          <w:lang w:bidi="ar-SA"/>
        </w:rPr>
        <w:t xml:space="preserve">إحرازُهما لايجري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تهافتٌ ظاهرٌ بين صدر كلامه وذيله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قلنا ظهر الحال فيما إذا شُكَّ في صحَّة معاملةٍ من أجلِ الشَّكِّ في وجود شرطٍ مفسدٍ لو قلنا بمفسديَّة الشَّرط؛ أو شُكَّ في فَساد أصل شرطٍ أو عدم فَساده، ففي كلا الموردين تجري أصالة الصِّحَّة فيُثبِت صحَّة المعاملة وصحَّة الشَّرط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الشَّرط الَّذي وقع في العقد كان فاسدًا أو صحيحًا، فجريان أصالة الصِّحَّة في المعاملة يُثبت صحَّة المعاملة، كما أنَّ جريان الأصل في نفس الشَّرط يُثبت صحَّته؛ فلوإدَّعىٰ أحدُ المتعاقِدَين أنَّ الشَّرط الَّذي وقع في العقد كان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خياطة ثوبٍ غير معيَّنٍ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إدَّعىٰ أنَّه كان صحيحًا غير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خياطة ثوبٍ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فأصالة الصِّحَّة في الشَّرط أو أصالة الصِّحَّة في المعاملة جاريتان، وبجريانهما يُثبِت صحَّة المعاملة قطعًا</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وتفصيل هذا المطلب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علم الأصول،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11945198_1280447820"/>
      <w:bookmarkStart w:id="413" w:name="_Toc151"/>
      <w:bookmarkEnd w:id="412"/>
      <w:r>
        <w:rPr>
          <w:rtl w:val="true"/>
        </w:rPr>
        <w:t>التَّنبيه الخامس</w:t>
      </w:r>
      <w:r>
        <w:rPr>
          <w:rtl w:val="true"/>
        </w:rPr>
        <w:t>:</w:t>
      </w:r>
      <w:bookmarkEnd w:id="41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لاخلاف بين القوم في تقدُّم أصالة الصِّحَّة علىٰ الاِستصحاب الحكميِّ‌؛ أمَّا تقدُّمها علىٰ الاِستصحاب الموضوعيِّ أو تقدُّمه عليها، فوقع محلَّ الخلاف بين المتأخِّرين، حتَّى أنَّ الشَّيخ الأعظم قدس سره بحث عن المسألة بحثًا شافيًا</w:t>
      </w:r>
      <w:r>
        <w:rPr>
          <w:rStyle w:val="FootnoteAnchor"/>
          <w:rtl w:val="true"/>
        </w:rPr>
        <w:footnoteReference w:id="1350"/>
      </w:r>
      <w:bookmarkStart w:id="414" w:name="pg20337_261578"/>
    </w:p>
    <w:p>
      <w:pPr>
        <w:pStyle w:val="BookText"/>
        <w:rPr/>
      </w:pPr>
      <w:bookmarkEnd w:id="414"/>
      <w:r>
        <w:rPr>
          <w:rFonts w:ascii="Amiri" w:hAnsi="Amiri" w:eastAsia="Amiri" w:cs="Amiri"/>
          <w:color w:val="111111"/>
          <w:sz w:val="28"/>
          <w:sz w:val="28"/>
          <w:szCs w:val="28"/>
          <w:rtl w:val="true"/>
          <w:lang w:bidi="ar-SA"/>
        </w:rPr>
        <w:t xml:space="preserve">لكنَّا في راحةٍ عنه، لأنَّ عمدة الأدلَّة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إليها مرَّاتٍ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السيرة، فهي حاكمةٌ في تقدُّم القاعدة علىٰ الاِستصحاب أو تقدُّمه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المحقِّق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موردٍ قامَتْ السِّيرةُ علىٰ جريانها تجري وتتقدَّم علىٰ الاِستصحاب الموضوعيِّ والحُكميِّ‌، لأنَّ السِّيرة قائمةٌ علىٰ ذلك، كالمخصِّص لدليل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موردٍ لم يثبت قيام السِّيرة عليها لاتجري</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علىٰ القول بكونها في عداد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لاترديد في تقدُّمها علىٰ الاِستصحاب الموضوعيِّ‌، وهذا ممكنٌ علىٰ القول بكونها أصلًا أيضًا؛ كما أشار إليه المحقِّق البجنورديُّ قدس سره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1945200_1280447820"/>
      <w:bookmarkStart w:id="416" w:name="_Toc152"/>
      <w:bookmarkEnd w:id="415"/>
      <w:r>
        <w:rPr>
          <w:rtl w:val="true"/>
        </w:rPr>
        <w:t>أمثلةٌ لاستعمال القاعدة في الفقه</w:t>
      </w:r>
      <w:r>
        <w:rPr>
          <w:rtl w:val="true"/>
        </w:rPr>
        <w:t>:</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الشَّيخ قدس سره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بما يقع علىٰ المحلَّل والمحرَّم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 أوصىٰ بعودٍ من عيدانه وكان له عود لهوٍ وعيدان قسيٍ وعيدان عصا وعيدان السَّقف والبُنيان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الوصيَّة تنصرف إلى العود الَّذي يُضرَب به للَّهو، لأنَّ ذلك يُسمَّى بالإطلاق عودًا في العادة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العلَّامة إلى اِنصراف اللَّفظ إلى الُمحلَّل؛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لأصالة الصِّحَّة في </w:t>
      </w:r>
    </w:p>
    <w:p>
      <w:pPr>
        <w:pStyle w:val="BookText"/>
        <w:rPr/>
      </w:pPr>
      <w:r>
        <w:rPr>
          <w:rFonts w:ascii="Amiri" w:hAnsi="Amiri" w:eastAsia="Amiri" w:cs="Amiri"/>
          <w:color w:val="111111"/>
          <w:sz w:val="28"/>
          <w:sz w:val="28"/>
          <w:szCs w:val="28"/>
          <w:rtl w:val="true"/>
          <w:lang w:bidi="ar-SA"/>
        </w:rPr>
        <w:t>تصرُّفات المُسلم</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قدس سره 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عن الإمام عمدًا حتَّى سبقه بتكبيرةٍ فصاعدًا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أنَّها لاتبطل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 المِقداد قدس سره في مواضع تحريم خطبة النِّكاح لوأجابَتْ فنكَحَها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لايلزم من تحريم الخُطبة لووقعت، تحريم النِّكاح بعدها، لأصحالة الصِّحَّة</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417" w:name="pg20337_261580"/>
    </w:p>
    <w:p>
      <w:pPr>
        <w:pStyle w:val="Heading2"/>
        <w:numPr>
          <w:ilvl w:val="1"/>
          <w:numId w:val="1"/>
        </w:numPr>
        <w:rPr/>
      </w:pPr>
      <w:bookmarkStart w:id="418" w:name="__RefHeading___Toc11945202_1280447820"/>
      <w:bookmarkStart w:id="419" w:name="_Toc153"/>
      <w:bookmarkEnd w:id="417"/>
      <w:bookmarkEnd w:id="418"/>
      <w:r>
        <w:rPr>
          <w:rtl w:val="true"/>
        </w:rPr>
        <w:t>[</w:t>
      </w:r>
      <w:r>
        <w:rPr/>
        <w:t>34</w:t>
      </w:r>
      <w:r>
        <w:rPr>
          <w:rtl w:val="true"/>
        </w:rPr>
        <w:t xml:space="preserve">:] </w:t>
      </w:r>
      <w:r>
        <w:rPr>
          <w:rtl w:val="true"/>
        </w:rPr>
        <w:t>قاعدة أصالة اللُّزوم في العُقُود</w:t>
      </w:r>
      <w:bookmarkEnd w:id="419"/>
    </w:p>
    <w:p>
      <w:pPr>
        <w:pStyle w:val="Heading3"/>
        <w:numPr>
          <w:ilvl w:val="2"/>
          <w:numId w:val="1"/>
        </w:numPr>
        <w:rPr/>
      </w:pPr>
      <w:bookmarkStart w:id="420" w:name="__RefHeading___Toc11945204_1280447820"/>
      <w:bookmarkStart w:id="421" w:name="_Toc154"/>
      <w:bookmarkEnd w:id="420"/>
      <w:r>
        <w:rPr>
          <w:rtl w:val="true"/>
        </w:rPr>
        <w:t>عناوين أُخرىٰ للقاعدة</w:t>
      </w:r>
      <w:bookmarkEnd w:id="421"/>
    </w:p>
    <w:p>
      <w:pPr>
        <w:pStyle w:val="BookText"/>
        <w:rPr/>
      </w:pPr>
      <w:r>
        <w:rPr>
          <w:rFonts w:ascii="Amiri" w:hAnsi="Amiri" w:eastAsia="Amiri" w:cs="Amiri"/>
          <w:color w:val="111111"/>
          <w:sz w:val="28"/>
          <w:sz w:val="28"/>
          <w:szCs w:val="28"/>
          <w:rtl w:val="true"/>
          <w:lang w:bidi="ar-SA"/>
        </w:rPr>
        <w:t>الأصلُ في العقود الصِّحَّة واللُّزُوم</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البيع اللُّزومُ‌، وكذا في سائر العقود</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العقود اللُّزومُ‌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422" w:name="pg20337_261581"/>
    </w:p>
    <w:p>
      <w:pPr>
        <w:pStyle w:val="BookText"/>
        <w:rPr/>
      </w:pPr>
      <w:bookmarkEnd w:id="422"/>
      <w:r>
        <w:rPr>
          <w:rFonts w:ascii="Amiri" w:hAnsi="Amiri" w:eastAsia="Amiri" w:cs="Amiri"/>
          <w:color w:val="111111"/>
          <w:sz w:val="28"/>
          <w:sz w:val="28"/>
          <w:szCs w:val="28"/>
          <w:rtl w:val="true"/>
          <w:lang w:bidi="ar-SA"/>
        </w:rPr>
        <w:t>الأصلُ بناء العقودِ علىٰ اللُّزُوم</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عقود المعاوَضات اللُّزُوم</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المعاوَضات اللُّزُوم</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اللُّزوم في العقود</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اللُّزُوم في العقد والإيقاع</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1945206_1280447820"/>
      <w:bookmarkStart w:id="424" w:name="_Toc155"/>
      <w:bookmarkEnd w:id="423"/>
      <w:r>
        <w:rPr>
          <w:rtl w:val="true"/>
        </w:rPr>
        <w:t>توضيح مفاد القاعدة</w:t>
      </w:r>
      <w:bookmarkEnd w:id="42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القاعدة إنَّ جميعَ 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والبيعة والشَّرط وما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كحبْلٍ إذا وُجِد لاينحلُّ إلَّابقطع هذا الحبْلِ‌؛ فإذا انعقد العقدُ يصير لازمَ الوفاء، ولايجوز أن يُتُخلَّف عنه إلَّابإقالةٍ من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عقد بيعٍ وصار المُثمَن في ملك المشتري والَّثمَن في ملك البائع، فلايجوز للطَّرفين إرجاع الَّثمن أو المُثمن إلَّابإقالتهما </w:t>
      </w:r>
      <w:bookmarkStart w:id="425" w:name="pg20337_261582"/>
    </w:p>
    <w:p>
      <w:pPr>
        <w:pStyle w:val="BookText"/>
        <w:rPr/>
      </w:pPr>
      <w:bookmarkEnd w:id="425"/>
      <w:r>
        <w:rPr>
          <w:rFonts w:ascii="Amiri" w:hAnsi="Amiri" w:eastAsia="Amiri" w:cs="Amiri"/>
          <w:color w:val="111111"/>
          <w:sz w:val="28"/>
          <w:sz w:val="28"/>
          <w:szCs w:val="28"/>
          <w:rtl w:val="true"/>
          <w:lang w:bidi="ar-SA"/>
        </w:rPr>
        <w:t>البيع</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معنىً عرفيٌّ واضحٌ لايحتاج إلى الإكثار من 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يشملُ الإيقاع أيضًا، فكلُّ عهدٍ هو عقدٌ يجب الإلتزام به، سواءٌ احتاج إلى الطَّرف والقبول،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البيع يجب الإلتزام بعقده، فكذلك الطَّلاق يجب الالتزام بإيقاعه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فتقسيم العقود إلى العقد والإيقاع صحيحٌ واقعيٌّ‌، وليس باصطلاحٍ فقهيٍّ صرفٍ فقط، إذ في الجميع يُوجَد حبْلٌ ممدودٌ بين المُتعاقِدَين؛ وهو الَّذي يجب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في موارده، وشرعًا في موارده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 شرعيٌّ اعتباريٌّ‌، ومنه عقليٌّ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البيعَ ونحوه، يشمل الطَّلاق وغيره، من غير تفاوتٍ بينهما أصلًا</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1945208_1280447820"/>
      <w:bookmarkStart w:id="427" w:name="_Toc156"/>
      <w:bookmarkEnd w:id="426"/>
      <w:r>
        <w:rPr>
          <w:rtl w:val="true"/>
        </w:rPr>
        <w:t>مدركُ القاعدة</w:t>
      </w:r>
      <w:bookmarkEnd w:id="427"/>
    </w:p>
    <w:p>
      <w:pPr>
        <w:pStyle w:val="Heading4"/>
        <w:numPr>
          <w:ilvl w:val="3"/>
          <w:numId w:val="1"/>
        </w:numPr>
        <w:rPr/>
      </w:pPr>
      <w:bookmarkStart w:id="428" w:name="__RefHeading___Toc11945210_1280447820"/>
      <w:bookmarkStart w:id="429" w:name="_Toc157"/>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الدَّليل علىٰ القاعدة هو الأدلَّة الأربعة</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1945212_1280447820"/>
      <w:bookmarkStart w:id="431" w:name="_Toc158"/>
      <w:bookmarkEnd w:id="430"/>
      <w:r>
        <w:rPr>
          <w:rtl w:val="true"/>
        </w:rPr>
        <w:t>أوَّلًا</w:t>
      </w:r>
      <w:r>
        <w:rPr>
          <w:rtl w:val="true"/>
        </w:rPr>
        <w:t xml:space="preserve">: </w:t>
      </w:r>
      <w:r>
        <w:rPr>
          <w:rtl w:val="true"/>
        </w:rPr>
        <w:t>الكتاب</w:t>
      </w:r>
      <w:bookmarkEnd w:id="43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الكتاب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قال الشَّيخ قدس سره في تفسير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 أهلُ التَّأويل في العقود الَّتي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بالوفاء بها في هذه </w:t>
      </w:r>
    </w:p>
    <w:p>
      <w:pPr>
        <w:pStyle w:val="BookText"/>
        <w:rPr/>
      </w:pPr>
      <w:r>
        <w:rPr>
          <w:rFonts w:ascii="Amiri" w:hAnsi="Amiri" w:eastAsia="Amiri" w:cs="Amiri"/>
          <w:color w:val="111111"/>
          <w:sz w:val="28"/>
          <w:sz w:val="28"/>
          <w:szCs w:val="28"/>
          <w:rtl w:val="true"/>
          <w:lang w:bidi="ar-SA"/>
        </w:rPr>
        <w:t>الآية، بعد إجماعِهِم علىٰ أنَّ المرادَ بالعقودِ العهودُ</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والرَّاونديُّ قدس سره وإن خصَّ الآية بعقد الهُدْنَة للمشركين</w:t>
      </w:r>
      <w:r>
        <w:rPr>
          <w:rStyle w:val="FootnoteAnchor"/>
          <w:rtl w:val="true"/>
        </w:rPr>
        <w:footnoteReference w:id="1368"/>
      </w:r>
      <w:r>
        <w:rPr>
          <w:rFonts w:ascii="Amiri" w:hAnsi="Amiri" w:eastAsia="Amiri" w:cs="Amiri"/>
          <w:color w:val="111111"/>
          <w:sz w:val="28"/>
          <w:sz w:val="28"/>
          <w:szCs w:val="28"/>
          <w:rtl w:val="true"/>
          <w:lang w:bidi="ar-SA"/>
        </w:rPr>
        <w:t>، لكن لاخلاف في عمومِها بالنِّسبة إلى جميع العقود والعهود، والهُدنَة أيضًا منها؛ كما عمَّمَها الفاضلُ المقداد قدس سره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ولكثيرٍ من فقهاء المفسِّرين هيهنا كلماتٌ جديرةٌ بالرُّجوع، كالمقدَّس المحقِّق الأردبيليِّ قدس سره</w:t>
      </w:r>
      <w:r>
        <w:rPr>
          <w:rStyle w:val="FootnoteAnchor"/>
          <w:rtl w:val="true"/>
        </w:rPr>
        <w:footnoteReference w:id="1370"/>
      </w:r>
      <w:r>
        <w:rPr>
          <w:rFonts w:ascii="Amiri" w:hAnsi="Amiri" w:eastAsia="Amiri" w:cs="Amiri"/>
          <w:color w:val="111111"/>
          <w:sz w:val="28"/>
          <w:sz w:val="28"/>
          <w:szCs w:val="28"/>
          <w:rtl w:val="true"/>
          <w:lang w:bidi="ar-SA"/>
        </w:rPr>
        <w:t>، وسيِّدنا الأستاد العلَّامة قدس سره</w:t>
      </w:r>
      <w:r>
        <w:rPr>
          <w:rStyle w:val="FootnoteAnchor"/>
          <w:rtl w:val="true"/>
        </w:rPr>
        <w:footnoteReference w:id="1371"/>
      </w:r>
      <w:r>
        <w:rPr>
          <w:rFonts w:ascii="Amiri" w:hAnsi="Amiri" w:eastAsia="Amiri" w:cs="Amiri"/>
          <w:color w:val="111111"/>
          <w:sz w:val="28"/>
          <w:sz w:val="28"/>
          <w:szCs w:val="28"/>
          <w:rtl w:val="true"/>
          <w:lang w:bidi="ar-SA"/>
        </w:rPr>
        <w:t>، وابنِالعربي</w:t>
      </w:r>
      <w:r>
        <w:rPr>
          <w:rStyle w:val="FootnoteAnchor"/>
          <w:rtl w:val="true"/>
        </w:rPr>
        <w:footnoteReference w:id="1372"/>
      </w:r>
      <w:r>
        <w:rPr>
          <w:rFonts w:ascii="Amiri" w:hAnsi="Amiri" w:eastAsia="Amiri" w:cs="Amiri"/>
          <w:color w:val="111111"/>
          <w:sz w:val="28"/>
          <w:sz w:val="28"/>
          <w:szCs w:val="28"/>
          <w:rtl w:val="true"/>
          <w:lang w:bidi="ar-SA"/>
        </w:rPr>
        <w:t>، والجصَّاص قدس سره</w:t>
      </w:r>
      <w:r>
        <w:rPr>
          <w:rStyle w:val="FootnoteAnchor"/>
          <w:rtl w:val="true"/>
        </w:rPr>
        <w:footnoteReference w:id="1373"/>
      </w:r>
      <w:r>
        <w:rPr>
          <w:rFonts w:ascii="Amiri" w:hAnsi="Amiri" w:eastAsia="Amiri" w:cs="Amiri"/>
          <w:color w:val="111111"/>
          <w:sz w:val="28"/>
          <w:sz w:val="28"/>
          <w:szCs w:val="28"/>
          <w:rtl w:val="true"/>
          <w:lang w:bidi="ar-SA"/>
        </w:rPr>
        <w:t>، والكياهراسي قدس سره</w:t>
      </w:r>
      <w:r>
        <w:rPr>
          <w:rStyle w:val="FootnoteAnchor"/>
          <w:rtl w:val="true"/>
        </w:rPr>
        <w:footnoteReference w:id="1374"/>
      </w:r>
      <w:r>
        <w:rPr>
          <w:rFonts w:ascii="Amiri" w:hAnsi="Amiri" w:eastAsia="Amiri" w:cs="Amiri"/>
          <w:color w:val="111111"/>
          <w:sz w:val="28"/>
          <w:sz w:val="28"/>
          <w:szCs w:val="28"/>
          <w:rtl w:val="true"/>
          <w:lang w:bidi="ar-SA"/>
        </w:rPr>
        <w:t>، والقُرطبيِّ قدس سره</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ما ذكره المراغيُّ قدس سره</w:t>
      </w:r>
      <w:r>
        <w:rPr>
          <w:rStyle w:val="FootnoteAnchor"/>
          <w:rtl w:val="true"/>
        </w:rPr>
        <w:footnoteReference w:id="1376"/>
      </w:r>
      <w:r>
        <w:rPr>
          <w:rFonts w:ascii="Amiri" w:hAnsi="Amiri" w:eastAsia="Amiri" w:cs="Amiri"/>
          <w:color w:val="111111"/>
          <w:sz w:val="28"/>
          <w:sz w:val="28"/>
          <w:szCs w:val="28"/>
          <w:rtl w:val="true"/>
          <w:lang w:bidi="ar-SA"/>
        </w:rPr>
        <w:t>بهذا الشَّأن 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قال القرطبيُّ قدس سره في تفسيرالكريمة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الأمانةُ والعهدُ يجمع كلَّ ما يحمِلُه الإنسان من أمر </w:t>
      </w:r>
      <w:bookmarkStart w:id="432" w:name="pg20337_261584"/>
    </w:p>
    <w:p>
      <w:pPr>
        <w:pStyle w:val="BookText"/>
        <w:rPr/>
      </w:pPr>
      <w:bookmarkEnd w:id="432"/>
      <w:r>
        <w:rPr>
          <w:rFonts w:ascii="Amiri" w:hAnsi="Amiri" w:eastAsia="Amiri" w:cs="Amiri"/>
          <w:color w:val="111111"/>
          <w:sz w:val="28"/>
          <w:sz w:val="28"/>
          <w:szCs w:val="28"/>
          <w:rtl w:val="true"/>
          <w:lang w:bidi="ar-SA"/>
        </w:rPr>
        <w:t>دينه ودنياه، قولًا وفعلًا، وهذا يعُمُّ معاشرةَ النَّاس والمواعيد وغير ذلك</w:t>
      </w:r>
      <w:r>
        <w:rPr>
          <w:rFonts w:eastAsia="Amiri" w:cs="Amiri" w:ascii="Amiri" w:hAnsi="Amiri"/>
          <w:color w:val="111111"/>
          <w:sz w:val="28"/>
          <w:szCs w:val="28"/>
          <w:rtl w:val="true"/>
          <w:lang w:bidi="ar-SA"/>
        </w:rPr>
        <w:t>»</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إلى ما ذكره الطَّبرسيُّ قدس سره</w:t>
      </w:r>
      <w:r>
        <w:rPr>
          <w:rStyle w:val="FootnoteAnchor"/>
          <w:rtl w:val="true"/>
        </w:rPr>
        <w:footnoteReference w:id="1379"/>
      </w:r>
      <w:r>
        <w:rPr>
          <w:rFonts w:ascii="Amiri" w:hAnsi="Amiri" w:eastAsia="Amiri" w:cs="Amiri"/>
          <w:color w:val="111111"/>
          <w:sz w:val="28"/>
          <w:sz w:val="28"/>
          <w:szCs w:val="28"/>
          <w:rtl w:val="true"/>
          <w:lang w:bidi="ar-SA"/>
        </w:rPr>
        <w:t>، والسَّيِّد المدرِّسي المعاصر</w:t>
      </w:r>
      <w:r>
        <w:rPr>
          <w:rStyle w:val="FootnoteAnchor"/>
          <w:rtl w:val="true"/>
        </w:rPr>
        <w:footnoteReference w:id="1380"/>
      </w:r>
      <w:r>
        <w:rPr>
          <w:rFonts w:ascii="Amiri" w:hAnsi="Amiri" w:eastAsia="Amiri" w:cs="Amiri"/>
          <w:color w:val="111111"/>
          <w:sz w:val="28"/>
          <w:sz w:val="28"/>
          <w:szCs w:val="28"/>
          <w:rtl w:val="true"/>
          <w:lang w:bidi="ar-SA"/>
        </w:rPr>
        <w:t>، وسيِّدنا الأستاذ العلَّامة قدس سره</w:t>
      </w:r>
      <w:r>
        <w:rPr>
          <w:rStyle w:val="FootnoteAnchor"/>
          <w:rtl w:val="true"/>
        </w:rPr>
        <w:footnoteReference w:id="1381"/>
      </w:r>
      <w:r>
        <w:rPr>
          <w:rFonts w:ascii="Amiri" w:hAnsi="Amiri" w:eastAsia="Amiri" w:cs="Amiri"/>
          <w:color w:val="111111"/>
          <w:sz w:val="28"/>
          <w:sz w:val="28"/>
          <w:szCs w:val="28"/>
          <w:rtl w:val="true"/>
          <w:lang w:bidi="ar-SA"/>
        </w:rPr>
        <w:t>، وابنُالعربي</w:t>
      </w:r>
      <w:r>
        <w:rPr>
          <w:rStyle w:val="FootnoteAnchor"/>
          <w:rtl w:val="true"/>
        </w:rPr>
        <w:footnoteReference w:id="1382"/>
      </w:r>
      <w:r>
        <w:rPr>
          <w:rFonts w:ascii="Amiri" w:hAnsi="Amiri" w:eastAsia="Amiri" w:cs="Amiri"/>
          <w:color w:val="111111"/>
          <w:sz w:val="28"/>
          <w:sz w:val="28"/>
          <w:szCs w:val="28"/>
          <w:rtl w:val="true"/>
          <w:lang w:bidi="ar-SA"/>
        </w:rPr>
        <w:t>، لترىٰ مدىٰ دلالة الآية الشَّريفة علىٰ المراد</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1945214_1280447820"/>
      <w:bookmarkStart w:id="434" w:name="_Toc159"/>
      <w:bookmarkEnd w:id="433"/>
      <w:r>
        <w:rPr>
          <w:rtl w:val="true"/>
        </w:rPr>
        <w:t>ثانيًا</w:t>
      </w:r>
      <w:r>
        <w:rPr>
          <w:rtl w:val="true"/>
        </w:rPr>
        <w:t xml:space="preserve">: </w:t>
      </w:r>
      <w:r>
        <w:rPr>
          <w:rtl w:val="true"/>
        </w:rPr>
        <w:t>الرِّوايات</w:t>
      </w:r>
      <w:bookmarkEnd w:id="434"/>
    </w:p>
    <w:p>
      <w:pPr>
        <w:pStyle w:val="BookText"/>
        <w:rPr/>
      </w:pPr>
      <w:r>
        <w:rPr>
          <w:rFonts w:ascii="Amiri" w:hAnsi="Amiri" w:eastAsia="Amiri" w:cs="Amiri"/>
          <w:color w:val="111111"/>
          <w:sz w:val="28"/>
          <w:sz w:val="28"/>
          <w:szCs w:val="28"/>
          <w:rtl w:val="true"/>
          <w:lang w:bidi="ar-SA"/>
        </w:rPr>
        <w:t>ومن السُّنَّة فرواياتٌ كثيرةٌ 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الشَّيخ قدس سره في استبصاره</w:t>
      </w:r>
      <w:r>
        <w:rPr>
          <w:rStyle w:val="FootnoteAnchor"/>
          <w:rtl w:val="true"/>
        </w:rPr>
        <w:footnoteReference w:id="1383"/>
      </w:r>
      <w:r>
        <w:rPr>
          <w:rFonts w:ascii="Amiri" w:hAnsi="Amiri" w:eastAsia="Amiri" w:cs="Amiri"/>
          <w:color w:val="111111"/>
          <w:sz w:val="28"/>
          <w:sz w:val="28"/>
          <w:szCs w:val="28"/>
          <w:rtl w:val="true"/>
          <w:lang w:bidi="ar-SA"/>
        </w:rPr>
        <w:t>، وتهذيبه</w:t>
      </w:r>
      <w:r>
        <w:rPr>
          <w:rStyle w:val="FootnoteAnchor"/>
          <w:rtl w:val="true"/>
        </w:rPr>
        <w:footnoteReference w:id="1384"/>
      </w:r>
      <w:r>
        <w:rPr>
          <w:rFonts w:ascii="Amiri" w:hAnsi="Amiri" w:eastAsia="Amiri" w:cs="Amiri"/>
          <w:color w:val="111111"/>
          <w:sz w:val="28"/>
          <w:sz w:val="28"/>
          <w:szCs w:val="28"/>
          <w:rtl w:val="true"/>
          <w:lang w:bidi="ar-SA"/>
        </w:rPr>
        <w:t>، والفيضُ قدس سره</w:t>
      </w:r>
      <w:r>
        <w:rPr>
          <w:rStyle w:val="FootnoteAnchor"/>
          <w:rtl w:val="true"/>
        </w:rPr>
        <w:footnoteReference w:id="1385"/>
      </w:r>
      <w:r>
        <w:rPr>
          <w:rFonts w:ascii="Amiri" w:hAnsi="Amiri" w:eastAsia="Amiri" w:cs="Amiri"/>
          <w:color w:val="111111"/>
          <w:sz w:val="28"/>
          <w:sz w:val="28"/>
          <w:szCs w:val="28"/>
          <w:rtl w:val="true"/>
          <w:lang w:bidi="ar-SA"/>
        </w:rPr>
        <w:t>، والشَّيخ الحرُّ قدس سره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متواترٌ معنىً‌، فلايحتاج إلى توثيقٍ سنديٍّ‌، وإن وثَّقَه العلَّامةُ المجلسي قدس سره</w:t>
      </w:r>
      <w:r>
        <w:rPr>
          <w:rStyle w:val="FootnoteAnchor"/>
          <w:rtl w:val="true"/>
        </w:rPr>
        <w:footnoteReference w:id="1387"/>
      </w:r>
      <w:r>
        <w:rPr>
          <w:rFonts w:ascii="Amiri" w:hAnsi="Amiri" w:eastAsia="Amiri" w:cs="Amiri"/>
          <w:color w:val="111111"/>
          <w:sz w:val="28"/>
          <w:sz w:val="28"/>
          <w:szCs w:val="28"/>
          <w:rtl w:val="true"/>
          <w:lang w:bidi="ar-SA"/>
        </w:rPr>
        <w:t>ولذلك قال المحقِّق العامليُّ قدس سره بعد نقل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الصَّحيح مشهورٌ بين الفقهاء والمحدِّثين في أبواب الفقه، وقد رواه الأقدمون من فقهاء أصحاب </w:t>
      </w:r>
    </w:p>
    <w:p>
      <w:pPr>
        <w:pStyle w:val="BookText"/>
        <w:rPr/>
      </w:pP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فإذا افتَرَقا فلاخيارَ بعد الرِّضا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1389"/>
      </w:r>
      <w:r>
        <w:rPr>
          <w:rFonts w:ascii="Amiri" w:hAnsi="Amiri" w:eastAsia="Amiri" w:cs="Amiri"/>
          <w:color w:val="111111"/>
          <w:sz w:val="28"/>
          <w:sz w:val="28"/>
          <w:szCs w:val="28"/>
          <w:rtl w:val="true"/>
          <w:lang w:bidi="ar-SA"/>
        </w:rPr>
        <w:t>، والشَّيخُ قدس سره</w:t>
      </w:r>
      <w:r>
        <w:rPr>
          <w:rStyle w:val="FootnoteAnchor"/>
          <w:rtl w:val="true"/>
        </w:rPr>
        <w:footnoteReference w:id="1390"/>
      </w:r>
      <w:r>
        <w:rPr>
          <w:rFonts w:ascii="Amiri" w:hAnsi="Amiri" w:eastAsia="Amiri" w:cs="Amiri"/>
          <w:color w:val="111111"/>
          <w:sz w:val="28"/>
          <w:sz w:val="28"/>
          <w:szCs w:val="28"/>
          <w:rtl w:val="true"/>
          <w:lang w:bidi="ar-SA"/>
        </w:rPr>
        <w:t>، والفيضُ قدس سره</w:t>
      </w:r>
      <w:r>
        <w:rPr>
          <w:rStyle w:val="FootnoteAnchor"/>
          <w:rtl w:val="true"/>
        </w:rPr>
        <w:footnoteReference w:id="1391"/>
      </w:r>
      <w:r>
        <w:rPr>
          <w:rFonts w:ascii="Amiri" w:hAnsi="Amiri" w:eastAsia="Amiri" w:cs="Amiri"/>
          <w:color w:val="111111"/>
          <w:sz w:val="28"/>
          <w:sz w:val="28"/>
          <w:szCs w:val="28"/>
          <w:rtl w:val="true"/>
          <w:lang w:bidi="ar-SA"/>
        </w:rPr>
        <w:t>، والحرُّ قدس سره</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كما صحَّحَه العلَّامةُ المجلسيُّ قدس سره</w:t>
      </w:r>
      <w:r>
        <w:rPr>
          <w:rStyle w:val="FootnoteAnchor"/>
          <w:rtl w:val="true"/>
        </w:rPr>
        <w:footnoteReference w:id="1393"/>
      </w:r>
      <w:r>
        <w:rPr>
          <w:rFonts w:ascii="Amiri" w:hAnsi="Amiri" w:eastAsia="Amiri" w:cs="Amiri"/>
          <w:color w:val="111111"/>
          <w:sz w:val="28"/>
          <w:sz w:val="28"/>
          <w:szCs w:val="28"/>
          <w:rtl w:val="true"/>
          <w:lang w:bidi="ar-SA"/>
        </w:rPr>
        <w:t>، وفي ملاذه</w:t>
      </w:r>
      <w:r>
        <w:rPr>
          <w:rStyle w:val="FootnoteAnchor"/>
          <w:rtl w:val="true"/>
        </w:rPr>
        <w:footnoteReference w:id="1394"/>
      </w:r>
      <w:r>
        <w:rPr>
          <w:rFonts w:ascii="Amiri" w:hAnsi="Amiri" w:eastAsia="Amiri" w:cs="Amiri"/>
          <w:color w:val="111111"/>
          <w:sz w:val="28"/>
          <w:sz w:val="28"/>
          <w:szCs w:val="28"/>
          <w:rtl w:val="true"/>
          <w:lang w:bidi="ar-SA"/>
        </w:rPr>
        <w:t>، والعامليُّ قدس سره</w:t>
      </w:r>
      <w:r>
        <w:rPr>
          <w:rStyle w:val="FootnoteAnchor"/>
          <w:rtl w:val="true"/>
        </w:rPr>
        <w:footnoteReference w:id="1395"/>
      </w:r>
      <w:r>
        <w:rPr>
          <w:rFonts w:ascii="Amiri" w:hAnsi="Amiri" w:eastAsia="Amiri" w:cs="Amiri"/>
          <w:color w:val="111111"/>
          <w:sz w:val="28"/>
          <w:sz w:val="28"/>
          <w:szCs w:val="28"/>
          <w:rtl w:val="true"/>
          <w:lang w:bidi="ar-SA"/>
        </w:rPr>
        <w:t>، والفقيه الطَّباطبائيُّ قدس سره</w:t>
      </w:r>
      <w:r>
        <w:rPr>
          <w:rStyle w:val="FootnoteAnchor"/>
          <w:rtl w:val="true"/>
        </w:rPr>
        <w:footnoteReference w:id="1396"/>
      </w:r>
      <w:r>
        <w:rPr>
          <w:rFonts w:ascii="Amiri" w:hAnsi="Amiri" w:eastAsia="Amiri" w:cs="Amiri"/>
          <w:color w:val="111111"/>
          <w:sz w:val="28"/>
          <w:sz w:val="28"/>
          <w:szCs w:val="28"/>
          <w:rtl w:val="true"/>
          <w:lang w:bidi="ar-SA"/>
        </w:rPr>
        <w:t>، والميرزا القمِّي قدس سره</w:t>
      </w:r>
      <w:r>
        <w:rPr>
          <w:rStyle w:val="FootnoteAnchor"/>
          <w:rtl w:val="true"/>
        </w:rPr>
        <w:footnoteReference w:id="1397"/>
      </w:r>
      <w:r>
        <w:rPr>
          <w:rFonts w:ascii="Amiri" w:hAnsi="Amiri" w:eastAsia="Amiri" w:cs="Amiri"/>
          <w:color w:val="111111"/>
          <w:sz w:val="28"/>
          <w:sz w:val="28"/>
          <w:szCs w:val="28"/>
          <w:rtl w:val="true"/>
          <w:lang w:bidi="ar-SA"/>
        </w:rPr>
        <w:t>، والتُّستَريُّ قدس سره</w:t>
      </w:r>
      <w:r>
        <w:rPr>
          <w:rStyle w:val="FootnoteAnchor"/>
          <w:rtl w:val="true"/>
        </w:rPr>
        <w:footnoteReference w:id="139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الإجماع إنَّ كون العقود لازمةً إلَّاما أخرجه الدَّليل إجماعيٌّ‌، بل ضررويٌّ في الفقه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يشير كثيرٌ من كلماتهم في كثيرٍ من أبواب الفقه، مثل ما ذكره الشَّيخ قدس سره</w:t>
      </w:r>
      <w:r>
        <w:rPr>
          <w:rStyle w:val="FootnoteAnchor"/>
          <w:rtl w:val="true"/>
        </w:rPr>
        <w:footnoteReference w:id="1399"/>
      </w:r>
      <w:r>
        <w:rPr>
          <w:rFonts w:ascii="Amiri" w:hAnsi="Amiri" w:eastAsia="Amiri" w:cs="Amiri"/>
          <w:color w:val="111111"/>
          <w:sz w:val="28"/>
          <w:sz w:val="28"/>
          <w:szCs w:val="28"/>
          <w:rtl w:val="true"/>
          <w:lang w:bidi="ar-SA"/>
        </w:rPr>
        <w:t>، وابنُسعيدٍ قدس سره</w:t>
      </w:r>
      <w:r>
        <w:rPr>
          <w:rStyle w:val="FootnoteAnchor"/>
          <w:rtl w:val="true"/>
        </w:rPr>
        <w:footnoteReference w:id="1400"/>
      </w:r>
      <w:r>
        <w:rPr>
          <w:rFonts w:ascii="Amiri" w:hAnsi="Amiri" w:eastAsia="Amiri" w:cs="Amiri"/>
          <w:color w:val="111111"/>
          <w:sz w:val="28"/>
          <w:sz w:val="28"/>
          <w:szCs w:val="28"/>
          <w:rtl w:val="true"/>
          <w:lang w:bidi="ar-SA"/>
        </w:rPr>
        <w:t>، والعلَّامةُ قدس سره في تحريره</w:t>
      </w:r>
      <w:r>
        <w:rPr>
          <w:rStyle w:val="FootnoteAnchor"/>
          <w:rtl w:val="true"/>
        </w:rPr>
        <w:footnoteReference w:id="1401"/>
      </w:r>
      <w:r>
        <w:rPr>
          <w:rFonts w:ascii="Amiri" w:hAnsi="Amiri" w:eastAsia="Amiri" w:cs="Amiri"/>
          <w:color w:val="111111"/>
          <w:sz w:val="28"/>
          <w:sz w:val="28"/>
          <w:szCs w:val="28"/>
          <w:rtl w:val="true"/>
          <w:lang w:bidi="ar-SA"/>
        </w:rPr>
        <w:t>، وتذكرته</w:t>
      </w:r>
      <w:r>
        <w:rPr>
          <w:rStyle w:val="FootnoteAnchor"/>
          <w:rtl w:val="true"/>
        </w:rPr>
        <w:footnoteReference w:id="1402"/>
      </w:r>
      <w:r>
        <w:rPr>
          <w:rFonts w:ascii="Amiri" w:hAnsi="Amiri" w:eastAsia="Amiri" w:cs="Amiri"/>
          <w:color w:val="111111"/>
          <w:sz w:val="28"/>
          <w:sz w:val="28"/>
          <w:szCs w:val="28"/>
          <w:rtl w:val="true"/>
          <w:lang w:bidi="ar-SA"/>
        </w:rPr>
        <w:t xml:space="preserve">، وأوَّلُ‌ </w:t>
      </w:r>
      <w:bookmarkStart w:id="435" w:name="pg20337_261586"/>
    </w:p>
    <w:p>
      <w:pPr>
        <w:pStyle w:val="BookText"/>
        <w:rPr/>
      </w:pPr>
      <w:bookmarkEnd w:id="435"/>
      <w:r>
        <w:rPr>
          <w:rFonts w:ascii="Amiri" w:hAnsi="Amiri" w:eastAsia="Amiri" w:cs="Amiri"/>
          <w:color w:val="111111"/>
          <w:sz w:val="28"/>
          <w:sz w:val="28"/>
          <w:szCs w:val="28"/>
          <w:rtl w:val="true"/>
          <w:lang w:bidi="ar-SA"/>
        </w:rPr>
        <w:t>الشَّهيدَين قدس سرهما</w:t>
      </w:r>
      <w:r>
        <w:rPr>
          <w:rStyle w:val="FootnoteAnchor"/>
          <w:rtl w:val="true"/>
        </w:rPr>
        <w:footnoteReference w:id="1403"/>
      </w:r>
      <w:r>
        <w:rPr>
          <w:rFonts w:ascii="IRNazanin" w:hAnsi="IRNazanin" w:eastAsia="IRNazanin"/>
          <w:color w:val="111111"/>
          <w:sz w:val="28"/>
          <w:sz w:val="28"/>
          <w:szCs w:val="28"/>
          <w:rtl w:val="true"/>
          <w:lang w:bidi="fa-IR"/>
        </w:rPr>
        <w:t>، والمقداد قدس سره</w:t>
      </w:r>
      <w:r>
        <w:rPr>
          <w:rStyle w:val="FootnoteAnchor"/>
          <w:rtl w:val="true"/>
        </w:rPr>
        <w:footnoteReference w:id="1404"/>
      </w:r>
      <w:r>
        <w:rPr>
          <w:rFonts w:ascii="Amiri" w:hAnsi="Amiri" w:eastAsia="Amiri" w:cs="Amiri"/>
          <w:color w:val="111111"/>
          <w:sz w:val="28"/>
          <w:sz w:val="28"/>
          <w:szCs w:val="28"/>
          <w:rtl w:val="true"/>
          <w:lang w:bidi="ar-SA"/>
        </w:rPr>
        <w:t>، وابنُ أبي جمهورٍ قدس سره</w:t>
      </w:r>
      <w:r>
        <w:rPr>
          <w:rStyle w:val="FootnoteAnchor"/>
          <w:rtl w:val="true"/>
        </w:rPr>
        <w:footnoteReference w:id="1405"/>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406"/>
      </w:r>
      <w:r>
        <w:rPr>
          <w:rFonts w:ascii="Amiri" w:hAnsi="Amiri" w:eastAsia="Amiri" w:cs="Amiri"/>
          <w:color w:val="111111"/>
          <w:sz w:val="28"/>
          <w:sz w:val="28"/>
          <w:szCs w:val="28"/>
          <w:rtl w:val="true"/>
          <w:lang w:bidi="ar-SA"/>
        </w:rPr>
        <w:t>، وأوَّلُ النَّراقيَّين قدس سرهما</w:t>
      </w:r>
      <w:r>
        <w:rPr>
          <w:rStyle w:val="FootnoteAnchor"/>
          <w:rtl w:val="true"/>
        </w:rPr>
        <w:footnoteReference w:id="1407"/>
      </w:r>
      <w:r>
        <w:rPr>
          <w:rFonts w:ascii="Amiri" w:hAnsi="Amiri" w:eastAsia="Amiri" w:cs="Amiri"/>
          <w:color w:val="111111"/>
          <w:sz w:val="28"/>
          <w:sz w:val="28"/>
          <w:szCs w:val="28"/>
          <w:rtl w:val="true"/>
          <w:lang w:bidi="ar-SA"/>
        </w:rPr>
        <w:t>، وغيرهم أيضًا</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1945216_1280447820"/>
      <w:bookmarkStart w:id="437" w:name="_Toc160"/>
      <w:bookmarkEnd w:id="436"/>
      <w:r>
        <w:rPr>
          <w:rtl w:val="true"/>
        </w:rPr>
        <w:t>ثالثًا</w:t>
      </w:r>
      <w:r>
        <w:rPr>
          <w:rtl w:val="true"/>
        </w:rPr>
        <w:t xml:space="preserve">: </w:t>
      </w:r>
      <w:r>
        <w:rPr>
          <w:rtl w:val="true"/>
        </w:rPr>
        <w:t>الأدلَّة العقليَّة</w:t>
      </w:r>
      <w:bookmarkEnd w:id="437"/>
    </w:p>
    <w:p>
      <w:pPr>
        <w:pStyle w:val="BookText"/>
        <w:rPr/>
      </w:pPr>
      <w:r>
        <w:rPr>
          <w:rFonts w:ascii="Amiri" w:hAnsi="Amiri" w:eastAsia="Amiri" w:cs="Amiri"/>
          <w:color w:val="111111"/>
          <w:sz w:val="28"/>
          <w:sz w:val="28"/>
          <w:szCs w:val="28"/>
          <w:rtl w:val="true"/>
          <w:lang w:bidi="ar-SA"/>
        </w:rPr>
        <w:t>ومن العقل بناءُ العقلاء علىٰ لزوم جميع العقود والعهود</w:t>
      </w:r>
      <w:r>
        <w:rPr>
          <w:rStyle w:val="FootnoteAnchor"/>
          <w:rtl w:val="true"/>
        </w:rPr>
        <w:footnoteReference w:id="1408"/>
      </w:r>
      <w:r>
        <w:rPr>
          <w:rFonts w:ascii="Amiri" w:hAnsi="Amiri" w:eastAsia="Amiri" w:cs="Amiri"/>
          <w:color w:val="111111"/>
          <w:sz w:val="28"/>
          <w:sz w:val="28"/>
          <w:szCs w:val="28"/>
          <w:rtl w:val="true"/>
          <w:lang w:bidi="ar-SA"/>
        </w:rPr>
        <w:t>ولذلك يُلامُون من انفسخ عقدًا من قِبَل نفسه، حيث يرون أنَّه لايمكن الإقالة إلَّابتوافُقِ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البناء يرجع جميعُ الأدلَّة من الآيات والرِّوايات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فالدَّليلان الأوَّلان ليسا إلَّاإمضاءان لهذا الحكم العقليِّ الَّذي جعلَه العقلاءُ حجَّةً في سيرتهم</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1945218_1280447820"/>
      <w:bookmarkStart w:id="439" w:name="_Toc161"/>
      <w:bookmarkEnd w:id="438"/>
      <w:r>
        <w:rPr>
          <w:rtl w:val="true"/>
        </w:rPr>
        <w:t>تنبيهاتٌ‌</w:t>
      </w:r>
      <w:r>
        <w:rPr>
          <w:rtl w:val="true"/>
        </w:rPr>
        <w:t>:</w:t>
      </w:r>
      <w:bookmarkEnd w:id="439"/>
    </w:p>
    <w:p>
      <w:pPr>
        <w:pStyle w:val="Heading4"/>
        <w:numPr>
          <w:ilvl w:val="3"/>
          <w:numId w:val="1"/>
        </w:numPr>
        <w:rPr/>
      </w:pPr>
      <w:bookmarkStart w:id="440" w:name="__RefHeading___Toc11945220_1280447820"/>
      <w:bookmarkStart w:id="441" w:name="_Toc162"/>
      <w:bookmarkEnd w:id="440"/>
      <w:r>
        <w:rPr>
          <w:rtl w:val="true"/>
        </w:rPr>
        <w:t>التَّنبيه الأوَّل</w:t>
      </w:r>
      <w:r>
        <w:rPr>
          <w:rtl w:val="true"/>
        </w:rPr>
        <w:t>:</w:t>
      </w:r>
      <w:bookmarkEnd w:id="44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العقد بحسب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أبدعه وذكره المحقِّق النَّائينيُّ قدس سره</w:t>
      </w:r>
      <w:r>
        <w:rPr>
          <w:rStyle w:val="FootnoteAnchor"/>
          <w:rtl w:val="true"/>
        </w:rPr>
        <w:footnoteReference w:id="1409"/>
      </w:r>
      <w:r>
        <w:rPr>
          <w:rFonts w:ascii="IRNazanin" w:hAnsi="IRNazanin" w:eastAsia="IRNazanin"/>
          <w:color w:val="111111"/>
          <w:sz w:val="28"/>
          <w:sz w:val="28"/>
          <w:szCs w:val="28"/>
          <w:rtl w:val="true"/>
          <w:lang w:bidi="fa-IR"/>
        </w:rPr>
        <w:t xml:space="preserve">وانظر </w:t>
      </w:r>
      <w:bookmarkStart w:id="442" w:name="pg20337_261587"/>
    </w:p>
    <w:p>
      <w:pPr>
        <w:pStyle w:val="BookText"/>
        <w:rPr/>
      </w:pPr>
      <w:bookmarkEnd w:id="442"/>
      <w:r>
        <w:rPr>
          <w:rFonts w:ascii="Amiri" w:hAnsi="Amiri" w:eastAsia="Amiri" w:cs="Amiri"/>
          <w:color w:val="111111"/>
          <w:sz w:val="28"/>
          <w:sz w:val="28"/>
          <w:szCs w:val="28"/>
          <w:rtl w:val="true"/>
          <w:lang w:bidi="ar-SA"/>
        </w:rPr>
        <w:t>أيضًا إلى ما علَّقه السَّيِّد الكلانتر قدس سره علىٰ كتاب المكاسب</w:t>
      </w:r>
      <w:r>
        <w:rPr>
          <w:rStyle w:val="FootnoteAnchor"/>
          <w:rtl w:val="true"/>
        </w:rPr>
        <w:footnoteReference w:id="1410"/>
      </w:r>
      <w:r>
        <w:rPr>
          <w:rFonts w:ascii="Amiri" w:hAnsi="Amiri" w:eastAsia="Amiri" w:cs="Amiri"/>
          <w:color w:val="111111"/>
          <w:sz w:val="28"/>
          <w:sz w:val="28"/>
          <w:szCs w:val="28"/>
          <w:rtl w:val="true"/>
          <w:lang w:bidi="ar-SA"/>
        </w:rPr>
        <w:t>، وما ذكره المحقِّق البجنورديُّ قدس سره</w:t>
      </w:r>
      <w:r>
        <w:rPr>
          <w:rStyle w:val="FootnoteAnchor"/>
          <w:rtl w:val="true"/>
        </w:rPr>
        <w:footnoteReference w:id="1411"/>
      </w:r>
      <w:r>
        <w:rPr>
          <w:rFonts w:ascii="Amiri" w:hAnsi="Amiri" w:eastAsia="Amiri" w:cs="Amiri"/>
          <w:color w:val="111111"/>
          <w:sz w:val="28"/>
          <w:sz w:val="28"/>
          <w:szCs w:val="28"/>
          <w:rtl w:val="true"/>
          <w:lang w:bidi="ar-SA"/>
        </w:rPr>
        <w:t xml:space="preserve">لتوضيح هذا المبنىٰ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والنِّكاح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الإِذْنيُّ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كالعارية والوكالة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الإنتقال، فيصير جواز تصرف المالك في المال من باب التَّصرُّف في مِلكه وماله؛</w:t>
      </w:r>
    </w:p>
    <w:p>
      <w:pPr>
        <w:pStyle w:val="BookText"/>
        <w:rPr/>
      </w:pPr>
      <w:r>
        <w:rPr>
          <w:rFonts w:ascii="Amiri" w:hAnsi="Amiri" w:eastAsia="Amiri" w:cs="Amiri"/>
          <w:color w:val="111111"/>
          <w:sz w:val="28"/>
          <w:sz w:val="28"/>
          <w:szCs w:val="28"/>
          <w:rtl w:val="true"/>
          <w:lang w:bidi="ar-SA"/>
        </w:rPr>
        <w:t>والثَّاني هو عدم الإنتقال، فيصير جواز تصرُّفِه فيه من باب إذن المالك، لا من باب التَّصرُّف في ملك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انتقالٌ في هذا القسم أصلًا، بل وقع جوازُ التَّصرُّف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إطلاقُ العقد عليه من باب التَّسامُّح فقط</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1945222_1280447820"/>
      <w:bookmarkStart w:id="444" w:name="_Toc163"/>
      <w:bookmarkEnd w:id="443"/>
      <w:r>
        <w:rPr>
          <w:rtl w:val="true"/>
        </w:rPr>
        <w:t>التَّنبيه الثَّاني</w:t>
      </w:r>
      <w:r>
        <w:rPr>
          <w:rtl w:val="true"/>
        </w:rPr>
        <w:t>:</w:t>
      </w:r>
      <w:bookmarkEnd w:id="444"/>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العمومات لكثرة التَّخصيصات الواردة عليها قد أوهنَتْ‌، فلايجوز أن يُتمَسَّك بها في المقام</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ومثَّلوا له بالمعاطات الَّتي هي العمدة في المعاملات والعقود والعهود، بل العقود بالصِّيغة قليلةٌ جدًّا؛ ومثَّلوا بالوكالة والعارية والأمانة والهِبَة والمضاربة والمزارعة والمساقات؛ ومثَّلوا بالمعاملات الخياريَّة، وقلَّتْ معاملةٌ لايجري فيها الخيارُ</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ظهر أنَّه لايمكن القول باللُّزوم في جميع العقود، بل الأكثر الأغلبُ‌ </w:t>
      </w:r>
      <w:bookmarkStart w:id="445" w:name="pg20337_261588"/>
    </w:p>
    <w:p>
      <w:pPr>
        <w:pStyle w:val="BookText"/>
        <w:rPr/>
      </w:pPr>
      <w:bookmarkEnd w:id="445"/>
      <w:r>
        <w:rPr>
          <w:rFonts w:ascii="Amiri" w:hAnsi="Amiri" w:eastAsia="Amiri" w:cs="Amiri"/>
          <w:color w:val="111111"/>
          <w:sz w:val="28"/>
          <w:sz w:val="28"/>
          <w:szCs w:val="28"/>
          <w:rtl w:val="true"/>
          <w:lang w:bidi="ar-SA"/>
        </w:rPr>
        <w:t>فيها هو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المعاطات، فالقول بلزومها هو الأشهر بين الفقهاء، فلاتخصيص فيها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القدماء بكونها جائزةً غير لازمةٍ فهي من باب الإباحة، وليست بعقدٍ حتَّى تُخَصِّصَ العمومات؛ وأمَّا العقود الجائزة فهي وإن كانت كثيرةً إلَّا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من التَّخصيص بها تخصيص الأكثر؛</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بعقدٍ أصلًا، بل هي صورة عقدٍ وفي الحقيقة ليست إلَّاالإِذن في التَّصرُّف وجوازه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العقود الَّتي فيها الخيارُ، فهي تدلُّ علىٰ لزوم العقود كلِّها إلَّاما جرىٰ فيه الخيارُ، فلاتخصيص فيها؛ بل الخيار يؤيِّد المبنىٰ أيضًا؛ ولذلك قال المحقِّق النَّراقي الأوَّل 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الغرض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اللُّزوم أنَّه مع قطع النَّظر عن الأمور الخارجة يكون الأصل فيه اللُّزوم، فلاينافي وضعُ الخيار فيه</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11945224_1280447820"/>
      <w:bookmarkStart w:id="447" w:name="_Toc164"/>
      <w:bookmarkEnd w:id="446"/>
      <w:r>
        <w:rPr>
          <w:rtl w:val="true"/>
        </w:rPr>
        <w:t>التَّنبيه الثَّالث</w:t>
      </w:r>
      <w:r>
        <w:rPr>
          <w:rtl w:val="true"/>
        </w:rPr>
        <w:t>:</w:t>
      </w:r>
      <w:bookmarkEnd w:id="44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في جريان الاِستصحاب في أصالة اللُّزوم في المعاملات، فإذا شُكَّ في معاملةٍ هل الأصل فيها اللُّزوم‌؟، أم لا؟، هل يجري الاِستصحاب هيهنا لاِثبات اللُّزوم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مذكورةٌ عند الشَّيخ حسن آل كاشف الغطاء قدس سره</w:t>
      </w:r>
      <w:r>
        <w:rPr>
          <w:rStyle w:val="FootnoteAnchor"/>
          <w:rtl w:val="true"/>
        </w:rPr>
        <w:footnoteReference w:id="14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وغيره كالمراغيِّ قدس سره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 المحقِّق البجنورديَّ قدس سره قد أطال البحث في المقام بحيث استغرقَ البحثُ من كتابه ما يقرب من عشرين صفحةً‌</w:t>
      </w:r>
      <w:r>
        <w:rPr>
          <w:rStyle w:val="FootnoteAnchor"/>
          <w:rtl w:val="true"/>
        </w:rPr>
        <w:footnoteReference w:id="1417"/>
      </w:r>
      <w:r>
        <w:rPr>
          <w:rFonts w:ascii="Amiri" w:hAnsi="Amiri" w:eastAsia="Amiri" w:cs="Amiri"/>
          <w:color w:val="111111"/>
          <w:sz w:val="28"/>
          <w:sz w:val="28"/>
          <w:szCs w:val="28"/>
          <w:rtl w:val="true"/>
          <w:lang w:bidi="ar-SA"/>
        </w:rPr>
        <w:t>، وهذا غريبٌ منه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الأمر في المقام أوضح من أن يخفىٰ حتَّى يحتاجَ إلى هذا الحجم الهائل من البحث؛ لأنَّ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الشُّبهات الحكميَّة، كما إذا شُكَّ في أنَّ الوصيَّةَ عقدٌ لازمٌ؟، أو جائزٌ؟، مع فرض عدم وجود عامٍّ يُتمسَّكُ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في الشُّبهات الموضوعيَّة، كما إذا شُكَّ في أنَّه هل ينطبق عنوانَي الصُّلح أو الوكالة مثلًا علىٰ عقدٍ؟،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الجميع إن قلنا أنَّ العقود كلَّها ليست إلَّامن باب تبديل الإضافَتَين ونقلِ شيءٍ من شخصٍ إلى شخصٍ آخر، والنَّقل يحصل بالعقد، فبعد الانتقال لوشُكَّ في عقدٍ هل يجوز أن يُفسَخَ أم لا؟ فالأصل عدم جواز الاِنفساخ، واِستصحابُ بقاء ملكيَّة البائع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فمبنىٰ القوم إذن أصالةُ عدم جواز الفسخ، فيترتَّب علىٰ هذا الأصلِ الحكمُ‌، وهو أصالةُ اللُّزوم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مبنانا من أنَّ العقود الجائزة ليست بعقدٍ أصلًا، بل هي أمانةٌ وإباحةُ تصرُّفٍ فقط، فلوشُكَّ في عقدٍ أنَّه عقدٌ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صِرفُ إباحةٍ وتصرُّفٍ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48" w:name="pg20337_261590"/>
    </w:p>
    <w:p>
      <w:pPr>
        <w:pStyle w:val="BookText"/>
        <w:rPr/>
      </w:pPr>
      <w:bookmarkEnd w:id="448"/>
      <w:r>
        <w:rPr>
          <w:rFonts w:ascii="Amiri" w:hAnsi="Amiri" w:eastAsia="Amiri" w:cs="Amiri"/>
          <w:color w:val="111111"/>
          <w:sz w:val="28"/>
          <w:sz w:val="28"/>
          <w:szCs w:val="28"/>
          <w:rtl w:val="true"/>
          <w:lang w:bidi="ar-SA"/>
        </w:rPr>
        <w:t xml:space="preserve">فأصالةُ عدم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المِلك في ملك صاحبه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فيترتَّب عليها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فلايكون البحثُ بحاجةٍ إلى هذا الكمِّ الهائل من الصَّفحات الَّتي اختصَّها بعضُهم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في ما قلنا تجد الحقيقة بإذنه وعونه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Heading4"/>
        <w:numPr>
          <w:ilvl w:val="3"/>
          <w:numId w:val="1"/>
        </w:numPr>
        <w:rPr/>
      </w:pPr>
      <w:bookmarkStart w:id="449" w:name="__RefHeading___Toc11945226_1280447820"/>
      <w:bookmarkStart w:id="450" w:name="_Toc165"/>
      <w:bookmarkEnd w:id="449"/>
      <w:r>
        <w:rPr>
          <w:rtl w:val="true"/>
        </w:rPr>
        <w:t>أمثلةٌ لاستعمال القاعدة في الفقه</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 في قواعده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ولوباع مالكُ النِّصف النِّصفَ انصرَفَ إلى نصيبه، ويحتمل الإشاعة فيقف في نصف نصيب الآخر علىٰ الإجازة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ولدُه قدس سره في شرحه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الأصلَ في البيع اللُّزُوم، ولهذا يُحكَمُ به عند الإطلاق وعدم العلم بالموانع</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ولووجَدَ المشتري فيه عيبًا سابقًا علىٰ البيع تخيَّر بين الرَّدِّ والأرش، ولوتجدَّدَ بعد العقد قبل القبض تخيَّرَ بين الرَّدِّ والإمساك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الشَّهيد قدس سره في شرح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كون هذا أقرب أنَّ المبيع لوتلف أجمع كان من مال البائع، فكذا أبعاضُه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رجوعه بالأرش، لأنَّ الأصل في البيع اللُّزوم وعدم التَّسلُّط بالأرش، والرَّدُّ إنَّما جاز لتطرُّقِ الضَّرر بالقبول، فيبقىٰ الباقي علىٰ الأصل</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 في قواعده في عقد المزارعة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عقدٌ لازمٌ من الطَّرَفين لايبطل إلَّابالتَّقايل، لا بموت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ما ذكره ولدُه فخرالمحقِّقين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وثاني المحقِّقَين قدس سرهما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والفقيه العاملي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 العبارة</w:t>
      </w:r>
      <w:r>
        <w:rPr>
          <w:rFonts w:eastAsia="Amiri" w:cs="Amiri" w:ascii="Amiri" w:hAnsi="Amiri"/>
          <w:color w:val="111111"/>
          <w:sz w:val="28"/>
          <w:szCs w:val="28"/>
          <w:rtl w:val="true"/>
          <w:lang w:bidi="ar-SA"/>
        </w:rPr>
        <w:t>.</w:t>
      </w:r>
      <w:bookmarkStart w:id="451" w:name="pg20337_261592"/>
    </w:p>
    <w:p>
      <w:pPr>
        <w:pStyle w:val="Heading2"/>
        <w:numPr>
          <w:ilvl w:val="1"/>
          <w:numId w:val="1"/>
        </w:numPr>
        <w:rPr/>
      </w:pPr>
      <w:bookmarkStart w:id="452" w:name="__RefHeading___Toc11945228_1280447820"/>
      <w:bookmarkStart w:id="453" w:name="_Toc166"/>
      <w:bookmarkEnd w:id="451"/>
      <w:bookmarkEnd w:id="452"/>
      <w:r>
        <w:rPr>
          <w:rtl w:val="true"/>
        </w:rPr>
        <w:t>[</w:t>
      </w:r>
      <w:r>
        <w:rPr/>
        <w:t>35</w:t>
      </w:r>
      <w:r>
        <w:rPr>
          <w:rtl w:val="true"/>
        </w:rPr>
        <w:t xml:space="preserve">:] </w:t>
      </w:r>
      <w:r>
        <w:rPr>
          <w:rtl w:val="true"/>
        </w:rPr>
        <w:t>قاعدة بطلان كلِّ عقدٍ بتعذُّر الوفاءِ به</w:t>
      </w:r>
      <w:bookmarkEnd w:id="453"/>
    </w:p>
    <w:p>
      <w:pPr>
        <w:pStyle w:val="Heading3"/>
        <w:numPr>
          <w:ilvl w:val="2"/>
          <w:numId w:val="1"/>
        </w:numPr>
        <w:rPr/>
      </w:pPr>
      <w:bookmarkStart w:id="454" w:name="__RefHeading___Toc11945230_1280447820"/>
      <w:bookmarkStart w:id="455" w:name="_Toc167"/>
      <w:bookmarkEnd w:id="454"/>
      <w:r>
        <w:rPr>
          <w:rtl w:val="true"/>
        </w:rPr>
        <w:t>عناوين أُخرىٰ للقاعدة</w:t>
      </w:r>
      <w:bookmarkEnd w:id="455"/>
    </w:p>
    <w:p>
      <w:pPr>
        <w:pStyle w:val="BookText"/>
        <w:rPr/>
      </w:pPr>
      <w:r>
        <w:rPr>
          <w:rFonts w:ascii="Amiri" w:hAnsi="Amiri" w:eastAsia="Amiri" w:cs="Amiri"/>
          <w:color w:val="111111"/>
          <w:sz w:val="28"/>
          <w:sz w:val="28"/>
          <w:szCs w:val="28"/>
          <w:rtl w:val="true"/>
          <w:lang w:bidi="ar-SA"/>
        </w:rPr>
        <w:t>لم نجد عنوانًا آخر للقاعدة، وقلَّ من الأصحاب من تعرَّض لها باستقلالٍ‌</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1945232_1280447820"/>
      <w:bookmarkStart w:id="457" w:name="_Toc168"/>
      <w:bookmarkEnd w:id="456"/>
      <w:r>
        <w:rPr>
          <w:rtl w:val="true"/>
        </w:rPr>
        <w:t>توضيح مفاد القاعدة</w:t>
      </w:r>
      <w:bookmarkEnd w:id="457"/>
    </w:p>
    <w:p>
      <w:pPr>
        <w:pStyle w:val="BookText"/>
        <w:rPr/>
      </w:pPr>
      <w:r>
        <w:rPr>
          <w:rFonts w:ascii="Amiri" w:hAnsi="Amiri" w:eastAsia="Amiri" w:cs="Amiri"/>
          <w:color w:val="111111"/>
          <w:sz w:val="28"/>
          <w:sz w:val="28"/>
          <w:szCs w:val="28"/>
          <w:rtl w:val="true"/>
          <w:lang w:bidi="ar-SA"/>
        </w:rPr>
        <w:t>المشهور بين الأصحاب أنَّ العقد يبطلُ إذا تعذَّر الوفاءُ به؛ كما إذا باع دارَه لآخر لكن تعذَّر علىٰ البائع تسليم الدَّار، لخرابها بسيلٍ‌، أو زلزلةٍ‌، أو لغصبها بغاصبٍ‌؛ فعقد البيع إذن يبطلُ‌؛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إذا آجر عينًا لأحدٍ وملَّكه منفعَتَه، لكن سقطَتْ منفعةُ العين بحيث لايقدر علىٰ تسليم العين، أو تسليم منفعته؛ فإذن الإجارةُ تبطل؛ كما ذكره ابنُزهرة قدس سره</w:t>
      </w:r>
      <w:r>
        <w:rPr>
          <w:rStyle w:val="FootnoteAnchor"/>
          <w:rtl w:val="true"/>
        </w:rPr>
        <w:footnoteReference w:id="1420"/>
      </w:r>
      <w:r>
        <w:rPr>
          <w:rFonts w:ascii="IRNazanin" w:hAnsi="IRNazanin" w:eastAsia="IRNazanin"/>
          <w:color w:val="111111"/>
          <w:sz w:val="28"/>
          <w:sz w:val="28"/>
          <w:szCs w:val="28"/>
          <w:rtl w:val="true"/>
          <w:lang w:bidi="fa-IR"/>
        </w:rPr>
        <w:t xml:space="preserve">، </w:t>
      </w:r>
      <w:bookmarkStart w:id="458" w:name="pg20337_261593"/>
    </w:p>
    <w:p>
      <w:pPr>
        <w:pStyle w:val="BookText"/>
        <w:rPr/>
      </w:pPr>
      <w:bookmarkEnd w:id="458"/>
      <w:r>
        <w:rPr>
          <w:rFonts w:ascii="Amiri" w:hAnsi="Amiri" w:eastAsia="Amiri" w:cs="Amiri"/>
          <w:color w:val="111111"/>
          <w:sz w:val="28"/>
          <w:sz w:val="28"/>
          <w:szCs w:val="28"/>
          <w:rtl w:val="true"/>
          <w:lang w:bidi="ar-SA"/>
        </w:rPr>
        <w:t>والسَّبزواريُّ القمِّيُّ قدس سره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1945234_1280447820"/>
      <w:bookmarkStart w:id="460" w:name="_Toc169"/>
      <w:bookmarkEnd w:id="459"/>
      <w:r>
        <w:rPr>
          <w:rtl w:val="true"/>
        </w:rPr>
        <w:t>مدركُ القاعدة</w:t>
      </w:r>
      <w:bookmarkEnd w:id="460"/>
    </w:p>
    <w:p>
      <w:pPr>
        <w:pStyle w:val="BookText"/>
        <w:rPr/>
      </w:pPr>
      <w:r>
        <w:rPr>
          <w:rFonts w:ascii="Amiri" w:hAnsi="Amiri" w:eastAsia="Amiri" w:cs="Amiri"/>
          <w:color w:val="111111"/>
          <w:sz w:val="28"/>
          <w:sz w:val="28"/>
          <w:szCs w:val="28"/>
          <w:rtl w:val="true"/>
          <w:lang w:bidi="ar-SA"/>
        </w:rPr>
        <w:t>ذُكرتْ أمورٌ كمدركٍ لهذه القاعدة؛ وهي</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1945236_1280447820"/>
      <w:bookmarkStart w:id="462" w:name="_Toc170"/>
      <w:bookmarkEnd w:id="461"/>
      <w:r>
        <w:rPr>
          <w:rtl w:val="true"/>
        </w:rPr>
        <w:t>الأدلَّةُ العقليَّة</w:t>
      </w:r>
      <w:bookmarkEnd w:id="462"/>
    </w:p>
    <w:p>
      <w:pPr>
        <w:pStyle w:val="BookText"/>
        <w:rPr/>
      </w:pPr>
      <w:r>
        <w:rPr>
          <w:rFonts w:ascii="Amiri" w:hAnsi="Amiri" w:eastAsia="Amiri" w:cs="Amiri"/>
          <w:color w:val="111111"/>
          <w:sz w:val="28"/>
          <w:sz w:val="28"/>
          <w:szCs w:val="28"/>
          <w:rtl w:val="true"/>
          <w:lang w:bidi="ar-SA"/>
        </w:rPr>
        <w:t>الدَّليل الأوَّل</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والفَساد أمران إضافيَّان، فإذا لم يصحَّ عقدٌ فكان فاسدًا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ارتفاع النَّقيضين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 xml:space="preserve">وأمثالَه لايشمل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تكليفٌ بالمحال، لتعذُّر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فلامحالة يكون العقد فاسدًا، لقاعدة أنَّ النَّقيضين لايجتمعان ولايرتفعان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فاسدٌ من أصله وإن صُوِّر بصورةٍ 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مصادرةٌ بالمطلوب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حقيقته أنَّ العقد لايصحُّ‌، فهو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 فيه أنَّ أدلَّة لزوم الوفاء بالعقد لايشمُلُه، فلايصحُّ إذن، فهو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هذا ليس إلَّادعوىً لا دليل عليه إلَّاالمصادرة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وأضرابِه يشملُه، ولاوجه لعدم الشُّمول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بعد تعذُّر تسليم العين أوَّلًا، وصحَّة العقد ثانيًا، لابدَّ من الرُّجوع إلى </w:t>
      </w:r>
    </w:p>
    <w:p>
      <w:pPr>
        <w:pStyle w:val="BookText"/>
        <w:rPr/>
      </w:pPr>
      <w:r>
        <w:rPr>
          <w:rFonts w:ascii="Amiri" w:hAnsi="Amiri" w:eastAsia="Amiri" w:cs="Amiri"/>
          <w:color w:val="111111"/>
          <w:sz w:val="28"/>
          <w:sz w:val="28"/>
          <w:szCs w:val="28"/>
          <w:rtl w:val="true"/>
          <w:lang w:bidi="ar-SA"/>
        </w:rPr>
        <w:t>القوانين والأصول الَّتي تجري في المقام، كقاعدة كلِّ مبيعٍ تلفَ قبل قبضِهِ فهو من مال بائعه؛ أو قاعدة وجوبِ تدارُكِ الخَسارات في المعاملات؛ أو قاعدة خيار الفسخ إذا تعذَّر الَّثمن أو المُثمَن؛ أو قاعدة الضَّمان بالمِثليِّ أو القِيميِّ‌، أو نحو ذلك من القواعد المُمَهَّدَة في الفقه للخروج عن المعاذير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لأنَّهم يرون فسادَ المعاملة إذا تعذَّر علىٰ مَن تعهَّدها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صحَّة المعاملة، لا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لوتعذَّر الوفاءُ به فمختارهم تداركِ الخسارة بقاعدةٍ من القواعد الجارية عندهم، وأجودُها في المقام هو خيار الفسخ؛ ولكن للمشتري أيضًا أن يختار المثلَ إن كان مِثليًّا، أو القيمة إن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 مَبيعٍ تلف قبل قبضه فهو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عندنا ليس بتامٍّ‌، وقد مرَّ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تعبُّديَّةٌ‌، لدلالة روايةٍ عليها، فموردها إذن خصوص المُثمَن في البيع دون السَّبب، فلاتسري إلى غير البيع من المعاملات، ولا إلى غير هذا القسم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تُعارِضُ قاعدةَ خيار تعذُّر المُثمَن أو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تقتضي صحَّة البيع، لا فساده؛ وقد مرَّ الكلام فيه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والظَّاهر أنَّه ليس إجماعًا في المسألة، بل هو عدم تعرُّض الأصحاب للمسألة فقط؛ وكم من الفرق بين إجماع الأصحاب علىٰ مطلبٍ وعدم </w:t>
      </w:r>
      <w:bookmarkStart w:id="463" w:name="pg20337_261595"/>
    </w:p>
    <w:p>
      <w:pPr>
        <w:pStyle w:val="BookText"/>
        <w:rPr/>
      </w:pPr>
      <w:bookmarkEnd w:id="463"/>
      <w:r>
        <w:rPr>
          <w:rFonts w:ascii="Amiri" w:hAnsi="Amiri" w:eastAsia="Amiri" w:cs="Amiri"/>
          <w:color w:val="111111"/>
          <w:sz w:val="28"/>
          <w:sz w:val="28"/>
          <w:szCs w:val="28"/>
          <w:rtl w:val="true"/>
          <w:lang w:bidi="ar-SA"/>
        </w:rPr>
        <w:t>تعرُّضِهم لهذا المطلب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انعقد إجماعٌ أو شهرةٌ معتنىً بها في المسألة ولوكان مدركيًّا، فلايمكن عدم الاِعتناء به، لأنَّه جربزةٌ في الفقه والفقيه الُمجَربِزُ لاطريق له إلى السَّداد</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1945238_1280447820"/>
      <w:bookmarkStart w:id="465" w:name="_Toc171"/>
      <w:bookmarkEnd w:id="464"/>
      <w:r>
        <w:rPr>
          <w:rtl w:val="true"/>
        </w:rPr>
        <w:t>أمثلةٌ لاستعمال القاعدة في الفقه</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المبيعُ قبل القبض للسَّلعَة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باع فإنَّما يستحقُّ الَّثمنَ إذا قبض المبيع، فإذا تلف تعذَّر عليه التَّسليمُ‌، فلايستحقُّ العوضَ‌</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الفقيه اليزديُّ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العين المستأجرة قبل قبض المستأجر بطلت الإجارةُ‌</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وانظر إلى توضيحٍ للسَّيِّد الحكيم قدس سره</w:t>
      </w:r>
      <w:r>
        <w:rPr>
          <w:rStyle w:val="FootnoteAnchor"/>
          <w:rtl w:val="true"/>
        </w:rPr>
        <w:footnoteReference w:id="1426"/>
      </w:r>
      <w:r>
        <w:rPr>
          <w:rFonts w:ascii="Amiri" w:hAnsi="Amiri" w:eastAsia="Amiri" w:cs="Amiri"/>
          <w:color w:val="111111"/>
          <w:sz w:val="28"/>
          <w:sz w:val="28"/>
          <w:szCs w:val="28"/>
          <w:rtl w:val="true"/>
          <w:lang w:bidi="ar-SA"/>
        </w:rPr>
        <w:t>، والسَّيِّد الفقيه الخوئيِّ قدس سره</w:t>
      </w:r>
      <w:r>
        <w:rPr>
          <w:rStyle w:val="FootnoteAnchor"/>
          <w:rtl w:val="true"/>
        </w:rPr>
        <w:footnoteReference w:id="1427"/>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اجلاء المعاصرين كالشَّيخ الإشتهارديِّ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الخلخاليِّ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الإجارة،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 في قواعده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لوباع المغصوب وتعذَّر تسليمُه لم يصحَّ‌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وانظر إلى ما ذكره شُرَّاح عبارته، كثاني المحقِّقَين قدس سرهما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والسَّيِّد الأعرجيِّ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وفخرالمحقِّقين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والشَّهيد الثَّاني قدس سرهما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والفقيه العامِليِّ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20337_261598"/>
      <w:bookmarkStart w:id="467" w:name="pg20337_261598"/>
      <w:bookmarkEnd w:id="467"/>
    </w:p>
    <w:p>
      <w:pPr>
        <w:pStyle w:val="Heading2"/>
        <w:numPr>
          <w:ilvl w:val="1"/>
          <w:numId w:val="1"/>
        </w:numPr>
        <w:rPr/>
      </w:pPr>
      <w:bookmarkStart w:id="468" w:name="pg20337_261598"/>
      <w:bookmarkStart w:id="469" w:name="__RefHeading___Toc11945240_1280447820"/>
      <w:bookmarkStart w:id="470" w:name="_Toc172"/>
      <w:bookmarkEnd w:id="468"/>
      <w:bookmarkEnd w:id="469"/>
      <w:r>
        <w:rPr>
          <w:rtl w:val="true"/>
        </w:rPr>
        <w:t>[</w:t>
      </w:r>
      <w:r>
        <w:rPr/>
        <w:t>36</w:t>
      </w:r>
      <w:r>
        <w:rPr>
          <w:rtl w:val="true"/>
        </w:rPr>
        <w:t xml:space="preserve">:] </w:t>
      </w:r>
      <w:r>
        <w:rPr>
          <w:rtl w:val="true"/>
        </w:rPr>
        <w:t>قاعدة تلف المبيع قبل القبض</w:t>
      </w:r>
      <w:bookmarkEnd w:id="470"/>
    </w:p>
    <w:p>
      <w:pPr>
        <w:pStyle w:val="Heading3"/>
        <w:numPr>
          <w:ilvl w:val="2"/>
          <w:numId w:val="1"/>
        </w:numPr>
        <w:rPr/>
      </w:pPr>
      <w:bookmarkStart w:id="471" w:name="__RefHeading___Toc11945242_1280447820"/>
      <w:bookmarkStart w:id="472" w:name="_Toc173"/>
      <w:bookmarkEnd w:id="471"/>
      <w:r>
        <w:rPr>
          <w:rtl w:val="true"/>
        </w:rPr>
        <w:t>عناوين أُخرىٰ للقاعدة</w:t>
      </w:r>
      <w:bookmarkEnd w:id="472"/>
    </w:p>
    <w:p>
      <w:pPr>
        <w:pStyle w:val="BookText"/>
        <w:rPr/>
      </w:pPr>
      <w:r>
        <w:rPr>
          <w:rFonts w:ascii="Amiri" w:hAnsi="Amiri" w:eastAsia="Amiri" w:cs="Amiri"/>
          <w:color w:val="111111"/>
          <w:sz w:val="28"/>
          <w:sz w:val="28"/>
          <w:szCs w:val="28"/>
          <w:rtl w:val="true"/>
          <w:lang w:bidi="ar-SA"/>
        </w:rPr>
        <w:t>إذا تلف المبيعُ قبل القبض للسَّلعة بطل العقد</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تلف المبيعُ قبل القبض فهو من مال البائع</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تلف المبيعُ قبل قبضه فهو من مال بائعه</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المحقِّق الآية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20337_261599"/>
    </w:p>
    <w:p>
      <w:pPr>
        <w:pStyle w:val="BookText"/>
        <w:rPr/>
      </w:pPr>
      <w:bookmarkEnd w:id="473"/>
      <w:r>
        <w:rPr>
          <w:rFonts w:ascii="Amiri" w:hAnsi="Amiri" w:eastAsia="Amiri" w:cs="Amiri"/>
          <w:color w:val="111111"/>
          <w:sz w:val="28"/>
          <w:sz w:val="28"/>
          <w:szCs w:val="28"/>
          <w:rtl w:val="true"/>
          <w:lang w:bidi="ar-SA"/>
        </w:rPr>
        <w:t>كلُّ مبيعٍ تلف قبل قبضه فهو من مال بائعه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لوتلف المبيعُ قبل تسليمه إلى المشتري كان من مال البائع</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1945244_1280447820"/>
      <w:bookmarkStart w:id="475" w:name="_Toc174"/>
      <w:bookmarkEnd w:id="474"/>
      <w:r>
        <w:rPr>
          <w:rtl w:val="true"/>
        </w:rPr>
        <w:t>توضيح مفاد القاعدة</w:t>
      </w:r>
      <w:bookmarkEnd w:id="47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سرَّهم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قديمِهم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قدس سره في الخلاف</w:t>
      </w:r>
      <w:r>
        <w:rPr>
          <w:rStyle w:val="FootnoteAnchor"/>
          <w:rtl w:val="true"/>
        </w:rPr>
        <w:footnoteReference w:id="1434"/>
      </w:r>
      <w:r>
        <w:rPr>
          <w:rFonts w:ascii="Amiri" w:hAnsi="Amiri" w:eastAsia="Amiri" w:cs="Amiri"/>
          <w:color w:val="111111"/>
          <w:sz w:val="28"/>
          <w:sz w:val="28"/>
          <w:szCs w:val="28"/>
          <w:rtl w:val="true"/>
          <w:lang w:bidi="ar-SA"/>
        </w:rPr>
        <w:t>، والمحقِّق الحلِّي قدس سره</w:t>
      </w:r>
      <w:r>
        <w:rPr>
          <w:rStyle w:val="FootnoteAnchor"/>
          <w:rtl w:val="true"/>
        </w:rPr>
        <w:footnoteReference w:id="1435"/>
      </w:r>
      <w:r>
        <w:rPr>
          <w:rFonts w:ascii="Amiri" w:hAnsi="Amiri" w:eastAsia="Amiri" w:cs="Amiri"/>
          <w:color w:val="111111"/>
          <w:sz w:val="28"/>
          <w:sz w:val="28"/>
          <w:szCs w:val="28"/>
          <w:rtl w:val="true"/>
          <w:lang w:bidi="ar-SA"/>
        </w:rPr>
        <w:t>، وابن سعيدٍ الحلِّي قدس سره</w:t>
      </w:r>
      <w:r>
        <w:rPr>
          <w:rStyle w:val="FootnoteAnchor"/>
          <w:rtl w:val="true"/>
        </w:rPr>
        <w:footnoteReference w:id="1436"/>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العميدي قدس سره</w:t>
      </w:r>
      <w:r>
        <w:rPr>
          <w:rStyle w:val="FootnoteAnchor"/>
          <w:rtl w:val="true"/>
        </w:rPr>
        <w:footnoteReference w:id="1437"/>
      </w:r>
      <w:r>
        <w:rPr>
          <w:rFonts w:ascii="Amiri" w:hAnsi="Amiri" w:eastAsia="Amiri" w:cs="Amiri"/>
          <w:color w:val="111111"/>
          <w:sz w:val="28"/>
          <w:sz w:val="28"/>
          <w:szCs w:val="28"/>
          <w:rtl w:val="true"/>
          <w:lang w:bidi="ar-SA"/>
        </w:rPr>
        <w:t>، وشمس الدِّين الحلِّي قدس سره</w:t>
      </w:r>
      <w:r>
        <w:rPr>
          <w:rStyle w:val="FootnoteAnchor"/>
          <w:rtl w:val="true"/>
        </w:rPr>
        <w:footnoteReference w:id="1438"/>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439"/>
      </w:r>
      <w:r>
        <w:rPr>
          <w:rFonts w:ascii="Amiri" w:hAnsi="Amiri" w:eastAsia="Amiri" w:cs="Amiri"/>
          <w:color w:val="111111"/>
          <w:sz w:val="28"/>
          <w:sz w:val="28"/>
          <w:szCs w:val="28"/>
          <w:rtl w:val="true"/>
          <w:lang w:bidi="ar-SA"/>
        </w:rPr>
        <w:t>، والمحقِّق السَّبزواري قدس سره</w:t>
      </w:r>
      <w:r>
        <w:rPr>
          <w:rStyle w:val="FootnoteAnchor"/>
          <w:rtl w:val="true"/>
        </w:rPr>
        <w:footnoteReference w:id="1440"/>
      </w:r>
      <w:r>
        <w:rPr>
          <w:rFonts w:ascii="IRNazanin" w:hAnsi="IRNazanin" w:eastAsia="IRNazanin"/>
          <w:color w:val="111111"/>
          <w:sz w:val="28"/>
          <w:sz w:val="28"/>
          <w:szCs w:val="28"/>
          <w:rtl w:val="true"/>
          <w:lang w:bidi="fa-IR"/>
        </w:rPr>
        <w:t>، وصاحب الحدائق قدس سره</w:t>
      </w:r>
      <w:r>
        <w:rPr>
          <w:rStyle w:val="FootnoteAnchor"/>
          <w:rtl w:val="true"/>
        </w:rPr>
        <w:footnoteReference w:id="1441"/>
      </w:r>
      <w:r>
        <w:rPr>
          <w:rFonts w:ascii="Amiri" w:hAnsi="Amiri" w:eastAsia="Amiri" w:cs="Amiri"/>
          <w:color w:val="111111"/>
          <w:sz w:val="28"/>
          <w:sz w:val="28"/>
          <w:szCs w:val="28"/>
          <w:rtl w:val="true"/>
          <w:lang w:bidi="ar-SA"/>
        </w:rPr>
        <w:t xml:space="preserve">، وغيرهم الكثيرين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اُدُّعِي ثبوت الإجماع</w:t>
      </w:r>
      <w:r>
        <w:rPr>
          <w:rStyle w:val="FootnoteAnchor"/>
          <w:rtl w:val="true"/>
        </w:rPr>
        <w:footnoteReference w:id="1442"/>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مبيعٍ تَلِف قبل قبضه فهو من مال بايعه؛ فلواشترىٰ المرءُ شيئًا وأدَّىٰ ثمنَه لكنَّ المبيع تلف قبل أن يُسلِّمه البايعُ للمشتري فهو علىٰ عهدة </w:t>
      </w:r>
      <w:bookmarkStart w:id="476" w:name="pg20337_261600"/>
    </w:p>
    <w:p>
      <w:pPr>
        <w:pStyle w:val="BookText"/>
        <w:rPr/>
      </w:pPr>
      <w:bookmarkEnd w:id="476"/>
      <w:r>
        <w:rPr>
          <w:rFonts w:ascii="Amiri" w:hAnsi="Amiri" w:eastAsia="Amiri" w:cs="Amiri"/>
          <w:color w:val="111111"/>
          <w:sz w:val="28"/>
          <w:sz w:val="28"/>
          <w:szCs w:val="28"/>
          <w:rtl w:val="true"/>
          <w:lang w:bidi="ar-SA"/>
        </w:rPr>
        <w:t>البائع، وقد توجَّه الضَّررُ إليه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1945246_1280447820"/>
      <w:bookmarkStart w:id="478" w:name="_Toc175"/>
      <w:bookmarkEnd w:id="477"/>
      <w:r>
        <w:rPr>
          <w:rtl w:val="true"/>
        </w:rPr>
        <w:t>مدركُ القاعدة</w:t>
      </w:r>
      <w:bookmarkEnd w:id="478"/>
    </w:p>
    <w:p>
      <w:pPr>
        <w:pStyle w:val="Heading4"/>
        <w:numPr>
          <w:ilvl w:val="3"/>
          <w:numId w:val="1"/>
        </w:numPr>
        <w:rPr/>
      </w:pPr>
      <w:bookmarkStart w:id="479" w:name="__RefHeading___Toc11945248_1280447820"/>
      <w:bookmarkStart w:id="480" w:name="_Toc176"/>
      <w:bookmarkEnd w:id="479"/>
      <w:r>
        <w:rPr>
          <w:rtl w:val="true"/>
        </w:rPr>
        <w:t>أوَّلًا</w:t>
      </w:r>
      <w:r>
        <w:rPr>
          <w:rtl w:val="true"/>
        </w:rPr>
        <w:t xml:space="preserve">: </w:t>
      </w:r>
      <w:r>
        <w:rPr>
          <w:rtl w:val="true"/>
        </w:rPr>
        <w:t>السُّنَّة</w:t>
      </w:r>
      <w:bookmarkEnd w:id="480"/>
    </w:p>
    <w:p>
      <w:pPr>
        <w:pStyle w:val="BookText"/>
        <w:rPr/>
      </w:pPr>
      <w:r>
        <w:rPr>
          <w:rFonts w:ascii="Amiri" w:hAnsi="Amiri" w:eastAsia="Amiri" w:cs="Amiri"/>
          <w:color w:val="111111"/>
          <w:sz w:val="28"/>
          <w:sz w:val="28"/>
          <w:szCs w:val="28"/>
          <w:rtl w:val="true"/>
          <w:lang w:bidi="ar-SA"/>
        </w:rPr>
        <w:t>ثمَّ إنَّ الأصحاب تمسَّكوا هيهنا بجملةٍ من الرِّوايات؛</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رواها ابنُ أبي جمهورٍ في عواليه</w:t>
      </w:r>
      <w:r>
        <w:rPr>
          <w:rStyle w:val="FootnoteAnchor"/>
          <w:rtl w:val="true"/>
        </w:rPr>
        <w:footnoteReference w:id="1443"/>
      </w:r>
      <w:r>
        <w:rPr>
          <w:rFonts w:ascii="Amiri" w:hAnsi="Amiri" w:eastAsia="Amiri" w:cs="Amiri"/>
          <w:color w:val="111111"/>
          <w:sz w:val="28"/>
          <w:sz w:val="28"/>
          <w:szCs w:val="28"/>
          <w:rtl w:val="true"/>
          <w:lang w:bidi="ar-SA"/>
        </w:rPr>
        <w:t>وقد استدَلَّ به العلَّامة قدس سره</w:t>
      </w:r>
      <w:r>
        <w:rPr>
          <w:rStyle w:val="FootnoteAnchor"/>
          <w:rtl w:val="true"/>
        </w:rPr>
        <w:footnoteReference w:id="1444"/>
      </w:r>
      <w:r>
        <w:rPr>
          <w:rFonts w:ascii="Amiri" w:hAnsi="Amiri" w:eastAsia="Amiri" w:cs="Amiri"/>
          <w:color w:val="111111"/>
          <w:sz w:val="28"/>
          <w:sz w:val="28"/>
          <w:szCs w:val="28"/>
          <w:rtl w:val="true"/>
          <w:lang w:bidi="ar-SA"/>
        </w:rPr>
        <w:t>، ونجم الدِّين الزَّهدَري الحلِّي قدس سره</w:t>
      </w:r>
      <w:r>
        <w:rPr>
          <w:rStyle w:val="FootnoteAnchor"/>
          <w:rtl w:val="true"/>
        </w:rPr>
        <w:footnoteReference w:id="1445"/>
      </w:r>
      <w:r>
        <w:rPr>
          <w:rFonts w:ascii="Amiri" w:hAnsi="Amiri" w:eastAsia="Amiri" w:cs="Amiri"/>
          <w:color w:val="111111"/>
          <w:sz w:val="28"/>
          <w:sz w:val="28"/>
          <w:szCs w:val="28"/>
          <w:rtl w:val="true"/>
          <w:lang w:bidi="ar-SA"/>
        </w:rPr>
        <w:t>، وابنُفهدٍ الحلِّي قدس سره</w:t>
      </w:r>
      <w:r>
        <w:rPr>
          <w:rStyle w:val="FootnoteAnchor"/>
          <w:rtl w:val="true"/>
        </w:rPr>
        <w:footnoteReference w:id="1446"/>
      </w:r>
      <w:r>
        <w:rPr>
          <w:rFonts w:ascii="Amiri" w:hAnsi="Amiri" w:eastAsia="Amiri" w:cs="Amiri"/>
          <w:color w:val="111111"/>
          <w:sz w:val="28"/>
          <w:sz w:val="28"/>
          <w:szCs w:val="28"/>
          <w:rtl w:val="true"/>
          <w:lang w:bidi="ar-SA"/>
        </w:rPr>
        <w:t>، والصَّيمُريُّ قدس سره</w:t>
      </w:r>
      <w:r>
        <w:rPr>
          <w:rStyle w:val="FootnoteAnchor"/>
          <w:rtl w:val="true"/>
        </w:rPr>
        <w:footnoteReference w:id="1447"/>
      </w:r>
      <w:r>
        <w:rPr>
          <w:rFonts w:ascii="Amiri" w:hAnsi="Amiri" w:eastAsia="Amiri" w:cs="Amiri"/>
          <w:color w:val="111111"/>
          <w:sz w:val="28"/>
          <w:sz w:val="28"/>
          <w:szCs w:val="28"/>
          <w:rtl w:val="true"/>
          <w:lang w:bidi="ar-SA"/>
        </w:rPr>
        <w:t>، والمحقِّق النَّجفيُّ قدس سره</w:t>
      </w:r>
      <w:r>
        <w:rPr>
          <w:rStyle w:val="FootnoteAnchor"/>
          <w:rtl w:val="true"/>
        </w:rPr>
        <w:footnoteReference w:id="144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وتمسَّكوا أيضًا برواية عقبة بن خالدٍ،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محمَّد بن الحسين عن محمَّد بن عبداللَّه بن هلالٍ عن عقبة بن خالدٍ عن أبي عبداللَّه عليه السلام في رجلٍ اشترىٰ متاعًا من رجلٍ وأوجبه، غيرَ أنَّه ترك المتاع عنده ولم يقبضه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فسُرِق المتاعُ‌، مِن مال مَن يكون‌؟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ويُخرِجَه من بيته، فإذا أخرَجَه من بيته فالمُبتاعُ ضامنٌ لحقِّه حتَّى يُرِدَّ ماله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مارواه </w:t>
      </w:r>
    </w:p>
    <w:p>
      <w:pPr>
        <w:pStyle w:val="BookText"/>
        <w:rPr/>
      </w:pPr>
      <w:r>
        <w:rPr>
          <w:rFonts w:ascii="Amiri" w:hAnsi="Amiri" w:eastAsia="Amiri" w:cs="Amiri"/>
          <w:color w:val="111111"/>
          <w:sz w:val="28"/>
          <w:sz w:val="28"/>
          <w:szCs w:val="28"/>
          <w:rtl w:val="true"/>
          <w:lang w:bidi="ar-SA"/>
        </w:rPr>
        <w:t>الكلينيُّ قدس سره</w:t>
      </w:r>
      <w:r>
        <w:rPr>
          <w:rStyle w:val="FootnoteAnchor"/>
          <w:rtl w:val="true"/>
        </w:rPr>
        <w:footnoteReference w:id="1449"/>
      </w:r>
      <w:r>
        <w:rPr>
          <w:rFonts w:ascii="Amiri" w:hAnsi="Amiri" w:eastAsia="Amiri" w:cs="Amiri"/>
          <w:color w:val="111111"/>
          <w:sz w:val="28"/>
          <w:sz w:val="28"/>
          <w:szCs w:val="28"/>
          <w:rtl w:val="true"/>
          <w:lang w:bidi="ar-SA"/>
        </w:rPr>
        <w:t>، والشَّيخ قدس سره</w:t>
      </w:r>
      <w:r>
        <w:rPr>
          <w:rStyle w:val="FootnoteAnchor"/>
          <w:rtl w:val="true"/>
        </w:rPr>
        <w:footnoteReference w:id="1450"/>
      </w:r>
      <w:r>
        <w:rPr>
          <w:rFonts w:ascii="Amiri" w:hAnsi="Amiri" w:eastAsia="Amiri" w:cs="Amiri"/>
          <w:color w:val="111111"/>
          <w:sz w:val="28"/>
          <w:sz w:val="28"/>
          <w:szCs w:val="28"/>
          <w:rtl w:val="true"/>
          <w:lang w:bidi="ar-SA"/>
        </w:rPr>
        <w:t>، وابنُ أبي جمهورٍ قدس سره</w:t>
      </w:r>
      <w:r>
        <w:rPr>
          <w:rStyle w:val="FootnoteAnchor"/>
          <w:rtl w:val="true"/>
        </w:rPr>
        <w:footnoteReference w:id="1451"/>
      </w:r>
      <w:r>
        <w:rPr>
          <w:rFonts w:ascii="Amiri" w:hAnsi="Amiri" w:eastAsia="Amiri" w:cs="Amiri"/>
          <w:color w:val="111111"/>
          <w:sz w:val="28"/>
          <w:sz w:val="28"/>
          <w:szCs w:val="28"/>
          <w:rtl w:val="true"/>
          <w:lang w:bidi="ar-SA"/>
        </w:rPr>
        <w:t>، والشَّيخ الحرُّ قدس سره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فلاإشكال فيه عندنا،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عبداللَّه بن هلالٍ يُوجَد في طُرُق ابنِقولويه في كامل الزِّيارات </w:t>
      </w:r>
      <w:r>
        <w:rPr>
          <w:rFonts w:eastAsia="Amiri" w:cs="Amiri" w:ascii="Amiri" w:hAnsi="Amiri"/>
          <w:color w:val="111111"/>
          <w:sz w:val="28"/>
          <w:szCs w:val="28"/>
          <w:lang w:bidi="ar-SA"/>
        </w:rPr>
        <w:t>9</w:t>
      </w:r>
      <w:r>
        <w:rPr>
          <w:rStyle w:val="FootnoteAnchor"/>
          <w:rtl w:val="true"/>
        </w:rPr>
        <w:footnoteReference w:id="1453"/>
      </w:r>
      <w:r>
        <w:rPr>
          <w:rFonts w:ascii="Amiri" w:hAnsi="Amiri" w:eastAsia="Amiri" w:cs="Amiri"/>
          <w:color w:val="111111"/>
          <w:sz w:val="28"/>
          <w:sz w:val="28"/>
          <w:szCs w:val="28"/>
          <w:rtl w:val="true"/>
          <w:lang w:bidi="ar-SA"/>
        </w:rPr>
        <w:t>وكذلك عُقبَةُ بن الخالد</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مشايخ نوادر الحكمة، وقد وثَّقَهم ابنُالوليد قدس سره، وتلميذُه أبي داود قدس سره، والصَّدوقُ قدس سره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الأصحاب منجبِرٌ لضعفه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لوثبت الضَّعفُ‌</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دلالتُها، فتامَّةٌ‌، حيث لها ظهورٌ كاملٌ في المراد</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bookmarkStart w:id="481" w:name="pg20337_261602"/>
    </w:p>
    <w:p>
      <w:pPr>
        <w:pStyle w:val="Heading4"/>
        <w:numPr>
          <w:ilvl w:val="3"/>
          <w:numId w:val="1"/>
        </w:numPr>
        <w:rPr/>
      </w:pPr>
      <w:bookmarkStart w:id="482" w:name="__RefHeading___Toc11945250_1280447820"/>
      <w:bookmarkStart w:id="483" w:name="_Toc177"/>
      <w:bookmarkEnd w:id="481"/>
      <w:bookmarkEnd w:id="482"/>
      <w:r>
        <w:rPr>
          <w:rtl w:val="true"/>
        </w:rPr>
        <w:t>ثانيًا</w:t>
      </w:r>
      <w:r>
        <w:rPr>
          <w:rtl w:val="true"/>
        </w:rPr>
        <w:t xml:space="preserve">: </w:t>
      </w:r>
      <w:r>
        <w:rPr>
          <w:rtl w:val="true"/>
        </w:rPr>
        <w:t>الإجماع</w:t>
      </w:r>
      <w:bookmarkEnd w:id="483"/>
    </w:p>
    <w:p>
      <w:pPr>
        <w:pStyle w:val="BookText"/>
        <w:rPr/>
      </w:pPr>
      <w:r>
        <w:rPr>
          <w:rFonts w:ascii="Amiri" w:hAnsi="Amiri" w:eastAsia="Amiri" w:cs="Amiri"/>
          <w:color w:val="111111"/>
          <w:sz w:val="28"/>
          <w:sz w:val="28"/>
          <w:szCs w:val="28"/>
          <w:rtl w:val="true"/>
          <w:lang w:bidi="ar-SA"/>
        </w:rPr>
        <w:t>وقد تمسَّك بعضُهم</w:t>
      </w:r>
      <w:r>
        <w:rPr>
          <w:rStyle w:val="FootnoteAnchor"/>
          <w:rtl w:val="true"/>
        </w:rPr>
        <w:footnoteReference w:id="1458"/>
      </w:r>
      <w:r>
        <w:rPr>
          <w:rFonts w:ascii="Amiri" w:hAnsi="Amiri" w:eastAsia="Amiri" w:cs="Amiri"/>
          <w:color w:val="111111"/>
          <w:sz w:val="28"/>
          <w:sz w:val="28"/>
          <w:szCs w:val="28"/>
          <w:rtl w:val="true"/>
          <w:lang w:bidi="ar-SA"/>
        </w:rPr>
        <w:t>بالإجماع المُدَّعىٰ في المقام</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الإجماع هيهنا ليس بشيءٍ‌، لوضوح كونه مقطوع المدركيَّة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ذلك فلسائلٍ أن يأتيَ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لايُصدِّقُ المستفادَّ من الحديث، إذ البناء هذا يدلُّ علىٰ أنَّ المال للمُشتري وهو أمانةٌ عند البائع، فيد البائع إذن أمانيٌ‌، ولاغرامة علىٰ اليد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تلف المال فهو من مال المشتري، لا البائع؛ هذا من ناحيَةٍ‌؛</w:t>
      </w:r>
    </w:p>
    <w:p>
      <w:p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عدم القبض في البيع إلَّافي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كثيرٍ من الأصحاب، منهم الرِّجالي الكبيرُ ابنُداودٍ الحلِّي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الصَّرف بشرط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ودونه لايُمضِي</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والسَّلَم</w:t>
      </w:r>
      <w:r>
        <w:rPr>
          <w:rStyle w:val="FootnoteAnchor"/>
          <w:rtl w:val="true"/>
        </w:rPr>
        <w:footnoteReference w:id="1461"/>
      </w:r>
      <w:r>
        <w:rPr>
          <w:rFonts w:ascii="Amiri" w:hAnsi="Amiri" w:eastAsia="Amiri" w:cs="Amiri"/>
          <w:color w:val="111111"/>
          <w:sz w:val="28"/>
          <w:sz w:val="28"/>
          <w:szCs w:val="28"/>
          <w:rtl w:val="true"/>
          <w:lang w:bidi="ar-SA"/>
        </w:rPr>
        <w:t xml:space="preserve">والهِبَة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كثيرٍ من الأصحاب، منهم المرتضىٰ قدس سره حيث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شرطٌ في وقوع الَّتمليك فيها</w:t>
      </w:r>
      <w:r>
        <w:rPr>
          <w:rFonts w:eastAsia="Amiri" w:cs="Amiri" w:ascii="Amiri" w:hAnsi="Amiri"/>
          <w:color w:val="111111"/>
          <w:sz w:val="28"/>
          <w:szCs w:val="28"/>
          <w:rtl w:val="true"/>
          <w:lang w:bidi="ar-SA"/>
        </w:rPr>
        <w:t>»</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مسلَّمٌ عند الأصحاب؛ فكيف يُجمَع بين هذين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أضِف إلى ذلك أنَّ ما قال به الأعاظم من أنَّه من باب اِنفساخ العقد آنًا مَّا ورجوع المُبتاع إلى مال البائع ولو بلحظةٍ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العامليِّ قدس سره</w:t>
      </w:r>
      <w:r>
        <w:rPr>
          <w:rStyle w:val="FootnoteAnchor"/>
          <w:rtl w:val="true"/>
        </w:rPr>
        <w:footnoteReference w:id="1463"/>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464"/>
      </w:r>
      <w:r>
        <w:rPr>
          <w:rFonts w:ascii="Amiri" w:hAnsi="Amiri" w:eastAsia="Amiri" w:cs="Amiri"/>
          <w:color w:val="111111"/>
          <w:sz w:val="28"/>
          <w:sz w:val="28"/>
          <w:szCs w:val="28"/>
          <w:rtl w:val="true"/>
          <w:lang w:bidi="ar-SA"/>
        </w:rPr>
        <w:t>، والمحقِّق الثَّاني قدس سره</w:t>
      </w:r>
      <w:r>
        <w:rPr>
          <w:rStyle w:val="FootnoteAnchor"/>
          <w:rtl w:val="true"/>
        </w:rPr>
        <w:footnoteReference w:id="1465"/>
      </w:r>
      <w:r>
        <w:rPr>
          <w:rFonts w:ascii="Amiri" w:hAnsi="Amiri" w:eastAsia="Amiri" w:cs="Amiri"/>
          <w:color w:val="111111"/>
          <w:sz w:val="28"/>
          <w:sz w:val="28"/>
          <w:szCs w:val="28"/>
          <w:rtl w:val="true"/>
          <w:lang w:bidi="ar-SA"/>
        </w:rPr>
        <w:t>، والشَّهيد الثَّاني قدس سره</w:t>
      </w:r>
      <w:r>
        <w:rPr>
          <w:rStyle w:val="FootnoteAnchor"/>
          <w:rtl w:val="true"/>
        </w:rPr>
        <w:footnoteReference w:id="1466"/>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467"/>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فهو وإن كان صحيحًا، إلَّاأنَّه يحتاج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بعد ثبوت كون الرِّوايتين علىٰ خلاف مقتضىٰ بناء العقلاء، لابدَّ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تأويلِهِما،</w:t>
      </w:r>
    </w:p>
    <w:p>
      <w:pPr>
        <w:pStyle w:val="BookText"/>
        <w:rPr/>
      </w:pPr>
      <w:r>
        <w:rPr>
          <w:rFonts w:ascii="Amiri" w:hAnsi="Amiri" w:eastAsia="Amiri" w:cs="Amiri"/>
          <w:color w:val="111111"/>
          <w:sz w:val="28"/>
          <w:sz w:val="28"/>
          <w:szCs w:val="28"/>
          <w:rtl w:val="true"/>
          <w:lang w:bidi="ar-SA"/>
        </w:rPr>
        <w:t>أو اختصاصهما بما إذا باعَ كلِّيًّا لا جزئيًّا،</w:t>
      </w:r>
    </w:p>
    <w:p>
      <w:pPr>
        <w:pStyle w:val="BookText"/>
        <w:rPr/>
      </w:pPr>
      <w:r>
        <w:rPr>
          <w:rFonts w:ascii="Amiri" w:hAnsi="Amiri" w:eastAsia="Amiri" w:cs="Amiri"/>
          <w:color w:val="111111"/>
          <w:sz w:val="28"/>
          <w:sz w:val="28"/>
          <w:szCs w:val="28"/>
          <w:rtl w:val="true"/>
          <w:lang w:bidi="ar-SA"/>
        </w:rPr>
        <w:t>أو حَمْلِ الرِّوايَتَين علىٰ ما إذا أَتلَف المال، لاتلف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ردعِ بناء العقلاء بمثلِ هذين الحديثَين؛</w:t>
      </w:r>
    </w:p>
    <w:p>
      <w:pPr>
        <w:pStyle w:val="BookText"/>
        <w:rPr/>
      </w:pPr>
      <w:r>
        <w:rPr>
          <w:rFonts w:ascii="Amiri" w:hAnsi="Amiri" w:eastAsia="Amiri" w:cs="Amiri"/>
          <w:color w:val="111111"/>
          <w:sz w:val="28"/>
          <w:sz w:val="28"/>
          <w:szCs w:val="28"/>
          <w:rtl w:val="true"/>
          <w:lang w:bidi="ar-SA"/>
        </w:rPr>
        <w:t>مشكلٌ جدًّا لايُلتَفَتُ إليها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الباب لعلَّك تجِدُ جوابًا آخر للإشكال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اختاره المحقِّق البجنورديُّ قدس سره مِن أنَّ الأخذ والإعطاءَ عند العقلاء مأخوذان في ماهيَّة العقد المعاوَضيِّ وحقيقته حدوثًا وبقاءً‌، فإذا سقط العقدُ عن هذه </w:t>
      </w:r>
    </w:p>
    <w:p>
      <w:pPr>
        <w:pStyle w:val="BookText"/>
        <w:rPr/>
      </w:pPr>
      <w:r>
        <w:rPr>
          <w:rFonts w:ascii="Amiri" w:hAnsi="Amiri" w:eastAsia="Amiri" w:cs="Amiri"/>
          <w:color w:val="111111"/>
          <w:sz w:val="28"/>
          <w:sz w:val="28"/>
          <w:szCs w:val="28"/>
          <w:rtl w:val="true"/>
          <w:lang w:bidi="ar-SA"/>
        </w:rPr>
        <w:t>القابليَّة حدوثًا أو بقاءً فينفَسِخ العقد قهرًا</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الدليل هذا عينُ المدَّعىٰ‌، بل لافرق بينهما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ولازم هذا القول اشتراطُ القبض في المعاملات كلِّها، وهو مردودٌ إجماعًا لايقول به أحدٌ إلَّافي الصَّرَف والسَّلَم</w:t>
      </w:r>
      <w:r>
        <w:rPr>
          <w:rStyle w:val="FootnoteAnchor"/>
          <w:rtl w:val="true"/>
        </w:rPr>
        <w:footnoteReference w:id="1469"/>
      </w:r>
      <w:r>
        <w:rPr>
          <w:rFonts w:ascii="Amiri" w:hAnsi="Amiri" w:eastAsia="Amiri" w:cs="Amiri"/>
          <w:color w:val="111111"/>
          <w:sz w:val="28"/>
          <w:sz w:val="28"/>
          <w:szCs w:val="28"/>
          <w:rtl w:val="true"/>
          <w:lang w:bidi="ar-SA"/>
        </w:rPr>
        <w:t xml:space="preserve">، وهما أيضًا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الكلام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إنَّ القبضَ لايُشتَرَط في العقود والإيقاعات إلَّافيما أخرجه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في العقود، والوقف في الإيقاعات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فالأخذ والإعطاء شرطٌ في المعامَلات المعاوضيَّة حدوثًا، أمَّا كونهما شرطًا فيها بقاءً فليس كذلك؛ ضرورةَ أنَّه بعد ثبوت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كلِّيَّةً فالَّثمن ينتقل إلى ذمَّة المشتري كلِّيًّا، وعليه أن يردَّه خارجًا ومصداقًا، أمَّا المُثمَن فينتقل إلى ذمَّة البائع وعليه أن يردُّه مصداقًا أيضًا؛</w:t>
      </w:r>
    </w:p>
    <w:p>
      <w:pPr>
        <w:pStyle w:val="BookText"/>
        <w:rPr/>
      </w:pPr>
      <w:r>
        <w:rPr>
          <w:rFonts w:ascii="Amiri" w:hAnsi="Amiri" w:eastAsia="Amiri" w:cs="Amiri"/>
          <w:color w:val="111111"/>
          <w:sz w:val="28"/>
          <w:sz w:val="28"/>
          <w:szCs w:val="28"/>
          <w:rtl w:val="true"/>
          <w:lang w:bidi="ar-SA"/>
        </w:rPr>
        <w:t>وأمَّا لو كانت خارجيَّةً فالَّثمن الخارجيُّ ينتقل إلى البائع، والمُثمَن الخارجيُّ ينتقل إلى المشتري؛ فإذا تلف الَّثمن فهو من مال البائع، وإن تلف المبيع فهو من مال المشتري، ضرورة أنَّ التَّلف وقَعَ علىٰ مال المالك ولامعنىٰ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تلف من مال غير المالك؛</w:t>
      </w:r>
    </w:p>
    <w:p>
      <w:pPr>
        <w:pStyle w:val="BookText"/>
        <w:rPr/>
      </w:pPr>
      <w:r>
        <w:rPr>
          <w:rFonts w:ascii="Amiri" w:hAnsi="Amiri" w:eastAsia="Amiri" w:cs="Amiri"/>
          <w:color w:val="111111"/>
          <w:sz w:val="28"/>
          <w:sz w:val="28"/>
          <w:szCs w:val="28"/>
          <w:rtl w:val="true"/>
          <w:lang w:bidi="ar-SA"/>
        </w:rPr>
        <w:t>إلَّا أن يُقال بالخضوع قِبَل المبنىٰ تعبُّدًا، للإجماع وروايات الباب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ظهر ما في كلام المحقِّق البجنورديِّ قدس سره</w:t>
      </w:r>
      <w:r>
        <w:rPr>
          <w:rStyle w:val="FootnoteAnchor"/>
          <w:rtl w:val="true"/>
        </w:rPr>
        <w:footnoteReference w:id="1470"/>
      </w:r>
      <w:r>
        <w:rPr>
          <w:rFonts w:ascii="Amiri" w:hAnsi="Amiri" w:eastAsia="Amiri" w:cs="Amiri"/>
          <w:color w:val="111111"/>
          <w:sz w:val="28"/>
          <w:sz w:val="28"/>
          <w:szCs w:val="28"/>
          <w:rtl w:val="true"/>
          <w:lang w:bidi="ar-SA"/>
        </w:rPr>
        <w:t xml:space="preserve">، حيث تمسَّك ببناء العقلاء في </w:t>
      </w:r>
      <w:bookmarkStart w:id="484" w:name="pg20337_261605"/>
    </w:p>
    <w:p>
      <w:pPr>
        <w:pStyle w:val="BookText"/>
        <w:rPr/>
      </w:pPr>
      <w:bookmarkEnd w:id="484"/>
      <w:r>
        <w:rPr>
          <w:rFonts w:ascii="Amiri" w:hAnsi="Amiri" w:eastAsia="Amiri" w:cs="Amiri"/>
          <w:color w:val="111111"/>
          <w:sz w:val="28"/>
          <w:sz w:val="28"/>
          <w:szCs w:val="28"/>
          <w:rtl w:val="true"/>
          <w:lang w:bidi="ar-SA"/>
        </w:rPr>
        <w:t>مساقِّ أدلَّة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تنبيهاتٌ‌</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1945252_1280447820"/>
      <w:bookmarkStart w:id="486" w:name="_Toc178"/>
      <w:bookmarkEnd w:id="485"/>
      <w:r>
        <w:rPr>
          <w:rtl w:val="true"/>
        </w:rPr>
        <w:t>تنبيهاتٌ‌</w:t>
      </w:r>
      <w:r>
        <w:rPr>
          <w:rtl w:val="true"/>
        </w:rPr>
        <w:t>:</w:t>
      </w:r>
      <w:bookmarkEnd w:id="486"/>
    </w:p>
    <w:p>
      <w:pPr>
        <w:pStyle w:val="Heading4"/>
        <w:numPr>
          <w:ilvl w:val="3"/>
          <w:numId w:val="1"/>
        </w:numPr>
        <w:rPr/>
      </w:pPr>
      <w:bookmarkStart w:id="487" w:name="__RefHeading___Toc11945254_1280447820"/>
      <w:bookmarkStart w:id="488" w:name="_Toc179"/>
      <w:bookmarkEnd w:id="487"/>
      <w:r>
        <w:rPr>
          <w:rtl w:val="true"/>
        </w:rPr>
        <w:t>التَّنبيه الأوَّل</w:t>
      </w:r>
      <w:r>
        <w:rPr>
          <w:rtl w:val="true"/>
        </w:rPr>
        <w:t>:</w:t>
      </w:r>
      <w:bookmarkEnd w:id="488"/>
    </w:p>
    <w:p>
      <w:pPr>
        <w:pStyle w:val="BookText"/>
        <w:rPr/>
      </w:pPr>
      <w:r>
        <w:rPr>
          <w:rFonts w:ascii="Amiri" w:hAnsi="Amiri" w:eastAsia="Amiri" w:cs="Amiri"/>
          <w:color w:val="111111"/>
          <w:sz w:val="28"/>
          <w:sz w:val="28"/>
          <w:szCs w:val="28"/>
          <w:rtl w:val="true"/>
          <w:lang w:bidi="ar-SA"/>
        </w:rPr>
        <w:t xml:space="preserve">هل يمكن التَّجاوز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ممَّا يُتلَف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كتلف الَّثمن، أو تلف وصفٍ من أوصاف المَبيع، أو تلف جزءٍ منه، أو تلف غير المبيع في المعاوَضات، كالهبة المعوَّضة، أو الصُّلح المعوَّض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ذكره الشَّيخ الأعظم الأنصاريُّ قدس سره</w:t>
      </w:r>
      <w:r>
        <w:rPr>
          <w:rStyle w:val="FootnoteAnchor"/>
          <w:rtl w:val="true"/>
        </w:rPr>
        <w:footnoteReference w:id="1471"/>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1472"/>
      </w:r>
      <w:r>
        <w:rPr>
          <w:rFonts w:ascii="Amiri" w:hAnsi="Amiri" w:eastAsia="Amiri" w:cs="Amiri"/>
          <w:color w:val="111111"/>
          <w:sz w:val="28"/>
          <w:sz w:val="28"/>
          <w:szCs w:val="28"/>
          <w:rtl w:val="true"/>
          <w:lang w:bidi="ar-SA"/>
        </w:rPr>
        <w:t>، والفقيه العاملي قدس سره</w:t>
      </w:r>
      <w:r>
        <w:rPr>
          <w:rStyle w:val="FootnoteAnchor"/>
          <w:rtl w:val="true"/>
        </w:rPr>
        <w:footnoteReference w:id="1473"/>
      </w:r>
      <w:r>
        <w:rPr>
          <w:rFonts w:ascii="Amiri" w:hAnsi="Amiri" w:eastAsia="Amiri" w:cs="Amiri"/>
          <w:color w:val="111111"/>
          <w:sz w:val="28"/>
          <w:sz w:val="28"/>
          <w:szCs w:val="28"/>
          <w:rtl w:val="true"/>
          <w:lang w:bidi="ar-SA"/>
        </w:rPr>
        <w:t>، وصاحب الرِّياض قدس سره</w:t>
      </w:r>
      <w:r>
        <w:rPr>
          <w:rStyle w:val="FootnoteAnchor"/>
          <w:rtl w:val="true"/>
        </w:rPr>
        <w:footnoteReference w:id="1474"/>
      </w:r>
      <w:r>
        <w:rPr>
          <w:rFonts w:ascii="Amiri" w:hAnsi="Amiri" w:eastAsia="Amiri" w:cs="Amiri"/>
          <w:color w:val="111111"/>
          <w:sz w:val="28"/>
          <w:sz w:val="28"/>
          <w:szCs w:val="28"/>
          <w:rtl w:val="true"/>
          <w:lang w:bidi="ar-SA"/>
        </w:rPr>
        <w:t>، والسَّيِّد المجاهد قدس سره</w:t>
      </w:r>
      <w:r>
        <w:rPr>
          <w:rStyle w:val="FootnoteAnchor"/>
          <w:rtl w:val="true"/>
        </w:rPr>
        <w:footnoteReference w:id="1475"/>
      </w:r>
      <w:r>
        <w:rPr>
          <w:rFonts w:ascii="Amiri" w:hAnsi="Amiri" w:eastAsia="Amiri" w:cs="Amiri"/>
          <w:color w:val="111111"/>
          <w:sz w:val="28"/>
          <w:sz w:val="28"/>
          <w:szCs w:val="28"/>
          <w:rtl w:val="true"/>
          <w:lang w:bidi="ar-SA"/>
        </w:rPr>
        <w:t>، والفقيه الشَّيخ مهدي آل كاشف الغطاء قدس سره</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خلافًا لقليلٍ منهم، كالفقيه النَّجفيِّ قدس سره</w:t>
      </w:r>
      <w:r>
        <w:rPr>
          <w:rStyle w:val="FootnoteAnchor"/>
          <w:rtl w:val="true"/>
        </w:rPr>
        <w:footnoteReference w:id="147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تشمل غير المبيع من المعَوَّضات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والعمدةُ في المقام أخذُ مناطٍ جامعٍ في البين بإلغاء الخصوصيَّة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بالَّتمسُّك بالإجماع المنعَقَد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يظهر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المختار فلوثبَت الإجماعُ‌، فهو الحجَّة؛ وإلَّا فتنقيح المناط وإلغاء الخصوصيَّة عن المبيع في غاية الإشكال، سيَّما بناءً علىٰ ما ذهبنا إليه من كون أصل المسألة مخالفًا لعدَّةٍ من القوانين الجارية بين العقلاء، فلاطريق في التَّعدِّي عن المبيع إلى غيره إلَّاالَّتمسُّك بالإجماع؛</w:t>
      </w:r>
    </w:p>
    <w:p>
      <w:pPr>
        <w:pStyle w:val="BookText"/>
        <w:rPr/>
      </w:pPr>
      <w:r>
        <w:rPr>
          <w:rFonts w:ascii="Amiri" w:hAnsi="Amiri" w:eastAsia="Amiri" w:cs="Amiri"/>
          <w:color w:val="111111"/>
          <w:sz w:val="28"/>
          <w:sz w:val="28"/>
          <w:szCs w:val="28"/>
          <w:rtl w:val="true"/>
          <w:lang w:bidi="ar-SA"/>
        </w:rPr>
        <w:t xml:space="preserve">وثبوتُه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مُتَمَسِّكًا بأمثال ما نقلوه هيهنا، كنقل الشَّيخ قدس سره أنَّ العلَّامة قدس سره ذهب في التَّذكرة إلى أنَّ التَّجاوز من المُسلَّمات</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خرطُ القتاد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كون المسألة مسلَّمةً لايدلُّ علىٰ كونها إجماعيًّا، لأنَّ الأوَّل يُشير إلى رأي العلَّامة قدس سره وكونها بديهيًّا في نظره الشَّريف، بينما الثَّاني يُشير إلى ثبوتها عند جميع الأصحاب؛</w:t>
      </w:r>
    </w:p>
    <w:p>
      <w:pPr>
        <w:pStyle w:val="BookText"/>
        <w:rPr/>
      </w:pPr>
      <w:r>
        <w:rPr>
          <w:rFonts w:ascii="Amiri" w:hAnsi="Amiri" w:eastAsia="Amiri" w:cs="Amiri"/>
          <w:color w:val="111111"/>
          <w:sz w:val="28"/>
          <w:sz w:val="28"/>
          <w:szCs w:val="28"/>
          <w:rtl w:val="true"/>
          <w:lang w:bidi="ar-SA"/>
        </w:rPr>
        <w:t>وبينهما بونٌ بعيدٌ</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وانظر أيضًا إلى قول الشَّيخ الأعظم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أنَّه ممَّا لاخلاف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المكاسب،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20337_261607"/>
    </w:p>
    <w:p>
      <w:pPr>
        <w:pStyle w:val="BookText"/>
        <w:rPr/>
      </w:pPr>
      <w:bookmarkEnd w:id="489"/>
      <w:r>
        <w:rPr>
          <w:rFonts w:ascii="Amiri" w:hAnsi="Amiri" w:eastAsia="Amiri" w:cs="Amiri"/>
          <w:color w:val="111111"/>
          <w:sz w:val="28"/>
          <w:sz w:val="28"/>
          <w:szCs w:val="28"/>
          <w:rtl w:val="true"/>
          <w:lang w:bidi="ar-SA"/>
        </w:rPr>
        <w:t>وعليه فالمختار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كجميع فروعاتها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لايمكن الذِّهاب إليه؛ ولوسُلِّم فالحصر في ما يُشير إليه لفظ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مرويٌّ عن النَّبيِّ الكريم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الطَّريق الوحيد في المقام، وهو منحصرٌ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لا في غيره من المُعوَّضات</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1945256_1280447820"/>
      <w:bookmarkStart w:id="491" w:name="_Toc180"/>
      <w:bookmarkEnd w:id="490"/>
      <w:r>
        <w:rPr>
          <w:rtl w:val="true"/>
        </w:rPr>
        <w:t>التَّنبيه الثَّاني</w:t>
      </w:r>
      <w:r>
        <w:rPr>
          <w:rtl w:val="true"/>
        </w:rPr>
        <w:t>:</w:t>
      </w:r>
      <w:bookmarkEnd w:id="491"/>
    </w:p>
    <w:p>
      <w:pPr>
        <w:pStyle w:val="BookText"/>
        <w:rPr/>
      </w:pPr>
      <w:r>
        <w:rPr>
          <w:rFonts w:ascii="Amiri" w:hAnsi="Amiri" w:eastAsia="Amiri" w:cs="Amiri"/>
          <w:color w:val="111111"/>
          <w:sz w:val="28"/>
          <w:sz w:val="28"/>
          <w:szCs w:val="28"/>
          <w:rtl w:val="true"/>
          <w:lang w:bidi="ar-SA"/>
        </w:rPr>
        <w:t>هل نماء المَبيع المُنفَصل عنه قبل التَّلف يُعدُّ للبائع‌؟، أو للمشتري</w:t>
      </w:r>
      <w:r>
        <w:rPr>
          <w:rStyle w:val="FootnoteAnchor"/>
          <w:rtl w:val="true"/>
        </w:rPr>
        <w:footnoteReference w:id="14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قلنا باشتراط الأخذ والإعطاء الخارجيَّيْن في البيع، فالنماء للبائع، لأنَّ المَبيع ملكُه ولم يخرج بَعدُ عن ملكه؛</w:t>
      </w:r>
    </w:p>
    <w:p>
      <w:pPr>
        <w:pStyle w:val="BookText"/>
        <w:rPr/>
      </w:pPr>
      <w:r>
        <w:rPr>
          <w:rFonts w:ascii="Amiri" w:hAnsi="Amiri" w:eastAsia="Amiri" w:cs="Amiri"/>
          <w:color w:val="111111"/>
          <w:sz w:val="28"/>
          <w:sz w:val="28"/>
          <w:szCs w:val="28"/>
          <w:rtl w:val="true"/>
          <w:lang w:bidi="ar-SA"/>
        </w:rPr>
        <w:t>أمَّا لوقلنا بأنَّ المبيع بمحض إنعقاد البيع ينتقل إلى المشتري وحين التَّلف ينتقل المَبيع آنًا مَّا إلى ملك البائع، فالِّنماء إذن للمشتري، لأنَّه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اخترنا كون المسألة تعبُّديَّةً صرفةً ولامدرك لها غير الإجماع، فالمتاعُ للمشتري؛ لكن لوتلف قبل القبض فهو من مال البائع، فالِّنماء في هذا الفرض أيضًا 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السِّرُّ في اختلاف الأصحاب في المسألة؛ فانظر إلى ما ذكره العلَّامة قدس سره</w:t>
      </w:r>
      <w:r>
        <w:rPr>
          <w:rStyle w:val="FootnoteAnchor"/>
          <w:rtl w:val="true"/>
        </w:rPr>
        <w:footnoteReference w:id="1481"/>
      </w:r>
      <w:r>
        <w:rPr>
          <w:rFonts w:ascii="Amiri" w:hAnsi="Amiri" w:eastAsia="Amiri" w:cs="Amiri"/>
          <w:color w:val="111111"/>
          <w:sz w:val="28"/>
          <w:sz w:val="28"/>
          <w:szCs w:val="28"/>
          <w:rtl w:val="true"/>
          <w:lang w:bidi="ar-SA"/>
        </w:rPr>
        <w:t>، وابن قطَّان الحلِّي قدس سره</w:t>
      </w:r>
      <w:r>
        <w:rPr>
          <w:rStyle w:val="FootnoteAnchor"/>
          <w:rtl w:val="true"/>
        </w:rPr>
        <w:footnoteReference w:id="1482"/>
      </w:r>
      <w:r>
        <w:rPr>
          <w:rFonts w:ascii="Amiri" w:hAnsi="Amiri" w:eastAsia="Amiri" w:cs="Amiri"/>
          <w:color w:val="111111"/>
          <w:sz w:val="28"/>
          <w:sz w:val="28"/>
          <w:szCs w:val="28"/>
          <w:rtl w:val="true"/>
          <w:lang w:bidi="ar-SA"/>
        </w:rPr>
        <w:t>، والمحقِّق الحلِّي قدس سره</w:t>
      </w:r>
      <w:r>
        <w:rPr>
          <w:rStyle w:val="FootnoteAnchor"/>
          <w:rtl w:val="true"/>
        </w:rPr>
        <w:footnoteReference w:id="1483"/>
      </w:r>
      <w:r>
        <w:rPr>
          <w:rFonts w:ascii="Amiri" w:hAnsi="Amiri" w:eastAsia="Amiri" w:cs="Amiri"/>
          <w:color w:val="111111"/>
          <w:sz w:val="28"/>
          <w:sz w:val="28"/>
          <w:szCs w:val="28"/>
          <w:rtl w:val="true"/>
          <w:lang w:bidi="ar-SA"/>
        </w:rPr>
        <w:t>، والشَّهيد الأوَّل قدس سره</w:t>
      </w:r>
      <w:r>
        <w:rPr>
          <w:rStyle w:val="FootnoteAnchor"/>
          <w:rtl w:val="true"/>
        </w:rPr>
        <w:footnoteReference w:id="1484"/>
      </w:r>
      <w:r>
        <w:rPr>
          <w:rFonts w:ascii="IRNazanin" w:hAnsi="IRNazanin" w:eastAsia="IRNazanin"/>
          <w:color w:val="111111"/>
          <w:sz w:val="28"/>
          <w:sz w:val="28"/>
          <w:szCs w:val="28"/>
          <w:rtl w:val="true"/>
          <w:lang w:bidi="fa-IR"/>
        </w:rPr>
        <w:t xml:space="preserve">، </w:t>
      </w:r>
      <w:bookmarkStart w:id="492" w:name="pg20337_261608"/>
    </w:p>
    <w:p>
      <w:pPr>
        <w:pStyle w:val="BookText"/>
        <w:rPr/>
      </w:pPr>
      <w:bookmarkEnd w:id="492"/>
      <w:r>
        <w:rPr>
          <w:rFonts w:ascii="Amiri" w:hAnsi="Amiri" w:eastAsia="Amiri" w:cs="Amiri"/>
          <w:color w:val="111111"/>
          <w:sz w:val="28"/>
          <w:sz w:val="28"/>
          <w:szCs w:val="28"/>
          <w:rtl w:val="true"/>
          <w:lang w:bidi="ar-SA"/>
        </w:rPr>
        <w:t>والمحقِّق الثَّاني قدس سره</w:t>
      </w:r>
      <w:r>
        <w:rPr>
          <w:rStyle w:val="FootnoteAnchor"/>
          <w:rtl w:val="true"/>
        </w:rPr>
        <w:footnoteReference w:id="1485"/>
      </w:r>
      <w:r>
        <w:rPr>
          <w:rFonts w:ascii="Amiri" w:hAnsi="Amiri" w:eastAsia="Amiri" w:cs="Amiri"/>
          <w:color w:val="111111"/>
          <w:sz w:val="28"/>
          <w:sz w:val="28"/>
          <w:szCs w:val="28"/>
          <w:rtl w:val="true"/>
          <w:lang w:bidi="ar-SA"/>
        </w:rPr>
        <w:t>، والشَّهيد الثَّاني قدس سره</w:t>
      </w:r>
      <w:r>
        <w:rPr>
          <w:rStyle w:val="FootnoteAnchor"/>
          <w:rtl w:val="true"/>
        </w:rPr>
        <w:footnoteReference w:id="1486"/>
      </w:r>
      <w:r>
        <w:rPr>
          <w:rFonts w:ascii="Amiri" w:hAnsi="Amiri" w:eastAsia="Amiri" w:cs="Amiri"/>
          <w:color w:val="111111"/>
          <w:sz w:val="28"/>
          <w:sz w:val="28"/>
          <w:szCs w:val="28"/>
          <w:rtl w:val="true"/>
          <w:lang w:bidi="ar-SA"/>
        </w:rPr>
        <w:t>، والمقدَّس الأردبيليُّ قدس سره</w:t>
      </w:r>
      <w:r>
        <w:rPr>
          <w:rStyle w:val="FootnoteAnchor"/>
          <w:rtl w:val="true"/>
        </w:rPr>
        <w:footnoteReference w:id="1487"/>
      </w:r>
      <w:r>
        <w:rPr>
          <w:rFonts w:ascii="Amiri" w:hAnsi="Amiri" w:eastAsia="Amiri" w:cs="Amiri"/>
          <w:color w:val="111111"/>
          <w:sz w:val="28"/>
          <w:sz w:val="28"/>
          <w:szCs w:val="28"/>
          <w:rtl w:val="true"/>
          <w:lang w:bidi="ar-SA"/>
        </w:rPr>
        <w:t>، حيث إنَّهم اختاروا كون الِّنماء للمشتري لا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لهم المحقِّق العامليُّ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التَّلف لايُبطِل البيعَ من أصله، بل يُفسِخه من حينه كما لوانفسخ بخيارٍ</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1945258_1280447820"/>
      <w:bookmarkStart w:id="494" w:name="_Toc181"/>
      <w:bookmarkEnd w:id="493"/>
      <w:r>
        <w:rPr>
          <w:rtl w:val="true"/>
        </w:rPr>
        <w:t>التَّنبيه الثَّالث</w:t>
      </w:r>
      <w:r>
        <w:rPr>
          <w:rtl w:val="true"/>
        </w:rPr>
        <w:t>:</w:t>
      </w:r>
      <w:bookmarkEnd w:id="494"/>
    </w:p>
    <w:p>
      <w:pPr>
        <w:pStyle w:val="BookText"/>
        <w:rPr/>
      </w:pPr>
      <w:r>
        <w:rPr>
          <w:rFonts w:ascii="Amiri" w:hAnsi="Amiri" w:eastAsia="Amiri" w:cs="Amiri"/>
          <w:color w:val="111111"/>
          <w:sz w:val="28"/>
          <w:sz w:val="28"/>
          <w:szCs w:val="28"/>
          <w:rtl w:val="true"/>
          <w:lang w:bidi="ar-SA"/>
        </w:rPr>
        <w:t>هل يجوز إسقاط الضَّمان‌؟، كأنْ يقولَ المشتري للبائع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المال عندك فهو من مالي، لا من مالك، وليس عليك جبرُه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منشأه أنَّه هل يصحُّ الإبراء من الأعيان المضمونة قبل القبض‌؟، أم لا؟</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الإبراء وعدم سقوط هذا الضَّمان به، بل الحكم بعد إبراء المشتري باقٍ علىٰ ما كان عليه قبل الإبراء</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كما اختار الحكمَ بعدم الإبراء العلَّامة قدس سره</w:t>
      </w:r>
      <w:r>
        <w:rPr>
          <w:rStyle w:val="FootnoteAnchor"/>
          <w:rtl w:val="true"/>
        </w:rPr>
        <w:footnoteReference w:id="1491"/>
      </w:r>
      <w:r>
        <w:rPr>
          <w:rFonts w:ascii="Amiri" w:hAnsi="Amiri" w:eastAsia="Amiri" w:cs="Amiri"/>
          <w:color w:val="111111"/>
          <w:sz w:val="28"/>
          <w:sz w:val="28"/>
          <w:szCs w:val="28"/>
          <w:rtl w:val="true"/>
          <w:lang w:bidi="ar-SA"/>
        </w:rPr>
        <w:t>، والشَّهيد الأوَّل قدس سرهما</w:t>
      </w:r>
      <w:r>
        <w:rPr>
          <w:rStyle w:val="FootnoteAnchor"/>
          <w:rtl w:val="true"/>
        </w:rPr>
        <w:footnoteReference w:id="1492"/>
      </w:r>
      <w:r>
        <w:rPr>
          <w:rFonts w:ascii="Amiri" w:hAnsi="Amiri" w:eastAsia="Amiri" w:cs="Amiri"/>
          <w:color w:val="111111"/>
          <w:sz w:val="28"/>
          <w:sz w:val="28"/>
          <w:szCs w:val="28"/>
          <w:rtl w:val="true"/>
          <w:lang w:bidi="ar-SA"/>
        </w:rPr>
        <w:t>، وثاني النَّراقِيَّين قدس سرهما</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هو الجوازُ، كإسقاط الضَّمان في المضاربة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ولايُعنىٰ به التَّصرُّف في الشَّرع ومقتضاه، بل المُعنىٰ به أنَّه لوتلف المال فالشَّرع وإن وَضَعَ الضَّمان وجعَلَه علىٰ البائع، إلَّاأنَّ للمشتري أن يسقُطَ هذا الضَّمان تعطُّفًا علىٰ البائع، أو بغرضٍ آخر؛ فليس الشَّرط مخالفًا للكتاب القويم أو 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قلنا ظهر أنَّه ليس معنىٰ جواز رفع الضَّمان المنعَ عن حصول الاِنفساخ آنًا 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قهريٌّ ليس بيد البائع ولابيد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المحقِّق البجنورديُّ قدس سره</w:t>
      </w:r>
      <w:r>
        <w:rPr>
          <w:rStyle w:val="FootnoteAnchor"/>
          <w:rtl w:val="true"/>
        </w:rPr>
        <w:footnoteReference w:id="1494"/>
      </w:r>
      <w:r>
        <w:rPr>
          <w:rFonts w:ascii="Amiri" w:hAnsi="Amiri" w:eastAsia="Amiri" w:cs="Amiri"/>
          <w:color w:val="111111"/>
          <w:sz w:val="28"/>
          <w:sz w:val="28"/>
          <w:szCs w:val="28"/>
          <w:rtl w:val="true"/>
          <w:lang w:bidi="ar-SA"/>
        </w:rPr>
        <w:t xml:space="preserve">وذهب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الإنصراف عن الحقِّ الَّذي جعله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الأعظم قدس سره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في عِداد ضمانِ ما لم يجب، وهو لايضُرُّ عندنا، وله نظائر كثيرةٌ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القوم وإن قالوا ببطلانه وعدم جواز الإلتزام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الشَّيخ قدس سره</w:t>
      </w:r>
      <w:r>
        <w:rPr>
          <w:rStyle w:val="FootnoteAnchor"/>
          <w:rtl w:val="true"/>
        </w:rPr>
        <w:footnoteReference w:id="1496"/>
      </w:r>
      <w:r>
        <w:rPr>
          <w:rFonts w:ascii="Amiri" w:hAnsi="Amiri" w:eastAsia="Amiri" w:cs="Amiri"/>
          <w:color w:val="111111"/>
          <w:sz w:val="28"/>
          <w:sz w:val="28"/>
          <w:szCs w:val="28"/>
          <w:rtl w:val="true"/>
          <w:lang w:bidi="ar-SA"/>
        </w:rPr>
        <w:t>، وابنُبرَّاجٍ قدس سره</w:t>
      </w:r>
      <w:r>
        <w:rPr>
          <w:rStyle w:val="FootnoteAnchor"/>
          <w:rtl w:val="true"/>
        </w:rPr>
        <w:footnoteReference w:id="1497"/>
      </w:r>
      <w:r>
        <w:rPr>
          <w:rFonts w:ascii="Amiri" w:hAnsi="Amiri" w:eastAsia="Amiri" w:cs="Amiri"/>
          <w:color w:val="111111"/>
          <w:sz w:val="28"/>
          <w:sz w:val="28"/>
          <w:szCs w:val="28"/>
          <w:rtl w:val="true"/>
          <w:lang w:bidi="ar-SA"/>
        </w:rPr>
        <w:t>، وابنُإدريس قدس سره</w:t>
      </w:r>
      <w:r>
        <w:rPr>
          <w:rStyle w:val="FootnoteAnchor"/>
          <w:rtl w:val="true"/>
        </w:rPr>
        <w:footnoteReference w:id="1498"/>
      </w:r>
      <w:r>
        <w:rPr>
          <w:rFonts w:ascii="Amiri" w:hAnsi="Amiri" w:eastAsia="Amiri" w:cs="Amiri"/>
          <w:color w:val="111111"/>
          <w:sz w:val="28"/>
          <w:sz w:val="28"/>
          <w:szCs w:val="28"/>
          <w:rtl w:val="true"/>
          <w:lang w:bidi="ar-SA"/>
        </w:rPr>
        <w:t>، والمحقِّق الحلِّي قدس سره</w:t>
      </w:r>
      <w:r>
        <w:rPr>
          <w:rStyle w:val="FootnoteAnchor"/>
          <w:rtl w:val="true"/>
        </w:rPr>
        <w:footnoteReference w:id="1499"/>
      </w:r>
      <w:r>
        <w:rPr>
          <w:rFonts w:ascii="Amiri" w:hAnsi="Amiri" w:eastAsia="Amiri" w:cs="Amiri"/>
          <w:color w:val="111111"/>
          <w:sz w:val="28"/>
          <w:sz w:val="28"/>
          <w:szCs w:val="28"/>
          <w:rtl w:val="true"/>
          <w:lang w:bidi="ar-SA"/>
        </w:rPr>
        <w:t>، والعلَّامة قدس سره</w:t>
      </w:r>
      <w:r>
        <w:rPr>
          <w:rStyle w:val="FootnoteAnchor"/>
          <w:rtl w:val="true"/>
        </w:rPr>
        <w:footnoteReference w:id="1500"/>
      </w:r>
      <w:r>
        <w:rPr>
          <w:rFonts w:ascii="Amiri" w:hAnsi="Amiri" w:eastAsia="Amiri" w:cs="Amiri"/>
          <w:color w:val="111111"/>
          <w:sz w:val="28"/>
          <w:sz w:val="28"/>
          <w:szCs w:val="28"/>
          <w:rtl w:val="true"/>
          <w:lang w:bidi="ar-SA"/>
        </w:rPr>
        <w:t>، والمحقِّق الثَّاني قدس سره</w:t>
      </w:r>
      <w:r>
        <w:rPr>
          <w:rStyle w:val="FootnoteAnchor"/>
          <w:rtl w:val="true"/>
        </w:rPr>
        <w:footnoteReference w:id="1501"/>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502"/>
      </w:r>
      <w:r>
        <w:rPr>
          <w:rFonts w:ascii="Amiri" w:hAnsi="Amiri" w:eastAsia="Amiri" w:cs="Amiri"/>
          <w:color w:val="111111"/>
          <w:sz w:val="28"/>
          <w:sz w:val="28"/>
          <w:szCs w:val="28"/>
          <w:rtl w:val="true"/>
          <w:lang w:bidi="ar-SA"/>
        </w:rPr>
        <w:t xml:space="preserve">، وكثيرٌ من الأعلام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95" w:name="pg20337_261610"/>
    </w:p>
    <w:p>
      <w:pPr>
        <w:pStyle w:val="BookText"/>
        <w:rPr/>
      </w:pPr>
      <w:bookmarkEnd w:id="495"/>
      <w:r>
        <w:rPr>
          <w:rFonts w:ascii="Amiri" w:hAnsi="Amiri" w:eastAsia="Amiri" w:cs="Amiri"/>
          <w:color w:val="111111"/>
          <w:sz w:val="28"/>
          <w:sz w:val="28"/>
          <w:szCs w:val="28"/>
          <w:rtl w:val="true"/>
          <w:lang w:bidi="ar-SA"/>
        </w:rPr>
        <w:t>إلَّا أنَّهم لم يلتزموا بهذا القول، فأفتوا بثبوت ضمان ما لم يجب في كثيرٍ من المسائل الفقهيَّة</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1945260_1280447820"/>
      <w:bookmarkStart w:id="497" w:name="_Toc182"/>
      <w:bookmarkEnd w:id="496"/>
      <w:r>
        <w:rPr>
          <w:rtl w:val="true"/>
        </w:rPr>
        <w:t>التَّنبيه الرَّابع</w:t>
      </w:r>
      <w:r>
        <w:rPr>
          <w:rtl w:val="true"/>
        </w:rPr>
        <w:t>:</w:t>
      </w:r>
      <w:bookmarkEnd w:id="497"/>
    </w:p>
    <w:p>
      <w:pPr>
        <w:pStyle w:val="BookText"/>
        <w:rPr/>
      </w:pPr>
      <w:r>
        <w:rPr>
          <w:rFonts w:ascii="Amiri" w:hAnsi="Amiri" w:eastAsia="Amiri" w:cs="Amiri"/>
          <w:color w:val="111111"/>
          <w:sz w:val="28"/>
          <w:sz w:val="28"/>
          <w:szCs w:val="28"/>
          <w:rtl w:val="true"/>
          <w:lang w:bidi="ar-SA"/>
        </w:rPr>
        <w:t>لاإشكال</w:t>
      </w:r>
      <w:r>
        <w:rPr>
          <w:rStyle w:val="FootnoteAnchor"/>
          <w:rtl w:val="true"/>
        </w:rPr>
        <w:footnoteReference w:id="1503"/>
      </w:r>
      <w:r>
        <w:rPr>
          <w:rFonts w:ascii="Amiri" w:hAnsi="Amiri" w:eastAsia="Amiri" w:cs="Amiri"/>
          <w:color w:val="111111"/>
          <w:sz w:val="28"/>
          <w:sz w:val="28"/>
          <w:szCs w:val="28"/>
          <w:rtl w:val="true"/>
          <w:lang w:bidi="ar-SA"/>
        </w:rPr>
        <w:t>في أنَّ يد الوكيل كيد الموكِّل، ويد المولىٰ كيد المُوَلّىٰ عليه؛ فحينئذٍ لوسلَّم البائعُ المتاعَ لوكيل المشتري أو وليِّه فتلف في يدهما، فهو من مال المشتري، لأنَّه تلف بعد التَّسليم والإقباض؛ أمَّا لوأعطىٰ المتاعَ لوكيل نفسه ليُسلِّمه إلى المشتري أو وكيله أو وليِّه، فتلف في يد الوكيل فالمال من ماله والعهدةُ علىٰ البائع، لأنَّ المال لم يُرَد إلى المشتري بعدُ</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11945262_1280447820"/>
      <w:bookmarkStart w:id="499" w:name="_Toc183"/>
      <w:bookmarkEnd w:id="498"/>
      <w:r>
        <w:rPr>
          <w:rtl w:val="true"/>
        </w:rPr>
        <w:t>التَّنبيه الخامس</w:t>
      </w:r>
      <w:r>
        <w:rPr>
          <w:rtl w:val="true"/>
        </w:rPr>
        <w:t>:</w:t>
      </w:r>
      <w:bookmarkEnd w:id="499"/>
    </w:p>
    <w:p>
      <w:pPr>
        <w:pStyle w:val="BookText"/>
        <w:rPr/>
      </w:pPr>
      <w:r>
        <w:rPr>
          <w:rFonts w:ascii="Amiri" w:hAnsi="Amiri" w:eastAsia="Amiri" w:cs="Amiri"/>
          <w:color w:val="111111"/>
          <w:sz w:val="28"/>
          <w:sz w:val="28"/>
          <w:szCs w:val="28"/>
          <w:rtl w:val="true"/>
          <w:lang w:bidi="ar-SA"/>
        </w:rPr>
        <w:t>لوتسامَحَ المشتري في الأخذ بعد إصرار البائع علىٰ القبض والإقباض، فهل التَّالف من مال البائع‌؟ أو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يرجع إلى تسامح المشتري في القبض، فهو عليه</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تلَفٌ قبل الإقباض، فهو علىٰ البائع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هو الثَّاني، لأنَّ تسامح المشتري أو البائع لايُوجِب ثبوت الضَّمان عليهما؛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الضَّرر</w:t>
      </w:r>
      <w:r>
        <w:rPr>
          <w:rStyle w:val="FootnoteAnchor"/>
          <w:rtl w:val="true"/>
        </w:rPr>
        <w:footnoteReference w:id="1506"/>
      </w:r>
      <w:r>
        <w:rPr>
          <w:rFonts w:ascii="Amiri" w:hAnsi="Amiri" w:eastAsia="Amiri" w:cs="Amiri"/>
          <w:color w:val="111111"/>
          <w:sz w:val="28"/>
          <w:sz w:val="28"/>
          <w:szCs w:val="28"/>
          <w:rtl w:val="true"/>
          <w:lang w:bidi="ar-SA"/>
        </w:rPr>
        <w:t xml:space="preserve">في بعض وجوهها تدلُّ علىٰ ثبوت الجبران </w:t>
      </w:r>
      <w:bookmarkStart w:id="500" w:name="pg20337_261611"/>
    </w:p>
    <w:p>
      <w:pPr>
        <w:pStyle w:val="BookText"/>
        <w:rPr/>
      </w:pPr>
      <w:bookmarkEnd w:id="500"/>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1945264_1280447820"/>
      <w:bookmarkStart w:id="502" w:name="_Toc184"/>
      <w:bookmarkEnd w:id="501"/>
      <w:r>
        <w:rPr>
          <w:rtl w:val="true"/>
        </w:rPr>
        <w:t>التَّنبيه السَّادس</w:t>
      </w:r>
      <w:r>
        <w:rPr>
          <w:rtl w:val="true"/>
        </w:rPr>
        <w:t>:</w:t>
      </w:r>
      <w:bookmarkEnd w:id="502"/>
    </w:p>
    <w:p>
      <w:pPr>
        <w:pStyle w:val="BookText"/>
        <w:rPr/>
      </w:pPr>
      <w:r>
        <w:rPr>
          <w:rFonts w:ascii="Amiri" w:hAnsi="Amiri" w:eastAsia="Amiri" w:cs="Amiri"/>
          <w:color w:val="111111"/>
          <w:sz w:val="28"/>
          <w:sz w:val="28"/>
          <w:szCs w:val="28"/>
          <w:rtl w:val="true"/>
          <w:lang w:bidi="ar-SA"/>
        </w:rPr>
        <w:t>اشتهر بين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مَبيعٍ تلف في زمن الخيار فهو مِن مال مَن لا خيار له</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فلوتلف المبيعُ في زمن ثبوت الخيار للمشتري فالتَّالف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وتمسَّكوا برواياتٍ أورَدَها الشَّيخ الحرُّ قدس سره في الباب الخامس من أبواب الخيارات، وهي ظاهرةٌ في ذلك؛</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 اشترىٰ ضمانٌ حتَّى يمضي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الرِّواية الثَّانيَة من نفس الباب ما يدلُّ علىٰ كون المَبيع كأمانةٍ في يد المشتري، ثمَّ بعد أن مضىٰ زمنُ خياره يصير ملكًا له؛ وهو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ينقضي الشَّرط ويصير المَبيعُ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فالرِّوايات حينئذٍ تُطابِقُ القواعد الجارية في باب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كالقاعدة القائلة بأنَّ كلَّ شيءٍ أمانيٍّ في يد الغير فلوتلف فهو من مال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المشهور في لسان الأصحاب من أنَّه لوتلف فهو من مال البائع مع كونه ملكًا للمشتري وثبوت ملكيَّة المشتري عليه، فلوقيل به فهو تعبُّدٌ صرفٌ‌، ولابد للذِّهاب إليه من القول باِنفساخ العقد آنًا مَّا قبل التَّلف؛</w:t>
      </w:r>
    </w:p>
    <w:p>
      <w:pPr>
        <w:pStyle w:val="BookText"/>
        <w:rPr/>
      </w:pPr>
      <w:r>
        <w:rPr>
          <w:rFonts w:ascii="Amiri" w:hAnsi="Amiri" w:eastAsia="Amiri" w:cs="Amiri"/>
          <w:color w:val="111111"/>
          <w:sz w:val="28"/>
          <w:sz w:val="28"/>
          <w:szCs w:val="28"/>
          <w:rtl w:val="true"/>
          <w:lang w:bidi="ar-SA"/>
        </w:rPr>
        <w:t>وهو أشدُّ إشكالًا من أصل المبنىٰ‌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فلوذهبنا إلى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تعارضَتْ‌ </w:t>
      </w:r>
      <w:bookmarkStart w:id="503" w:name="pg20337_261612"/>
    </w:p>
    <w:p>
      <w:pPr>
        <w:pStyle w:val="BookText"/>
        <w:rPr/>
      </w:pPr>
      <w:bookmarkEnd w:id="503"/>
      <w:r>
        <w:rPr>
          <w:rFonts w:ascii="Amiri" w:hAnsi="Amiri" w:eastAsia="Amiri" w:cs="Amiri"/>
          <w:color w:val="111111"/>
          <w:sz w:val="28"/>
          <w:sz w:val="28"/>
          <w:szCs w:val="28"/>
          <w:rtl w:val="true"/>
          <w:lang w:bidi="ar-SA"/>
        </w:rPr>
        <w:t xml:space="preserve">هذه القاعدة مع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تلف المبيعُ قبل القبض فهو من مال 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القاعدتين تتعارضان، فتتساقطان، فيُرجَع حينئذٍ إلى كون التَّلف من مال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المشتري</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الأقوىٰ المختار هو ورود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تلف المبيعُ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تلف المبيعُ في زمن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تلف المبيعُ فلايبقىٰ موردٌ للخيار أصلًا حتَّى يُقال إنَّه لمَن لا خيار له؛ وهذا واضحٌ‌</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1945266_1280447820"/>
      <w:bookmarkStart w:id="505" w:name="_Toc185"/>
      <w:bookmarkEnd w:id="504"/>
      <w:r>
        <w:rPr>
          <w:rtl w:val="true"/>
        </w:rPr>
        <w:t>أمثلةٌ لاستعمال القاعدة في الفقه</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الفقيه الخوانساري قدس سره في تقسيم الأُجرة إلى أقسامٍ ثلاثةٍ وتلفها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عينًا شخصيَّةً فهي مضمونةٌ إن لم نقل بكون التَّلف موجِبًا للبطلان، كما قيل في تلف العين المستأجرة نظير تلف المبيع قبل القبض</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قدس سره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لوباع عبدًا بعبدٍ وقبض أحدهما من صاحبه جاز له التَّصرُّف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انفساخَ العقد بتلفه قد أُمِن، فإن باعه فتلف العبد الَّذي في يده قبل التَّسليم بطل الأوَّل، لتلف المبيع قبل القبض</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الفقيه الأراكيُّ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الذِّمِّيَّان أو الحربيَّان وجعلا المهرَ خمرًا أو خنزيرًا ثمَّ أسلَما أو أسلَم أحدُهما قبل القبض فهل يُحكَم ببراءة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العين موجودةٌ وإنَّما اُمتُنِع الإقباض والقبض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يُحكَم بضمانه‌؟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 سماويٌّ ورَدَ عيله </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bookmarkStart w:id="506" w:name="pg20337_261614"/>
    </w:p>
    <w:p>
      <w:pPr>
        <w:pStyle w:val="Heading2"/>
        <w:numPr>
          <w:ilvl w:val="1"/>
          <w:numId w:val="1"/>
        </w:numPr>
        <w:rPr/>
      </w:pPr>
      <w:bookmarkStart w:id="507" w:name="__RefHeading___Toc11945268_1280447820"/>
      <w:bookmarkStart w:id="508" w:name="_Toc186"/>
      <w:bookmarkEnd w:id="506"/>
      <w:bookmarkEnd w:id="507"/>
      <w:r>
        <w:rPr>
          <w:rtl w:val="true"/>
        </w:rPr>
        <w:t>[</w:t>
      </w:r>
      <w:r>
        <w:rPr/>
        <w:t>37</w:t>
      </w:r>
      <w:r>
        <w:rPr>
          <w:rtl w:val="true"/>
        </w:rPr>
        <w:t xml:space="preserve">:] </w:t>
      </w:r>
      <w:r>
        <w:rPr>
          <w:rtl w:val="true"/>
        </w:rPr>
        <w:t>قاعدة ثبوت الأحكام الوَضعيَّة علىٰ غير البالغِ المُكلَّف</w:t>
      </w:r>
      <w:bookmarkEnd w:id="508"/>
    </w:p>
    <w:p>
      <w:pPr>
        <w:pStyle w:val="Heading3"/>
        <w:numPr>
          <w:ilvl w:val="2"/>
          <w:numId w:val="1"/>
        </w:numPr>
        <w:rPr/>
      </w:pPr>
      <w:bookmarkStart w:id="509" w:name="__RefHeading___Toc11945270_1280447820"/>
      <w:bookmarkStart w:id="510" w:name="_Toc187"/>
      <w:bookmarkEnd w:id="509"/>
      <w:r>
        <w:rPr>
          <w:rtl w:val="true"/>
        </w:rPr>
        <w:t>عناوين أُخرىٰ للقاعدة</w:t>
      </w:r>
      <w:bookmarkEnd w:id="510"/>
    </w:p>
    <w:p>
      <w:pPr>
        <w:pStyle w:val="BookText"/>
        <w:rPr/>
      </w:pPr>
      <w:r>
        <w:rPr>
          <w:rFonts w:ascii="Amiri" w:hAnsi="Amiri" w:eastAsia="Amiri" w:cs="Amiri"/>
          <w:color w:val="111111"/>
          <w:sz w:val="28"/>
          <w:sz w:val="28"/>
          <w:szCs w:val="28"/>
          <w:rtl w:val="true"/>
          <w:lang w:bidi="ar-SA"/>
        </w:rPr>
        <w:t>عدم اشتراط الأحكام الوضعيَّة بالبلوغ</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لايُشترَط العقلُ والبلوغ في الوضعيَّات</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شرطيَّة البلوع في الأحكام الوضعيَّة</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bookmarkStart w:id="511" w:name="pg20337_261615"/>
    </w:p>
    <w:p>
      <w:pPr>
        <w:pStyle w:val="BookText"/>
        <w:rPr/>
      </w:pPr>
      <w:bookmarkEnd w:id="511"/>
      <w:r>
        <w:rPr>
          <w:rFonts w:ascii="Amiri" w:hAnsi="Amiri" w:eastAsia="Amiri" w:cs="Amiri"/>
          <w:color w:val="111111"/>
          <w:sz w:val="28"/>
          <w:sz w:val="28"/>
          <w:szCs w:val="28"/>
          <w:rtl w:val="true"/>
          <w:lang w:bidi="ar-SA"/>
        </w:rPr>
        <w:t>عدم شرطيَّة البلوع في الأحكام الوضعيَّة غير النَّاشئة من اللَّفظ</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1945272_1280447820"/>
      <w:bookmarkStart w:id="513" w:name="_Toc188"/>
      <w:bookmarkEnd w:id="512"/>
      <w:r>
        <w:rPr>
          <w:rtl w:val="true"/>
        </w:rPr>
        <w:t>توضيح مفاد القاعدة</w:t>
      </w:r>
      <w:bookmarkEnd w:id="513"/>
    </w:p>
    <w:p>
      <w:pPr>
        <w:pStyle w:val="BookText"/>
        <w:rPr/>
      </w:pPr>
      <w:r>
        <w:rPr>
          <w:rFonts w:ascii="IRNazanin" w:hAnsi="IRNazanin" w:eastAsia="IRNazanin"/>
          <w:color w:val="111111"/>
          <w:sz w:val="28"/>
          <w:sz w:val="28"/>
          <w:szCs w:val="28"/>
          <w:rtl w:val="true"/>
          <w:lang w:bidi="fa-IR"/>
        </w:rPr>
        <w:t>قد أشرنا</w:t>
      </w:r>
      <w:r>
        <w:rPr>
          <w:rStyle w:val="FootnoteAnchor"/>
          <w:rtl w:val="true"/>
        </w:rPr>
        <w:footnoteReference w:id="1516"/>
      </w:r>
      <w:r>
        <w:rPr>
          <w:rFonts w:ascii="Amiri" w:hAnsi="Amiri" w:eastAsia="Amiri" w:cs="Amiri"/>
          <w:color w:val="111111"/>
          <w:sz w:val="28"/>
          <w:sz w:val="28"/>
          <w:szCs w:val="28"/>
          <w:rtl w:val="true"/>
          <w:lang w:bidi="ar-SA"/>
        </w:rPr>
        <w:t>في بيان قاعدة مشروعيَّة عبادات الصَّبيِّ إلى أنَّ الأحكام التَّكليفيَّة بحسب مراتب الإقتضاء والإنشاء والفِعليَّة ثابتةٌ لجميع النَّاس؛</w:t>
      </w:r>
    </w:p>
    <w:p>
      <w:pPr>
        <w:pStyle w:val="BookText"/>
        <w:rPr/>
      </w:pPr>
      <w:r>
        <w:rPr>
          <w:rFonts w:ascii="Amiri" w:hAnsi="Amiri" w:eastAsia="Amiri" w:cs="Amiri"/>
          <w:color w:val="111111"/>
          <w:sz w:val="28"/>
          <w:sz w:val="28"/>
          <w:szCs w:val="28"/>
          <w:rtl w:val="true"/>
          <w:lang w:bidi="ar-SA"/>
        </w:rPr>
        <w:t>لكنَّها بحسب مرتبة التَّنجُّز لاتتَنَجَّزُ علىٰ الصَّبيِّ‌، بل لاتتنَجَّز علىٰ الجاهل القاصر، بل المقصِّر منه إلَّاما أخرجه الدَّليل، فضلًا عن المجنون والعاجز وما يُماثِلُهما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الأحكام الوضعيَّة، فإنَّها ثابتةٌ عليهم إلَّاما أخرجه الدَّليل في مرتبة التَّنجُّز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فالصَّبيُّ ينجِّس بملاقاة النَّجس، وكذلك المجنون والنَّائم والعاجز والجاهل قصورًا وتقصيرًا؛ كما وأنَّه إذا وطَأ أو وُطِىء به يصير جُنبًا؛ علىٰ ما نصَّ به الصَّيمُريُّ قدس سره فقال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لافرق بين الفاعل والمفعول في وجوب الغسل</w:t>
      </w:r>
      <w:r>
        <w:rPr>
          <w:rFonts w:eastAsia="Amiri" w:cs="Amiri" w:ascii="Amiri" w:hAnsi="Amiri"/>
          <w:color w:val="111111"/>
          <w:sz w:val="28"/>
          <w:szCs w:val="28"/>
          <w:rtl w:val="true"/>
          <w:lang w:bidi="ar-SA"/>
        </w:rPr>
        <w:t>»</w:t>
      </w:r>
      <w:r>
        <w:rPr>
          <w:rStyle w:val="FootnoteAnchor"/>
          <w:rtl w:val="true"/>
        </w:rPr>
        <w:footnoteReference w:id="1517"/>
      </w:r>
      <w:r>
        <w:rPr>
          <w:rFonts w:ascii="IRNazanin" w:hAnsi="IRNazanin" w:eastAsia="IRNazanin"/>
          <w:color w:val="111111"/>
          <w:sz w:val="28"/>
          <w:sz w:val="28"/>
          <w:szCs w:val="28"/>
          <w:rtl w:val="true"/>
          <w:lang w:bidi="fa-IR"/>
        </w:rPr>
        <w:t>، بعد قول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وطء غلامًا فأوقبه</w:t>
      </w:r>
      <w:r>
        <w:rPr>
          <w:rFonts w:eastAsia="IRNazanin" w:cs="IRNazanin"/>
          <w:color w:val="111111"/>
          <w:sz w:val="28"/>
          <w:szCs w:val="28"/>
          <w:rtl w:val="true"/>
          <w:lang w:bidi="fa-IR"/>
        </w:rPr>
        <w:t>...»</w:t>
      </w:r>
      <w:r>
        <w:rPr>
          <w:rStyle w:val="FootnoteAnchor"/>
          <w:rtl w:val="true"/>
        </w:rPr>
        <w:footnoteReference w:id="1518"/>
      </w:r>
      <w:r>
        <w:rPr>
          <w:rFonts w:ascii="Amiri" w:hAnsi="Amiri" w:eastAsia="Amiri" w:cs="Amiri"/>
          <w:color w:val="111111"/>
          <w:sz w:val="28"/>
          <w:sz w:val="28"/>
          <w:szCs w:val="28"/>
          <w:rtl w:val="true"/>
          <w:lang w:bidi="ar-SA"/>
        </w:rPr>
        <w:t>وكذا يُستفاد الحكم ممَّا أتىٰ به القطَّان الحلِّي قدس سره</w:t>
      </w:r>
      <w:r>
        <w:rPr>
          <w:rStyle w:val="FootnoteAnchor"/>
          <w:rtl w:val="true"/>
        </w:rPr>
        <w:footnoteReference w:id="1519"/>
      </w:r>
      <w:r>
        <w:rPr>
          <w:rFonts w:ascii="Amiri" w:hAnsi="Amiri" w:eastAsia="Amiri" w:cs="Amiri"/>
          <w:color w:val="111111"/>
          <w:sz w:val="28"/>
          <w:sz w:val="28"/>
          <w:szCs w:val="28"/>
          <w:rtl w:val="true"/>
          <w:lang w:bidi="ar-SA"/>
        </w:rPr>
        <w:t>، والعلَّامة قدس سره</w:t>
      </w:r>
      <w:r>
        <w:rPr>
          <w:rStyle w:val="FootnoteAnchor"/>
          <w:rtl w:val="true"/>
        </w:rPr>
        <w:footnoteReference w:id="1520"/>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1521"/>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وأنَّ غيره من المذكورين هيهنا محكومٌ بأحكامٍ ثابتةٍ‌، بلاتفاوتٍ بين جميع النَّاس في ذلك بين البالغ والعاقل والعالِم والقادر منهم، وبين الصَّبيِّ والمجنون والعاجز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وتقصيرا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فلاحدَّ علىٰ الطِّفل والمجنون لوزَنَيا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القوم بأجمعهم، كالمفيد قدس سره</w:t>
      </w:r>
      <w:r>
        <w:rPr>
          <w:rStyle w:val="FootnoteAnchor"/>
          <w:rtl w:val="true"/>
        </w:rPr>
        <w:footnoteReference w:id="1523"/>
      </w:r>
      <w:r>
        <w:rPr>
          <w:rFonts w:ascii="Amiri" w:hAnsi="Amiri" w:eastAsia="Amiri" w:cs="Amiri"/>
          <w:color w:val="111111"/>
          <w:sz w:val="28"/>
          <w:sz w:val="28"/>
          <w:szCs w:val="28"/>
          <w:rtl w:val="true"/>
          <w:lang w:bidi="ar-SA"/>
        </w:rPr>
        <w:t>، وسلَّارٍ قدس سره</w:t>
      </w:r>
      <w:r>
        <w:rPr>
          <w:rStyle w:val="FootnoteAnchor"/>
          <w:rtl w:val="true"/>
        </w:rPr>
        <w:footnoteReference w:id="1524"/>
      </w:r>
      <w:r>
        <w:rPr>
          <w:rFonts w:ascii="Amiri" w:hAnsi="Amiri" w:eastAsia="Amiri" w:cs="Amiri"/>
          <w:color w:val="111111"/>
          <w:sz w:val="28"/>
          <w:sz w:val="28"/>
          <w:szCs w:val="28"/>
          <w:rtl w:val="true"/>
          <w:lang w:bidi="ar-SA"/>
        </w:rPr>
        <w:t>، وابن إدريس قدس سره</w:t>
      </w:r>
      <w:r>
        <w:rPr>
          <w:rStyle w:val="FootnoteAnchor"/>
          <w:rtl w:val="true"/>
        </w:rPr>
        <w:footnoteReference w:id="1525"/>
      </w:r>
      <w:r>
        <w:rPr>
          <w:rFonts w:ascii="Amiri" w:hAnsi="Amiri" w:eastAsia="Amiri" w:cs="Amiri"/>
          <w:color w:val="111111"/>
          <w:sz w:val="28"/>
          <w:sz w:val="28"/>
          <w:szCs w:val="28"/>
          <w:rtl w:val="true"/>
          <w:lang w:bidi="ar-SA"/>
        </w:rPr>
        <w:t>، والمحقِّق قدس سره</w:t>
      </w:r>
      <w:r>
        <w:rPr>
          <w:rStyle w:val="FootnoteAnchor"/>
          <w:rtl w:val="true"/>
        </w:rPr>
        <w:footnoteReference w:id="1526"/>
      </w:r>
      <w:r>
        <w:rPr>
          <w:rFonts w:ascii="Amiri" w:hAnsi="Amiri" w:eastAsia="Amiri" w:cs="Amiri"/>
          <w:color w:val="111111"/>
          <w:sz w:val="28"/>
          <w:sz w:val="28"/>
          <w:szCs w:val="28"/>
          <w:rtl w:val="true"/>
          <w:lang w:bidi="ar-SA"/>
        </w:rPr>
        <w:t>، وابن البرَّاج قدس سره</w:t>
      </w:r>
      <w:r>
        <w:rPr>
          <w:rStyle w:val="FootnoteAnchor"/>
          <w:rtl w:val="true"/>
        </w:rPr>
        <w:footnoteReference w:id="1527"/>
      </w:r>
      <w:r>
        <w:rPr>
          <w:rFonts w:ascii="Amiri" w:hAnsi="Amiri" w:eastAsia="Amiri" w:cs="Amiri"/>
          <w:color w:val="111111"/>
          <w:sz w:val="28"/>
          <w:sz w:val="28"/>
          <w:szCs w:val="28"/>
          <w:rtl w:val="true"/>
          <w:lang w:bidi="ar-SA"/>
        </w:rPr>
        <w:t xml:space="preserve">،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ثابتٌ علىٰ البالغين العامِلين المختارين</w:t>
      </w:r>
    </w:p>
    <w:p>
      <w:pPr>
        <w:pStyle w:val="BookText"/>
        <w:rPr/>
      </w:pPr>
      <w:r>
        <w:rPr>
          <w:rFonts w:ascii="Amiri" w:hAnsi="Amiri" w:eastAsia="Amiri" w:cs="Amiri"/>
          <w:color w:val="111111"/>
          <w:sz w:val="28"/>
          <w:sz w:val="28"/>
          <w:szCs w:val="28"/>
          <w:rtl w:val="true"/>
          <w:lang w:bidi="ar-SA"/>
        </w:rPr>
        <w:t>وكذلك في غيرها من الأحكام؛ فلوحاز الصَّبيُّ شيئًا من الموات فهو كالبالغ يملِكُه؛</w:t>
      </w:r>
    </w:p>
    <w:p>
      <w:pPr>
        <w:pStyle w:val="BookText"/>
        <w:rPr/>
      </w:pPr>
      <w:r>
        <w:rPr>
          <w:rFonts w:ascii="Amiri" w:hAnsi="Amiri" w:eastAsia="Amiri" w:cs="Amiri"/>
          <w:color w:val="111111"/>
          <w:sz w:val="28"/>
          <w:sz w:val="28"/>
          <w:szCs w:val="28"/>
          <w:rtl w:val="true"/>
          <w:lang w:bidi="ar-SA"/>
        </w:rPr>
        <w:t>كما عن المحقِّق اليزديِّ قدس سره</w:t>
      </w:r>
      <w:r>
        <w:rPr>
          <w:rStyle w:val="FootnoteAnchor"/>
          <w:rtl w:val="true"/>
        </w:rPr>
        <w:footnoteReference w:id="1528"/>
      </w:r>
      <w:r>
        <w:rPr>
          <w:rFonts w:ascii="Amiri" w:hAnsi="Amiri" w:eastAsia="Amiri" w:cs="Amiri"/>
          <w:color w:val="111111"/>
          <w:sz w:val="28"/>
          <w:sz w:val="28"/>
          <w:szCs w:val="28"/>
          <w:rtl w:val="true"/>
          <w:lang w:bidi="ar-SA"/>
        </w:rPr>
        <w:t>، والمحقِّق الأصفهانيِّ قدس سره</w:t>
      </w:r>
      <w:r>
        <w:rPr>
          <w:rStyle w:val="FootnoteAnchor"/>
          <w:rtl w:val="true"/>
        </w:rPr>
        <w:footnoteReference w:id="1529"/>
      </w:r>
      <w:r>
        <w:rPr>
          <w:rFonts w:ascii="Amiri" w:hAnsi="Amiri" w:eastAsia="Amiri" w:cs="Amiri"/>
          <w:color w:val="111111"/>
          <w:sz w:val="28"/>
          <w:sz w:val="28"/>
          <w:szCs w:val="28"/>
          <w:rtl w:val="true"/>
          <w:lang w:bidi="ar-SA"/>
        </w:rPr>
        <w:t>، والبيارجمنديِّ قدس سره</w:t>
      </w:r>
      <w:r>
        <w:rPr>
          <w:rStyle w:val="FootnoteAnchor"/>
          <w:rtl w:val="true"/>
        </w:rPr>
        <w:footnoteReference w:id="1530"/>
      </w:r>
      <w:r>
        <w:rPr>
          <w:rFonts w:ascii="Amiri" w:hAnsi="Amiri" w:eastAsia="Amiri" w:cs="Amiri"/>
          <w:color w:val="111111"/>
          <w:sz w:val="28"/>
          <w:sz w:val="28"/>
          <w:szCs w:val="28"/>
          <w:rtl w:val="true"/>
          <w:lang w:bidi="ar-SA"/>
        </w:rPr>
        <w:t>، والفقيه الخوئيِّ قدس سره</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وأنَّه إذا فوَّت أحدٌ عنه شيئًا فالمُفوِّت ضامنٌ بحسبه له؛ </w:t>
      </w:r>
    </w:p>
    <w:p>
      <w:pPr>
        <w:pStyle w:val="BookText"/>
        <w:rPr/>
      </w:pPr>
      <w:r>
        <w:rPr>
          <w:rFonts w:ascii="Amiri" w:hAnsi="Amiri" w:eastAsia="Amiri" w:cs="Amiri"/>
          <w:color w:val="111111"/>
          <w:sz w:val="28"/>
          <w:sz w:val="28"/>
          <w:szCs w:val="28"/>
          <w:rtl w:val="true"/>
          <w:lang w:bidi="ar-SA"/>
        </w:rPr>
        <w:t xml:space="preserve">وكما أنَّ الصَّبيَّ إذا أتلف شيئًا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الشَّهيد الثَّاني 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الأحكام ليستْ مشروطةً بالتَّكليف علىٰ المشهور، ومن ثمَّ حكم بضمان الصَّبيِّ والمجنون والسَّفيه ما أتلفوه من المال</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 وإليه أشار الفريد الوحيد قدس سره</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أذنب ذنبًا فالوليُّ أو الحاكمُ يعزِّرُه، وإذا قتل نفسًا فعليه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حمزة قدس سره</w:t>
      </w:r>
      <w:r>
        <w:rPr>
          <w:rStyle w:val="FootnoteAnchor"/>
          <w:rtl w:val="true"/>
        </w:rPr>
        <w:footnoteReference w:id="1534"/>
      </w:r>
      <w:r>
        <w:rPr>
          <w:rFonts w:ascii="Amiri" w:hAnsi="Amiri" w:eastAsia="Amiri" w:cs="Amiri"/>
          <w:color w:val="111111"/>
          <w:sz w:val="28"/>
          <w:sz w:val="28"/>
          <w:szCs w:val="28"/>
          <w:rtl w:val="true"/>
          <w:lang w:bidi="ar-SA"/>
        </w:rPr>
        <w:t>، والشَّيخ قدس سره</w:t>
      </w:r>
      <w:r>
        <w:rPr>
          <w:rStyle w:val="FootnoteAnchor"/>
          <w:rtl w:val="true"/>
        </w:rPr>
        <w:footnoteReference w:id="1535"/>
      </w:r>
      <w:r>
        <w:rPr>
          <w:rFonts w:ascii="Amiri" w:hAnsi="Amiri" w:eastAsia="Amiri" w:cs="Amiri"/>
          <w:color w:val="111111"/>
          <w:sz w:val="28"/>
          <w:sz w:val="28"/>
          <w:szCs w:val="28"/>
          <w:rtl w:val="true"/>
          <w:lang w:bidi="ar-SA"/>
        </w:rPr>
        <w:t>، وفخر المحقِّقين قدس سره</w:t>
      </w:r>
      <w:r>
        <w:rPr>
          <w:rStyle w:val="FootnoteAnchor"/>
          <w:rtl w:val="true"/>
        </w:rPr>
        <w:footnoteReference w:id="1536"/>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جميع الأحكام الوضعيَّة ثابتٌ علىٰ الصَّبيِّ والمجنون والعاجز والجاهل؛ وقد نصَّ عليه المحقِّق القمِّي قدس سره</w:t>
      </w:r>
      <w:r>
        <w:rPr>
          <w:rStyle w:val="FootnoteAnchor"/>
          <w:rtl w:val="true"/>
        </w:rPr>
        <w:footnoteReference w:id="1537"/>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538"/>
      </w:r>
      <w:r>
        <w:rPr>
          <w:rFonts w:ascii="Amiri" w:hAnsi="Amiri" w:eastAsia="Amiri" w:cs="Amiri"/>
          <w:color w:val="111111"/>
          <w:sz w:val="28"/>
          <w:sz w:val="28"/>
          <w:szCs w:val="28"/>
          <w:rtl w:val="true"/>
          <w:lang w:bidi="ar-SA"/>
        </w:rPr>
        <w:t>، والمدقِّق القزوينيِّ قدس سره</w:t>
      </w:r>
      <w:r>
        <w:rPr>
          <w:rStyle w:val="FootnoteAnchor"/>
          <w:rtl w:val="true"/>
        </w:rPr>
        <w:footnoteReference w:id="1539"/>
      </w:r>
      <w:r>
        <w:rPr>
          <w:rFonts w:ascii="Amiri" w:hAnsi="Amiri" w:eastAsia="Amiri" w:cs="Amiri"/>
          <w:color w:val="111111"/>
          <w:sz w:val="28"/>
          <w:sz w:val="28"/>
          <w:szCs w:val="28"/>
          <w:rtl w:val="true"/>
          <w:lang w:bidi="ar-SA"/>
        </w:rPr>
        <w:t>، والشَّيخ عبَّاس آل كاشف الغطاء قدس سره</w:t>
      </w:r>
      <w:r>
        <w:rPr>
          <w:rStyle w:val="FootnoteAnchor"/>
          <w:rtl w:val="true"/>
        </w:rPr>
        <w:footnoteReference w:id="1540"/>
      </w:r>
      <w:r>
        <w:rPr>
          <w:rFonts w:ascii="Amiri" w:hAnsi="Amiri" w:eastAsia="Amiri" w:cs="Amiri"/>
          <w:color w:val="111111"/>
          <w:sz w:val="28"/>
          <w:sz w:val="28"/>
          <w:szCs w:val="28"/>
          <w:rtl w:val="true"/>
          <w:lang w:bidi="ar-SA"/>
        </w:rPr>
        <w:t>، وغيرهم الكثيرين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ولاتُشتَرَط في الأحكام الوضعيَّة الشَّرائطُ العامَّة للتَّكليف؛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بعضُ الأحكام الوضعيَّة هيهنا بدليلٍ فخرج عن هذا الحكم، كالقصاص في جنايته علىٰ النَّفس أو علىٰ الأطراف؛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بالقصاص فقط، حيث إنَّ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الصَّبيِّ والمجنون والجاهل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لايُراد منه إلَّا </w:t>
      </w:r>
    </w:p>
    <w:p>
      <w:pPr>
        <w:pStyle w:val="BookText"/>
        <w:rPr/>
      </w:pPr>
      <w:r>
        <w:rPr>
          <w:rFonts w:ascii="Amiri" w:hAnsi="Amiri" w:eastAsia="Amiri" w:cs="Amiri"/>
          <w:color w:val="111111"/>
          <w:sz w:val="28"/>
          <w:sz w:val="28"/>
          <w:szCs w:val="28"/>
          <w:rtl w:val="true"/>
          <w:lang w:bidi="ar-SA"/>
        </w:rPr>
        <w:t>باب القصاص، إذ القدر المُتَيقَّن منه هو هذا، فعند الشَّكِّ في تعميم الحديث إلى غيره من الأبواب والأحكام يُقتَصَر علىٰ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قلنا من اِختصاصه بهذا الباب، ممَّا قد ضلَّتْ فيه أقدامُ بعض الأعلام، فانظر إلى ما ذكره المحقِّق الأردبيليُّ قدس سره</w:t>
      </w:r>
      <w:r>
        <w:rPr>
          <w:rStyle w:val="FootnoteAnchor"/>
          <w:rtl w:val="true"/>
        </w:rPr>
        <w:footnoteReference w:id="1541"/>
      </w:r>
      <w:r>
        <w:rPr>
          <w:rFonts w:ascii="Amiri" w:hAnsi="Amiri" w:eastAsia="Amiri" w:cs="Amiri"/>
          <w:color w:val="111111"/>
          <w:sz w:val="28"/>
          <w:sz w:val="28"/>
          <w:szCs w:val="28"/>
          <w:rtl w:val="true"/>
          <w:lang w:bidi="ar-SA"/>
        </w:rPr>
        <w:t>، والفاضل الأصفهانيُّ قدس سره</w:t>
      </w:r>
      <w:r>
        <w:rPr>
          <w:rStyle w:val="FootnoteAnchor"/>
          <w:rtl w:val="true"/>
        </w:rPr>
        <w:footnoteReference w:id="1542"/>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543"/>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1544"/>
      </w:r>
      <w:r>
        <w:rPr>
          <w:rFonts w:ascii="Amiri" w:hAnsi="Amiri" w:eastAsia="Amiri" w:cs="Amiri"/>
          <w:color w:val="111111"/>
          <w:sz w:val="28"/>
          <w:sz w:val="28"/>
          <w:szCs w:val="28"/>
          <w:rtl w:val="true"/>
          <w:lang w:bidi="ar-SA"/>
        </w:rPr>
        <w:t>، وغيرهم في المقام ليتَّضح لك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القصاص أيضًا يُبَدَّلُ بالدِّية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ماله، أو عاقلته، أو بيت المال؛ وذلك لعدم جواز الإهمال في أمر الدَّم، قتلًا أو 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من ضروريَّات الفقه، وعليه إجماع الفقهاء؛ بل الضَّرورة عقلًا وشرعًا، حتَّى أنَّ مَن ذهب إلى كون عبادات الصَّبيِّ تمرينيَّةً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إلى أنَّ جميع الأحكام التَّكليفيَّة عليه ليس إلَّاتمرينيًّا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هيهنا إلى ثبوت الأحكام الوضعيَّة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عدم تماميَّة مختار هذا القائل، وتماميَّة ما اخترناه، من كون الأحكام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تكليفيَّةً كانت أو وضعيَّةً‌، بحسب مراتب الإقتضاء والإنشاء والفعليَّة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شاملةً لجميع النَّاس، حتَّى العاجز والمجنون منهم، فضلًا عن الصَّبيِّ والجاهل؛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الشَّرائط الَّتي سمَّاها الفقهاء بالشَّرائط العامَّة للتَّكليف تدلُّ علىٰ عدم تنجُّزها عليهم، لعدم كون التَّنجُّز معقولًا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المخاطَبُ بها الصَّبيَّ‌، أو </w:t>
      </w:r>
      <w:bookmarkStart w:id="514" w:name="pg20337_261619"/>
    </w:p>
    <w:p>
      <w:pPr>
        <w:pStyle w:val="BookText"/>
        <w:rPr/>
      </w:pPr>
      <w:bookmarkEnd w:id="514"/>
      <w:r>
        <w:rPr>
          <w:rFonts w:ascii="Amiri" w:hAnsi="Amiri" w:eastAsia="Amiri" w:cs="Amiri"/>
          <w:color w:val="111111"/>
          <w:sz w:val="28"/>
          <w:sz w:val="28"/>
          <w:szCs w:val="28"/>
          <w:rtl w:val="true"/>
          <w:lang w:bidi="ar-SA"/>
        </w:rPr>
        <w:t xml:space="preserve">المجنونَ‌، أو الجاهلَ بالحكم، أو العاجز عن الإتيان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مرحلة التَّنجُّز نوافق المشهور؛</w:t>
      </w:r>
    </w:p>
    <w:p>
      <w:pPr>
        <w:pStyle w:val="BookText"/>
        <w:rPr/>
      </w:pPr>
      <w:r>
        <w:rPr>
          <w:rFonts w:ascii="Amiri" w:hAnsi="Amiri" w:eastAsia="Amiri" w:cs="Amiri"/>
          <w:color w:val="111111"/>
          <w:sz w:val="28"/>
          <w:sz w:val="28"/>
          <w:szCs w:val="28"/>
          <w:rtl w:val="true"/>
          <w:lang w:bidi="ar-SA"/>
        </w:rPr>
        <w:t>أمَّا في غيرها من المراحل فلامانع عقلًا ولاشرعًا لوَضْعِ قلم التَّكليف عليهم، لعدم إحتياج ذلك إلى البلوغ والعقل والقدرة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لايُعقَل تنجُّزُ التَّكليف الوضعيِّ علىٰ هذه الطَّوائف، يُبدَّلُ التَّكليف الوضعيُّ بشيءٍ يُعقَل أن يُحمَلَ عليهم، كتبديل القصاص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تكليفيَّةً كانت، أو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العقل والشَّرع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إقتضاءً‌؛</w:t>
      </w:r>
    </w:p>
    <w:p>
      <w:pPr>
        <w:pStyle w:val="BookText"/>
        <w:rPr/>
      </w:pPr>
      <w:r>
        <w:rPr>
          <w:rFonts w:ascii="Amiri" w:hAnsi="Amiri" w:eastAsia="Amiri" w:cs="Amiri"/>
          <w:color w:val="111111"/>
          <w:sz w:val="28"/>
          <w:sz w:val="28"/>
          <w:szCs w:val="28"/>
          <w:rtl w:val="true"/>
          <w:lang w:bidi="ar-SA"/>
        </w:rPr>
        <w:t>وإنشاءً‌؛</w:t>
      </w:r>
    </w:p>
    <w:p>
      <w:pPr>
        <w:pStyle w:val="BookText"/>
        <w:rPr/>
      </w:pPr>
      <w:r>
        <w:rPr>
          <w:rFonts w:ascii="Amiri" w:hAnsi="Amiri" w:eastAsia="Amiri" w:cs="Amiri"/>
          <w:color w:val="111111"/>
          <w:sz w:val="28"/>
          <w:sz w:val="28"/>
          <w:szCs w:val="28"/>
          <w:rtl w:val="true"/>
          <w:lang w:bidi="ar-SA"/>
        </w:rPr>
        <w:t>وفعليَّةً‌؛</w:t>
      </w:r>
    </w:p>
    <w:p>
      <w:pPr>
        <w:pStyle w:val="BookText"/>
        <w:rPr/>
      </w:pPr>
      <w:r>
        <w:rPr>
          <w:rFonts w:ascii="Amiri" w:hAnsi="Amiri" w:eastAsia="Amiri" w:cs="Amiri"/>
          <w:color w:val="111111"/>
          <w:sz w:val="28"/>
          <w:sz w:val="28"/>
          <w:szCs w:val="28"/>
          <w:rtl w:val="true"/>
          <w:lang w:bidi="ar-SA"/>
        </w:rPr>
        <w:t>وتنجُّزًا، إلَّاأنَّ مقام التَّنجُّز لمَّا لم يُعقَل بالنِّسبة إلى الصَّبيِّ والمجنون والعاجز والجاهل، فتُخَصَّصُ بالنِّسبة إليهم، وتَختَصُّ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الأحكام التَّكليفيَّة</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أمَّا الأحكام الوضعيَّة، فلاتخصيص فيها أصلًا، بل هي تعمُّ جميعَ النَّاس من دون تفاوتٍ بينهم أصلًا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5" w:name="__RefHeading___Toc11945274_1280447820"/>
      <w:bookmarkStart w:id="516" w:name="_Toc189"/>
      <w:bookmarkEnd w:id="515"/>
      <w:r>
        <w:rPr>
          <w:rtl w:val="true"/>
        </w:rPr>
        <w:t>مدركُ القاعدة</w:t>
      </w:r>
      <w:bookmarkStart w:id="517" w:name="pg20337_261620"/>
      <w:bookmarkEnd w:id="516"/>
    </w:p>
    <w:p>
      <w:pPr>
        <w:pStyle w:val="BookText"/>
        <w:rPr/>
      </w:pPr>
      <w:bookmarkEnd w:id="517"/>
      <w:r>
        <w:rPr>
          <w:rFonts w:ascii="Amiri" w:hAnsi="Amiri" w:eastAsia="Amiri" w:cs="Amiri"/>
          <w:color w:val="111111"/>
          <w:sz w:val="28"/>
          <w:sz w:val="28"/>
          <w:szCs w:val="28"/>
          <w:rtl w:val="true"/>
          <w:lang w:bidi="ar-SA"/>
        </w:rPr>
        <w:t>بما قلنا ظهر أنَّه يمكن أن يُستدَلَّ في المقام</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بإجماع الأصحاب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وبالسِّيرة الثَّابتة من العقلاء، ولاخلاف في اِنعقادها؛</w:t>
      </w:r>
    </w:p>
    <w:p>
      <w:pPr>
        <w:pStyle w:val="BookText"/>
        <w:rPr/>
      </w:pPr>
      <w:r>
        <w:rPr>
          <w:rFonts w:ascii="Amiri" w:hAnsi="Amiri" w:eastAsia="Amiri" w:cs="Amiri"/>
          <w:color w:val="111111"/>
          <w:sz w:val="28"/>
          <w:sz w:val="28"/>
          <w:szCs w:val="28"/>
          <w:rtl w:val="true"/>
          <w:lang w:bidi="ar-SA"/>
        </w:rPr>
        <w:t>وتطابق أقوال الفقهاء علىٰ الفروع الرَّاجعة إلى الصَّبيِّ والمجنون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وبروايات الباب</w:t>
      </w:r>
      <w:r>
        <w:rPr>
          <w:rStyle w:val="FootnoteAnchor"/>
          <w:rtl w:val="true"/>
        </w:rPr>
        <w:footnoteReference w:id="1547"/>
      </w:r>
      <w:r>
        <w:rPr>
          <w:rFonts w:ascii="Amiri" w:hAnsi="Amiri" w:eastAsia="Amiri" w:cs="Amiri"/>
          <w:color w:val="111111"/>
          <w:sz w:val="28"/>
          <w:sz w:val="28"/>
          <w:szCs w:val="28"/>
          <w:rtl w:val="true"/>
          <w:lang w:bidi="ar-SA"/>
        </w:rPr>
        <w:t>أيضًا، وهي مبثوثةٌ في أحكام حيازة المباحاة، وإحياء الموات، وأحكام الذِّبح، وأرباح المكاسب في الخمس وغيرها؛</w:t>
      </w:r>
    </w:p>
    <w:p>
      <w:pPr>
        <w:pStyle w:val="BookText"/>
        <w:rPr/>
      </w:pPr>
      <w:r>
        <w:rPr>
          <w:rFonts w:ascii="Amiri" w:hAnsi="Amiri" w:eastAsia="Amiri" w:cs="Amiri"/>
          <w:color w:val="111111"/>
          <w:sz w:val="28"/>
          <w:sz w:val="28"/>
          <w:szCs w:val="28"/>
          <w:rtl w:val="true"/>
          <w:lang w:bidi="ar-SA"/>
        </w:rPr>
        <w:t>ولاحاجة إلى تفصيل الكلام فيها بعد أن أشرنا إليها في توضيح مفاد القاعدة</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1945276_1280447820"/>
      <w:bookmarkStart w:id="519" w:name="_Toc190"/>
      <w:bookmarkEnd w:id="518"/>
      <w:r>
        <w:rPr>
          <w:rtl w:val="true"/>
        </w:rPr>
        <w:t>أمثلةٌ لاستعمال القاعدة في الفقه</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العروة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اشتراك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الكنز والغَوص والمَعدِن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أيضًا إلى ما ذكره شُرَّاح عبارته، كالسَّيِّد الحكيم قدس سره</w:t>
      </w:r>
      <w:r>
        <w:rPr>
          <w:rStyle w:val="FootnoteAnchor"/>
          <w:rtl w:val="true"/>
        </w:rPr>
        <w:footnoteReference w:id="1548"/>
      </w:r>
      <w:r>
        <w:rPr>
          <w:rFonts w:ascii="Amiri" w:hAnsi="Amiri" w:eastAsia="Amiri" w:cs="Amiri"/>
          <w:color w:val="111111"/>
          <w:sz w:val="28"/>
          <w:sz w:val="28"/>
          <w:szCs w:val="28"/>
          <w:rtl w:val="true"/>
          <w:lang w:bidi="ar-SA"/>
        </w:rPr>
        <w:t>، والفقيه الآمليِّ قدس سره</w:t>
      </w:r>
      <w:r>
        <w:rPr>
          <w:rStyle w:val="FootnoteAnchor"/>
          <w:rtl w:val="true"/>
        </w:rPr>
        <w:footnoteReference w:id="1549"/>
      </w:r>
      <w:r>
        <w:rPr>
          <w:rFonts w:ascii="Amiri" w:hAnsi="Amiri" w:eastAsia="Amiri" w:cs="Amiri"/>
          <w:color w:val="111111"/>
          <w:sz w:val="28"/>
          <w:sz w:val="28"/>
          <w:szCs w:val="28"/>
          <w:rtl w:val="true"/>
          <w:lang w:bidi="ar-SA"/>
        </w:rPr>
        <w:t>، والفقيه السَّيِّد الخوئيِّ قدس سره</w:t>
      </w:r>
      <w:r>
        <w:rPr>
          <w:rStyle w:val="FootnoteAnchor"/>
          <w:rtl w:val="true"/>
        </w:rPr>
        <w:footnoteReference w:id="1550"/>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1551"/>
      </w:r>
      <w:r>
        <w:rPr>
          <w:rFonts w:ascii="Amiri" w:hAnsi="Amiri" w:eastAsia="Amiri" w:cs="Amiri"/>
          <w:color w:val="111111"/>
          <w:sz w:val="28"/>
          <w:sz w:val="28"/>
          <w:szCs w:val="28"/>
          <w:rtl w:val="true"/>
          <w:lang w:bidi="ar-SA"/>
        </w:rPr>
        <w:t>، وغيرهم</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المُرتقىٰ إلى الفقه الأرقىٰ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الإشتهارديِّ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والفقيه الشَّيخ الصَّافي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العُقبىٰ‌،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الخلخاليِّ قدس سره؛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القمِّي؛</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الفقيه الفيَّاض؛</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مبسوطة،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بنت الزَّوجة وإن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مساواة الوطء في الفَرجَين، وعدم اشتراط البلوغ والعقل في الواطىء والموطوءة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مقال فخرالمحقِّقين قدس سره</w:t>
      </w:r>
      <w:r>
        <w:rPr>
          <w:rStyle w:val="FootnoteAnchor"/>
          <w:rtl w:val="true"/>
        </w:rPr>
        <w:footnoteReference w:id="1553"/>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1554"/>
      </w:r>
      <w:r>
        <w:rPr>
          <w:rFonts w:ascii="Amiri" w:hAnsi="Amiri" w:eastAsia="Amiri" w:cs="Amiri"/>
          <w:color w:val="111111"/>
          <w:sz w:val="28"/>
          <w:sz w:val="28"/>
          <w:szCs w:val="28"/>
          <w:rtl w:val="true"/>
          <w:lang w:bidi="ar-SA"/>
        </w:rPr>
        <w:t>، والفاضل الأصفهانيِّ قدس سره</w:t>
      </w:r>
      <w:r>
        <w:rPr>
          <w:rStyle w:val="FootnoteAnchor"/>
          <w:rtl w:val="true"/>
        </w:rPr>
        <w:footnoteReference w:id="1555"/>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المحدِّث الكبير النُّوريُّ قدس سره بابًا في كتاب المستدرك وعنونه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اشتراط بلوغ الذَّابح، فيجوز أن يذبح الصَّبيُّ المميِّز الَّذي يُحسِنُ الذِّبحَ‌</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 وانظر إلى ما كتبه الشَّيخ الحرُّ قدس سره</w:t>
      </w:r>
      <w:r>
        <w:rPr>
          <w:rStyle w:val="FootnoteAnchor"/>
          <w:rtl w:val="true"/>
        </w:rPr>
        <w:footnoteReference w:id="155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20337_261624"/>
      <w:bookmarkStart w:id="521" w:name="pg20337_261624"/>
      <w:bookmarkEnd w:id="521"/>
    </w:p>
    <w:p>
      <w:pPr>
        <w:pStyle w:val="Heading2"/>
        <w:numPr>
          <w:ilvl w:val="1"/>
          <w:numId w:val="1"/>
        </w:numPr>
        <w:rPr/>
      </w:pPr>
      <w:bookmarkStart w:id="522" w:name="pg20337_261624"/>
      <w:bookmarkStart w:id="523" w:name="__RefHeading___Toc11945278_1280447820"/>
      <w:bookmarkStart w:id="524" w:name="_Toc191"/>
      <w:bookmarkEnd w:id="522"/>
      <w:bookmarkEnd w:id="523"/>
      <w:r>
        <w:rPr>
          <w:rtl w:val="true"/>
        </w:rPr>
        <w:t>[</w:t>
      </w:r>
      <w:r>
        <w:rPr/>
        <w:t>38</w:t>
      </w:r>
      <w:r>
        <w:rPr>
          <w:rtl w:val="true"/>
        </w:rPr>
        <w:t xml:space="preserve">:] </w:t>
      </w:r>
      <w:r>
        <w:rPr>
          <w:rtl w:val="true"/>
        </w:rPr>
        <w:t>قاعدة حجِّيَّة البيِّنة</w:t>
      </w:r>
      <w:bookmarkEnd w:id="524"/>
    </w:p>
    <w:p>
      <w:pPr>
        <w:pStyle w:val="Heading3"/>
        <w:numPr>
          <w:ilvl w:val="2"/>
          <w:numId w:val="1"/>
        </w:numPr>
        <w:rPr/>
      </w:pPr>
      <w:bookmarkStart w:id="525" w:name="__RefHeading___Toc11945280_1280447820"/>
      <w:bookmarkStart w:id="526" w:name="_Toc192"/>
      <w:bookmarkEnd w:id="525"/>
      <w:r>
        <w:rPr>
          <w:rtl w:val="true"/>
        </w:rPr>
        <w:t>عناوين أُخرىٰ للقاعدة</w:t>
      </w:r>
      <w:bookmarkEnd w:id="526"/>
    </w:p>
    <w:p>
      <w:pPr>
        <w:pStyle w:val="BookText"/>
        <w:rPr/>
      </w:pPr>
      <w:r>
        <w:rPr>
          <w:rFonts w:ascii="Amiri" w:hAnsi="Amiri" w:eastAsia="Amiri" w:cs="Amiri"/>
          <w:color w:val="111111"/>
          <w:sz w:val="28"/>
          <w:sz w:val="28"/>
          <w:szCs w:val="28"/>
          <w:rtl w:val="true"/>
          <w:lang w:bidi="ar-SA"/>
        </w:rPr>
        <w:t>عموم حجِّيَّة البيِّنة</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البينة حجة شرعيَّة</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11945282_1280447820"/>
      <w:bookmarkStart w:id="528" w:name="_Toc193"/>
      <w:bookmarkEnd w:id="527"/>
      <w:r>
        <w:rPr>
          <w:rtl w:val="true"/>
        </w:rPr>
        <w:t>توضيح مفاد القاعدة</w:t>
      </w:r>
      <w:bookmarkEnd w:id="52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المُطَرِّزي</w:t>
      </w:r>
      <w:r>
        <w:rPr>
          <w:rStyle w:val="FootnoteAnchor"/>
          <w:rtl w:val="true"/>
        </w:rPr>
        <w:footnoteReference w:id="1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نِشوان الحِميَري</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عقليَّةً كانت أو 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الزَّبيديِّ‌</w:t>
      </w:r>
      <w:r>
        <w:rPr>
          <w:rStyle w:val="FootnoteAnchor"/>
          <w:rtl w:val="true"/>
        </w:rPr>
        <w:footnoteReference w:id="1562"/>
      </w:r>
      <w:bookmarkStart w:id="529" w:name="pg20337_261625"/>
    </w:p>
    <w:p>
      <w:pPr>
        <w:pStyle w:val="BookText"/>
        <w:rPr/>
      </w:pPr>
      <w:bookmarkEnd w:id="5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الزَّبيديُّ‌</w:t>
      </w:r>
      <w:r>
        <w:rPr>
          <w:rStyle w:val="FootnoteAnchor"/>
          <w:rtl w:val="true"/>
        </w:rPr>
        <w:footnoteReference w:id="1563"/>
      </w:r>
      <w:r>
        <w:rPr>
          <w:rFonts w:ascii="Amiri" w:hAnsi="Amiri" w:eastAsia="Amiri" w:cs="Amiri"/>
          <w:color w:val="111111"/>
          <w:sz w:val="28"/>
          <w:sz w:val="28"/>
          <w:szCs w:val="28"/>
          <w:rtl w:val="true"/>
          <w:lang w:bidi="ar-SA"/>
        </w:rPr>
        <w:t>والرَّاغب</w:t>
      </w:r>
      <w:r>
        <w:rPr>
          <w:rStyle w:val="FootnoteAnchor"/>
          <w:rtl w:val="true"/>
        </w:rPr>
        <w:footnoteReference w:id="1564"/>
      </w:r>
      <w:r>
        <w:rPr>
          <w:rFonts w:ascii="Amiri" w:hAnsi="Amiri" w:eastAsia="Amiri" w:cs="Amiri"/>
          <w:color w:val="111111"/>
          <w:sz w:val="28"/>
          <w:sz w:val="28"/>
          <w:szCs w:val="28"/>
          <w:rtl w:val="true"/>
          <w:lang w:bidi="ar-SA"/>
        </w:rPr>
        <w:t>علىٰ أنَّ شهادة الشَّاهدين سُمِّيت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الصَّاحب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أيضًا يرجع إلى هذا المعنىٰ‌؛</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من أعلىٰ مصاديق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المراد بالبَّيِّنة هيهنا فهي شهادة عدلَين؛ والمراد بالقاعدة نفسِها هو حجِّيَّة شهادة العدلين في الأحكام والموضوعات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هيهنا الإشارة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الموضوعات فقط</w:t>
      </w:r>
      <w:r>
        <w:rPr>
          <w:rStyle w:val="FootnoteAnchor"/>
          <w:rtl w:val="true"/>
        </w:rPr>
        <w:footnoteReference w:id="1566"/>
      </w:r>
      <w:r>
        <w:rPr>
          <w:rFonts w:ascii="IRNazanin" w:hAnsi="IRNazanin" w:eastAsia="IRNazanin"/>
          <w:color w:val="111111"/>
          <w:sz w:val="28"/>
          <w:sz w:val="28"/>
          <w:szCs w:val="28"/>
          <w:rtl w:val="true"/>
          <w:lang w:bidi="fa-IR"/>
        </w:rPr>
        <w:t>، وسنبحث عن هذا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للبيِّنة معانٍ أُخر تُراد عند استعمال اللَّفظة في تلك المعاني، وليست هي المنظور هيهنا؛ فتفطَّنْ‌</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1945284_1280447820"/>
      <w:bookmarkStart w:id="531" w:name="_Toc194"/>
      <w:bookmarkEnd w:id="530"/>
      <w:r>
        <w:rPr>
          <w:rtl w:val="true"/>
        </w:rPr>
        <w:t>مدركُ القاعدة</w:t>
      </w:r>
      <w:bookmarkEnd w:id="531"/>
    </w:p>
    <w:p>
      <w:pPr>
        <w:pStyle w:val="Heading4"/>
        <w:numPr>
          <w:ilvl w:val="3"/>
          <w:numId w:val="1"/>
        </w:numPr>
        <w:rPr/>
      </w:pPr>
      <w:bookmarkStart w:id="532" w:name="__RefHeading___Toc11945286_1280447820"/>
      <w:bookmarkStart w:id="533" w:name="_Toc195"/>
      <w:bookmarkEnd w:id="532"/>
      <w:r>
        <w:rPr>
          <w:rtl w:val="true"/>
        </w:rPr>
        <w:t>اشارة</w:t>
      </w:r>
      <w:bookmarkEnd w:id="53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علىٰ حجِّيَّة القاعدة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قبل الخوض في ذلك لابدَّ من أن يُبحَثَ عن حجِّيَّة خبر الثِّقة في الموضوعات، إذ لوثبتَتْ حجِّيَّةُ هذا الخبر فالبحث عن دلالة الأدلَّة الأربعة علىٰ المطلوب غير محتاجٍ إليه هيهنا؛ إذ يكفي حجِّيَّته لحجِّيَّة </w:t>
      </w:r>
      <w:bookmarkStart w:id="534" w:name="pg20337_261626"/>
    </w:p>
    <w:p>
      <w:pPr>
        <w:pStyle w:val="BookText"/>
        <w:rPr/>
      </w:pPr>
      <w:bookmarkEnd w:id="534"/>
      <w:r>
        <w:rPr>
          <w:rFonts w:ascii="Amiri" w:hAnsi="Amiri" w:eastAsia="Amiri" w:cs="Amiri"/>
          <w:color w:val="111111"/>
          <w:sz w:val="28"/>
          <w:sz w:val="28"/>
          <w:szCs w:val="28"/>
          <w:rtl w:val="true"/>
          <w:lang w:bidi="ar-SA"/>
        </w:rPr>
        <w:t>القاعدة قطعًا، ولانحتاج إذن إلى البحث عن حجِّيَّة البيِّنة؛</w:t>
      </w:r>
    </w:p>
    <w:p>
      <w:pPr>
        <w:pStyle w:val="BookText"/>
        <w:rPr/>
      </w:pPr>
      <w:r>
        <w:rPr>
          <w:rFonts w:ascii="Amiri" w:hAnsi="Amiri" w:eastAsia="Amiri" w:cs="Amiri"/>
          <w:color w:val="111111"/>
          <w:sz w:val="28"/>
          <w:sz w:val="28"/>
          <w:szCs w:val="28"/>
          <w:rtl w:val="true"/>
          <w:lang w:bidi="ar-SA"/>
        </w:rPr>
        <w:t>لأنَّ البحث عن حجِّيَّة خبر الثِّقة بمنزلة الأصل؛</w:t>
      </w:r>
    </w:p>
    <w:p>
      <w:pPr>
        <w:pStyle w:val="BookText"/>
        <w:rPr/>
      </w:pPr>
      <w:r>
        <w:rPr>
          <w:rFonts w:ascii="Amiri" w:hAnsi="Amiri" w:eastAsia="Amiri" w:cs="Amiri"/>
          <w:color w:val="111111"/>
          <w:sz w:val="28"/>
          <w:sz w:val="28"/>
          <w:szCs w:val="28"/>
          <w:rtl w:val="true"/>
          <w:lang w:bidi="ar-SA"/>
        </w:rPr>
        <w:t>والبحث عن حجِّيَّة البيِّنة بمنزلة الفرع هيهنا؛</w:t>
      </w:r>
    </w:p>
    <w:p>
      <w:pPr>
        <w:pStyle w:val="BookText"/>
        <w:rPr/>
      </w:pPr>
      <w:r>
        <w:rPr>
          <w:rFonts w:ascii="Amiri" w:hAnsi="Amiri" w:eastAsia="Amiri" w:cs="Amiri"/>
          <w:color w:val="111111"/>
          <w:sz w:val="28"/>
          <w:sz w:val="28"/>
          <w:szCs w:val="28"/>
          <w:rtl w:val="true"/>
          <w:lang w:bidi="ar-SA"/>
        </w:rPr>
        <w:t xml:space="preserve">وجعْلُ الفرع مقام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عن حجِّيَّة خبر الثِّقة في الموضوعات؛</w:t>
      </w:r>
    </w:p>
    <w:p>
      <w:pPr>
        <w:pStyle w:val="BookText"/>
        <w:rPr/>
      </w:pPr>
      <w:r>
        <w:rPr>
          <w:rFonts w:ascii="Amiri" w:hAnsi="Amiri" w:eastAsia="Amiri" w:cs="Amiri"/>
          <w:color w:val="111111"/>
          <w:sz w:val="28"/>
          <w:sz w:val="28"/>
          <w:szCs w:val="28"/>
          <w:rtl w:val="true"/>
          <w:lang w:bidi="ar-SA"/>
        </w:rPr>
        <w:t>ثمَّ نبحث عن حجِّيَّة البَيِّنة ثانيًا</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1945288_1280447820"/>
      <w:bookmarkStart w:id="536" w:name="_Toc196"/>
      <w:bookmarkEnd w:id="535"/>
      <w:r>
        <w:rPr>
          <w:rtl w:val="true"/>
        </w:rPr>
        <w:t>أوَّلًا</w:t>
      </w:r>
      <w:r>
        <w:rPr>
          <w:rtl w:val="true"/>
        </w:rPr>
        <w:t xml:space="preserve">: </w:t>
      </w:r>
      <w:r>
        <w:rPr>
          <w:rtl w:val="true"/>
        </w:rPr>
        <w:t>كون خبر الثِّقة حجَّةً في الموضوعات</w:t>
      </w:r>
      <w:bookmarkEnd w:id="53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أنَّ خبر الثِّقة في الموضوعات حجَّةٌ عقلًا،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سارَتْ سيرةُ العقلاء طوالَ الدُّهور، كما أنَّه حجَّةٌ في الأحكام بلاإشكالٍ وكلامٍ‌؛</w:t>
      </w:r>
    </w:p>
    <w:p>
      <w:pPr>
        <w:pStyle w:val="BookText"/>
        <w:rPr/>
      </w:pPr>
      <w:r>
        <w:rPr>
          <w:rFonts w:ascii="Amiri" w:hAnsi="Amiri" w:eastAsia="Amiri" w:cs="Amiri"/>
          <w:color w:val="111111"/>
          <w:sz w:val="28"/>
          <w:sz w:val="28"/>
          <w:szCs w:val="28"/>
          <w:rtl w:val="true"/>
          <w:lang w:bidi="ar-SA"/>
        </w:rPr>
        <w:t>فسيرةُ الشَّارع أيضًا دارَتْ علىٰ ما دارَتْ عليه سيرةُ العقلاء، فتطابقَتْ السِّيرتان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لايبعد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لكثيرٍ من الأعلام</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الثِّقة كالظَّواهر يوجِب اِطمئنان النَّفس؛</w:t>
      </w:r>
    </w:p>
    <w:p>
      <w:pPr>
        <w:pStyle w:val="BookText"/>
        <w:rPr/>
      </w:pPr>
      <w:r>
        <w:rPr>
          <w:rFonts w:ascii="Amiri" w:hAnsi="Amiri" w:eastAsia="Amiri" w:cs="Amiri"/>
          <w:color w:val="111111"/>
          <w:sz w:val="28"/>
          <w:sz w:val="28"/>
          <w:szCs w:val="28"/>
          <w:rtl w:val="true"/>
          <w:lang w:bidi="ar-SA"/>
        </w:rPr>
        <w:t>فهذا الخبر بمنزلة العلم أو نفسِ العلم في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ولاتستغرِبْ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اليد، والسُّوق، وأصالة الصِّحَّة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حجِّيَّة خبر الثِّقة؛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وأنَّ في كثيرٍ من أبواب الفقه يدورُ الأمرُ مدارَ حجِّيَّته</w:t>
      </w:r>
      <w:r>
        <w:rPr>
          <w:rFonts w:eastAsia="Amiri" w:cs="Amiri" w:ascii="Amiri" w:hAnsi="Amiri"/>
          <w:color w:val="111111"/>
          <w:sz w:val="28"/>
          <w:szCs w:val="28"/>
          <w:rtl w:val="true"/>
          <w:lang w:bidi="ar-SA"/>
        </w:rPr>
        <w:t xml:space="preserve">. </w:t>
      </w:r>
      <w:bookmarkStart w:id="537" w:name="pg20337_261627"/>
    </w:p>
    <w:p>
      <w:pPr>
        <w:pStyle w:val="Heading4"/>
        <w:numPr>
          <w:ilvl w:val="3"/>
          <w:numId w:val="1"/>
        </w:numPr>
        <w:rPr/>
      </w:pPr>
      <w:bookmarkStart w:id="538" w:name="__RefHeading___Toc11945290_1280447820"/>
      <w:bookmarkStart w:id="539" w:name="_Toc197"/>
      <w:bookmarkEnd w:id="537"/>
      <w:bookmarkEnd w:id="538"/>
      <w:r>
        <w:rPr>
          <w:rtl w:val="true"/>
        </w:rPr>
        <w:t>ثانيًا</w:t>
      </w:r>
      <w:r>
        <w:rPr>
          <w:rtl w:val="true"/>
        </w:rPr>
        <w:t xml:space="preserve">: </w:t>
      </w:r>
      <w:r>
        <w:rPr>
          <w:rtl w:val="true"/>
        </w:rPr>
        <w:t>السُّنَّة</w:t>
      </w:r>
      <w:bookmarkEnd w:id="539"/>
    </w:p>
    <w:p>
      <w:pPr>
        <w:pStyle w:val="BookText"/>
        <w:rPr/>
      </w:pPr>
      <w:r>
        <w:rPr>
          <w:rFonts w:ascii="Amiri" w:hAnsi="Amiri" w:eastAsia="Amiri" w:cs="Amiri"/>
          <w:color w:val="111111"/>
          <w:sz w:val="28"/>
          <w:sz w:val="28"/>
          <w:szCs w:val="28"/>
          <w:rtl w:val="true"/>
          <w:lang w:bidi="ar-SA"/>
        </w:rPr>
        <w:t>وقد يدلُّ عليها كثيرٌ من الأخبار، بل المُتَفَحِّص يجدُ تواترًا معنويًّا في المرويِّ عن الأئمَّة عليهم السلام، كخبر مسعدة بن صدقة عن الصَّادق عليه السلام، الَّذي رواه الشَّيخ قدس سره</w:t>
      </w:r>
      <w:r>
        <w:rPr>
          <w:rStyle w:val="FootnoteAnchor"/>
          <w:rtl w:val="true"/>
        </w:rPr>
        <w:footnoteReference w:id="1568"/>
      </w:r>
      <w:r>
        <w:rPr>
          <w:rFonts w:ascii="Amiri" w:hAnsi="Amiri" w:eastAsia="Amiri" w:cs="Amiri"/>
          <w:color w:val="111111"/>
          <w:sz w:val="28"/>
          <w:sz w:val="28"/>
          <w:szCs w:val="28"/>
          <w:rtl w:val="true"/>
          <w:lang w:bidi="ar-SA"/>
        </w:rPr>
        <w:t>، والشَّيخ الحرُّ قدس سره</w:t>
      </w:r>
      <w:r>
        <w:rPr>
          <w:rStyle w:val="FootnoteAnchor"/>
          <w:rtl w:val="true"/>
        </w:rPr>
        <w:footnoteReference w:id="1569"/>
      </w:r>
      <w:r>
        <w:rPr>
          <w:rFonts w:ascii="Amiri" w:hAnsi="Amiri" w:eastAsia="Amiri" w:cs="Amiri"/>
          <w:color w:val="111111"/>
          <w:sz w:val="28"/>
          <w:sz w:val="28"/>
          <w:szCs w:val="28"/>
          <w:rtl w:val="true"/>
          <w:lang w:bidi="ar-SA"/>
        </w:rPr>
        <w:t>، وغيرهما؛</w:t>
      </w:r>
    </w:p>
    <w:p>
      <w:pPr>
        <w:pStyle w:val="BookText"/>
        <w:rPr/>
      </w:pPr>
      <w:r>
        <w:rPr>
          <w:rFonts w:ascii="Amiri" w:hAnsi="Amiri" w:eastAsia="Amiri" w:cs="Amiri"/>
          <w:color w:val="111111"/>
          <w:sz w:val="28"/>
          <w:sz w:val="28"/>
          <w:szCs w:val="28"/>
          <w:rtl w:val="true"/>
          <w:lang w:bidi="ar-SA"/>
        </w:rPr>
        <w:t>وخبر عبداللَّه بن سليمان عن الصَّادق عليه السلام، الَّذي رواه الكلينيُّ قدس سره</w:t>
      </w:r>
      <w:r>
        <w:rPr>
          <w:rStyle w:val="FootnoteAnchor"/>
          <w:rtl w:val="true"/>
        </w:rPr>
        <w:footnoteReference w:id="1570"/>
      </w:r>
      <w:r>
        <w:rPr>
          <w:rFonts w:ascii="Amiri" w:hAnsi="Amiri" w:eastAsia="Amiri" w:cs="Amiri"/>
          <w:color w:val="111111"/>
          <w:sz w:val="28"/>
          <w:sz w:val="28"/>
          <w:szCs w:val="28"/>
          <w:rtl w:val="true"/>
          <w:lang w:bidi="ar-SA"/>
        </w:rPr>
        <w:t>، والشَّيخ الحرُّ قدس سره</w:t>
      </w:r>
      <w:r>
        <w:rPr>
          <w:rStyle w:val="FootnoteAnchor"/>
          <w:rtl w:val="true"/>
        </w:rPr>
        <w:footnoteReference w:id="1571"/>
      </w:r>
      <w:r>
        <w:rPr>
          <w:rFonts w:ascii="Amiri" w:hAnsi="Amiri" w:eastAsia="Amiri" w:cs="Amiri"/>
          <w:color w:val="111111"/>
          <w:sz w:val="28"/>
          <w:sz w:val="28"/>
          <w:szCs w:val="28"/>
          <w:rtl w:val="true"/>
          <w:lang w:bidi="ar-SA"/>
        </w:rPr>
        <w:t>، وغيرهما؛</w:t>
      </w:r>
    </w:p>
    <w:p>
      <w:pPr>
        <w:pStyle w:val="BookText"/>
        <w:rPr/>
      </w:pPr>
      <w:r>
        <w:rPr>
          <w:rFonts w:ascii="Amiri" w:hAnsi="Amiri" w:eastAsia="Amiri" w:cs="Amiri"/>
          <w:color w:val="111111"/>
          <w:sz w:val="28"/>
          <w:sz w:val="28"/>
          <w:szCs w:val="28"/>
          <w:rtl w:val="true"/>
          <w:lang w:bidi="ar-SA"/>
        </w:rPr>
        <w:t>وغير هذين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خير شاهدٍ علىٰ حجِّيَّته؛</w:t>
      </w:r>
    </w:p>
    <w:p>
      <w:pPr>
        <w:pStyle w:val="BookText"/>
        <w:rPr/>
      </w:pP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فإنَّ المُتَفَحِّصَ في تراثنا الرِّوائيِّ يجد تواترًا دالًّا علىٰ اشتراط البيِّنة وخبر العَدلَين في الموضوعات؛</w:t>
      </w:r>
    </w:p>
    <w:p>
      <w:pPr>
        <w:pStyle w:val="BookText"/>
        <w:rPr/>
      </w:pPr>
      <w:r>
        <w:rPr>
          <w:rFonts w:ascii="Amiri" w:hAnsi="Amiri" w:eastAsia="Amiri" w:cs="Amiri"/>
          <w:color w:val="111111"/>
          <w:sz w:val="28"/>
          <w:sz w:val="28"/>
          <w:szCs w:val="28"/>
          <w:rtl w:val="true"/>
          <w:lang w:bidi="ar-SA"/>
        </w:rPr>
        <w:t>كخبر أبي بصيرٍ عن أبي الحسن عليه السلام، الَّذي رواه الكلينيُّ قدس سره</w:t>
      </w:r>
      <w:r>
        <w:rPr>
          <w:rStyle w:val="FootnoteAnchor"/>
          <w:rtl w:val="true"/>
        </w:rPr>
        <w:footnoteReference w:id="1572"/>
      </w:r>
      <w:r>
        <w:rPr>
          <w:rFonts w:ascii="Amiri" w:hAnsi="Amiri" w:eastAsia="Amiri" w:cs="Amiri"/>
          <w:color w:val="111111"/>
          <w:sz w:val="28"/>
          <w:sz w:val="28"/>
          <w:szCs w:val="28"/>
          <w:rtl w:val="true"/>
          <w:lang w:bidi="ar-SA"/>
        </w:rPr>
        <w:t>، والشَّيخ قدس سره</w:t>
      </w:r>
      <w:r>
        <w:rPr>
          <w:rStyle w:val="FootnoteAnchor"/>
          <w:rtl w:val="true"/>
        </w:rPr>
        <w:footnoteReference w:id="1573"/>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الطَّائفة الثَّانيَة لاتُنفي حجِّيَّةَ خبر الثِّقة، بل تنُصُّ علىٰ أنَّ إثبات الموضوع </w:t>
      </w:r>
      <w:bookmarkStart w:id="540" w:name="pg20337_261628"/>
    </w:p>
    <w:p>
      <w:pPr>
        <w:pStyle w:val="BookText"/>
        <w:rPr/>
      </w:pPr>
      <w:bookmarkEnd w:id="540"/>
      <w:r>
        <w:rPr>
          <w:rFonts w:ascii="Amiri" w:hAnsi="Amiri" w:eastAsia="Amiri" w:cs="Amiri"/>
          <w:color w:val="111111"/>
          <w:sz w:val="28"/>
          <w:sz w:val="28"/>
          <w:szCs w:val="28"/>
          <w:rtl w:val="true"/>
          <w:lang w:bidi="ar-SA"/>
        </w:rPr>
        <w:t>في الشَّريعة يحتاج إلى الخبر الَّذي يؤيِّده ثِقَتان ويرويانه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بين هاتين الطَّائفَتَين من الأخبار تهافتٌ يجب أن يُعالَجَ‌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العِلاج حملُ الظَّاهر علىٰ النَّصِّ‌، وهو يقتضي أن يكون اشتراطُ البيِّنة في الموضوعات علىٰ سبيل الإحتياط، لا اللُّزوم والوجوب؛</w:t>
      </w:r>
    </w:p>
    <w:p>
      <w:pPr>
        <w:pStyle w:val="BookText"/>
        <w:rPr/>
      </w:pPr>
      <w:r>
        <w:rPr>
          <w:rFonts w:ascii="Amiri" w:hAnsi="Amiri" w:eastAsia="Amiri" w:cs="Amiri"/>
          <w:color w:val="111111"/>
          <w:sz w:val="28"/>
          <w:sz w:val="28"/>
          <w:szCs w:val="28"/>
          <w:rtl w:val="true"/>
          <w:lang w:bidi="ar-SA"/>
        </w:rPr>
        <w:t xml:space="preserve">أو هذا الشَّرط مختصٌّ بمهامِّ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يرجع إلى القضاء والشَّهادات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لك هذا، ظهَرَ أنَّه لايجوز تخصيصُ سيرة العقلاء القَطعيَّة بهذه الرِّوايات، بل لايمكن تخصيصُها بها، للزوم حمل السِّيرة إذن علىٰ الفرد النَّادر، لوضوح أنَّ العُرف لاصلةَ له بالأحكام، بل الأحكام تختصُّ بالأديان وأمرها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يلزم من التَّخصيص هذا الرَّدعُ عن السِّيرة؛</w:t>
      </w:r>
    </w:p>
    <w:p>
      <w:pPr>
        <w:pStyle w:val="BookText"/>
        <w:rPr/>
      </w:pPr>
      <w:r>
        <w:rPr>
          <w:rFonts w:ascii="Amiri" w:hAnsi="Amiri" w:eastAsia="Amiri" w:cs="Amiri"/>
          <w:color w:val="111111"/>
          <w:sz w:val="28"/>
          <w:sz w:val="28"/>
          <w:szCs w:val="28"/>
          <w:rtl w:val="true"/>
          <w:lang w:bidi="ar-SA"/>
        </w:rPr>
        <w:t>فيلزم إذن أن لايكون خبرُ الثِّقة حجَّةً في الأحكام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ويلزم منه عدمُ جواز العمل بالأحاديث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الرِّوايات بأجمعها تحتاج إلى تنقيح أسانيدها والبحثِ عن صحَّتها وسُقمِها؛ والسَّندُ يُعدُّ من الموضوعات؛</w:t>
      </w:r>
    </w:p>
    <w:p>
      <w:pPr>
        <w:pStyle w:val="BookText"/>
        <w:rPr/>
      </w:pPr>
      <w:r>
        <w:rPr>
          <w:rFonts w:ascii="Amiri" w:hAnsi="Amiri" w:eastAsia="Amiri" w:cs="Amiri"/>
          <w:color w:val="111111"/>
          <w:sz w:val="28"/>
          <w:sz w:val="28"/>
          <w:szCs w:val="28"/>
          <w:rtl w:val="true"/>
          <w:lang w:bidi="ar-SA"/>
        </w:rPr>
        <w:t>فلوكُنَّا نحتاج إلى البيِّنة لاِثبات صحَّة السَّند أو سقمه، ليختلُّ نظام الفقه ومدارِكه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بحَثنا عن هذا المطلب في بحوثنا في علمَي الرِّجال والدِّراية؛ والتَّفصيل فيه يُطلَب من هناك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1" w:name="__RefHeading___Toc11945292_1280447820"/>
      <w:bookmarkStart w:id="542" w:name="_Toc198"/>
      <w:bookmarkEnd w:id="541"/>
      <w:r>
        <w:rPr>
          <w:rtl w:val="true"/>
        </w:rPr>
        <w:t>تنبيهاتٌ‌</w:t>
      </w:r>
      <w:r>
        <w:rPr>
          <w:rtl w:val="true"/>
        </w:rPr>
        <w:t>:</w:t>
      </w:r>
      <w:bookmarkStart w:id="543" w:name="pg20337_261629"/>
      <w:bookmarkEnd w:id="542"/>
    </w:p>
    <w:p>
      <w:pPr>
        <w:pStyle w:val="BookText"/>
        <w:rPr/>
      </w:pPr>
      <w:bookmarkEnd w:id="543"/>
      <w:r>
        <w:rPr>
          <w:rFonts w:ascii="Amiri" w:hAnsi="Amiri" w:eastAsia="Amiri" w:cs="Amiri"/>
          <w:color w:val="111111"/>
          <w:sz w:val="28"/>
          <w:sz w:val="28"/>
          <w:szCs w:val="28"/>
          <w:rtl w:val="true"/>
          <w:lang w:bidi="ar-SA"/>
        </w:rPr>
        <w:t>بما أنَّ القاعدة واضحةٌ من ناحيَةٍ‌، وأصوليَّةٌ من ناحيَةٍ أخرىٰ‌، فلاتنبيه فيها؛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1945294_1280447820"/>
      <w:bookmarkStart w:id="545" w:name="_Toc199"/>
      <w:bookmarkEnd w:id="544"/>
      <w:r>
        <w:rPr>
          <w:rtl w:val="true"/>
        </w:rPr>
        <w:t>أمثلةٌ لاستعمال القاعدة في الفقه</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قدس سره في مسألة إذا كان الوارثُ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اثنان رجلان أو رجلٌ أو امرأتان بنسبٍ وكانوا عدولًا، يثبت النَّسب، ويقاسمهم الميراثُ‌</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الشَّرائع قدس سره في نفس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ولدُ الميِّت بولدٍ له آخر فأقرَّا بثالثٍ‌، ثبت نسب الثَّالث إن كانا عدلين</w:t>
      </w:r>
      <w:r>
        <w:rPr>
          <w:rFonts w:eastAsia="Amiri" w:cs="Amiri" w:ascii="Amiri" w:hAnsi="Amiri"/>
          <w:color w:val="111111"/>
          <w:sz w:val="28"/>
          <w:szCs w:val="28"/>
          <w:rtl w:val="true"/>
          <w:lang w:bidi="ar-SA"/>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ابنُالبَّراج قدس سره في مسألة ادِّعاء ردِّ الرَّهن والعين المستأجَّرة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المرتهِن ردَّ الرَّهن علىٰ الرَّاهن لم يُقبَل قولُه، إلَّاببيِّنةٍ‌، وكذلك المستأجر إذا ادَّعىٰ ردَّ العين المستأجَرة علىٰ صاحبها لم يُقبَل قوله، إلَّاببيِّنةٍ‌</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bookmarkStart w:id="546" w:name="pg20337_261630"/>
    </w:p>
    <w:p>
      <w:pPr>
        <w:pStyle w:val="Heading2"/>
        <w:numPr>
          <w:ilvl w:val="1"/>
          <w:numId w:val="1"/>
        </w:numPr>
        <w:rPr/>
      </w:pPr>
      <w:bookmarkStart w:id="547" w:name="__RefHeading___Toc11945296_1280447820"/>
      <w:bookmarkStart w:id="548" w:name="_Toc200"/>
      <w:bookmarkEnd w:id="546"/>
      <w:bookmarkEnd w:id="547"/>
      <w:r>
        <w:rPr>
          <w:rtl w:val="true"/>
        </w:rPr>
        <w:t>[</w:t>
      </w:r>
      <w:r>
        <w:rPr/>
        <w:t>39</w:t>
      </w:r>
      <w:r>
        <w:rPr>
          <w:rtl w:val="true"/>
        </w:rPr>
        <w:t xml:space="preserve">:] </w:t>
      </w:r>
      <w:r>
        <w:rPr>
          <w:rtl w:val="true"/>
        </w:rPr>
        <w:t>قاعدة حجِّيَّة الظَّنِّ في الصَّلاة</w:t>
      </w:r>
      <w:bookmarkEnd w:id="548"/>
    </w:p>
    <w:p>
      <w:pPr>
        <w:pStyle w:val="Heading3"/>
        <w:numPr>
          <w:ilvl w:val="2"/>
          <w:numId w:val="1"/>
        </w:numPr>
        <w:rPr/>
      </w:pPr>
      <w:bookmarkStart w:id="549" w:name="__RefHeading___Toc11945298_1280447820"/>
      <w:bookmarkStart w:id="550" w:name="_Toc201"/>
      <w:bookmarkEnd w:id="549"/>
      <w:r>
        <w:rPr>
          <w:rtl w:val="true"/>
        </w:rPr>
        <w:t>عناوين أُخرىٰ للقاعدة توضيح مفاد القاعدة</w:t>
      </w:r>
      <w:bookmarkEnd w:id="5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المحقِّق ثاني النَّراقيَّين قدس سرهما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الظَّنِّ بأنْ يتردَّد ذهنُه بين أمرين وكان أحدُهما راجحًا عنده</w:t>
      </w:r>
      <w:r>
        <w:rPr>
          <w:rFonts w:eastAsia="Amiri" w:cs="Amiri" w:ascii="Amiri" w:hAnsi="Amiri"/>
          <w:color w:val="111111"/>
          <w:sz w:val="28"/>
          <w:szCs w:val="28"/>
          <w:rtl w:val="true"/>
          <w:lang w:bidi="ar-SA"/>
        </w:rPr>
        <w:t>»</w:t>
      </w:r>
      <w:r>
        <w:rPr>
          <w:rStyle w:val="FootnoteAnchor"/>
          <w:rtl w:val="true"/>
        </w:rPr>
        <w:footnoteReference w:id="1577"/>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وحكمُه البناءُ علىٰ الظَّنِّ بمعنىٰ جعل الواقع ما ظنَّه، من غير احتياطٍ، وتقدير الصَّلاة كأنَّها وقعتْ علىٰ هذا الوجه، سواءٌ اقتضىٰ الصِّحَّة أو الفَساد، فإن ظنَّ الأقلَّ بنىٰ عليه، وإن ظنَّ الأكثر</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bookmarkStart w:id="551" w:name="pg20337_261631"/>
    </w:p>
    <w:p>
      <w:pPr>
        <w:pStyle w:val="BookText"/>
        <w:rPr/>
      </w:pPr>
      <w:bookmarkEnd w:id="551"/>
      <w:r>
        <w:rPr>
          <w:rFonts w:ascii="Amiri" w:hAnsi="Amiri" w:eastAsia="Amiri" w:cs="Amiri"/>
          <w:color w:val="111111"/>
          <w:sz w:val="28"/>
          <w:sz w:val="28"/>
          <w:szCs w:val="28"/>
          <w:rtl w:val="true"/>
          <w:lang w:bidi="ar-SA"/>
        </w:rPr>
        <w:t>ولبيان معنىٰ الظَّنِّ المعتبر في الصَّلاة راجع إلى ما ذكره الفقيه ابنُفهدٍ الحلِّي قدس سره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البيِّن بين الأُصوليِّين عدم حجيَّة الظَّنِّ إلَّاما أخرجه الدَّليلُ‌، لأنَّ الشَّكَّ في حجِّيَّة شيءٍ يساوق عدمَ حجِّيَّته؛ فلوشُكَّ في حجِّيَّة الظَّنِّ فلامناص من القول بعدم حجِّيَّته إلَّاأن يدُلَّ عليها دليلٌ‌؛</w:t>
      </w:r>
    </w:p>
    <w:p>
      <w:pPr>
        <w:pStyle w:val="BookText"/>
        <w:rPr/>
      </w:pPr>
      <w:r>
        <w:rPr>
          <w:rFonts w:ascii="Amiri" w:hAnsi="Amiri" w:eastAsia="Amiri" w:cs="Amiri"/>
          <w:color w:val="111111"/>
          <w:sz w:val="28"/>
          <w:sz w:val="28"/>
          <w:szCs w:val="28"/>
          <w:rtl w:val="true"/>
          <w:lang w:bidi="ar-SA"/>
        </w:rPr>
        <w:t>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حجَّةٌ لأنَّه نورٌ مساوقٌ للحجيَّة نفسِها؛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كالظَّواهر، وخبر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لاِثبات حجِّيَّتها بدليلٍ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بناءُ العقلاء منضَمًّا إلى إمضاء الشَّارع هذا البناء، ولوبعدم الرَّدع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ما هو نظير الظَّنِّ في الصَّلوة فليس بحجَّةٍ لوخُلِّي وطبعُه؛ فلابدَّ من اِلتماس دليلٍ لحجِّيَّته</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1945300_1280447820"/>
      <w:bookmarkStart w:id="553" w:name="_Toc202"/>
      <w:bookmarkEnd w:id="552"/>
      <w:r>
        <w:rPr>
          <w:rtl w:val="true"/>
        </w:rPr>
        <w:t>مدركُ القاعدة</w:t>
      </w:r>
      <w:bookmarkEnd w:id="553"/>
    </w:p>
    <w:p>
      <w:pPr>
        <w:pStyle w:val="Heading4"/>
        <w:numPr>
          <w:ilvl w:val="3"/>
          <w:numId w:val="1"/>
        </w:numPr>
        <w:rPr/>
      </w:pPr>
      <w:bookmarkStart w:id="554" w:name="__RefHeading___Toc11945302_1280447820"/>
      <w:bookmarkStart w:id="555" w:name="_Toc203"/>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واستدلُّوا هيهنا لحجِّيَّة الظَّنِّ في الصَّلوة بأدلَّةٍ‌؛</w:t>
      </w:r>
    </w:p>
    <w:p>
      <w:pPr>
        <w:pStyle w:val="Heading4"/>
        <w:numPr>
          <w:ilvl w:val="3"/>
          <w:numId w:val="1"/>
        </w:numPr>
        <w:rPr/>
      </w:pPr>
      <w:bookmarkStart w:id="556" w:name="__RefHeading___Toc11945304_1280447820"/>
      <w:bookmarkStart w:id="557" w:name="_Toc204"/>
      <w:bookmarkEnd w:id="556"/>
      <w:r>
        <w:rPr>
          <w:rtl w:val="true"/>
        </w:rPr>
        <w:t>أوَّلًا</w:t>
      </w:r>
      <w:r>
        <w:rPr>
          <w:rtl w:val="true"/>
        </w:rPr>
        <w:t xml:space="preserve">: </w:t>
      </w:r>
      <w:r>
        <w:rPr>
          <w:rtl w:val="true"/>
        </w:rPr>
        <w:t>الإجماع</w:t>
      </w:r>
      <w:bookmarkEnd w:id="55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 الأصحاب بل ادَّعىٰ غيرٍ واحد منهم ثبوتَ الإجماع علىٰ حجِّيَّته فيها مطلقًا</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وسنرجع إلى هذا المطلب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 جميع الرَّكعات، كما صرَّح به المحقِّق الأردبيليُّ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وجعله</w:t>
      </w:r>
    </w:p>
    <w:p>
      <w:pPr>
        <w:pStyle w:val="BookText"/>
        <w:rPr/>
      </w:pP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الذَّخيرة قدس سره</w:t>
      </w:r>
      <w:r>
        <w:rPr>
          <w:rStyle w:val="FootnoteAnchor"/>
          <w:rtl w:val="true"/>
        </w:rPr>
        <w:footnoteReference w:id="1581"/>
      </w:r>
      <w:r>
        <w:rPr>
          <w:rFonts w:ascii="Amiri" w:hAnsi="Amiri" w:eastAsia="Amiri" w:cs="Amiri"/>
          <w:color w:val="111111"/>
          <w:sz w:val="28"/>
          <w:sz w:val="28"/>
          <w:szCs w:val="28"/>
          <w:rtl w:val="true"/>
          <w:lang w:bidi="ar-SA"/>
        </w:rPr>
        <w:t>، والبحرانيِّ قدس سره</w:t>
      </w:r>
      <w:r>
        <w:rPr>
          <w:rStyle w:val="FootnoteAnchor"/>
          <w:rtl w:val="true"/>
        </w:rPr>
        <w:footnoteReference w:id="1582"/>
      </w:r>
      <w:r>
        <w:rPr>
          <w:rFonts w:ascii="Amiri" w:hAnsi="Amiri" w:eastAsia="Amiri" w:cs="Amiri"/>
          <w:color w:val="111111"/>
          <w:sz w:val="28"/>
          <w:sz w:val="28"/>
          <w:szCs w:val="28"/>
          <w:rtl w:val="true"/>
          <w:lang w:bidi="ar-SA"/>
        </w:rPr>
        <w:t>، والفقيه السَّيِّد عليٍّ الطَّباطبائي قدس سره</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 بين الأصحاب؛</w:t>
      </w:r>
    </w:p>
    <w:p>
      <w:pPr>
        <w:pStyle w:val="BookText"/>
        <w:rPr/>
      </w:pPr>
      <w:r>
        <w:rPr>
          <w:rFonts w:ascii="Amiri" w:hAnsi="Amiri" w:eastAsia="Amiri" w:cs="Amiri"/>
          <w:color w:val="111111"/>
          <w:sz w:val="28"/>
          <w:sz w:val="28"/>
          <w:szCs w:val="28"/>
          <w:rtl w:val="true"/>
          <w:lang w:bidi="ar-SA"/>
        </w:rPr>
        <w:t>ونقَل بعضُهم الإجماعَ والشُّهرةَ معًا في المقام</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أولَيَين كانتا، أو 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المحقِّق اليزديِّ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المتَعَلَّق بالرَّكعات في حكم اليقين، من غير فرقٍ بين الرَّكعتين الأوَّلَتَين والأخيرتين</w:t>
      </w:r>
      <w:r>
        <w:rPr>
          <w:rFonts w:eastAsia="Amiri" w:cs="Amiri" w:ascii="Amiri" w:hAnsi="Amiri"/>
          <w:color w:val="111111"/>
          <w:sz w:val="28"/>
          <w:szCs w:val="28"/>
          <w:rtl w:val="true"/>
          <w:lang w:bidi="ar-SA"/>
        </w:rPr>
        <w:t>»</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ما ذكره شرَّاحه والمعلِّقون عليه، كالسَّيِّد الحكيم قدس سره</w:t>
      </w:r>
      <w:r>
        <w:rPr>
          <w:rStyle w:val="FootnoteAnchor"/>
          <w:rtl w:val="true"/>
        </w:rPr>
        <w:footnoteReference w:id="1586"/>
      </w:r>
      <w:r>
        <w:rPr>
          <w:rFonts w:ascii="Amiri" w:hAnsi="Amiri" w:eastAsia="Amiri" w:cs="Amiri"/>
          <w:color w:val="111111"/>
          <w:sz w:val="28"/>
          <w:sz w:val="28"/>
          <w:szCs w:val="28"/>
          <w:rtl w:val="true"/>
          <w:lang w:bidi="ar-SA"/>
        </w:rPr>
        <w:t>، والسَّيِّد الخوئي قدس سره</w:t>
      </w:r>
      <w:r>
        <w:rPr>
          <w:rStyle w:val="FootnoteAnchor"/>
          <w:rtl w:val="true"/>
        </w:rPr>
        <w:footnoteReference w:id="1587"/>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إلى ما ذكره بعضُ كبار معاصرينا في المقام، كالاشتهارديِّ‌، والفيَّاض؛</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تعاليق مبسوطة،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إلى قول شيخ الشَّريعة في المقام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وفي الأفعال</w:t>
      </w:r>
      <w:r>
        <w:rPr>
          <w:rStyle w:val="FootnoteAnchor"/>
          <w:rtl w:val="true"/>
        </w:rPr>
        <w:footnoteReference w:id="158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558" w:name="pg20337_261633"/>
    </w:p>
    <w:p>
      <w:pPr>
        <w:pStyle w:val="Heading4"/>
        <w:numPr>
          <w:ilvl w:val="3"/>
          <w:numId w:val="1"/>
        </w:numPr>
        <w:rPr/>
      </w:pPr>
      <w:bookmarkStart w:id="559" w:name="__RefHeading___Toc11945306_1280447820"/>
      <w:bookmarkStart w:id="560" w:name="_Toc205"/>
      <w:bookmarkEnd w:id="558"/>
      <w:bookmarkEnd w:id="559"/>
      <w:r>
        <w:rPr>
          <w:rtl w:val="true"/>
        </w:rPr>
        <w:t>ثانيًا</w:t>
      </w:r>
      <w:r>
        <w:rPr>
          <w:rtl w:val="true"/>
        </w:rPr>
        <w:t xml:space="preserve">: </w:t>
      </w:r>
      <w:r>
        <w:rPr>
          <w:rtl w:val="true"/>
        </w:rPr>
        <w:t>السُّنَّة</w:t>
      </w:r>
      <w:bookmarkEnd w:id="560"/>
    </w:p>
    <w:p>
      <w:pPr>
        <w:pStyle w:val="BookText"/>
        <w:rPr/>
      </w:pPr>
      <w:r>
        <w:rPr>
          <w:rFonts w:ascii="Amiri" w:hAnsi="Amiri" w:eastAsia="Amiri" w:cs="Amiri"/>
          <w:color w:val="111111"/>
          <w:sz w:val="28"/>
          <w:sz w:val="28"/>
          <w:szCs w:val="28"/>
          <w:rtl w:val="true"/>
          <w:lang w:bidi="ar-SA"/>
        </w:rPr>
        <w:t>كما وقد استدلُّوا برواياتٍ كثيرةٍ أوردها صاحب الوسائل قدس سره في أبوابٍ عدَّةٍ من مباحث الخلل الواقعة في الصَّلوة؛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لاتدري كَم صلَّيتَ ولم يقَع وهمُك علىٰ شيءٍ فأَعِد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1590"/>
      </w:r>
      <w:r>
        <w:rPr>
          <w:rFonts w:ascii="Amiri" w:hAnsi="Amiri" w:eastAsia="Amiri" w:cs="Amiri"/>
          <w:color w:val="111111"/>
          <w:sz w:val="28"/>
          <w:sz w:val="28"/>
          <w:szCs w:val="28"/>
          <w:rtl w:val="true"/>
          <w:lang w:bidi="ar-SA"/>
        </w:rPr>
        <w:t>، والشَّيخ قدس سره</w:t>
      </w:r>
      <w:r>
        <w:rPr>
          <w:rStyle w:val="FootnoteAnchor"/>
          <w:rtl w:val="true"/>
        </w:rPr>
        <w:footnoteReference w:id="1591"/>
      </w:r>
      <w:r>
        <w:rPr>
          <w:rFonts w:ascii="Amiri" w:hAnsi="Amiri" w:eastAsia="Amiri" w:cs="Amiri"/>
          <w:color w:val="111111"/>
          <w:sz w:val="28"/>
          <w:sz w:val="28"/>
          <w:szCs w:val="28"/>
          <w:rtl w:val="true"/>
          <w:lang w:bidi="ar-SA"/>
        </w:rPr>
        <w:t>، والمحدِّث الفيض قدس سره</w:t>
      </w:r>
      <w:r>
        <w:rPr>
          <w:rStyle w:val="FootnoteAnchor"/>
          <w:rtl w:val="true"/>
        </w:rPr>
        <w:footnoteReference w:id="1592"/>
      </w:r>
      <w:r>
        <w:rPr>
          <w:rFonts w:ascii="Amiri" w:hAnsi="Amiri" w:eastAsia="Amiri" w:cs="Amiri"/>
          <w:color w:val="111111"/>
          <w:sz w:val="28"/>
          <w:sz w:val="28"/>
          <w:szCs w:val="28"/>
          <w:rtl w:val="true"/>
          <w:lang w:bidi="ar-SA"/>
        </w:rPr>
        <w:t>، والمحدِّث الحرُّ قدس سره</w:t>
      </w:r>
      <w:r>
        <w:rPr>
          <w:rStyle w:val="FootnoteAnchor"/>
          <w:rtl w:val="true"/>
        </w:rPr>
        <w:footnoteReference w:id="1593"/>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بسندٍ صحيحٍ‌، كما صحَّحه الأردبيليُّ قدس سره</w:t>
      </w:r>
      <w:r>
        <w:rPr>
          <w:rStyle w:val="FootnoteAnchor"/>
          <w:rtl w:val="true"/>
        </w:rPr>
        <w:footnoteReference w:id="1594"/>
      </w:r>
      <w:r>
        <w:rPr>
          <w:rFonts w:ascii="Amiri" w:hAnsi="Amiri" w:eastAsia="Amiri" w:cs="Amiri"/>
          <w:color w:val="111111"/>
          <w:sz w:val="28"/>
          <w:sz w:val="28"/>
          <w:szCs w:val="28"/>
          <w:rtl w:val="true"/>
          <w:lang w:bidi="ar-SA"/>
        </w:rPr>
        <w:t>، والفيض قدس سره</w:t>
      </w:r>
      <w:r>
        <w:rPr>
          <w:rStyle w:val="FootnoteAnchor"/>
          <w:rtl w:val="true"/>
        </w:rPr>
        <w:footnoteReference w:id="1595"/>
      </w:r>
      <w:r>
        <w:rPr>
          <w:rFonts w:ascii="Amiri" w:hAnsi="Amiri" w:eastAsia="Amiri" w:cs="Amiri"/>
          <w:color w:val="111111"/>
          <w:sz w:val="28"/>
          <w:sz w:val="28"/>
          <w:szCs w:val="28"/>
          <w:rtl w:val="true"/>
          <w:lang w:bidi="ar-SA"/>
        </w:rPr>
        <w:t>، وشيخ الشَّريعة الأصفهاني قدس سره</w:t>
      </w:r>
      <w:r>
        <w:rPr>
          <w:rStyle w:val="FootnoteAnchor"/>
          <w:rtl w:val="true"/>
        </w:rPr>
        <w:footnoteReference w:id="1596"/>
      </w:r>
      <w:r>
        <w:rPr>
          <w:rFonts w:ascii="Amiri" w:hAnsi="Amiri" w:eastAsia="Amiri" w:cs="Amiri"/>
          <w:color w:val="111111"/>
          <w:sz w:val="28"/>
          <w:sz w:val="28"/>
          <w:szCs w:val="28"/>
          <w:rtl w:val="true"/>
          <w:lang w:bidi="ar-SA"/>
        </w:rPr>
        <w:t>، والفقيه المحقِّق الخوئيُّ قدس سره</w:t>
      </w:r>
      <w:r>
        <w:rPr>
          <w:rStyle w:val="FootnoteAnchor"/>
          <w:rtl w:val="true"/>
        </w:rPr>
        <w:footnoteReference w:id="159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عبدالرَّحمن 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 ووقَعَ رأيُك علىٰ الثَّلاثِ فابْنِ علىٰ الثَّلاث، وإن وقع رأيُك علىٰ الأربع فسَلِّم وانصَرِف، وإن اعتَدَل وهمُك فانصَرِف وصَلِّ ركعتَين وأنت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15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والشَّيخ قدس سره</w:t>
      </w:r>
      <w:r>
        <w:rPr>
          <w:rStyle w:val="FootnoteAnchor"/>
          <w:rtl w:val="true"/>
        </w:rPr>
        <w:footnoteReference w:id="1599"/>
      </w:r>
      <w:r>
        <w:rPr>
          <w:rFonts w:ascii="Amiri" w:hAnsi="Amiri" w:eastAsia="Amiri" w:cs="Amiri"/>
          <w:color w:val="111111"/>
          <w:sz w:val="28"/>
          <w:sz w:val="28"/>
          <w:szCs w:val="28"/>
          <w:rtl w:val="true"/>
          <w:lang w:bidi="ar-SA"/>
        </w:rPr>
        <w:t>، والشَّيخ الحرَّ قدس سره</w:t>
      </w:r>
      <w:r>
        <w:rPr>
          <w:rStyle w:val="FootnoteAnchor"/>
          <w:rtl w:val="true"/>
        </w:rPr>
        <w:footnoteReference w:id="1600"/>
      </w:r>
      <w:r>
        <w:rPr>
          <w:rFonts w:ascii="Amiri" w:hAnsi="Amiri" w:eastAsia="Amiri" w:cs="Amiri"/>
          <w:color w:val="111111"/>
          <w:sz w:val="28"/>
          <w:sz w:val="28"/>
          <w:szCs w:val="28"/>
          <w:rtl w:val="true"/>
          <w:lang w:bidi="ar-SA"/>
        </w:rPr>
        <w:t>، وغيرهم؛</w:t>
      </w:r>
    </w:p>
    <w:p>
      <w:pPr>
        <w:pStyle w:val="BookText"/>
        <w:rPr/>
      </w:pPr>
      <w:r>
        <w:rPr>
          <w:rFonts w:ascii="Amiri" w:hAnsi="Amiri" w:eastAsia="Amiri" w:cs="Amiri"/>
          <w:color w:val="111111"/>
          <w:sz w:val="28"/>
          <w:sz w:val="28"/>
          <w:szCs w:val="28"/>
          <w:rtl w:val="true"/>
          <w:lang w:bidi="ar-SA"/>
        </w:rPr>
        <w:t>بسندٍ صحيحٍ‌، كما صحَّحه الأردبيليُّ قدس سره</w:t>
      </w:r>
      <w:r>
        <w:rPr>
          <w:rStyle w:val="FootnoteAnchor"/>
          <w:rtl w:val="true"/>
        </w:rPr>
        <w:footnoteReference w:id="1601"/>
      </w:r>
      <w:r>
        <w:rPr>
          <w:rFonts w:ascii="Amiri" w:hAnsi="Amiri" w:eastAsia="Amiri" w:cs="Amiri"/>
          <w:color w:val="111111"/>
          <w:sz w:val="28"/>
          <w:sz w:val="28"/>
          <w:szCs w:val="28"/>
          <w:rtl w:val="true"/>
          <w:lang w:bidi="ar-SA"/>
        </w:rPr>
        <w:t>، والفريد البهبهانيُّ قدس سره</w:t>
      </w:r>
      <w:r>
        <w:rPr>
          <w:rStyle w:val="FootnoteAnchor"/>
          <w:rtl w:val="true"/>
        </w:rPr>
        <w:footnoteReference w:id="1602"/>
      </w:r>
      <w:r>
        <w:rPr>
          <w:rFonts w:ascii="Amiri" w:hAnsi="Amiri" w:eastAsia="Amiri" w:cs="Amiri"/>
          <w:color w:val="111111"/>
          <w:sz w:val="28"/>
          <w:sz w:val="28"/>
          <w:szCs w:val="28"/>
          <w:rtl w:val="true"/>
          <w:lang w:bidi="ar-SA"/>
        </w:rPr>
        <w:t>، والفقيه الخوانساريُّ قدس سره</w:t>
      </w:r>
      <w:r>
        <w:rPr>
          <w:rStyle w:val="FootnoteAnchor"/>
          <w:rtl w:val="true"/>
        </w:rPr>
        <w:footnoteReference w:id="160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العلَّامة المجلسي قدس سره فوثَّقه مرَّةً‌</w:t>
      </w:r>
      <w:r>
        <w:rPr>
          <w:rStyle w:val="FootnoteAnchor"/>
          <w:rtl w:val="true"/>
        </w:rPr>
        <w:footnoteReference w:id="1604"/>
      </w:r>
      <w:r>
        <w:rPr>
          <w:rFonts w:ascii="Amiri" w:hAnsi="Amiri" w:eastAsia="Amiri" w:cs="Amiri"/>
          <w:color w:val="111111"/>
          <w:sz w:val="28"/>
          <w:sz w:val="28"/>
          <w:szCs w:val="28"/>
          <w:rtl w:val="true"/>
          <w:lang w:bidi="ar-SA"/>
        </w:rPr>
        <w:t>، ووجعله موثَّقًا كالصَّحيح أخرىٰ‌</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 النراقي الثَّاني قدس سرهما</w:t>
      </w:r>
      <w:r>
        <w:rPr>
          <w:rStyle w:val="FootnoteAnchor"/>
          <w:rtl w:val="true"/>
        </w:rPr>
        <w:footnoteReference w:id="1606"/>
      </w:r>
      <w:r>
        <w:rPr>
          <w:rFonts w:ascii="Amiri" w:hAnsi="Amiri" w:eastAsia="Amiri" w:cs="Amiri"/>
          <w:color w:val="111111"/>
          <w:sz w:val="28"/>
          <w:sz w:val="28"/>
          <w:szCs w:val="28"/>
          <w:rtl w:val="true"/>
          <w:lang w:bidi="ar-SA"/>
        </w:rPr>
        <w:t>، والسَّيِّد اليزدي قدس سره صاحب العروة</w:t>
      </w:r>
      <w:r>
        <w:rPr>
          <w:rStyle w:val="FootnoteAnchor"/>
          <w:rtl w:val="true"/>
        </w:rPr>
        <w:footnoteReference w:id="1607"/>
      </w:r>
      <w:r>
        <w:rPr>
          <w:rFonts w:ascii="Amiri" w:hAnsi="Amiri" w:eastAsia="Amiri" w:cs="Amiri"/>
          <w:color w:val="111111"/>
          <w:sz w:val="28"/>
          <w:sz w:val="28"/>
          <w:szCs w:val="28"/>
          <w:rtl w:val="true"/>
          <w:lang w:bidi="ar-SA"/>
        </w:rPr>
        <w:t>، وغيرهما،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المجلسيُّ قدس سره فقد حسَّنَه في المرآة</w:t>
      </w:r>
      <w:r>
        <w:rPr>
          <w:rStyle w:val="FootnoteAnchor"/>
          <w:rtl w:val="true"/>
        </w:rPr>
        <w:footnoteReference w:id="1608"/>
      </w:r>
      <w:r>
        <w:rPr>
          <w:rFonts w:ascii="Amiri" w:hAnsi="Amiri" w:eastAsia="Amiri" w:cs="Amiri"/>
          <w:color w:val="111111"/>
          <w:sz w:val="28"/>
          <w:sz w:val="28"/>
          <w:szCs w:val="28"/>
          <w:rtl w:val="true"/>
          <w:lang w:bidi="ar-SA"/>
        </w:rPr>
        <w:t>والملاذِّ</w:t>
      </w:r>
      <w:r>
        <w:rPr>
          <w:rStyle w:val="FootnoteAnchor"/>
          <w:rtl w:val="true"/>
        </w:rPr>
        <w:footnoteReference w:id="16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لاتدري ثلاثًا صلَّيتَ أم أربعًا ولم يذهَبْ وهمُك إلى شيءٍ فسَلِّم ثمَّ صَلِّ ركعتين وأنت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1610"/>
      </w:r>
      <w:r>
        <w:rPr>
          <w:rFonts w:ascii="Amiri" w:hAnsi="Amiri" w:eastAsia="Amiri" w:cs="Amiri"/>
          <w:color w:val="111111"/>
          <w:sz w:val="28"/>
          <w:sz w:val="28"/>
          <w:szCs w:val="28"/>
          <w:rtl w:val="true"/>
          <w:lang w:bidi="ar-SA"/>
        </w:rPr>
        <w:t>، والفيض قدس سره</w:t>
      </w:r>
      <w:r>
        <w:rPr>
          <w:rStyle w:val="FootnoteAnchor"/>
          <w:rtl w:val="true"/>
        </w:rPr>
        <w:footnoteReference w:id="1611"/>
      </w:r>
      <w:r>
        <w:rPr>
          <w:rFonts w:ascii="Amiri" w:hAnsi="Amiri" w:eastAsia="Amiri" w:cs="Amiri"/>
          <w:color w:val="111111"/>
          <w:sz w:val="28"/>
          <w:sz w:val="28"/>
          <w:szCs w:val="28"/>
          <w:rtl w:val="true"/>
          <w:lang w:bidi="ar-SA"/>
        </w:rPr>
        <w:t>، والحرُّ قدس سره</w:t>
      </w:r>
      <w:r>
        <w:rPr>
          <w:rStyle w:val="FootnoteAnchor"/>
          <w:rtl w:val="true"/>
        </w:rPr>
        <w:footnoteReference w:id="161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bookmarkStart w:id="561" w:name="pg20337_261635"/>
    </w:p>
    <w:p>
      <w:pPr>
        <w:pStyle w:val="BookText"/>
        <w:rPr/>
      </w:pPr>
      <w:bookmarkEnd w:id="561"/>
      <w:r>
        <w:rPr>
          <w:rFonts w:ascii="Amiri" w:hAnsi="Amiri" w:eastAsia="Amiri" w:cs="Amiri"/>
          <w:color w:val="111111"/>
          <w:sz w:val="28"/>
          <w:sz w:val="28"/>
          <w:szCs w:val="28"/>
          <w:rtl w:val="true"/>
          <w:lang w:bidi="ar-SA"/>
        </w:rPr>
        <w:t xml:space="preserve">فدلالة هذه الطَّائفة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الظَّنِّ في الرَّكعات الأخيرَتين لاإشكال فيها؛</w:t>
      </w:r>
    </w:p>
    <w:p>
      <w:pPr>
        <w:pStyle w:val="BookText"/>
        <w:rPr/>
      </w:pPr>
      <w:r>
        <w:rPr>
          <w:rFonts w:ascii="Amiri" w:hAnsi="Amiri" w:eastAsia="Amiri" w:cs="Amiri"/>
          <w:color w:val="111111"/>
          <w:sz w:val="28"/>
          <w:sz w:val="28"/>
          <w:szCs w:val="28"/>
          <w:rtl w:val="true"/>
          <w:lang w:bidi="ar-SA"/>
        </w:rPr>
        <w:t>ولا وجه للقيل والقال فيها، فالإعراض عمَّا ربَّما يُورَد علىٰ هذه الطَّائفة أجدَرُ وأولىٰ من الخوض فيه</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ثمَّ أخذ علىٰ الفقيه صاحب العروة قدس سره بما هو أغرب من قوله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1945308_1280447820"/>
      <w:bookmarkStart w:id="563" w:name="_Toc206"/>
      <w:bookmarkEnd w:id="562"/>
      <w:r>
        <w:rPr>
          <w:rtl w:val="true"/>
        </w:rPr>
        <w:t>ثالثاً</w:t>
      </w:r>
      <w:r>
        <w:rPr>
          <w:rtl w:val="true"/>
        </w:rPr>
        <w:t xml:space="preserve">: </w:t>
      </w:r>
      <w:r>
        <w:rPr>
          <w:rtl w:val="true"/>
        </w:rPr>
        <w:t>الأدلَّة الاِصطياديَّة</w:t>
      </w:r>
      <w:bookmarkEnd w:id="563"/>
    </w:p>
    <w:p>
      <w:pPr>
        <w:pStyle w:val="BookText"/>
        <w:rPr/>
      </w:pPr>
      <w:r>
        <w:rPr>
          <w:rFonts w:ascii="Amiri" w:hAnsi="Amiri" w:eastAsia="Amiri" w:cs="Amiri"/>
          <w:color w:val="111111"/>
          <w:sz w:val="28"/>
          <w:sz w:val="28"/>
          <w:szCs w:val="28"/>
          <w:rtl w:val="true"/>
          <w:lang w:bidi="ar-SA"/>
        </w:rPr>
        <w:t>واستُدِلَّ بغير هذه الأدلَّة؛ كالشَّهيد قدس سره</w:t>
      </w:r>
      <w:r>
        <w:rPr>
          <w:rStyle w:val="FootnoteAnchor"/>
          <w:rtl w:val="true"/>
        </w:rPr>
        <w:footnoteReference w:id="1614"/>
      </w:r>
      <w:r>
        <w:rPr>
          <w:rFonts w:ascii="Amiri" w:hAnsi="Amiri" w:eastAsia="Amiri" w:cs="Amiri"/>
          <w:color w:val="111111"/>
          <w:sz w:val="28"/>
          <w:sz w:val="28"/>
          <w:szCs w:val="28"/>
          <w:rtl w:val="true"/>
          <w:lang w:bidi="ar-SA"/>
        </w:rPr>
        <w:t>حيث ذهب إلى أنَّ دفعَ العُسر هو السَّبب في حجِّيَّة الظَّنِّ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النَّراقيُّ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لاعُسر إلَّامع الكثرة، ومعها يرتفع حكم الشَّكِّ‌</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وفقهاء العامَّة أيضًا ذهبوا إلى حجِّيَّة الظَّنِّ في الصَّلوة، واستدلُّوا بما روَوه عن النَّبيِّ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أحدُكم في الصَّلوة فليَنظُر أيَّ ذلك أحرىٰ إلى الصَّواب، فليَبْنِ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مسلمٌ‌</w:t>
      </w:r>
      <w:r>
        <w:rPr>
          <w:rStyle w:val="FootnoteAnchor"/>
          <w:rtl w:val="true"/>
        </w:rPr>
        <w:footnoteReference w:id="1616"/>
      </w:r>
      <w:r>
        <w:rPr>
          <w:rFonts w:ascii="Amiri" w:hAnsi="Amiri" w:eastAsia="Amiri" w:cs="Amiri"/>
          <w:color w:val="111111"/>
          <w:sz w:val="28"/>
          <w:sz w:val="28"/>
          <w:szCs w:val="28"/>
          <w:rtl w:val="true"/>
          <w:lang w:bidi="ar-SA"/>
        </w:rPr>
        <w:t>، وابنُماجة</w:t>
      </w:r>
      <w:r>
        <w:rPr>
          <w:rStyle w:val="FootnoteAnchor"/>
          <w:rtl w:val="true"/>
        </w:rPr>
        <w:footnoteReference w:id="1617"/>
      </w:r>
      <w:r>
        <w:rPr>
          <w:rFonts w:ascii="Amiri" w:hAnsi="Amiri" w:eastAsia="Amiri" w:cs="Amiri"/>
          <w:color w:val="111111"/>
          <w:sz w:val="28"/>
          <w:sz w:val="28"/>
          <w:szCs w:val="28"/>
          <w:rtl w:val="true"/>
          <w:lang w:bidi="ar-SA"/>
        </w:rPr>
        <w:t>، والبيهقيُّ‌</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رُوِي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أحدُكم في الصَّلاة فليتحَرَّ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ابنُماجة</w:t>
      </w:r>
      <w:r>
        <w:rPr>
          <w:rStyle w:val="FootnoteAnchor"/>
          <w:rtl w:val="true"/>
        </w:rPr>
        <w:footnoteReference w:id="1619"/>
      </w:r>
      <w:r>
        <w:rPr>
          <w:rFonts w:ascii="Amiri" w:hAnsi="Amiri" w:eastAsia="Amiri" w:cs="Amiri"/>
          <w:color w:val="111111"/>
          <w:sz w:val="28"/>
          <w:sz w:val="28"/>
          <w:szCs w:val="28"/>
          <w:rtl w:val="true"/>
          <w:lang w:bidi="ar-SA"/>
        </w:rPr>
        <w:t>، والدَّارقُطني عليها السلام</w:t>
      </w:r>
      <w:r>
        <w:rPr>
          <w:rStyle w:val="FootnoteAnchor"/>
          <w:rtl w:val="true"/>
        </w:rPr>
        <w:footnoteReference w:id="1620"/>
      </w:r>
      <w:r>
        <w:rPr>
          <w:rFonts w:ascii="Amiri" w:hAnsi="Amiri" w:eastAsia="Amiri" w:cs="Amiri"/>
          <w:color w:val="111111"/>
          <w:sz w:val="28"/>
          <w:sz w:val="28"/>
          <w:szCs w:val="28"/>
          <w:rtl w:val="true"/>
          <w:lang w:bidi="ar-SA"/>
        </w:rPr>
        <w:t>، ورواه عنهم الشَّيخ</w:t>
      </w:r>
      <w:r>
        <w:rPr>
          <w:rStyle w:val="FootnoteAnchor"/>
          <w:rtl w:val="true"/>
        </w:rPr>
        <w:footnoteReference w:id="162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فدلالة الرِّوايات والإجماع علىٰ المطلوب واضحةٌ‌؛ وإن كان الإجماع هنا ظاهرًا في كونه مدركيًّا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ردُّ هذا الإجماع بنصوص الأصحاب القائلين بتخصيص الحكم بالرَّكعتين الأخيرَتين فقط، كما عن ابن إدريسٍ قدس سره</w:t>
      </w:r>
      <w:r>
        <w:rPr>
          <w:rStyle w:val="FootnoteAnchor"/>
          <w:rtl w:val="true"/>
        </w:rPr>
        <w:footnoteReference w:id="1622"/>
      </w:r>
      <w:r>
        <w:rPr>
          <w:rFonts w:ascii="Amiri" w:hAnsi="Amiri" w:eastAsia="Amiri" w:cs="Amiri"/>
          <w:color w:val="111111"/>
          <w:sz w:val="28"/>
          <w:sz w:val="28"/>
          <w:szCs w:val="28"/>
          <w:rtl w:val="true"/>
          <w:lang w:bidi="ar-SA"/>
        </w:rPr>
        <w:t>، والكلينيِّ قدس سره</w:t>
      </w:r>
      <w:r>
        <w:rPr>
          <w:rStyle w:val="FootnoteAnchor"/>
          <w:rtl w:val="true"/>
        </w:rPr>
        <w:footnoteReference w:id="1623"/>
      </w:r>
      <w:r>
        <w:rPr>
          <w:rFonts w:ascii="Amiri" w:hAnsi="Amiri" w:eastAsia="Amiri" w:cs="Amiri"/>
          <w:color w:val="111111"/>
          <w:sz w:val="28"/>
          <w:sz w:val="28"/>
          <w:szCs w:val="28"/>
          <w:rtl w:val="true"/>
          <w:lang w:bidi="ar-SA"/>
        </w:rPr>
        <w:t>، والصَّدوق قدس سره</w:t>
      </w:r>
      <w:r>
        <w:rPr>
          <w:rStyle w:val="FootnoteAnchor"/>
          <w:rtl w:val="true"/>
        </w:rPr>
        <w:footnoteReference w:id="1624"/>
      </w:r>
      <w:r>
        <w:rPr>
          <w:rFonts w:ascii="Amiri" w:hAnsi="Amiri" w:eastAsia="Amiri" w:cs="Amiri"/>
          <w:color w:val="111111"/>
          <w:sz w:val="28"/>
          <w:sz w:val="28"/>
          <w:szCs w:val="28"/>
          <w:rtl w:val="true"/>
          <w:lang w:bidi="ar-SA"/>
        </w:rPr>
        <w:t>، والمفيد قدس سره</w:t>
      </w:r>
      <w:r>
        <w:rPr>
          <w:rStyle w:val="FootnoteAnchor"/>
          <w:rtl w:val="true"/>
        </w:rPr>
        <w:footnoteReference w:id="1625"/>
      </w:r>
      <w:r>
        <w:rPr>
          <w:rFonts w:ascii="Amiri" w:hAnsi="Amiri" w:eastAsia="Amiri" w:cs="Amiri"/>
          <w:color w:val="111111"/>
          <w:sz w:val="28"/>
          <w:sz w:val="28"/>
          <w:szCs w:val="28"/>
          <w:rtl w:val="true"/>
          <w:lang w:bidi="ar-SA"/>
        </w:rPr>
        <w:t>، والشَّيخ قدس سره في نهايته</w:t>
      </w:r>
      <w:r>
        <w:rPr>
          <w:rStyle w:val="FootnoteAnchor"/>
          <w:rtl w:val="true"/>
        </w:rPr>
        <w:footnoteReference w:id="1626"/>
      </w:r>
      <w:r>
        <w:rPr>
          <w:rFonts w:ascii="IRNazanin" w:hAnsi="IRNazanin" w:eastAsia="IRNazanin"/>
          <w:color w:val="111111"/>
          <w:sz w:val="28"/>
          <w:sz w:val="28"/>
          <w:szCs w:val="28"/>
          <w:rtl w:val="true"/>
          <w:lang w:bidi="fa-IR"/>
        </w:rPr>
        <w:t>، ومبسوطه</w:t>
      </w:r>
      <w:r>
        <w:rPr>
          <w:rStyle w:val="FootnoteAnchor"/>
          <w:rtl w:val="true"/>
        </w:rPr>
        <w:footnoteReference w:id="1627"/>
      </w:r>
      <w:r>
        <w:rPr>
          <w:rFonts w:ascii="IRNazanin" w:hAnsi="IRNazanin" w:eastAsia="IRNazanin"/>
          <w:color w:val="111111"/>
          <w:sz w:val="28"/>
          <w:sz w:val="28"/>
          <w:szCs w:val="28"/>
          <w:rtl w:val="true"/>
          <w:lang w:bidi="fa-IR"/>
        </w:rPr>
        <w:t>، وخلافه</w:t>
      </w:r>
      <w:r>
        <w:rPr>
          <w:rStyle w:val="FootnoteAnchor"/>
          <w:rtl w:val="true"/>
        </w:rPr>
        <w:footnoteReference w:id="1628"/>
      </w:r>
      <w:r>
        <w:rPr>
          <w:rFonts w:ascii="Amiri" w:hAnsi="Amiri" w:eastAsia="Amiri" w:cs="Amiri"/>
          <w:color w:val="111111"/>
          <w:sz w:val="28"/>
          <w:sz w:val="28"/>
          <w:szCs w:val="28"/>
          <w:rtl w:val="true"/>
          <w:lang w:bidi="ar-SA"/>
        </w:rPr>
        <w:t>، والعلَّامة قدس سره</w:t>
      </w:r>
      <w:r>
        <w:rPr>
          <w:rStyle w:val="FootnoteAnchor"/>
          <w:rtl w:val="true"/>
        </w:rPr>
        <w:footnoteReference w:id="1629"/>
      </w:r>
      <w:r>
        <w:rPr>
          <w:rFonts w:ascii="Amiri" w:hAnsi="Amiri" w:eastAsia="Amiri" w:cs="Amiri"/>
          <w:color w:val="111111"/>
          <w:sz w:val="28"/>
          <w:sz w:val="28"/>
          <w:szCs w:val="28"/>
          <w:rtl w:val="true"/>
          <w:lang w:bidi="ar-SA"/>
        </w:rPr>
        <w:t>، والمحقِّق قدس سره</w:t>
      </w:r>
      <w:r>
        <w:rPr>
          <w:rStyle w:val="FootnoteAnchor"/>
          <w:rtl w:val="true"/>
        </w:rPr>
        <w:footnoteReference w:id="1630"/>
      </w:r>
      <w:r>
        <w:rPr>
          <w:rFonts w:ascii="Amiri" w:hAnsi="Amiri" w:eastAsia="Amiri" w:cs="Amiri"/>
          <w:color w:val="111111"/>
          <w:sz w:val="28"/>
          <w:sz w:val="28"/>
          <w:szCs w:val="28"/>
          <w:rtl w:val="true"/>
          <w:lang w:bidi="ar-SA"/>
        </w:rPr>
        <w:t>، والبحرانيِّ قدس سره</w:t>
      </w:r>
      <w:r>
        <w:rPr>
          <w:rStyle w:val="FootnoteAnchor"/>
          <w:rtl w:val="true"/>
        </w:rPr>
        <w:footnoteReference w:id="1631"/>
      </w:r>
      <w:r>
        <w:rPr>
          <w:rFonts w:ascii="Amiri" w:hAnsi="Amiri" w:eastAsia="Amiri" w:cs="Amiri"/>
          <w:color w:val="111111"/>
          <w:sz w:val="28"/>
          <w:sz w:val="28"/>
          <w:szCs w:val="28"/>
          <w:rtl w:val="true"/>
          <w:lang w:bidi="ar-SA"/>
        </w:rPr>
        <w:t xml:space="preserve">بل عن غيرهم التَّردُّد في </w:t>
      </w:r>
      <w:bookmarkStart w:id="564" w:name="pg20337_261637"/>
    </w:p>
    <w:p>
      <w:pPr>
        <w:pStyle w:val="BookText"/>
        <w:rPr/>
      </w:pPr>
      <w:bookmarkEnd w:id="564"/>
      <w:r>
        <w:rPr>
          <w:rFonts w:ascii="Amiri" w:hAnsi="Amiri" w:eastAsia="Amiri" w:cs="Amiri"/>
          <w:color w:val="111111"/>
          <w:sz w:val="28"/>
          <w:sz w:val="28"/>
          <w:szCs w:val="28"/>
          <w:rtl w:val="true"/>
          <w:lang w:bidi="ar-SA"/>
        </w:rPr>
        <w:t>الحكم، كما عن الأردبيليِّ قدس سره</w:t>
      </w:r>
      <w:r>
        <w:rPr>
          <w:rStyle w:val="FootnoteAnchor"/>
          <w:rtl w:val="true"/>
        </w:rPr>
        <w:footnoteReference w:id="1632"/>
      </w:r>
      <w:r>
        <w:rPr>
          <w:rFonts w:ascii="Amiri" w:hAnsi="Amiri" w:eastAsia="Amiri" w:cs="Amiri"/>
          <w:color w:val="111111"/>
          <w:sz w:val="28"/>
          <w:sz w:val="28"/>
          <w:szCs w:val="28"/>
          <w:rtl w:val="true"/>
          <w:lang w:bidi="ar-SA"/>
        </w:rPr>
        <w:t>، وصاحب الذَّخيرة قدس سره</w:t>
      </w:r>
      <w:r>
        <w:rPr>
          <w:rStyle w:val="FootnoteAnchor"/>
          <w:rtl w:val="true"/>
        </w:rPr>
        <w:footnoteReference w:id="1633"/>
      </w:r>
      <w:r>
        <w:rPr>
          <w:rFonts w:ascii="Amiri" w:hAnsi="Amiri" w:eastAsia="Amiri" w:cs="Amiri"/>
          <w:color w:val="111111"/>
          <w:sz w:val="28"/>
          <w:sz w:val="28"/>
          <w:szCs w:val="28"/>
          <w:rtl w:val="true"/>
          <w:lang w:bidi="ar-SA"/>
        </w:rPr>
        <w:t>، والمحقِّق السَّبزواريِّ قدس سره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فإنَّ هذا الإجماع لايخلو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ثبوته أوَّلًا؛</w:t>
      </w:r>
    </w:p>
    <w:p>
      <w:pPr>
        <w:pStyle w:val="BookText"/>
        <w:rPr/>
      </w:pPr>
      <w:r>
        <w:rPr>
          <w:rFonts w:ascii="Amiri" w:hAnsi="Amiri" w:eastAsia="Amiri" w:cs="Amiri"/>
          <w:color w:val="111111"/>
          <w:sz w:val="28"/>
          <w:sz w:val="28"/>
          <w:szCs w:val="28"/>
          <w:rtl w:val="true"/>
          <w:lang w:bidi="ar-SA"/>
        </w:rPr>
        <w:t>ولكونه مقطوع المدركيَّة علىٰ فرض ثبوته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نكتٌ هامَّةٌ نأتي بها في تنبيهاتٍ‌</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1945310_1280447820"/>
      <w:bookmarkStart w:id="566" w:name="_Toc207"/>
      <w:bookmarkEnd w:id="565"/>
      <w:r>
        <w:rPr>
          <w:rtl w:val="true"/>
        </w:rPr>
        <w:t>تنبيهاتٌ‌</w:t>
      </w:r>
      <w:r>
        <w:rPr>
          <w:rtl w:val="true"/>
        </w:rPr>
        <w:t>:</w:t>
      </w:r>
      <w:bookmarkEnd w:id="566"/>
    </w:p>
    <w:p>
      <w:pPr>
        <w:pStyle w:val="Heading4"/>
        <w:numPr>
          <w:ilvl w:val="3"/>
          <w:numId w:val="1"/>
        </w:numPr>
        <w:rPr/>
      </w:pPr>
      <w:bookmarkStart w:id="567" w:name="__RefHeading___Toc11945312_1280447820"/>
      <w:bookmarkStart w:id="568" w:name="_Toc208"/>
      <w:bookmarkEnd w:id="567"/>
      <w:r>
        <w:rPr>
          <w:rtl w:val="true"/>
        </w:rPr>
        <w:t>التَّنبيه الأوَّل</w:t>
      </w:r>
      <w:r>
        <w:rPr>
          <w:rtl w:val="true"/>
        </w:rPr>
        <w:t>:</w:t>
      </w:r>
      <w:bookmarkEnd w:id="568"/>
    </w:p>
    <w:p>
      <w:pPr>
        <w:pStyle w:val="BookText"/>
        <w:rPr/>
      </w:pPr>
      <w:r>
        <w:rPr>
          <w:rFonts w:ascii="Amiri" w:hAnsi="Amiri" w:eastAsia="Amiri" w:cs="Amiri"/>
          <w:color w:val="111111"/>
          <w:sz w:val="28"/>
          <w:sz w:val="28"/>
          <w:szCs w:val="28"/>
          <w:rtl w:val="true"/>
          <w:lang w:bidi="ar-SA"/>
        </w:rPr>
        <w:t>هل الظَّنُّ في الرَّكعتين الأولَيَين أيضًا حجَّةٌ؟، أم لا</w:t>
      </w:r>
      <w:r>
        <w:rPr>
          <w:rStyle w:val="FootnoteAnchor"/>
          <w:rtl w:val="true"/>
        </w:rPr>
        <w:footnoteReference w:id="16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وجهان، بل قولان، من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يجب الجَزم فيهما ولايجري فيهما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 الكثيرة النَّاصَّة علىٰ أنَّ الجزمَ شرطٌ فيهما؛ كما اختاره الوحيد الفريدُ قدس سره</w:t>
      </w:r>
      <w:r>
        <w:rPr>
          <w:rStyle w:val="FootnoteAnchor"/>
          <w:rtl w:val="true"/>
        </w:rPr>
        <w:footnoteReference w:id="1636"/>
      </w:r>
      <w:r>
        <w:rPr>
          <w:rFonts w:ascii="Amiri" w:hAnsi="Amiri" w:eastAsia="Amiri" w:cs="Amiri"/>
          <w:color w:val="111111"/>
          <w:sz w:val="28"/>
          <w:sz w:val="28"/>
          <w:szCs w:val="28"/>
          <w:rtl w:val="true"/>
          <w:lang w:bidi="ar-SA"/>
        </w:rPr>
        <w:t>، وابنُإدريسٍ قدس سره</w:t>
      </w:r>
      <w:r>
        <w:rPr>
          <w:rStyle w:val="FootnoteAnchor"/>
          <w:rtl w:val="true"/>
        </w:rPr>
        <w:footnoteReference w:id="1637"/>
      </w:r>
      <w:r>
        <w:rPr>
          <w:rFonts w:ascii="IRNazanin" w:hAnsi="IRNazanin" w:eastAsia="IRNazanin"/>
          <w:color w:val="111111"/>
          <w:sz w:val="28"/>
          <w:sz w:val="28"/>
          <w:szCs w:val="28"/>
          <w:rtl w:val="true"/>
          <w:lang w:bidi="fa-IR"/>
        </w:rPr>
        <w:t xml:space="preserve">، </w:t>
      </w:r>
      <w:bookmarkStart w:id="569" w:name="pg20337_261638"/>
    </w:p>
    <w:p>
      <w:pPr>
        <w:pStyle w:val="BookText"/>
        <w:rPr/>
      </w:pPr>
      <w:bookmarkEnd w:id="569"/>
      <w:r>
        <w:rPr>
          <w:rFonts w:ascii="Amiri" w:hAnsi="Amiri" w:eastAsia="Amiri" w:cs="Amiri"/>
          <w:color w:val="111111"/>
          <w:sz w:val="28"/>
          <w:sz w:val="28"/>
          <w:szCs w:val="28"/>
          <w:rtl w:val="true"/>
          <w:lang w:bidi="ar-SA"/>
        </w:rPr>
        <w:t>والبحرانيُّ قدس سره</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أنَّ رواية صفوان والنَّبويَّ المَرويَّ بطرق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يشملان الأولَيَين أيضًا؛ كما عن السَّيِّد الأستاذ الفقيه البروجرديِّ قدس سره</w:t>
      </w:r>
      <w:r>
        <w:rPr>
          <w:rStyle w:val="FootnoteAnchor"/>
          <w:rtl w:val="true"/>
        </w:rPr>
        <w:footnoteReference w:id="1639"/>
      </w:r>
      <w:r>
        <w:rPr>
          <w:rFonts w:ascii="Amiri" w:hAnsi="Amiri" w:eastAsia="Amiri" w:cs="Amiri"/>
          <w:color w:val="111111"/>
          <w:sz w:val="28"/>
          <w:sz w:val="28"/>
          <w:szCs w:val="28"/>
          <w:rtl w:val="true"/>
          <w:lang w:bidi="ar-SA"/>
        </w:rPr>
        <w:t>، والسَّيِّد الأستاذ الإمام الخمينيِّ قدس سره</w:t>
      </w:r>
      <w:r>
        <w:rPr>
          <w:rStyle w:val="FootnoteAnchor"/>
          <w:rtl w:val="true"/>
        </w:rPr>
        <w:footnoteReference w:id="1640"/>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وِفقًا للمشهور</w:t>
      </w:r>
      <w:r>
        <w:rPr>
          <w:rStyle w:val="FootnoteAnchor"/>
          <w:rtl w:val="true"/>
        </w:rPr>
        <w:footnoteReference w:id="1641"/>
      </w:r>
      <w:r>
        <w:rPr>
          <w:rFonts w:ascii="Amiri" w:hAnsi="Amiri" w:eastAsia="Amiri" w:cs="Amiri"/>
          <w:color w:val="111111"/>
          <w:sz w:val="28"/>
          <w:sz w:val="28"/>
          <w:szCs w:val="28"/>
          <w:rtl w:val="true"/>
          <w:lang w:bidi="ar-SA"/>
        </w:rPr>
        <w:t>هو الشُّمول؛ أمَّا الرِّوايات المشيرة إلى أنَّه لاشكَّ فيهما؛ كقول مولانا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الَّذي فرض اللَّهُ علىٰ العباد من الصَّلاة عشر ركعاتٍ‌، وفيهن القراءة وليس فيهنَّ وهمٌ يعني سهوًا، فزاد رسولُ اللَّه صلى الله عليه و آله ربعًا وفيهنَّ الوهم وليس فيهنَّ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1642"/>
      </w:r>
      <w:r>
        <w:rPr>
          <w:rFonts w:ascii="Amiri" w:hAnsi="Amiri" w:eastAsia="Amiri" w:cs="Amiri"/>
          <w:color w:val="111111"/>
          <w:sz w:val="28"/>
          <w:sz w:val="28"/>
          <w:szCs w:val="28"/>
          <w:rtl w:val="true"/>
          <w:lang w:bidi="ar-SA"/>
        </w:rPr>
        <w:t>، والحرُّ قدس سره</w:t>
      </w:r>
      <w:r>
        <w:rPr>
          <w:rStyle w:val="FootnoteAnchor"/>
          <w:rtl w:val="true"/>
        </w:rPr>
        <w:footnoteReference w:id="1643"/>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محكومةٌ بأمثال هاتين الرِّوايَتَين</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0" w:name="__RefHeading___Toc11945314_1280447820"/>
      <w:bookmarkStart w:id="571" w:name="_Toc209"/>
      <w:bookmarkEnd w:id="570"/>
      <w:r>
        <w:rPr>
          <w:rtl w:val="true"/>
        </w:rPr>
        <w:t>التَّنبيه الثَّاني</w:t>
      </w:r>
      <w:r>
        <w:rPr>
          <w:rtl w:val="true"/>
        </w:rPr>
        <w:t>:</w:t>
      </w:r>
      <w:bookmarkEnd w:id="571"/>
    </w:p>
    <w:p>
      <w:pPr>
        <w:pStyle w:val="BookText"/>
        <w:rPr/>
      </w:pPr>
      <w:r>
        <w:rPr>
          <w:rFonts w:ascii="Amiri" w:hAnsi="Amiri" w:eastAsia="Amiri" w:cs="Amiri"/>
          <w:color w:val="111111"/>
          <w:sz w:val="28"/>
          <w:sz w:val="28"/>
          <w:szCs w:val="28"/>
          <w:rtl w:val="true"/>
          <w:lang w:bidi="ar-SA"/>
        </w:rPr>
        <w:t>هل سعة الرِّوايات تشمل الأفعال أيضًا؟، أم تشمل الرَّكعات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هيهنا وجهان،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الرِّوايات غير النَّبويِّ المذكور تختصُّ بالرَّكعات، فلادليل علىٰ حجِّيَّة الظَّنِّ في الأفعال؛</w:t>
      </w:r>
    </w:p>
    <w:p>
      <w:pPr>
        <w:pStyle w:val="BookText"/>
        <w:rPr/>
      </w:pPr>
      <w:r>
        <w:rPr>
          <w:rFonts w:ascii="Amiri" w:hAnsi="Amiri" w:eastAsia="Amiri" w:cs="Amiri"/>
          <w:color w:val="111111"/>
          <w:sz w:val="28"/>
          <w:sz w:val="28"/>
          <w:szCs w:val="28"/>
          <w:rtl w:val="true"/>
          <w:lang w:bidi="ar-SA"/>
        </w:rPr>
        <w:t>ومِن أنَّ النَّبويَّ شاملٌ للأفعال أيضًا، وضعفُه منجَبَرٌ بعمل الأصحاب؛</w:t>
      </w:r>
    </w:p>
    <w:p>
      <w:pPr>
        <w:pStyle w:val="BookText"/>
        <w:rPr/>
      </w:pPr>
      <w:r>
        <w:rPr>
          <w:rFonts w:ascii="Amiri" w:hAnsi="Amiri" w:eastAsia="Amiri" w:cs="Amiri"/>
          <w:color w:val="111111"/>
          <w:sz w:val="28"/>
          <w:sz w:val="28"/>
          <w:szCs w:val="28"/>
          <w:rtl w:val="true"/>
          <w:lang w:bidi="ar-SA"/>
        </w:rPr>
        <w:t>أو شمول الحكم للأفعال أيضًا مطلقًا، من غير استناده إلى النَّبويِّ المشار إليه، كما عن ثاني الشَّهيدين قدس سرهما في حاشيَة الألفيَّة</w:t>
      </w:r>
      <w:r>
        <w:rPr>
          <w:rStyle w:val="FootnoteAnchor"/>
          <w:rtl w:val="true"/>
        </w:rPr>
        <w:footnoteReference w:id="1645"/>
      </w:r>
      <w:r>
        <w:rPr>
          <w:rFonts w:ascii="IRNazanin" w:hAnsi="IRNazanin" w:eastAsia="IRNazanin"/>
          <w:color w:val="111111"/>
          <w:sz w:val="28"/>
          <w:sz w:val="28"/>
          <w:szCs w:val="28"/>
          <w:rtl w:val="true"/>
          <w:lang w:bidi="fa-IR"/>
        </w:rPr>
        <w:t>، وروض الجنان</w:t>
      </w:r>
      <w:r>
        <w:rPr>
          <w:rStyle w:val="FootnoteAnchor"/>
          <w:rtl w:val="true"/>
        </w:rPr>
        <w:footnoteReference w:id="1646"/>
      </w:r>
      <w:r>
        <w:rPr>
          <w:rFonts w:ascii="Amiri" w:hAnsi="Amiri" w:eastAsia="Amiri" w:cs="Amiri"/>
          <w:color w:val="111111"/>
          <w:sz w:val="28"/>
          <w:sz w:val="28"/>
          <w:szCs w:val="28"/>
          <w:rtl w:val="true"/>
          <w:lang w:bidi="ar-SA"/>
        </w:rPr>
        <w:t>، والمسالك</w:t>
      </w:r>
      <w:r>
        <w:rPr>
          <w:rStyle w:val="FootnoteAnchor"/>
          <w:rtl w:val="true"/>
        </w:rPr>
        <w:footnoteReference w:id="1647"/>
      </w:r>
      <w:r>
        <w:rPr>
          <w:rFonts w:ascii="Amiri" w:hAnsi="Amiri" w:eastAsia="Amiri" w:cs="Amiri"/>
          <w:color w:val="111111"/>
          <w:sz w:val="28"/>
          <w:sz w:val="28"/>
          <w:szCs w:val="28"/>
          <w:rtl w:val="true"/>
          <w:lang w:bidi="ar-SA"/>
        </w:rPr>
        <w:t>، والبحرانيِّ قدس سره</w:t>
      </w:r>
      <w:r>
        <w:rPr>
          <w:rStyle w:val="FootnoteAnchor"/>
          <w:rtl w:val="true"/>
        </w:rPr>
        <w:footnoteReference w:id="1648"/>
      </w:r>
      <w:r>
        <w:rPr>
          <w:rFonts w:ascii="IRNazanin" w:hAnsi="IRNazanin" w:eastAsia="IRNazanin"/>
          <w:color w:val="111111"/>
          <w:sz w:val="28"/>
          <w:sz w:val="28"/>
          <w:szCs w:val="28"/>
          <w:rtl w:val="true"/>
          <w:lang w:bidi="fa-IR"/>
        </w:rPr>
        <w:t>، وصاحب الجواهر قدس سره</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بل ادَّعىٰ الشَّيخ يوسف آل عصفور قدس سره وفاقَ جمهور الأصحاب علىٰ ذلك</w:t>
      </w:r>
      <w:r>
        <w:rPr>
          <w:rStyle w:val="FootnoteAnchor"/>
          <w:rtl w:val="true"/>
        </w:rPr>
        <w:footnoteReference w:id="1650"/>
      </w:r>
      <w:r>
        <w:rPr>
          <w:rFonts w:ascii="Amiri" w:hAnsi="Amiri" w:eastAsia="Amiri" w:cs="Amiri"/>
          <w:color w:val="111111"/>
          <w:sz w:val="28"/>
          <w:sz w:val="28"/>
          <w:szCs w:val="28"/>
          <w:rtl w:val="true"/>
          <w:lang w:bidi="ar-SA"/>
        </w:rPr>
        <w:t>كما وادَّعىٰ الشَّيخ الأعظم قدس سره حكايةَ الإجماع علىٰ ذلك</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اتِّفاق الأصحاب علىٰ هذا المبنىٰ بحيث تكون الشُّهرة جابرةً لضعف سنده؛ </w:t>
      </w:r>
    </w:p>
    <w:p>
      <w:pPr>
        <w:pStyle w:val="BookText"/>
        <w:rPr/>
      </w:pPr>
      <w:r>
        <w:rPr>
          <w:rFonts w:ascii="Amiri" w:hAnsi="Amiri" w:eastAsia="Amiri" w:cs="Amiri"/>
          <w:color w:val="111111"/>
          <w:sz w:val="28"/>
          <w:sz w:val="28"/>
          <w:szCs w:val="28"/>
          <w:rtl w:val="true"/>
          <w:lang w:bidi="ar-SA"/>
        </w:rPr>
        <w:t>كما وانَّه لايمكن القول بجبر ضعف سندهما بعمل الأصحاب أيضًا، لعدم العلم باستنادهم بهما في الحكم، كما عن السَّيِّد الحكيم قدس سره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تمسَّكوا بوجوهٍ اِستحسانيَّةٍ‌، ثمَّ تمسَّكوا بالنَّبويِّ تأييدًا لِمَا استحسنوه؛ فهو عندهم دليلٌ بعد دليلٍ‌، لا دليلًا بحياله واستقلاله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قد تمسَّكوا بجملةٍ من هذه الوجوه الاِستحسانيَّة للذِّهاب إلى شمول الرِّوايات للظَّنِّ في الأفعال أيضًا؛ وعمدتها</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الدَّليل الشَّيخ احمد بن صالحٍ البحرانيُّ قدس سره</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لوكان الظَّنُّ في الرَّكعات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ولاخلاف في حجِّيَّته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بطريقٍ أولىٰ حجَّةٌ في الأفعال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صرف اِستحسانٍ لايصل به الظَّنُّ إلى حدِّ الحجِّيَّة، إذ ليست الظُّنون حجَّةً إلَّاعند وصولها إلى حدِّ اليقين؛ وبما أنَّ هذا الظَّنَّ لم يصل إلى هذا الحدِّ، فليس بحجَّةٍ قطعًا</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سيِّدنا الأستاذ البروجرديُّ قدس سره</w:t>
      </w:r>
      <w:r>
        <w:rPr>
          <w:rStyle w:val="FootnoteAnchor"/>
          <w:rtl w:val="true"/>
        </w:rPr>
        <w:footnoteReference w:id="1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لاخصوصيَّة في الرَّكعات، فإذا كان الظَّنُّ حجَّةً فيها ولاخصوصيَّة لها بخصوصها، فبإلغاء الخصوصيَّة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في الأفعال أيضًا، نفس ما نذهب إليه في قوله عليه السلام مخاطِبًا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بين الثَّلاث والأربع فابنِ علىٰ الأربع</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 من إلغاء الخصوصيَّة عن الرَّجل وتعميم الحكم إلى المرأة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والظَّنُّ ليس بحجَّةٍ‌، فلايمكن إعطاء الحجِّيَّة للظَّنِّ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إلغاء الخصوصيَّة من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نصِّ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وتسرية الحكم منها إلى الأفعال مشكلٌ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دليل عليه إلَّاهذه الاِستحسانات الَّتي لاأصل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القول بحجِّيَّة الظَّنِّ في الرَّكعة وبين عدم حجِّيَّته في أجزائها نحو تهافتٍ وتناقضٍ‌، لأنَّ الرَّكعة ليستْ شيئًا غير الأجزاء والأجزاءُ نفسُ الأفعال؛ فلايمكن الفصل بين الفعل والركعة أصلًا</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بينهما واضحٌ‌، إذ الرَّكعة هي الأجزاء بشرط الاِجتماع، بخلاف الأجزاء الَّتي لايُشتَرط فيها اجتماع الأجزاء معًا؛</w:t>
      </w:r>
    </w:p>
    <w:p>
      <w:pPr>
        <w:pStyle w:val="BookText"/>
        <w:rPr/>
      </w:pPr>
      <w:r>
        <w:rPr>
          <w:rFonts w:ascii="Amiri" w:hAnsi="Amiri" w:eastAsia="Amiri" w:cs="Amiri"/>
          <w:color w:val="111111"/>
          <w:sz w:val="28"/>
          <w:sz w:val="28"/>
          <w:szCs w:val="28"/>
          <w:rtl w:val="true"/>
          <w:lang w:bidi="ar-SA"/>
        </w:rPr>
        <w:t>هذا من ناحيَةٍ‌؛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العُرف يرىٰ تبايُنًا بين الأجزاء والرَّكعة، بحيث لايمكن له حملُ كلِّ واحدٍ منهما علىٰ الآخر؛ </w:t>
      </w:r>
      <w:bookmarkStart w:id="572" w:name="pg20337_261642"/>
    </w:p>
    <w:p>
      <w:pPr>
        <w:pStyle w:val="BookText"/>
        <w:rPr/>
      </w:pPr>
      <w:bookmarkEnd w:id="572"/>
      <w:r>
        <w:rPr>
          <w:rFonts w:ascii="Amiri" w:hAnsi="Amiri" w:eastAsia="Amiri" w:cs="Amiri"/>
          <w:color w:val="111111"/>
          <w:sz w:val="28"/>
          <w:sz w:val="28"/>
          <w:szCs w:val="28"/>
          <w:rtl w:val="true"/>
          <w:lang w:bidi="ar-SA"/>
        </w:rPr>
        <w:t>ولذلك قد ثبتَتْ في الشَّريعة الغرَّاء لكلٍّ منهما أحكامٌ غير ما هو ثابتٌ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المستنبَطة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حجِّيَّة الظَّنِّ في الرَّكعات تسهيلًا للأمر ورحمةً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في الرَّكعات والأفعال أيضًا؛ بل يظهر من رواياتٍ أُخَر حجِّيَّة المظَنَّة في مطلق ما تُطلَق عليه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كالرِّوايات الواردة في الشُّكوك الَّتي لااعتبار بها، كالشَّكِّ الَّذي عَرَضَ للإمام والمأموم معًا في آنٍ واحدٍ</w:t>
      </w:r>
      <w:r>
        <w:rPr>
          <w:rStyle w:val="FootnoteAnchor"/>
          <w:rtl w:val="true"/>
        </w:rPr>
        <w:footnoteReference w:id="1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هو دليلٌ حسنٌ تطمئِنُّ به النَّفس؛ ويؤيِّدُه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أوَّلًا؛</w:t>
      </w:r>
    </w:p>
    <w:p>
      <w:pPr>
        <w:pStyle w:val="BookText"/>
        <w:rPr/>
      </w:pPr>
      <w:r>
        <w:rPr>
          <w:rFonts w:ascii="Amiri" w:hAnsi="Amiri" w:eastAsia="Amiri" w:cs="Amiri"/>
          <w:color w:val="111111"/>
          <w:sz w:val="28"/>
          <w:sz w:val="28"/>
          <w:szCs w:val="28"/>
          <w:rtl w:val="true"/>
          <w:lang w:bidi="ar-SA"/>
        </w:rPr>
        <w:t>والنَّبويُّ المُشارإليه أعلاه ثانيًا؛</w:t>
      </w:r>
    </w:p>
    <w:p>
      <w:pPr>
        <w:pStyle w:val="BookText"/>
        <w:rPr/>
      </w:pPr>
      <w:r>
        <w:rPr>
          <w:rFonts w:ascii="Amiri" w:hAnsi="Amiri" w:eastAsia="Amiri" w:cs="Amiri"/>
          <w:color w:val="111111"/>
          <w:sz w:val="28"/>
          <w:sz w:val="28"/>
          <w:szCs w:val="28"/>
          <w:rtl w:val="true"/>
          <w:lang w:bidi="ar-SA"/>
        </w:rPr>
        <w:t>والاِستحساناتُ المشارإليها آنفًا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الدَّليل يمكن الذِّهاب إلى حجِّيَّة الظَّنِّ في الأفعال كحجِّيَّته في الرَّكعات</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1945316_1280447820"/>
      <w:bookmarkStart w:id="574" w:name="_Toc210"/>
      <w:bookmarkEnd w:id="573"/>
      <w:r>
        <w:rPr>
          <w:rtl w:val="true"/>
        </w:rPr>
        <w:t>أمثلةٌ لاستعمال القاعدة في الفقه</w:t>
      </w:r>
      <w:r>
        <w:rPr>
          <w:rtl w:val="true"/>
        </w:rPr>
        <w:t>:</w:t>
      </w:r>
      <w:bookmarkEnd w:id="574"/>
    </w:p>
    <w:p>
      <w:pPr>
        <w:pStyle w:val="BookText"/>
        <w:rPr/>
      </w:pPr>
      <w:r>
        <w:rPr>
          <w:rFonts w:ascii="Amiri" w:hAnsi="Amiri" w:eastAsia="Amiri" w:cs="Amiri"/>
          <w:color w:val="111111"/>
          <w:sz w:val="28"/>
          <w:sz w:val="28"/>
          <w:szCs w:val="28"/>
          <w:rtl w:val="true"/>
          <w:lang w:bidi="ar-SA"/>
        </w:rPr>
        <w:t xml:space="preserve">القاعدة هي من القواعد الَّتي تجري في بابٍ واحدٍ من ابواب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أشرنا إلى أقوال القوم فيها، فلانذكر لها أمثلةً‌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أيضًا إلى ما ذكره ابن بابويه قدس سره</w:t>
      </w:r>
      <w:r>
        <w:rPr>
          <w:rStyle w:val="FootnoteAnchor"/>
          <w:rtl w:val="true"/>
        </w:rPr>
        <w:footnoteReference w:id="1660"/>
      </w:r>
      <w:r>
        <w:rPr>
          <w:rFonts w:ascii="Amiri" w:hAnsi="Amiri" w:eastAsia="Amiri" w:cs="Amiri"/>
          <w:color w:val="111111"/>
          <w:sz w:val="28"/>
          <w:sz w:val="28"/>
          <w:szCs w:val="28"/>
          <w:rtl w:val="true"/>
          <w:lang w:bidi="ar-SA"/>
        </w:rPr>
        <w:t>، ومفيد الأمَّة قدس سره</w:t>
      </w:r>
      <w:r>
        <w:rPr>
          <w:rStyle w:val="FootnoteAnchor"/>
          <w:rtl w:val="true"/>
        </w:rPr>
        <w:footnoteReference w:id="1661"/>
      </w:r>
      <w:r>
        <w:rPr>
          <w:rFonts w:ascii="Amiri" w:hAnsi="Amiri" w:eastAsia="Amiri" w:cs="Amiri"/>
          <w:color w:val="111111"/>
          <w:sz w:val="28"/>
          <w:sz w:val="28"/>
          <w:szCs w:val="28"/>
          <w:rtl w:val="true"/>
          <w:lang w:bidi="ar-SA"/>
        </w:rPr>
        <w:t xml:space="preserve">، وثاني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الشَّهيدَين قدس سرهما</w:t>
      </w:r>
      <w:r>
        <w:rPr>
          <w:rStyle w:val="FootnoteAnchor"/>
          <w:rtl w:val="true"/>
        </w:rPr>
        <w:footnoteReference w:id="1662"/>
      </w:r>
      <w:r>
        <w:rPr>
          <w:rFonts w:ascii="Amiri" w:hAnsi="Amiri" w:eastAsia="Amiri" w:cs="Amiri"/>
          <w:color w:val="111111"/>
          <w:sz w:val="28"/>
          <w:sz w:val="28"/>
          <w:szCs w:val="28"/>
          <w:rtl w:val="true"/>
          <w:lang w:bidi="ar-SA"/>
        </w:rPr>
        <w:t>، والعلَّامة الإمام المجلسيُّ قدس سره</w:t>
      </w:r>
      <w:r>
        <w:rPr>
          <w:rStyle w:val="FootnoteAnchor"/>
          <w:rtl w:val="true"/>
        </w:rPr>
        <w:footnoteReference w:id="1663"/>
      </w:r>
      <w:r>
        <w:rPr>
          <w:rFonts w:ascii="Amiri" w:hAnsi="Amiri" w:eastAsia="Amiri" w:cs="Amiri"/>
          <w:color w:val="111111"/>
          <w:sz w:val="28"/>
          <w:sz w:val="28"/>
          <w:szCs w:val="28"/>
          <w:rtl w:val="true"/>
          <w:lang w:bidi="ar-SA"/>
        </w:rPr>
        <w:t>وغيرهم من أعلام القوم بشأنها</w:t>
      </w:r>
      <w:r>
        <w:rPr>
          <w:rFonts w:eastAsia="Amiri" w:cs="Amiri" w:ascii="Amiri" w:hAnsi="Amiri"/>
          <w:color w:val="111111"/>
          <w:sz w:val="28"/>
          <w:szCs w:val="28"/>
          <w:rtl w:val="true"/>
          <w:lang w:bidi="ar-SA"/>
        </w:rPr>
        <w:t xml:space="preserve">. </w:t>
      </w:r>
      <w:bookmarkStart w:id="575" w:name="pg20337_261644"/>
    </w:p>
    <w:p>
      <w:pPr>
        <w:pStyle w:val="Heading2"/>
        <w:numPr>
          <w:ilvl w:val="1"/>
          <w:numId w:val="1"/>
        </w:numPr>
        <w:rPr/>
      </w:pPr>
      <w:bookmarkStart w:id="576" w:name="__RefHeading___Toc11945318_1280447820"/>
      <w:bookmarkStart w:id="577" w:name="_Toc211"/>
      <w:bookmarkEnd w:id="575"/>
      <w:bookmarkEnd w:id="576"/>
      <w:r>
        <w:rPr>
          <w:rtl w:val="true"/>
        </w:rPr>
        <w:t>[</w:t>
      </w:r>
      <w:r>
        <w:rPr/>
        <w:t>40</w:t>
      </w:r>
      <w:r>
        <w:rPr>
          <w:rtl w:val="true"/>
        </w:rPr>
        <w:t xml:space="preserve">:] </w:t>
      </w:r>
      <w:r>
        <w:rPr>
          <w:rtl w:val="true"/>
        </w:rPr>
        <w:t>قاعدة حرمة إبطال الواجبات</w:t>
      </w:r>
      <w:bookmarkEnd w:id="577"/>
    </w:p>
    <w:p>
      <w:pPr>
        <w:pStyle w:val="Heading3"/>
        <w:numPr>
          <w:ilvl w:val="2"/>
          <w:numId w:val="1"/>
        </w:numPr>
        <w:rPr/>
      </w:pPr>
      <w:bookmarkStart w:id="578" w:name="__RefHeading___Toc11945320_1280447820"/>
      <w:bookmarkStart w:id="579" w:name="_Toc212"/>
      <w:bookmarkEnd w:id="578"/>
      <w:r>
        <w:rPr>
          <w:rtl w:val="true"/>
        </w:rPr>
        <w:t>عناوين أُخرىٰ للقاعدة</w:t>
      </w:r>
      <w:bookmarkEnd w:id="579"/>
    </w:p>
    <w:p>
      <w:pPr>
        <w:pStyle w:val="BookText"/>
        <w:rPr/>
      </w:pPr>
      <w:r>
        <w:rPr>
          <w:rFonts w:ascii="Amiri" w:hAnsi="Amiri" w:eastAsia="Amiri" w:cs="Amiri"/>
          <w:color w:val="111111"/>
          <w:sz w:val="28"/>
          <w:sz w:val="28"/>
          <w:szCs w:val="28"/>
          <w:rtl w:val="true"/>
          <w:lang w:bidi="ar-SA"/>
        </w:rPr>
        <w:t>حرمة إبطال الأعمال</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إبطال الأعمال العباديَّة</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إبطال العمل</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bookmarkStart w:id="580" w:name="pg20337_261645"/>
    </w:p>
    <w:p>
      <w:pPr>
        <w:pStyle w:val="BookText"/>
        <w:rPr/>
      </w:pPr>
      <w:bookmarkEnd w:id="580"/>
      <w:r>
        <w:rPr>
          <w:rFonts w:ascii="Amiri" w:hAnsi="Amiri" w:eastAsia="Amiri" w:cs="Amiri"/>
          <w:color w:val="111111"/>
          <w:sz w:val="28"/>
          <w:sz w:val="28"/>
          <w:szCs w:val="28"/>
          <w:rtl w:val="true"/>
          <w:lang w:bidi="ar-SA"/>
        </w:rPr>
        <w:t>لاتُبطِلُوا أَعمٰالَكُمْ‌</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1945322_1280447820"/>
      <w:bookmarkStart w:id="582" w:name="_Toc213"/>
      <w:bookmarkEnd w:id="581"/>
      <w:r>
        <w:rPr>
          <w:rtl w:val="true"/>
        </w:rPr>
        <w:t>توضيح مفاد القاعدة</w:t>
      </w:r>
      <w:bookmarkEnd w:id="582"/>
    </w:p>
    <w:p>
      <w:pPr>
        <w:pStyle w:val="BookText"/>
        <w:rPr/>
      </w:pPr>
      <w:r>
        <w:rPr>
          <w:rFonts w:ascii="Amiri" w:hAnsi="Amiri" w:eastAsia="Amiri" w:cs="Amiri"/>
          <w:color w:val="111111"/>
          <w:sz w:val="28"/>
          <w:sz w:val="28"/>
          <w:szCs w:val="28"/>
          <w:rtl w:val="true"/>
          <w:lang w:bidi="ar-SA"/>
        </w:rPr>
        <w:t>المشهور بين الأصحاب حرمةُ إبطال الواجبات من غير عُذرٍ</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11945324_1280447820"/>
      <w:bookmarkStart w:id="584" w:name="_Toc214"/>
      <w:bookmarkEnd w:id="583"/>
      <w:r>
        <w:rPr>
          <w:rtl w:val="true"/>
        </w:rPr>
        <w:t>مدركُ القاعدة</w:t>
      </w:r>
      <w:bookmarkEnd w:id="584"/>
    </w:p>
    <w:p>
      <w:pPr>
        <w:pStyle w:val="Heading4"/>
        <w:numPr>
          <w:ilvl w:val="3"/>
          <w:numId w:val="1"/>
        </w:numPr>
        <w:rPr/>
      </w:pPr>
      <w:bookmarkStart w:id="585" w:name="__RefHeading___Toc11945326_1280447820"/>
      <w:bookmarkStart w:id="586" w:name="_Toc215"/>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اُستُدلَّ علىٰ القاعدة بأدلَّةٍ‌</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1945328_1280447820"/>
      <w:bookmarkStart w:id="588" w:name="_Toc216"/>
      <w:bookmarkEnd w:id="587"/>
      <w:r>
        <w:rPr>
          <w:rtl w:val="true"/>
        </w:rPr>
        <w:t>أوَّلًا</w:t>
      </w:r>
      <w:r>
        <w:rPr>
          <w:rtl w:val="true"/>
        </w:rPr>
        <w:t xml:space="preserve">: </w:t>
      </w:r>
      <w:r>
        <w:rPr>
          <w:rtl w:val="true"/>
        </w:rPr>
        <w:t>الكتاب</w:t>
      </w:r>
      <w:bookmarkEnd w:id="5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الكتاب العزيز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أَطِيعُوا اَللّٰهَ وَ أَطِيعُوا اَلرَّسُولَ وَ لاٰ تُبْطِلُوا أَعْمٰالَكُمْ‌</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قال المحقِّق المراغيُّ قدس سره في وجه الاِستدلال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الجمعَ المضافَ مفيدٌ للعموم عند عدم العهد، والنَّهيَ ظاهرٌ في التَّحريم</w:t>
      </w:r>
      <w:r>
        <w:rPr>
          <w:rFonts w:eastAsia="Amiri" w:cs="Amiri" w:ascii="Amiri" w:hAnsi="Amiri"/>
          <w:color w:val="111111"/>
          <w:sz w:val="28"/>
          <w:szCs w:val="28"/>
          <w:rtl w:val="true"/>
          <w:lang w:bidi="ar-SA"/>
        </w:rPr>
        <w:t>»</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لاتدلُّ علىٰ أزيدَ من الحبط؛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مخالفة اللَّه والرَّسول صلى الله عليه و آله تُوجِب حبطَ الأعمال؛ فبعض المخالفات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وقع في 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حبطَ عمل المسلمين في الدُّنيا والآخرة؛ خلافًا للمحقِّق </w:t>
      </w:r>
    </w:p>
    <w:p>
      <w:pPr>
        <w:pStyle w:val="BookText"/>
        <w:rPr/>
      </w:pPr>
      <w:r>
        <w:rPr>
          <w:rFonts w:ascii="Amiri" w:hAnsi="Amiri" w:eastAsia="Amiri" w:cs="Amiri"/>
          <w:color w:val="111111"/>
          <w:sz w:val="28"/>
          <w:sz w:val="28"/>
          <w:szCs w:val="28"/>
          <w:rtl w:val="true"/>
          <w:lang w:bidi="ar-SA"/>
        </w:rPr>
        <w:t>المراغي قدس سره حيث أنكر الهَبطَ بهذا المعنىٰ رأسًا</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وعن الشَّيخ قدس سره بعد ذكر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توقعوها علىٰ خلاف الوجه المأمور به، فيبطل ثوابكم عليها وتستحقُّون العقابَ‌</w:t>
      </w:r>
      <w:r>
        <w:rPr>
          <w:rFonts w:eastAsia="Amiri" w:cs="Amiri" w:ascii="Amiri" w:hAnsi="Amiri"/>
          <w:color w:val="111111"/>
          <w:sz w:val="28"/>
          <w:szCs w:val="28"/>
          <w:rtl w:val="true"/>
          <w:lang w:bidi="ar-SA"/>
        </w:rPr>
        <w:t>»</w:t>
      </w:r>
      <w:r>
        <w:rPr>
          <w:rStyle w:val="FootnoteAnchor"/>
          <w:rtl w:val="true"/>
        </w:rPr>
        <w:footnoteReference w:id="1672"/>
      </w:r>
      <w:r>
        <w:rPr>
          <w:rFonts w:ascii="Amiri" w:hAnsi="Amiri" w:eastAsia="Amiri" w:cs="Amiri"/>
          <w:color w:val="111111"/>
          <w:sz w:val="28"/>
          <w:sz w:val="28"/>
          <w:szCs w:val="28"/>
          <w:rtl w:val="true"/>
          <w:lang w:bidi="ar-SA"/>
        </w:rPr>
        <w:t>فقوله أجنبيٌّ عما استدَلَّ له بها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 الطَّبرسيِّ قدس سره</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سيِّدُنا الأستاذ قدس سره إلى قول الفقهاء فيها في تفسيره، لكنَّه نصَّ علىٰ أنَّه خلاف السِّياق المستفادِ من هذه الجملة من الآيات المباركات</w:t>
      </w:r>
      <w:r>
        <w:rPr>
          <w:rStyle w:val="FootnoteAnchor"/>
          <w:rtl w:val="true"/>
        </w:rPr>
        <w:footnoteReference w:id="1674"/>
      </w:r>
      <w:r>
        <w:rPr>
          <w:rFonts w:ascii="Amiri" w:hAnsi="Amiri" w:eastAsia="Amiri" w:cs="Amiri"/>
          <w:color w:val="111111"/>
          <w:sz w:val="28"/>
          <w:sz w:val="28"/>
          <w:szCs w:val="28"/>
          <w:rtl w:val="true"/>
          <w:lang w:bidi="ar-SA"/>
        </w:rPr>
        <w:t>ولم يبحث عنها الرَّاونديُّ قدس سره، ولا الفاضل المقداد قدس سره، ولا الفاضل الأردبيليُّ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ابنُالعربي إلى قولهم فيها</w:t>
      </w:r>
      <w:r>
        <w:rPr>
          <w:rStyle w:val="FootnoteAnchor"/>
          <w:rtl w:val="true"/>
        </w:rPr>
        <w:footnoteReference w:id="1675"/>
      </w:r>
      <w:r>
        <w:rPr>
          <w:rFonts w:ascii="Amiri" w:hAnsi="Amiri" w:eastAsia="Amiri" w:cs="Amiri"/>
          <w:color w:val="111111"/>
          <w:sz w:val="28"/>
          <w:sz w:val="28"/>
          <w:szCs w:val="28"/>
          <w:rtl w:val="true"/>
          <w:lang w:bidi="ar-SA"/>
        </w:rPr>
        <w:t>، والجصَّاصُ قدس سره</w:t>
      </w:r>
      <w:r>
        <w:rPr>
          <w:rStyle w:val="FootnoteAnchor"/>
          <w:rtl w:val="true"/>
        </w:rPr>
        <w:footnoteReference w:id="1676"/>
      </w:r>
      <w:r>
        <w:rPr>
          <w:rFonts w:ascii="Amiri" w:hAnsi="Amiri" w:eastAsia="Amiri" w:cs="Amiri"/>
          <w:color w:val="111111"/>
          <w:sz w:val="28"/>
          <w:sz w:val="28"/>
          <w:szCs w:val="28"/>
          <w:rtl w:val="true"/>
          <w:lang w:bidi="ar-SA"/>
        </w:rPr>
        <w:t>، والكياهراسي قدس سره</w:t>
      </w:r>
      <w:r>
        <w:rPr>
          <w:rStyle w:val="FootnoteAnchor"/>
          <w:rtl w:val="true"/>
        </w:rPr>
        <w:footnoteReference w:id="1677"/>
      </w:r>
      <w:r>
        <w:rPr>
          <w:rFonts w:ascii="Amiri" w:hAnsi="Amiri" w:eastAsia="Amiri" w:cs="Amiri"/>
          <w:color w:val="111111"/>
          <w:sz w:val="28"/>
          <w:sz w:val="28"/>
          <w:szCs w:val="28"/>
          <w:rtl w:val="true"/>
          <w:lang w:bidi="ar-SA"/>
        </w:rPr>
        <w:t>، والقرطبيُّ قدس سره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فإنَّ الآية لاتدلُّ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استدَلَّ بها لحرمة قطع العبادات وإبطالها، كالمحقِّق قدس سره</w:t>
      </w:r>
      <w:r>
        <w:rPr>
          <w:rStyle w:val="FootnoteAnchor"/>
          <w:rtl w:val="true"/>
        </w:rPr>
        <w:footnoteReference w:id="1679"/>
      </w:r>
      <w:r>
        <w:rPr>
          <w:rFonts w:ascii="Amiri" w:hAnsi="Amiri" w:eastAsia="Amiri" w:cs="Amiri"/>
          <w:color w:val="111111"/>
          <w:sz w:val="28"/>
          <w:sz w:val="28"/>
          <w:szCs w:val="28"/>
          <w:rtl w:val="true"/>
          <w:lang w:bidi="ar-SA"/>
        </w:rPr>
        <w:t>، والعلَّامة قدس سره</w:t>
      </w:r>
      <w:r>
        <w:rPr>
          <w:rStyle w:val="FootnoteAnchor"/>
          <w:rtl w:val="true"/>
        </w:rPr>
        <w:footnoteReference w:id="1680"/>
      </w:r>
      <w:r>
        <w:rPr>
          <w:rFonts w:ascii="Amiri" w:hAnsi="Amiri" w:eastAsia="Amiri" w:cs="Amiri"/>
          <w:color w:val="111111"/>
          <w:sz w:val="28"/>
          <w:sz w:val="28"/>
          <w:szCs w:val="28"/>
          <w:rtl w:val="true"/>
          <w:lang w:bidi="ar-SA"/>
        </w:rPr>
        <w:t>، وفي تذكرته</w:t>
      </w:r>
      <w:r>
        <w:rPr>
          <w:rStyle w:val="FootnoteAnchor"/>
          <w:rtl w:val="true"/>
        </w:rPr>
        <w:footnoteReference w:id="1681"/>
      </w:r>
      <w:r>
        <w:rPr>
          <w:rFonts w:ascii="Amiri" w:hAnsi="Amiri" w:eastAsia="Amiri" w:cs="Amiri"/>
          <w:color w:val="111111"/>
          <w:sz w:val="28"/>
          <w:sz w:val="28"/>
          <w:szCs w:val="28"/>
          <w:rtl w:val="true"/>
          <w:lang w:bidi="ar-SA"/>
        </w:rPr>
        <w:t>، ومختَلَفه</w:t>
      </w:r>
      <w:r>
        <w:rPr>
          <w:rStyle w:val="FootnoteAnchor"/>
          <w:rtl w:val="true"/>
        </w:rPr>
        <w:footnoteReference w:id="1682"/>
      </w:r>
      <w:r>
        <w:rPr>
          <w:rFonts w:ascii="IRNazanin" w:hAnsi="IRNazanin" w:eastAsia="IRNazanin"/>
          <w:color w:val="111111"/>
          <w:sz w:val="28"/>
          <w:sz w:val="28"/>
          <w:szCs w:val="28"/>
          <w:rtl w:val="true"/>
          <w:lang w:bidi="fa-IR"/>
        </w:rPr>
        <w:t xml:space="preserve">، </w:t>
      </w:r>
      <w:bookmarkStart w:id="589" w:name="pg20337_261647"/>
    </w:p>
    <w:p>
      <w:pPr>
        <w:pStyle w:val="BookText"/>
        <w:rPr/>
      </w:pPr>
      <w:bookmarkEnd w:id="589"/>
      <w:r>
        <w:rPr>
          <w:rFonts w:ascii="Amiri" w:hAnsi="Amiri" w:eastAsia="Amiri" w:cs="Amiri"/>
          <w:color w:val="111111"/>
          <w:sz w:val="28"/>
          <w:sz w:val="28"/>
          <w:szCs w:val="28"/>
          <w:rtl w:val="true"/>
          <w:lang w:bidi="ar-SA"/>
        </w:rPr>
        <w:t>وفخر المحقِّقين قدس سره</w:t>
      </w:r>
      <w:r>
        <w:rPr>
          <w:rStyle w:val="FootnoteAnchor"/>
          <w:rtl w:val="true"/>
        </w:rPr>
        <w:footnoteReference w:id="1683"/>
      </w:r>
      <w:r>
        <w:rPr>
          <w:rFonts w:ascii="Amiri" w:hAnsi="Amiri" w:eastAsia="Amiri" w:cs="Amiri"/>
          <w:color w:val="111111"/>
          <w:sz w:val="28"/>
          <w:sz w:val="28"/>
          <w:szCs w:val="28"/>
          <w:rtl w:val="true"/>
          <w:lang w:bidi="ar-SA"/>
        </w:rPr>
        <w:t>، والشَّهيد قدس سره</w:t>
      </w:r>
      <w:r>
        <w:rPr>
          <w:rStyle w:val="FootnoteAnchor"/>
          <w:rtl w:val="true"/>
        </w:rPr>
        <w:footnoteReference w:id="1684"/>
      </w:r>
      <w:r>
        <w:rPr>
          <w:rFonts w:ascii="Amiri" w:hAnsi="Amiri" w:eastAsia="Amiri" w:cs="Amiri"/>
          <w:color w:val="111111"/>
          <w:sz w:val="28"/>
          <w:sz w:val="28"/>
          <w:szCs w:val="28"/>
          <w:rtl w:val="true"/>
          <w:lang w:bidi="ar-SA"/>
        </w:rPr>
        <w:t>، وفي غيره أيضًا</w:t>
      </w:r>
      <w:r>
        <w:rPr>
          <w:rStyle w:val="FootnoteAnchor"/>
          <w:rtl w:val="true"/>
        </w:rPr>
        <w:footnoteReference w:id="1685"/>
      </w:r>
      <w:r>
        <w:rPr>
          <w:rFonts w:ascii="IRNazanin" w:hAnsi="IRNazanin" w:eastAsia="IRNazanin"/>
          <w:color w:val="111111"/>
          <w:sz w:val="28"/>
          <w:sz w:val="28"/>
          <w:szCs w:val="28"/>
          <w:rtl w:val="true"/>
          <w:lang w:bidi="fa-IR"/>
        </w:rPr>
        <w:t>، والمقداد قدس سره</w:t>
      </w:r>
      <w:r>
        <w:rPr>
          <w:rStyle w:val="FootnoteAnchor"/>
          <w:rtl w:val="true"/>
        </w:rPr>
        <w:footnoteReference w:id="1686"/>
      </w:r>
      <w:r>
        <w:rPr>
          <w:rFonts w:ascii="Amiri" w:hAnsi="Amiri" w:eastAsia="Amiri" w:cs="Amiri"/>
          <w:color w:val="111111"/>
          <w:sz w:val="28"/>
          <w:sz w:val="28"/>
          <w:szCs w:val="28"/>
          <w:rtl w:val="true"/>
          <w:lang w:bidi="ar-SA"/>
        </w:rPr>
        <w:t>، وابنِفهدٍ قدس سره</w:t>
      </w:r>
      <w:r>
        <w:rPr>
          <w:rStyle w:val="FootnoteAnchor"/>
          <w:rtl w:val="true"/>
        </w:rPr>
        <w:footnoteReference w:id="1687"/>
      </w:r>
      <w:r>
        <w:rPr>
          <w:rFonts w:ascii="Amiri" w:hAnsi="Amiri" w:eastAsia="Amiri" w:cs="Amiri"/>
          <w:color w:val="111111"/>
          <w:sz w:val="28"/>
          <w:sz w:val="28"/>
          <w:szCs w:val="28"/>
          <w:rtl w:val="true"/>
          <w:lang w:bidi="ar-SA"/>
        </w:rPr>
        <w:t>، والصَّيمُريِّ قدس سره</w:t>
      </w:r>
      <w:r>
        <w:rPr>
          <w:rStyle w:val="FootnoteAnchor"/>
          <w:rtl w:val="true"/>
        </w:rPr>
        <w:footnoteReference w:id="1688"/>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1689"/>
      </w:r>
      <w:r>
        <w:rPr>
          <w:rFonts w:ascii="Amiri" w:hAnsi="Amiri" w:eastAsia="Amiri" w:cs="Amiri"/>
          <w:color w:val="111111"/>
          <w:sz w:val="28"/>
          <w:sz w:val="28"/>
          <w:szCs w:val="28"/>
          <w:rtl w:val="true"/>
          <w:lang w:bidi="ar-SA"/>
        </w:rPr>
        <w:t>، وثاني الشَّهيدَين قدس سرهما في روضه</w:t>
      </w:r>
      <w:r>
        <w:rPr>
          <w:rStyle w:val="FootnoteAnchor"/>
          <w:rtl w:val="true"/>
        </w:rPr>
        <w:footnoteReference w:id="1690"/>
      </w:r>
      <w:r>
        <w:rPr>
          <w:rFonts w:ascii="Amiri" w:hAnsi="Amiri" w:eastAsia="Amiri" w:cs="Amiri"/>
          <w:color w:val="111111"/>
          <w:sz w:val="28"/>
          <w:sz w:val="28"/>
          <w:szCs w:val="28"/>
          <w:rtl w:val="true"/>
          <w:lang w:bidi="ar-SA"/>
        </w:rPr>
        <w:t>، ومسالكه</w:t>
      </w:r>
      <w:r>
        <w:rPr>
          <w:rStyle w:val="FootnoteAnchor"/>
          <w:rtl w:val="true"/>
        </w:rPr>
        <w:footnoteReference w:id="1691"/>
      </w:r>
      <w:r>
        <w:rPr>
          <w:rFonts w:ascii="Amiri" w:hAnsi="Amiri" w:eastAsia="Amiri" w:cs="Amiri"/>
          <w:color w:val="111111"/>
          <w:sz w:val="28"/>
          <w:sz w:val="28"/>
          <w:szCs w:val="28"/>
          <w:rtl w:val="true"/>
          <w:lang w:bidi="ar-SA"/>
        </w:rPr>
        <w:t>، وغيرهم الكثيرين أيضًا</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1945330_1280447820"/>
      <w:bookmarkStart w:id="591" w:name="_Toc217"/>
      <w:bookmarkEnd w:id="590"/>
      <w:r>
        <w:rPr>
          <w:rtl w:val="true"/>
        </w:rPr>
        <w:t>ثانيًا</w:t>
      </w:r>
      <w:r>
        <w:rPr>
          <w:rtl w:val="true"/>
        </w:rPr>
        <w:t xml:space="preserve">: </w:t>
      </w:r>
      <w:r>
        <w:rPr>
          <w:rtl w:val="true"/>
        </w:rPr>
        <w:t>الإجماع</w:t>
      </w:r>
      <w:bookmarkEnd w:id="591"/>
    </w:p>
    <w:p>
      <w:pPr>
        <w:pStyle w:val="BookText"/>
        <w:rPr/>
      </w:pPr>
      <w:r>
        <w:rPr>
          <w:rFonts w:ascii="Amiri" w:hAnsi="Amiri" w:eastAsia="Amiri" w:cs="Amiri"/>
          <w:color w:val="111111"/>
          <w:sz w:val="28"/>
          <w:sz w:val="28"/>
          <w:szCs w:val="28"/>
          <w:rtl w:val="true"/>
          <w:lang w:bidi="ar-SA"/>
        </w:rPr>
        <w:t>ومن الإجماع بأنَّه من المسلَّمات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وأنَّ الفاضل الأصفهانيَّ قدس سره قال بعد ذكر الكريمة السَّالف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الإتِّفاقُ عليه</w:t>
      </w:r>
      <w:r>
        <w:rPr>
          <w:rFonts w:eastAsia="Amiri" w:cs="Amiri" w:ascii="Amiri" w:hAnsi="Amiri"/>
          <w:color w:val="111111"/>
          <w:sz w:val="28"/>
          <w:szCs w:val="28"/>
          <w:rtl w:val="true"/>
          <w:lang w:bidi="ar-SA"/>
        </w:rPr>
        <w:t>»</w:t>
      </w:r>
      <w:r>
        <w:rPr>
          <w:rStyle w:val="FootnoteAnchor"/>
          <w:rtl w:val="true"/>
        </w:rPr>
        <w:footnoteReference w:id="1692"/>
      </w:r>
      <w:r>
        <w:rPr>
          <w:rFonts w:ascii="Amiri" w:hAnsi="Amiri" w:eastAsia="Amiri" w:cs="Amiri"/>
          <w:color w:val="111111"/>
          <w:sz w:val="28"/>
          <w:sz w:val="28"/>
          <w:szCs w:val="28"/>
          <w:rtl w:val="true"/>
          <w:lang w:bidi="ar-SA"/>
        </w:rPr>
        <w:t>وقال المحقِّق السَّبزواريُّ قدس سره في مسألة تحريم قطع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خلافًا فيه بينهم</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وعن الفيض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بلاخلافٍ‌</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وحكىٰ المحقِّق البجنورديُّ عن شارحِه قدس سرهما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w:t>
      </w:r>
      <w:bookmarkStart w:id="592" w:name="pg20337_261648"/>
    </w:p>
    <w:p>
      <w:pPr>
        <w:pStyle w:val="BookText"/>
        <w:rPr/>
      </w:pPr>
      <w:bookmarkEnd w:id="592"/>
      <w:r>
        <w:rPr>
          <w:rFonts w:ascii="Amiri" w:hAnsi="Amiri" w:eastAsia="Amiri" w:cs="Amiri"/>
          <w:color w:val="111111"/>
          <w:sz w:val="28"/>
          <w:sz w:val="28"/>
          <w:szCs w:val="28"/>
          <w:rtl w:val="true"/>
          <w:lang w:bidi="ar-SA"/>
        </w:rPr>
        <w:t>بديهيَّات الدِّين</w:t>
      </w:r>
      <w:r>
        <w:rPr>
          <w:rFonts w:eastAsia="Amiri" w:cs="Amiri" w:ascii="Amiri" w:hAnsi="Amiri"/>
          <w:color w:val="111111"/>
          <w:sz w:val="28"/>
          <w:szCs w:val="28"/>
          <w:rtl w:val="true"/>
          <w:lang w:bidi="ar-SA"/>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هذا محتَمَل المدرك، بل مقطوع 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البحث في مدركه</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1945332_1280447820"/>
      <w:bookmarkStart w:id="594" w:name="_Toc218"/>
      <w:bookmarkEnd w:id="593"/>
      <w:r>
        <w:rPr>
          <w:rtl w:val="true"/>
        </w:rPr>
        <w:t>ثالثًا</w:t>
      </w:r>
      <w:r>
        <w:rPr>
          <w:rtl w:val="true"/>
        </w:rPr>
        <w:t xml:space="preserve">: </w:t>
      </w:r>
      <w:r>
        <w:rPr>
          <w:rtl w:val="true"/>
        </w:rPr>
        <w:t>الرِّوايات</w:t>
      </w:r>
      <w:bookmarkEnd w:id="594"/>
    </w:p>
    <w:p>
      <w:pPr>
        <w:pStyle w:val="BookText"/>
        <w:rPr/>
      </w:pPr>
      <w:r>
        <w:rPr>
          <w:rFonts w:ascii="Amiri" w:hAnsi="Amiri" w:eastAsia="Amiri" w:cs="Amiri"/>
          <w:color w:val="111111"/>
          <w:sz w:val="28"/>
          <w:sz w:val="28"/>
          <w:szCs w:val="28"/>
          <w:rtl w:val="true"/>
          <w:lang w:bidi="ar-SA"/>
        </w:rPr>
        <w:t>ومن السُّنَّة برواياتٍ‌؛</w:t>
      </w:r>
    </w:p>
    <w:p>
      <w:pPr>
        <w:pStyle w:val="BookText"/>
        <w:rPr/>
      </w:pPr>
      <w:r>
        <w:rPr>
          <w:rFonts w:ascii="Amiri" w:hAnsi="Amiri" w:eastAsia="Amiri" w:cs="Amiri"/>
          <w:color w:val="111111"/>
          <w:sz w:val="28"/>
          <w:sz w:val="28"/>
          <w:szCs w:val="28"/>
          <w:rtl w:val="true"/>
          <w:lang w:bidi="ar-SA"/>
        </w:rPr>
        <w:t>كقول أميرالمؤمنين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1696"/>
      </w:r>
      <w:r>
        <w:rPr>
          <w:rFonts w:ascii="Amiri" w:hAnsi="Amiri" w:eastAsia="Amiri" w:cs="Amiri"/>
          <w:color w:val="111111"/>
          <w:sz w:val="28"/>
          <w:sz w:val="28"/>
          <w:szCs w:val="28"/>
          <w:rtl w:val="true"/>
          <w:lang w:bidi="ar-SA"/>
        </w:rPr>
        <w:t>، والصَّدوق قدس سره</w:t>
      </w:r>
      <w:r>
        <w:rPr>
          <w:rStyle w:val="FootnoteAnchor"/>
          <w:rtl w:val="true"/>
        </w:rPr>
        <w:footnoteReference w:id="1697"/>
      </w:r>
      <w:r>
        <w:rPr>
          <w:rFonts w:ascii="Amiri" w:hAnsi="Amiri" w:eastAsia="Amiri" w:cs="Amiri"/>
          <w:color w:val="111111"/>
          <w:sz w:val="28"/>
          <w:sz w:val="28"/>
          <w:szCs w:val="28"/>
          <w:rtl w:val="true"/>
          <w:lang w:bidi="ar-SA"/>
        </w:rPr>
        <w:t>، والفيض قدس سره</w:t>
      </w:r>
      <w:r>
        <w:rPr>
          <w:rStyle w:val="FootnoteAnchor"/>
          <w:rtl w:val="true"/>
        </w:rPr>
        <w:footnoteReference w:id="1698"/>
      </w:r>
      <w:r>
        <w:rPr>
          <w:rFonts w:ascii="Amiri" w:hAnsi="Amiri" w:eastAsia="Amiri" w:cs="Amiri"/>
          <w:color w:val="111111"/>
          <w:sz w:val="28"/>
          <w:sz w:val="28"/>
          <w:szCs w:val="28"/>
          <w:rtl w:val="true"/>
          <w:lang w:bidi="ar-SA"/>
        </w:rPr>
        <w:t>، والشَّيخ الحُرُّ قدس سره</w:t>
      </w:r>
      <w:r>
        <w:rPr>
          <w:rStyle w:val="FootnoteAnchor"/>
          <w:rtl w:val="true"/>
        </w:rPr>
        <w:footnoteReference w:id="169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وإن كان ضعيفًا لكن الكلينيُّ والصَّدوقُ حكما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أوَّل المجلسيَّين قدس سرهما</w:t>
      </w:r>
      <w:r>
        <w:rPr>
          <w:rStyle w:val="FootnoteAnchor"/>
          <w:rtl w:val="true"/>
        </w:rPr>
        <w:footnoteReference w:id="1700"/>
      </w:r>
      <w:r>
        <w:rPr>
          <w:rFonts w:ascii="Amiri" w:hAnsi="Amiri" w:eastAsia="Amiri" w:cs="Amiri"/>
          <w:color w:val="111111"/>
          <w:sz w:val="28"/>
          <w:sz w:val="28"/>
          <w:szCs w:val="28"/>
          <w:rtl w:val="true"/>
          <w:lang w:bidi="ar-SA"/>
        </w:rPr>
        <w:t>ولذلك حكم في كتابه الآخر بأنَّه ضعيفٌ باصطلاح المتأخِّرين، لا المُتَقدِّمين</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 مضمونَه يشهد بصحَّته وإن لم يُصحِّحه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أصحابنا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التِّرمِذيُّ فصحَّحه</w:t>
      </w:r>
      <w:r>
        <w:rPr>
          <w:rStyle w:val="FootnoteAnchor"/>
          <w:rtl w:val="true"/>
        </w:rPr>
        <w:footnoteReference w:id="1702"/>
      </w:r>
      <w:r>
        <w:rPr>
          <w:rFonts w:ascii="Amiri" w:hAnsi="Amiri" w:eastAsia="Amiri" w:cs="Amiri"/>
          <w:color w:val="111111"/>
          <w:sz w:val="28"/>
          <w:sz w:val="28"/>
          <w:szCs w:val="28"/>
          <w:rtl w:val="true"/>
          <w:lang w:bidi="ar-SA"/>
        </w:rPr>
        <w:t>، وذكره غيرُه من أعلام العامَّة، كأحمد</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رُدَّ عليه بأنَّه في بيان حكمٍ وضعيٍّ‌</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قال بعضُهم بأنَّه لادليل علىٰ القاعدة إلَّاالإجماع، والإجماع دليلٌ لُبِّيٌّ‌، والقدر المُتَيقَّن منه هو قطع الصَّلاة بلاعُذرٍ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ليس كما ظنَّ هذا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وردَتْ رواياتٌ كثيرةٌ في أبوابٍ مختلفةٍ من الفقه تدلُّ علىٰ حرمة قطع الواجبات وإبطالها؛ كرواياتٍ تدلُّ علىٰ تعليقِ جواز قطع الصَّلوة علىٰ الخوف من ضياع المال، أو تلف النَّفس</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وكتعليق جواز إفطار الصَّوم الواجب غير شهر رمضان قبل الظُّهر وعدم جوازه بعد الزَّوال</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وكحرمة الرُّجوع إلى الصَّدقات والكفَّارات والزَّكوات والأخماس</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وكحرمة الإتيان بالُمحرَّمات بعد إحرام الحجِّ‌</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وبالتَّتبُّع في الرِّوايات الواردة في الأبواب المختلفة تجدُ أزيد من مأة روايةٍ تدلُّ بنصِّها أو بلوازمها علىٰ حرمة قطع الواجبات وإبطالها؛ فانظر إلى ما رواه القاضي النُّعمان قدس سره</w:t>
      </w:r>
      <w:r>
        <w:rPr>
          <w:rStyle w:val="FootnoteAnchor"/>
          <w:rtl w:val="true"/>
        </w:rPr>
        <w:footnoteReference w:id="1708"/>
      </w:r>
      <w:r>
        <w:rPr>
          <w:rFonts w:ascii="Amiri" w:hAnsi="Amiri" w:eastAsia="Amiri" w:cs="Amiri"/>
          <w:color w:val="111111"/>
          <w:sz w:val="28"/>
          <w:sz w:val="28"/>
          <w:szCs w:val="28"/>
          <w:rtl w:val="true"/>
          <w:lang w:bidi="ar-SA"/>
        </w:rPr>
        <w:t>، والشَّيخ الحرُّ قدس سره في أبوابٍ كثيرةٍ من كتابه</w:t>
      </w:r>
      <w:r>
        <w:rPr>
          <w:rStyle w:val="FootnoteAnchor"/>
          <w:rtl w:val="true"/>
        </w:rPr>
        <w:footnoteReference w:id="1709"/>
      </w:r>
      <w:r>
        <w:rPr>
          <w:rFonts w:ascii="Amiri" w:hAnsi="Amiri" w:eastAsia="Amiri" w:cs="Amiri"/>
          <w:color w:val="111111"/>
          <w:sz w:val="28"/>
          <w:sz w:val="28"/>
          <w:szCs w:val="28"/>
          <w:rtl w:val="true"/>
          <w:lang w:bidi="ar-SA"/>
        </w:rPr>
        <w:t>ليظهر لك ما قلناه</w:t>
      </w:r>
      <w:r>
        <w:rPr>
          <w:rFonts w:eastAsia="Amiri" w:cs="Amiri" w:ascii="Amiri" w:hAnsi="Amiri"/>
          <w:color w:val="111111"/>
          <w:sz w:val="28"/>
          <w:szCs w:val="28"/>
          <w:rtl w:val="true"/>
          <w:lang w:bidi="ar-SA"/>
        </w:rPr>
        <w:t xml:space="preserve">. </w:t>
      </w:r>
      <w:bookmarkStart w:id="595" w:name="pg20337_261650"/>
    </w:p>
    <w:p>
      <w:pPr>
        <w:pStyle w:val="BookText"/>
        <w:rPr/>
      </w:pPr>
      <w:bookmarkEnd w:id="595"/>
      <w:r>
        <w:rPr>
          <w:rFonts w:ascii="Amiri" w:hAnsi="Amiri" w:eastAsia="Amiri" w:cs="Amiri"/>
          <w:color w:val="111111"/>
          <w:sz w:val="28"/>
          <w:sz w:val="28"/>
          <w:szCs w:val="28"/>
          <w:rtl w:val="true"/>
          <w:lang w:bidi="ar-SA"/>
        </w:rPr>
        <w:t>فما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دليل علىٰ المسألة إلَّاالإجماع</w:t>
      </w:r>
      <w:r>
        <w:rPr>
          <w:rFonts w:eastAsia="Amiri" w:cs="Amiri" w:ascii="Amiri" w:hAnsi="Amiri"/>
          <w:color w:val="111111"/>
          <w:sz w:val="28"/>
          <w:szCs w:val="28"/>
          <w:rtl w:val="true"/>
          <w:lang w:bidi="ar-SA"/>
        </w:rPr>
        <w:t>»</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هيهنا مدركيٌّ‌، فليس بحجَّةٍ برأسه، بل هو مؤيِّدٌ للرِّوايات</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1945334_1280447820"/>
      <w:bookmarkStart w:id="597" w:name="_Toc219"/>
      <w:bookmarkEnd w:id="596"/>
      <w:r>
        <w:rPr>
          <w:rtl w:val="true"/>
        </w:rPr>
        <w:t>رابعًا</w:t>
      </w:r>
      <w:r>
        <w:rPr>
          <w:rtl w:val="true"/>
        </w:rPr>
        <w:t xml:space="preserve">: </w:t>
      </w:r>
      <w:r>
        <w:rPr>
          <w:rtl w:val="true"/>
        </w:rPr>
        <w:t>الأدلَّة العقليَّة</w:t>
      </w:r>
      <w:bookmarkEnd w:id="597"/>
    </w:p>
    <w:p>
      <w:pPr>
        <w:pStyle w:val="BookText"/>
        <w:rPr/>
      </w:pPr>
      <w:r>
        <w:rPr>
          <w:rFonts w:ascii="Amiri" w:hAnsi="Amiri" w:eastAsia="Amiri" w:cs="Amiri"/>
          <w:color w:val="111111"/>
          <w:sz w:val="28"/>
          <w:sz w:val="28"/>
          <w:szCs w:val="28"/>
          <w:rtl w:val="true"/>
          <w:lang w:bidi="ar-SA"/>
        </w:rPr>
        <w:t xml:space="preserve">كما وأنَّ العقلاء يُقبِّحون من يَرفَع يده عن تعهُّدٍ تعهَّدَه بلاعذرٍ، فلونقَصَ العهدَ مَن عهدَ أنَّه يتمُّ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كزرع أرضٍ‌، أو بناء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فالعقلاء يُقَبِّحونه علىٰ هذا النَّقض، بل يرون عليه الضَّمان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العقلاء أيضًا تؤيِّد القاعدة وتدلُّ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نكتةٌ نأتي بها في تنبيهٍ‌</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1945336_1280447820"/>
      <w:bookmarkStart w:id="599" w:name="_Toc220"/>
      <w:bookmarkEnd w:id="598"/>
      <w:r>
        <w:rPr>
          <w:rtl w:val="true"/>
        </w:rPr>
        <w:t>تنبيهٌ‌</w:t>
      </w:r>
      <w:r>
        <w:rPr>
          <w:rtl w:val="true"/>
        </w:rPr>
        <w:t>:</w:t>
      </w:r>
      <w:bookmarkEnd w:id="59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بين الأصحاب</w:t>
      </w:r>
      <w:r>
        <w:rPr>
          <w:rStyle w:val="FootnoteAnchor"/>
          <w:rtl w:val="true"/>
        </w:rPr>
        <w:footnoteReference w:id="1711"/>
      </w:r>
      <w:r>
        <w:rPr>
          <w:rFonts w:ascii="Amiri" w:hAnsi="Amiri" w:eastAsia="Amiri" w:cs="Amiri"/>
          <w:color w:val="111111"/>
          <w:sz w:val="28"/>
          <w:sz w:val="28"/>
          <w:szCs w:val="28"/>
          <w:rtl w:val="true"/>
          <w:lang w:bidi="ar-SA"/>
        </w:rPr>
        <w:t>أنَّه يجوز قطع الصَّلوة بداعٍ عقلانيٍّ‌، كفتح الباب، أو منع الهِرَّة من سرقة اللَّحم، أو ارضاع الرَّضيعة رضيعَها إذا بكىٰ واشتدَّ بكاوُه، فضلًا عمَّا إذا تزاحم الصلاةَ واجبٌ أو محرَّمٌ آخر، كدعوة أبيه أو أُمِّه للدُّخول إلى البيت، أو الخوف من رؤية الأجنبيَّة الَّتي تحرُمُ عليه رؤيتها،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مذكورةٌ عند كثيرٍ منهم، كالفاضل الآبي قدس سره</w:t>
      </w:r>
      <w:r>
        <w:rPr>
          <w:rStyle w:val="FootnoteAnchor"/>
          <w:rtl w:val="true"/>
        </w:rPr>
        <w:footnoteReference w:id="1712"/>
      </w:r>
      <w:r>
        <w:rPr>
          <w:rFonts w:ascii="Amiri" w:hAnsi="Amiri" w:eastAsia="Amiri" w:cs="Amiri"/>
          <w:color w:val="111111"/>
          <w:sz w:val="28"/>
          <w:sz w:val="28"/>
          <w:szCs w:val="28"/>
          <w:rtl w:val="true"/>
          <w:lang w:bidi="ar-SA"/>
        </w:rPr>
        <w:t>، والعلَّامة قدس سره</w:t>
      </w:r>
      <w:r>
        <w:rPr>
          <w:rStyle w:val="FootnoteAnchor"/>
          <w:rtl w:val="true"/>
        </w:rPr>
        <w:footnoteReference w:id="1713"/>
      </w:r>
      <w:r>
        <w:rPr>
          <w:rFonts w:ascii="Amiri" w:hAnsi="Amiri" w:eastAsia="Amiri" w:cs="Amiri"/>
          <w:color w:val="111111"/>
          <w:sz w:val="28"/>
          <w:sz w:val="28"/>
          <w:szCs w:val="28"/>
          <w:rtl w:val="true"/>
          <w:lang w:bidi="ar-SA"/>
        </w:rPr>
        <w:t>، وفي نهايته</w:t>
      </w:r>
      <w:r>
        <w:rPr>
          <w:rStyle w:val="FootnoteAnchor"/>
          <w:rtl w:val="true"/>
        </w:rPr>
        <w:footnoteReference w:id="1714"/>
      </w:r>
      <w:r>
        <w:rPr>
          <w:rFonts w:ascii="Amiri" w:hAnsi="Amiri" w:eastAsia="Amiri" w:cs="Amiri"/>
          <w:color w:val="111111"/>
          <w:sz w:val="28"/>
          <w:sz w:val="28"/>
          <w:szCs w:val="28"/>
          <w:rtl w:val="true"/>
          <w:lang w:bidi="ar-SA"/>
        </w:rPr>
        <w:t>، وولده العظيم قدس سره</w:t>
      </w:r>
      <w:r>
        <w:rPr>
          <w:rStyle w:val="FootnoteAnchor"/>
          <w:rtl w:val="true"/>
        </w:rPr>
        <w:footnoteReference w:id="17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 المحقِّقَين قدس سرهما</w:t>
      </w:r>
      <w:r>
        <w:rPr>
          <w:rStyle w:val="FootnoteAnchor"/>
          <w:rtl w:val="true"/>
        </w:rPr>
        <w:footnoteReference w:id="1716"/>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717"/>
      </w:r>
      <w:r>
        <w:rPr>
          <w:rFonts w:ascii="Amiri" w:hAnsi="Amiri" w:eastAsia="Amiri" w:cs="Amiri"/>
          <w:color w:val="111111"/>
          <w:sz w:val="28"/>
          <w:sz w:val="28"/>
          <w:szCs w:val="28"/>
          <w:rtl w:val="true"/>
          <w:lang w:bidi="ar-SA"/>
        </w:rPr>
        <w:t>، والبحراني قدس سره</w:t>
      </w:r>
      <w:r>
        <w:rPr>
          <w:rStyle w:val="FootnoteAnchor"/>
          <w:rtl w:val="true"/>
        </w:rPr>
        <w:footnoteReference w:id="1718"/>
      </w:r>
      <w:r>
        <w:rPr>
          <w:rFonts w:ascii="Amiri" w:hAnsi="Amiri" w:eastAsia="Amiri" w:cs="Amiri"/>
          <w:color w:val="111111"/>
          <w:sz w:val="28"/>
          <w:sz w:val="28"/>
          <w:szCs w:val="28"/>
          <w:rtl w:val="true"/>
          <w:lang w:bidi="ar-SA"/>
        </w:rPr>
        <w:t>، والوحيد الفريد قدس سره</w:t>
      </w:r>
      <w:r>
        <w:rPr>
          <w:rStyle w:val="FootnoteAnchor"/>
          <w:rtl w:val="true"/>
        </w:rPr>
        <w:footnoteReference w:id="1719"/>
      </w:r>
      <w:r>
        <w:rPr>
          <w:rFonts w:ascii="Amiri" w:hAnsi="Amiri" w:eastAsia="Amiri" w:cs="Amiri"/>
          <w:color w:val="111111"/>
          <w:sz w:val="28"/>
          <w:sz w:val="28"/>
          <w:szCs w:val="28"/>
          <w:rtl w:val="true"/>
          <w:lang w:bidi="ar-SA"/>
        </w:rPr>
        <w:t>، والفقيه العامليِّ قدس سره</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علىٰ هذا بأنَّ دليل حرمة قطع الصَّلوة هو الإجماع</w:t>
      </w:r>
      <w:r>
        <w:rPr>
          <w:rStyle w:val="FootnoteAnchor"/>
          <w:rtl w:val="true"/>
        </w:rPr>
        <w:footnoteReference w:id="1721"/>
      </w:r>
      <w:r>
        <w:rPr>
          <w:rFonts w:ascii="Amiri" w:hAnsi="Amiri" w:eastAsia="Amiri" w:cs="Amiri"/>
          <w:color w:val="111111"/>
          <w:sz w:val="28"/>
          <w:sz w:val="28"/>
          <w:szCs w:val="28"/>
          <w:rtl w:val="true"/>
          <w:lang w:bidi="ar-SA"/>
        </w:rPr>
        <w:t>، وحيث إنَّه دليلٌ لبِّيٌّ فيرتفع بداعٍ عقلانيٍّ يقابِلُه</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أشرنا إلى أنَّ دليل حرمة القطع ليس الإجماع فقط، بل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 أنَّها تزيد علىٰ المأة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 فرَفْعُ اليد عن الحرام الَّذي مدركُه الإجماعُ بداعٍ مَّا عقلانيٍّ أو بواجبٍ أو حرامٍ آخر ليس له وجهٌ قطعًا؛</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قطع الواجبات لاترتفع إلَّابعذرٍ، والعذرُ بين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الشرعيُّ‌، كوجوب حفظ النَّفس؛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والعرفيُّ‌، كلزوم حفظ المال المُعتَنىٰ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كزادِه وراحتله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00" w:name="pg20337_261652"/>
    </w:p>
    <w:p>
      <w:pPr>
        <w:pStyle w:val="BookText"/>
        <w:rPr/>
      </w:pPr>
      <w:bookmarkEnd w:id="600"/>
      <w:r>
        <w:rPr>
          <w:rFonts w:ascii="Amiri" w:hAnsi="Amiri" w:eastAsia="Amiri" w:cs="Amiri"/>
          <w:color w:val="111111"/>
          <w:sz w:val="28"/>
          <w:sz w:val="28"/>
          <w:szCs w:val="28"/>
          <w:rtl w:val="true"/>
          <w:lang w:bidi="ar-SA"/>
        </w:rPr>
        <w:t xml:space="preserve">ويجمع القسمين دورانُ الأمر بين الأهمِّ والمهمِّ‌، وقاعدةُ لزوم تقديم الأهمِّ علىٰ المهمِّ تقتضي جواز قطع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لدرك الأهمِّ‌، نفسُه كانت هذا الأهمُّ أو ماله وعرضه</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1945338_1280447820"/>
      <w:bookmarkStart w:id="602" w:name="_Toc221"/>
      <w:bookmarkEnd w:id="601"/>
      <w:r>
        <w:rPr>
          <w:rtl w:val="true"/>
        </w:rPr>
        <w:t>أمثلةٌ لاستعمال القاعدة في الفقه</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الفقيه الشَّيخ حسن آل كاشف الغطاء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ولودخل في فريضةٍ فأحرم الإمامُ أو أذن وأقام كما يُستفادُ من نصوص المقام عدَلَ بها المأموم إلى النَّفلِ‌، أو أتَمَّها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يقطعها، لحرمة إبطال العمل هنا من غير دليلٍ علىٰ جوازه</w:t>
      </w:r>
      <w:r>
        <w:rPr>
          <w:rFonts w:eastAsia="Amiri" w:cs="Amiri" w:ascii="Amiri" w:hAnsi="Amiri"/>
          <w:color w:val="111111"/>
          <w:sz w:val="28"/>
          <w:szCs w:val="28"/>
          <w:rtl w:val="true"/>
          <w:lang w:bidi="ar-SA"/>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عجَزَ في أثناء الصَّلاة عن حالةٍ انتقل إلى ما دونها</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فقال العلَّامة قدس سره في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لوانتفَتْ المشقَّةُ‌، فالأولىٰ عندي استحبابُ الاِستيناف</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فقال الفقيه النَّجفيُّ قدس سره في شرح قوله وبيان الأخذ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لوكان القُعُودُ مثلًا للمشقَّة في القيام لا للعجز عنه فانتفَتْ في الأثناء استحبَّ له الاستينافُ‌، ولابأس به إن أراد بعد الإكمال، للتَّسامُح، وإلَّا كان محلَّ نظرٍ ومنعٍ‌، لحرمة إبطال العمل الَّتي لايجوز الخروج عنها إلَّابالدَّليل المعتبر</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الفقيه اليزديُّ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 في العشاء بين الثَّلاث والأربع وتذكَّرَ أنَّه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سها عن المغرب بطلَتْ صلاتُه</w:t>
      </w:r>
      <w:r>
        <w:rPr>
          <w:rFonts w:eastAsia="Amiri" w:cs="Amiri" w:ascii="Amiri" w:hAnsi="Amiri"/>
          <w:color w:val="111111"/>
          <w:sz w:val="28"/>
          <w:szCs w:val="28"/>
          <w:rtl w:val="true"/>
          <w:lang w:bidi="ar-SA"/>
        </w:rPr>
        <w:t>»</w:t>
      </w:r>
      <w:r>
        <w:rPr>
          <w:rStyle w:val="FootnoteAnchor"/>
          <w:rtl w:val="true"/>
        </w:rPr>
        <w:footnoteReference w:id="1727"/>
      </w:r>
      <w:r>
        <w:rPr>
          <w:rFonts w:ascii="Amiri" w:hAnsi="Amiri" w:eastAsia="Amiri" w:cs="Amiri"/>
          <w:color w:val="111111"/>
          <w:sz w:val="28"/>
          <w:sz w:val="28"/>
          <w:szCs w:val="28"/>
          <w:rtl w:val="true"/>
          <w:lang w:bidi="ar-SA"/>
        </w:rPr>
        <w:t>فقال السَّيِّد الحكيم قدس سره في شرحه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سلَّمَ عليها برجاء الظُّهر، لأنَّه يدور أمرُه بين أن يبطِلَها وأن يُسلِّم عليها، وأن يمضي فيها بعنوان العصر؛ والأوَّل مخالفةٌ قطعيَّةٌ‌، لحرمة إبطال الفريضة</w:t>
      </w:r>
      <w:r>
        <w:rPr>
          <w:rFonts w:eastAsia="Amiri" w:cs="Amiri" w:ascii="Amiri" w:hAnsi="Amiri"/>
          <w:color w:val="111111"/>
          <w:sz w:val="28"/>
          <w:szCs w:val="28"/>
          <w:rtl w:val="true"/>
          <w:lang w:bidi="ar-SA"/>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bookmarkStart w:id="603" w:name="pg20337_261654"/>
    </w:p>
    <w:p>
      <w:pPr>
        <w:pStyle w:val="Heading2"/>
        <w:numPr>
          <w:ilvl w:val="1"/>
          <w:numId w:val="1"/>
        </w:numPr>
        <w:rPr/>
      </w:pPr>
      <w:bookmarkStart w:id="604" w:name="__RefHeading___Toc11945340_1280447820"/>
      <w:bookmarkStart w:id="605" w:name="_Toc222"/>
      <w:bookmarkEnd w:id="603"/>
      <w:bookmarkEnd w:id="604"/>
      <w:r>
        <w:rPr>
          <w:rtl w:val="true"/>
        </w:rPr>
        <w:t>[</w:t>
      </w:r>
      <w:r>
        <w:rPr/>
        <w:t>41</w:t>
      </w:r>
      <w:r>
        <w:rPr>
          <w:rtl w:val="true"/>
        </w:rPr>
        <w:t xml:space="preserve">:] </w:t>
      </w:r>
      <w:r>
        <w:rPr>
          <w:rtl w:val="true"/>
        </w:rPr>
        <w:t>قاعدة حرمة الإهانة بالمقدَّسات</w:t>
      </w:r>
      <w:bookmarkEnd w:id="605"/>
    </w:p>
    <w:p>
      <w:pPr>
        <w:pStyle w:val="Heading3"/>
        <w:numPr>
          <w:ilvl w:val="2"/>
          <w:numId w:val="1"/>
        </w:numPr>
        <w:rPr/>
      </w:pPr>
      <w:bookmarkStart w:id="606" w:name="__RefHeading___Toc11945342_1280447820"/>
      <w:bookmarkStart w:id="607" w:name="_Toc223"/>
      <w:bookmarkEnd w:id="606"/>
      <w:r>
        <w:rPr>
          <w:rtl w:val="true"/>
        </w:rPr>
        <w:t>عناوين أُخرىٰ للقاعدة</w:t>
      </w:r>
      <w:bookmarkEnd w:id="607"/>
    </w:p>
    <w:p>
      <w:pPr>
        <w:pStyle w:val="BookText"/>
        <w:rPr/>
      </w:pPr>
      <w:r>
        <w:rPr>
          <w:rFonts w:ascii="Amiri" w:hAnsi="Amiri" w:eastAsia="Amiri" w:cs="Amiri"/>
          <w:color w:val="111111"/>
          <w:sz w:val="28"/>
          <w:sz w:val="28"/>
          <w:szCs w:val="28"/>
          <w:rtl w:val="true"/>
          <w:lang w:bidi="ar-SA"/>
        </w:rPr>
        <w:t>حرمةُ الإهانة بالشَّعائر ورجحانُ تعظيمِها</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إهانة الُمحتَرمات في الدِّين</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يُعَظَّم ويحرم تحقيرُه</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إهانة المحتَرَمات</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 xml:space="preserve">. </w:t>
      </w:r>
      <w:bookmarkStart w:id="608" w:name="pg20337_261655"/>
    </w:p>
    <w:p>
      <w:pPr>
        <w:pStyle w:val="Heading3"/>
        <w:numPr>
          <w:ilvl w:val="2"/>
          <w:numId w:val="1"/>
        </w:numPr>
        <w:rPr/>
      </w:pPr>
      <w:bookmarkStart w:id="609" w:name="__RefHeading___Toc11945344_1280447820"/>
      <w:bookmarkStart w:id="610" w:name="_Toc224"/>
      <w:bookmarkEnd w:id="608"/>
      <w:bookmarkEnd w:id="609"/>
      <w:r>
        <w:rPr>
          <w:rtl w:val="true"/>
        </w:rPr>
        <w:t>توضيح مفاد القاعدة</w:t>
      </w:r>
      <w:bookmarkEnd w:id="610"/>
    </w:p>
    <w:p>
      <w:pPr>
        <w:pStyle w:val="BookText"/>
        <w:rPr/>
      </w:pP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حرمةٌ خاصَّةٌ في الشَّريعة الإسلاميَّة، كاللَّه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ذكرُه وتقدَّستْ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ورسوله صلى الله عليه و آله والأئمَّة الطَّاهرين عليهم السلام، وما يرتبط بهم كالمسجد الحرام ومسجد النَّبيِّ والضَّرائح المقدَّسة والقرآن العظيم، بل كتب الأدعيَة وكتب الأحاديث والمؤمنين والمؤمنات والفقهاء وكتبهم الفقهيَّة، وما إلى ذلك</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البجنورديَّ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1945346_1280447820"/>
      <w:bookmarkStart w:id="612" w:name="_Toc225"/>
      <w:bookmarkEnd w:id="611"/>
      <w:r>
        <w:rPr>
          <w:rtl w:val="true"/>
        </w:rPr>
        <w:t>مدركُ القاعدة</w:t>
      </w:r>
      <w:bookmarkEnd w:id="612"/>
    </w:p>
    <w:p>
      <w:pPr>
        <w:pStyle w:val="Heading4"/>
        <w:numPr>
          <w:ilvl w:val="3"/>
          <w:numId w:val="1"/>
        </w:numPr>
        <w:rPr/>
      </w:pPr>
      <w:bookmarkStart w:id="613" w:name="__RefHeading___Toc11945348_1280447820"/>
      <w:bookmarkStart w:id="614" w:name="_Toc226"/>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تدلُّ علىٰ حرمة الإهانة بالمقدَّسات الأدلَّة الأربعة</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1945350_1280447820"/>
      <w:bookmarkStart w:id="616" w:name="_Toc227"/>
      <w:bookmarkEnd w:id="615"/>
      <w:r>
        <w:rPr>
          <w:rtl w:val="true"/>
        </w:rPr>
        <w:t>أوَّلًا</w:t>
      </w:r>
      <w:r>
        <w:rPr>
          <w:rtl w:val="true"/>
        </w:rPr>
        <w:t xml:space="preserve">: </w:t>
      </w:r>
      <w:r>
        <w:rPr>
          <w:rtl w:val="true"/>
        </w:rPr>
        <w:t>الكتاب</w:t>
      </w:r>
      <w:bookmarkEnd w:id="61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w:t>
      </w:r>
      <w:r>
        <w:rPr>
          <w:rStyle w:val="FootnoteAnchor"/>
          <w:rtl w:val="true"/>
        </w:rPr>
        <w:footnoteReference w:id="1734"/>
      </w:r>
      <w:r>
        <w:rPr>
          <w:rFonts w:ascii="Amiri" w:hAnsi="Amiri" w:eastAsia="Amiri" w:cs="Amiri"/>
          <w:color w:val="111111"/>
          <w:sz w:val="28"/>
          <w:sz w:val="28"/>
          <w:szCs w:val="28"/>
          <w:rtl w:val="true"/>
          <w:lang w:bidi="ar-SA"/>
        </w:rPr>
        <w:t xml:space="preserve">يكفيك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 القُرطبيُّ بحثًا ضافيًّا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أذيَّة اللَّه بماذا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الأقوال فيها</w:t>
      </w:r>
      <w:r>
        <w:rPr>
          <w:rStyle w:val="FootnoteAnchor"/>
          <w:rtl w:val="true"/>
        </w:rPr>
        <w:footnoteReference w:id="1736"/>
      </w:r>
      <w:r>
        <w:rPr>
          <w:rFonts w:ascii="Amiri" w:hAnsi="Amiri" w:eastAsia="Amiri" w:cs="Amiri"/>
          <w:color w:val="111111"/>
          <w:sz w:val="28"/>
          <w:sz w:val="28"/>
          <w:szCs w:val="28"/>
          <w:rtl w:val="true"/>
          <w:lang w:bidi="ar-SA"/>
        </w:rPr>
        <w:t xml:space="preserve">ثمَّ ذكر أقسام أذيَّة المؤمنين </w:t>
      </w:r>
      <w:bookmarkStart w:id="617" w:name="pg20337_261656"/>
    </w:p>
    <w:p>
      <w:pPr>
        <w:pStyle w:val="BookText"/>
        <w:rPr/>
      </w:pPr>
      <w:bookmarkEnd w:id="617"/>
      <w:r>
        <w:rPr>
          <w:rFonts w:ascii="Amiri" w:hAnsi="Amiri" w:eastAsia="Amiri" w:cs="Amiri"/>
          <w:color w:val="111111"/>
          <w:sz w:val="28"/>
          <w:sz w:val="28"/>
          <w:szCs w:val="28"/>
          <w:rtl w:val="true"/>
          <w:lang w:bidi="ar-SA"/>
        </w:rPr>
        <w:t>والمؤمنات أيضًا، وبيَّن أحكامها</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قدس سره أيضًا كلامٌ رفيعٌ هيهنا</w:t>
      </w:r>
      <w:r>
        <w:rPr>
          <w:rStyle w:val="FootnoteAnchor"/>
          <w:rtl w:val="true"/>
        </w:rPr>
        <w:footnoteReference w:id="1738"/>
      </w:r>
      <w:r>
        <w:rPr>
          <w:rFonts w:ascii="Amiri" w:hAnsi="Amiri" w:eastAsia="Amiri" w:cs="Amiri"/>
          <w:color w:val="111111"/>
          <w:sz w:val="28"/>
          <w:sz w:val="28"/>
          <w:szCs w:val="28"/>
          <w:rtl w:val="true"/>
          <w:lang w:bidi="ar-SA"/>
        </w:rPr>
        <w:t>، ولغيره من المفسِّرين كسيِّدنا الأستاذ العلَّامة قدس سره</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كبار معاصرينا أيضًا؛</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والجصَّاص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أقوالٌ في تفسير المباركتين جديرةٌ بالرُّجوع إليها</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1945352_1280447820"/>
      <w:bookmarkStart w:id="619" w:name="_Toc228"/>
      <w:bookmarkEnd w:id="618"/>
      <w:r>
        <w:rPr>
          <w:rtl w:val="true"/>
        </w:rPr>
        <w:t>ثانيًا</w:t>
      </w:r>
      <w:r>
        <w:rPr>
          <w:rtl w:val="true"/>
        </w:rPr>
        <w:t xml:space="preserve">: </w:t>
      </w:r>
      <w:r>
        <w:rPr>
          <w:rtl w:val="true"/>
        </w:rPr>
        <w:t>الرِّوايات</w:t>
      </w:r>
      <w:bookmarkEnd w:id="619"/>
    </w:p>
    <w:p>
      <w:pPr>
        <w:pStyle w:val="BookText"/>
        <w:rPr/>
      </w:pPr>
      <w:r>
        <w:rPr>
          <w:rFonts w:ascii="Amiri" w:hAnsi="Amiri" w:eastAsia="Amiri" w:cs="Amiri"/>
          <w:color w:val="111111"/>
          <w:sz w:val="28"/>
          <w:sz w:val="28"/>
          <w:szCs w:val="28"/>
          <w:rtl w:val="true"/>
          <w:lang w:bidi="ar-SA"/>
        </w:rPr>
        <w:t>ومن الرِّوايات</w:t>
      </w:r>
      <w:r>
        <w:rPr>
          <w:rStyle w:val="FootnoteAnchor"/>
          <w:rtl w:val="true"/>
        </w:rPr>
        <w:footnoteReference w:id="1740"/>
      </w:r>
      <w:r>
        <w:rPr>
          <w:rFonts w:ascii="Amiri" w:hAnsi="Amiri" w:eastAsia="Amiri" w:cs="Amiri"/>
          <w:color w:val="111111"/>
          <w:sz w:val="28"/>
          <w:sz w:val="28"/>
          <w:szCs w:val="28"/>
          <w:rtl w:val="true"/>
          <w:lang w:bidi="ar-SA"/>
        </w:rPr>
        <w:t xml:space="preserve">يكفيك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أهان وليًّا فقد بارَزَني بالمحاربة</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 xml:space="preserve">، وأمثاله الكثيرة الَّتي ذكَرَ قسمًا منها الشَّيخُ النُّوريُّ المحدِّثُ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إيذاء المؤمن</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إهانة المؤمن وخذلانِه</w:t>
      </w:r>
      <w:r>
        <w:rPr>
          <w:rFonts w:eastAsia="Amiri" w:cs="Amiri" w:ascii="Amiri" w:hAnsi="Amiri"/>
          <w:color w:val="111111"/>
          <w:sz w:val="28"/>
          <w:szCs w:val="28"/>
          <w:rtl w:val="true"/>
          <w:lang w:bidi="ar-SA"/>
        </w:rPr>
        <w:t>»</w:t>
      </w:r>
      <w:r>
        <w:rPr>
          <w:rStyle w:val="FootnoteAnchor"/>
          <w:rtl w:val="true"/>
        </w:rPr>
        <w:footnoteReference w:id="17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إذلال المؤمن واحتقارِه</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 وفي غيرها من الأبواب أيضًا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الدالَّة علىٰ وجوب قتل سابِّ اللَّه والرَّسول صلى الله عليه و آله والأئمَّة </w:t>
      </w:r>
    </w:p>
    <w:p>
      <w:pPr>
        <w:pStyle w:val="BookText"/>
        <w:rPr/>
      </w:pPr>
      <w:r>
        <w:rPr>
          <w:rFonts w:ascii="Amiri" w:hAnsi="Amiri" w:eastAsia="Amiri" w:cs="Amiri"/>
          <w:color w:val="111111"/>
          <w:sz w:val="28"/>
          <w:sz w:val="28"/>
          <w:szCs w:val="28"/>
          <w:rtl w:val="true"/>
          <w:lang w:bidi="ar-SA"/>
        </w:rPr>
        <w:t xml:space="preserve">المعصومين عليهم السلام؛ وقد ذكرها الشَّيخ المحدِّثُ الحرُّ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قتلِ من سبَّ النَّبيَّ صلى الله عليه و آله أو غيرَه من الأنبياء عليهم السلام</w:t>
      </w:r>
      <w:r>
        <w:rPr>
          <w:rFonts w:eastAsia="Amiri" w:cs="Amiri" w:ascii="Amiri" w:hAnsi="Amiri"/>
          <w:color w:val="111111"/>
          <w:sz w:val="28"/>
          <w:szCs w:val="28"/>
          <w:rtl w:val="true"/>
          <w:lang w:bidi="ar-SA"/>
        </w:rPr>
        <w:t>»</w:t>
      </w:r>
      <w:r>
        <w:rPr>
          <w:rStyle w:val="FootnoteAnchor"/>
          <w:rtl w:val="true"/>
        </w:rPr>
        <w:footnoteReference w:id="17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قتل من سبَّ عليًّا عليه السلام أو غيرَه من الأئمَّة عليهم السلام</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وأورد جملةً منها عليُّ بن جعفرٍ</w:t>
      </w:r>
      <w:r>
        <w:rPr>
          <w:rStyle w:val="FootnoteAnchor"/>
          <w:rtl w:val="true"/>
        </w:rPr>
        <w:footnoteReference w:id="1747"/>
      </w:r>
      <w:r>
        <w:rPr>
          <w:rFonts w:ascii="Amiri" w:hAnsi="Amiri" w:eastAsia="Amiri" w:cs="Amiri"/>
          <w:color w:val="111111"/>
          <w:sz w:val="28"/>
          <w:sz w:val="28"/>
          <w:szCs w:val="28"/>
          <w:rtl w:val="true"/>
          <w:lang w:bidi="ar-SA"/>
        </w:rPr>
        <w:t>، والكلينيُّ قدس سره</w:t>
      </w:r>
      <w:r>
        <w:rPr>
          <w:rStyle w:val="FootnoteAnchor"/>
          <w:rtl w:val="true"/>
        </w:rPr>
        <w:footnoteReference w:id="1748"/>
      </w:r>
      <w:r>
        <w:rPr>
          <w:rFonts w:ascii="Amiri" w:hAnsi="Amiri" w:eastAsia="Amiri" w:cs="Amiri"/>
          <w:color w:val="111111"/>
          <w:sz w:val="28"/>
          <w:sz w:val="28"/>
          <w:szCs w:val="28"/>
          <w:rtl w:val="true"/>
          <w:lang w:bidi="ar-SA"/>
        </w:rPr>
        <w:t>، والشَّيخ قدس سره</w:t>
      </w:r>
      <w:r>
        <w:rPr>
          <w:rStyle w:val="FootnoteAnchor"/>
          <w:rtl w:val="true"/>
        </w:rPr>
        <w:footnoteReference w:id="1749"/>
      </w:r>
      <w:r>
        <w:rPr>
          <w:rFonts w:ascii="Amiri" w:hAnsi="Amiri" w:eastAsia="Amiri" w:cs="Amiri"/>
          <w:color w:val="111111"/>
          <w:sz w:val="28"/>
          <w:sz w:val="28"/>
          <w:szCs w:val="28"/>
          <w:rtl w:val="true"/>
          <w:lang w:bidi="ar-SA"/>
        </w:rPr>
        <w:t>، وغيرهم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السَّابَّ أنجسُ من الكلب؛ وقد روىٰ ما يدلُّ عليه الصَّدوقُ قدس سره</w:t>
      </w:r>
      <w:r>
        <w:rPr>
          <w:rStyle w:val="FootnoteAnchor"/>
          <w:rtl w:val="true"/>
        </w:rPr>
        <w:footnoteReference w:id="1750"/>
      </w:r>
      <w:r>
        <w:rPr>
          <w:rFonts w:ascii="Amiri" w:hAnsi="Amiri" w:eastAsia="Amiri" w:cs="Amiri"/>
          <w:color w:val="111111"/>
          <w:sz w:val="28"/>
          <w:sz w:val="28"/>
          <w:szCs w:val="28"/>
          <w:rtl w:val="true"/>
          <w:lang w:bidi="ar-SA"/>
        </w:rPr>
        <w:t>، والحرُّ قدس سره</w:t>
      </w:r>
      <w:r>
        <w:rPr>
          <w:rStyle w:val="FootnoteAnchor"/>
          <w:rtl w:val="true"/>
        </w:rPr>
        <w:footnoteReference w:id="1751"/>
      </w:r>
      <w:r>
        <w:rPr>
          <w:rFonts w:ascii="Amiri" w:hAnsi="Amiri" w:eastAsia="Amiri" w:cs="Amiri"/>
          <w:color w:val="111111"/>
          <w:sz w:val="28"/>
          <w:sz w:val="28"/>
          <w:szCs w:val="28"/>
          <w:rtl w:val="true"/>
          <w:lang w:bidi="ar-SA"/>
        </w:rPr>
        <w:t>، والعلَّامة المجلسيُّ قدس سره</w:t>
      </w:r>
      <w:r>
        <w:rPr>
          <w:rStyle w:val="FootnoteAnchor"/>
          <w:rtl w:val="true"/>
        </w:rPr>
        <w:footnoteReference w:id="175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الدالَّة علىٰ حرمة تلَوُّثِ المساجد؛ وقد روىٰ طائفةً منها الكلينيُّ قدس سره</w:t>
      </w:r>
      <w:r>
        <w:rPr>
          <w:rStyle w:val="FootnoteAnchor"/>
          <w:rtl w:val="true"/>
        </w:rPr>
        <w:footnoteReference w:id="1753"/>
      </w:r>
      <w:r>
        <w:rPr>
          <w:rFonts w:ascii="Amiri" w:hAnsi="Amiri" w:eastAsia="Amiri" w:cs="Amiri"/>
          <w:color w:val="111111"/>
          <w:sz w:val="28"/>
          <w:sz w:val="28"/>
          <w:szCs w:val="28"/>
          <w:rtl w:val="true"/>
          <w:lang w:bidi="ar-SA"/>
        </w:rPr>
        <w:t>، والفيضُ قدس سره</w:t>
      </w:r>
      <w:r>
        <w:rPr>
          <w:rStyle w:val="FootnoteAnchor"/>
          <w:rtl w:val="true"/>
        </w:rPr>
        <w:footnoteReference w:id="1754"/>
      </w:r>
      <w:r>
        <w:rPr>
          <w:rFonts w:ascii="Amiri" w:hAnsi="Amiri" w:eastAsia="Amiri" w:cs="Amiri"/>
          <w:color w:val="111111"/>
          <w:sz w:val="28"/>
          <w:sz w:val="28"/>
          <w:szCs w:val="28"/>
          <w:rtl w:val="true"/>
          <w:lang w:bidi="ar-SA"/>
        </w:rPr>
        <w:t>، والحرُّ قدس سره</w:t>
      </w:r>
      <w:r>
        <w:rPr>
          <w:rStyle w:val="FootnoteAnchor"/>
          <w:rtl w:val="true"/>
        </w:rPr>
        <w:footnoteReference w:id="1755"/>
      </w:r>
      <w:r>
        <w:rPr>
          <w:rFonts w:ascii="Amiri" w:hAnsi="Amiri" w:eastAsia="Amiri" w:cs="Amiri"/>
          <w:color w:val="111111"/>
          <w:sz w:val="28"/>
          <w:sz w:val="28"/>
          <w:szCs w:val="28"/>
          <w:rtl w:val="true"/>
          <w:lang w:bidi="ar-SA"/>
        </w:rPr>
        <w:t xml:space="preserve">وغيرهم؛ ولذلك قد ادَّعىٰ جمعٌ من الفقهاء ثبوتَ الإجماع علىٰ وجوب إزالة النِّجاسة عن المساجد، كما عن </w:t>
      </w:r>
    </w:p>
    <w:p>
      <w:pPr>
        <w:pStyle w:val="BookText"/>
        <w:rPr/>
      </w:pPr>
      <w:r>
        <w:rPr>
          <w:rFonts w:ascii="Amiri" w:hAnsi="Amiri" w:eastAsia="Amiri" w:cs="Amiri"/>
          <w:color w:val="111111"/>
          <w:sz w:val="28"/>
          <w:sz w:val="28"/>
          <w:szCs w:val="28"/>
          <w:rtl w:val="true"/>
          <w:lang w:bidi="ar-SA"/>
        </w:rPr>
        <w:t>الشَّيخ قدس سره</w:t>
      </w:r>
      <w:r>
        <w:rPr>
          <w:rStyle w:val="FootnoteAnchor"/>
          <w:rtl w:val="true"/>
        </w:rPr>
        <w:footnoteReference w:id="1756"/>
      </w:r>
      <w:r>
        <w:rPr>
          <w:rFonts w:ascii="Amiri" w:hAnsi="Amiri" w:eastAsia="Amiri" w:cs="Amiri"/>
          <w:color w:val="111111"/>
          <w:sz w:val="28"/>
          <w:sz w:val="28"/>
          <w:szCs w:val="28"/>
          <w:rtl w:val="true"/>
          <w:lang w:bidi="ar-SA"/>
        </w:rPr>
        <w:t>، وابن إدريس قدس سره</w:t>
      </w:r>
      <w:r>
        <w:rPr>
          <w:rStyle w:val="FootnoteAnchor"/>
          <w:rtl w:val="true"/>
        </w:rPr>
        <w:footnoteReference w:id="1757"/>
      </w:r>
      <w:r>
        <w:rPr>
          <w:rFonts w:ascii="Amiri" w:hAnsi="Amiri" w:eastAsia="Amiri" w:cs="Amiri"/>
          <w:color w:val="111111"/>
          <w:sz w:val="28"/>
          <w:sz w:val="28"/>
          <w:szCs w:val="28"/>
          <w:rtl w:val="true"/>
          <w:lang w:bidi="ar-SA"/>
        </w:rPr>
        <w:t>، والعلَّامة قدس سره</w:t>
      </w:r>
      <w:r>
        <w:rPr>
          <w:rStyle w:val="FootnoteAnchor"/>
          <w:rtl w:val="true"/>
        </w:rPr>
        <w:footnoteReference w:id="1758"/>
      </w:r>
      <w:r>
        <w:rPr>
          <w:rFonts w:ascii="Amiri" w:hAnsi="Amiri" w:eastAsia="Amiri" w:cs="Amiri"/>
          <w:color w:val="111111"/>
          <w:sz w:val="28"/>
          <w:sz w:val="28"/>
          <w:szCs w:val="28"/>
          <w:rtl w:val="true"/>
          <w:lang w:bidi="ar-SA"/>
        </w:rPr>
        <w:t>، والفيض قدس سره</w:t>
      </w:r>
      <w:r>
        <w:rPr>
          <w:rStyle w:val="FootnoteAnchor"/>
          <w:rtl w:val="true"/>
        </w:rPr>
        <w:footnoteReference w:id="1759"/>
      </w:r>
      <w:r>
        <w:rPr>
          <w:rFonts w:ascii="Amiri" w:hAnsi="Amiri" w:eastAsia="Amiri" w:cs="Amiri"/>
          <w:color w:val="111111"/>
          <w:sz w:val="28"/>
          <w:sz w:val="28"/>
          <w:szCs w:val="28"/>
          <w:rtl w:val="true"/>
          <w:lang w:bidi="ar-SA"/>
        </w:rPr>
        <w:t>، والشَّهيد قدس سره</w:t>
      </w:r>
      <w:r>
        <w:rPr>
          <w:rStyle w:val="FootnoteAnchor"/>
          <w:rtl w:val="true"/>
        </w:rPr>
        <w:footnoteReference w:id="1760"/>
      </w:r>
      <w:r>
        <w:rPr>
          <w:rFonts w:ascii="Amiri" w:hAnsi="Amiri" w:eastAsia="Amiri" w:cs="Amiri"/>
          <w:color w:val="111111"/>
          <w:sz w:val="28"/>
          <w:sz w:val="28"/>
          <w:szCs w:val="28"/>
          <w:rtl w:val="true"/>
          <w:lang w:bidi="ar-SA"/>
        </w:rPr>
        <w:t>، والسَّبزواري قدس سره</w:t>
      </w:r>
      <w:r>
        <w:rPr>
          <w:rStyle w:val="FootnoteAnchor"/>
          <w:rtl w:val="true"/>
        </w:rPr>
        <w:footnoteReference w:id="1761"/>
      </w:r>
      <w:r>
        <w:rPr>
          <w:rFonts w:ascii="Amiri" w:hAnsi="Amiri" w:eastAsia="Amiri" w:cs="Amiri"/>
          <w:color w:val="111111"/>
          <w:sz w:val="28"/>
          <w:sz w:val="28"/>
          <w:szCs w:val="28"/>
          <w:rtl w:val="true"/>
          <w:lang w:bidi="ar-SA"/>
        </w:rPr>
        <w:t>، وغيرهم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التَّلوُّث في الحَرَمين يوجب القتلَ‌؛ أو الضَّرب ضرْبًا شديدًا، كما رواه الكلينيُّ قدس سره</w:t>
      </w:r>
      <w:r>
        <w:rPr>
          <w:rStyle w:val="FootnoteAnchor"/>
          <w:rtl w:val="true"/>
        </w:rPr>
        <w:footnoteReference w:id="1762"/>
      </w:r>
      <w:r>
        <w:rPr>
          <w:rFonts w:ascii="Amiri" w:hAnsi="Amiri" w:eastAsia="Amiri" w:cs="Amiri"/>
          <w:color w:val="111111"/>
          <w:sz w:val="28"/>
          <w:sz w:val="28"/>
          <w:szCs w:val="28"/>
          <w:rtl w:val="true"/>
          <w:lang w:bidi="ar-SA"/>
        </w:rPr>
        <w:t>، والشَّيخُ قدس سره</w:t>
      </w:r>
      <w:r>
        <w:rPr>
          <w:rStyle w:val="FootnoteAnchor"/>
          <w:rtl w:val="true"/>
        </w:rPr>
        <w:footnoteReference w:id="1763"/>
      </w:r>
      <w:r>
        <w:rPr>
          <w:rFonts w:ascii="Amiri" w:hAnsi="Amiri" w:eastAsia="Amiri" w:cs="Amiri"/>
          <w:color w:val="111111"/>
          <w:sz w:val="28"/>
          <w:sz w:val="28"/>
          <w:szCs w:val="28"/>
          <w:rtl w:val="true"/>
          <w:lang w:bidi="ar-SA"/>
        </w:rPr>
        <w:t>، والفيضُ قدس سره</w:t>
      </w:r>
      <w:r>
        <w:rPr>
          <w:rStyle w:val="FootnoteAnchor"/>
          <w:rtl w:val="true"/>
        </w:rPr>
        <w:footnoteReference w:id="1764"/>
      </w:r>
      <w:r>
        <w:rPr>
          <w:rFonts w:ascii="Amiri" w:hAnsi="Amiri" w:eastAsia="Amiri" w:cs="Amiri"/>
          <w:color w:val="111111"/>
          <w:sz w:val="28"/>
          <w:sz w:val="28"/>
          <w:szCs w:val="28"/>
          <w:rtl w:val="true"/>
          <w:lang w:bidi="ar-SA"/>
        </w:rPr>
        <w:t>، والحرُّ قدس سره</w:t>
      </w:r>
      <w:r>
        <w:rPr>
          <w:rStyle w:val="FootnoteAnchor"/>
          <w:rtl w:val="true"/>
        </w:rPr>
        <w:footnoteReference w:id="1765"/>
      </w:r>
      <w:r>
        <w:rPr>
          <w:rFonts w:ascii="Amiri" w:hAnsi="Amiri" w:eastAsia="Amiri" w:cs="Amiri"/>
          <w:color w:val="111111"/>
          <w:sz w:val="28"/>
          <w:sz w:val="28"/>
          <w:szCs w:val="28"/>
          <w:rtl w:val="true"/>
          <w:lang w:bidi="ar-SA"/>
        </w:rPr>
        <w:t>وقد عقد لهذا الحكم الشَّيخُ الحُرُّ بابًا في جامعه</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الدالَّة علىٰ حرمة سبِّ المؤمن ولوكان ميِّتًا؛ وقد عقد لها الشَّيخُ الحرُّ قدس سره</w:t>
      </w:r>
      <w:r>
        <w:rPr>
          <w:rStyle w:val="FootnoteAnchor"/>
          <w:rtl w:val="true"/>
        </w:rPr>
        <w:footnoteReference w:id="1767"/>
      </w:r>
      <w:r>
        <w:rPr>
          <w:rFonts w:ascii="Amiri" w:hAnsi="Amiri" w:eastAsia="Amiri" w:cs="Amiri"/>
          <w:color w:val="111111"/>
          <w:sz w:val="28"/>
          <w:sz w:val="28"/>
          <w:szCs w:val="28"/>
          <w:rtl w:val="true"/>
          <w:lang w:bidi="ar-SA"/>
        </w:rPr>
        <w:t>والشَّيخ المحدِّثُ النُّوريُّ قدس سره</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الفقهيَّة،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بابًا ذكَرا فيه ما روياه في هذا المعنىٰ‌</w:t>
      </w:r>
      <w:r>
        <w:rPr>
          <w:rFonts w:eastAsia="Amiri" w:cs="Amiri" w:ascii="Amiri" w:hAnsi="Amiri"/>
          <w:color w:val="111111"/>
          <w:sz w:val="28"/>
          <w:szCs w:val="28"/>
          <w:rtl w:val="true"/>
          <w:lang w:bidi="ar-SA"/>
        </w:rPr>
        <w:t>.</w:t>
      </w:r>
      <w:bookmarkStart w:id="620" w:name="pg20337_261659"/>
    </w:p>
    <w:p>
      <w:pPr>
        <w:pStyle w:val="BookText"/>
        <w:rPr/>
      </w:pPr>
      <w:bookmarkEnd w:id="620"/>
      <w:r>
        <w:rPr>
          <w:rFonts w:ascii="Amiri" w:hAnsi="Amiri" w:eastAsia="Amiri" w:cs="Amiri"/>
          <w:color w:val="111111"/>
          <w:sz w:val="28"/>
          <w:sz w:val="28"/>
          <w:szCs w:val="28"/>
          <w:rtl w:val="true"/>
          <w:lang w:bidi="ar-SA"/>
        </w:rPr>
        <w:t>ومن العقل فسيرة العقلاء الَّتي ثبتَتْ من إرتكازهم وإجماعهم علىٰ حرمة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 الشَّخص أو الشَّيء أعظم وأقدس، كانت الحرمة أعظم وأشدَّ، حتَّى جوَّزُوا القتلَ والزَّجر والضَّرب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الحُرُمات، كالإهانة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وبرسوله صلى الله عليه و آله، وبالمعصومين عليهم السلام من ذرِّيَته، كما ورد في الرِّوايات من أنَّه مرتدٌّ يجب قتلُه علىٰ جميع المؤمنين من غير حاجةٍ فيه إلى حكم الحاكم</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ولذلك قد حكم المحقِّقُ الأردبيليُّ قدس سره بحرمة تنجيس أسماء المعصومين عليهم السلام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يُكَفَّرُ الفاعلُ لوفعَلَه علىٰ طريق الإهانة، ولاشكَّ فيه</w:t>
      </w:r>
      <w:r>
        <w:rPr>
          <w:rFonts w:eastAsia="Amiri" w:cs="Amiri" w:ascii="Amiri" w:hAnsi="Amiri"/>
          <w:color w:val="111111"/>
          <w:sz w:val="28"/>
          <w:szCs w:val="28"/>
          <w:rtl w:val="true"/>
          <w:lang w:bidi="ar-SA"/>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11945354_1280447820"/>
      <w:bookmarkStart w:id="622" w:name="_Toc229"/>
      <w:bookmarkEnd w:id="621"/>
      <w:r>
        <w:rPr>
          <w:rtl w:val="true"/>
        </w:rPr>
        <w:t>ثالثًا</w:t>
      </w:r>
      <w:r>
        <w:rPr>
          <w:rtl w:val="true"/>
        </w:rPr>
        <w:t xml:space="preserve">: </w:t>
      </w:r>
      <w:r>
        <w:rPr>
          <w:rtl w:val="true"/>
        </w:rPr>
        <w:t>الإجماع</w:t>
      </w:r>
      <w:bookmarkEnd w:id="622"/>
    </w:p>
    <w:p>
      <w:pPr>
        <w:pStyle w:val="BookText"/>
        <w:rPr/>
      </w:pPr>
      <w:r>
        <w:rPr>
          <w:rFonts w:ascii="Amiri" w:hAnsi="Amiri" w:eastAsia="Amiri" w:cs="Amiri"/>
          <w:color w:val="111111"/>
          <w:sz w:val="28"/>
          <w:sz w:val="28"/>
          <w:szCs w:val="28"/>
          <w:rtl w:val="true"/>
          <w:lang w:bidi="ar-SA"/>
        </w:rPr>
        <w:t>ومن الإجماع فإنَّ المُسلَّم في أبوابٍ مختلفةٍ من الفقه حرمةُ ذلك؛ كالإجماع المنعَقَد علىٰ حرمة الاِستنجاء بالطَّعام؛ وقد حُكِي عن المعتبر أنَّ له حرمةً تمنع عن الاِستهانة به؛ و قد حكاه عنه المحقِّق السَّبزواريُّ قدس سره</w:t>
      </w:r>
      <w:r>
        <w:rPr>
          <w:rStyle w:val="FootnoteAnchor"/>
          <w:rtl w:val="true"/>
        </w:rPr>
        <w:footnoteReference w:id="177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 علىٰ حرمة الاِستنجاء به يُوجَد عنده، وعند المحقِّق الخوانساريِّ قدس سره</w:t>
      </w:r>
      <w:r>
        <w:rPr>
          <w:rStyle w:val="FootnoteAnchor"/>
          <w:rtl w:val="true"/>
        </w:rPr>
        <w:footnoteReference w:id="1772"/>
      </w:r>
      <w:r>
        <w:rPr>
          <w:rFonts w:ascii="IRNazanin" w:hAnsi="IRNazanin" w:eastAsia="IRNazanin"/>
          <w:color w:val="111111"/>
          <w:sz w:val="28"/>
          <w:sz w:val="28"/>
          <w:szCs w:val="28"/>
          <w:rtl w:val="true"/>
          <w:lang w:bidi="fa-IR"/>
        </w:rPr>
        <w:t xml:space="preserve">، </w:t>
      </w:r>
      <w:bookmarkStart w:id="623" w:name="pg20337_261660"/>
    </w:p>
    <w:p>
      <w:pPr>
        <w:pStyle w:val="BookText"/>
        <w:rPr/>
      </w:pPr>
      <w:bookmarkEnd w:id="623"/>
      <w:r>
        <w:rPr>
          <w:rFonts w:ascii="Amiri" w:hAnsi="Amiri" w:eastAsia="Amiri" w:cs="Amiri"/>
          <w:color w:val="111111"/>
          <w:sz w:val="28"/>
          <w:sz w:val="28"/>
          <w:szCs w:val="28"/>
          <w:rtl w:val="true"/>
          <w:lang w:bidi="ar-SA"/>
        </w:rPr>
        <w:t>وأوَّل النَّراقيَّين قدس سرهما</w:t>
      </w:r>
      <w:r>
        <w:rPr>
          <w:rStyle w:val="FootnoteAnchor"/>
          <w:rtl w:val="true"/>
        </w:rPr>
        <w:footnoteReference w:id="1773"/>
      </w:r>
      <w:r>
        <w:rPr>
          <w:rFonts w:ascii="Amiri" w:hAnsi="Amiri" w:eastAsia="Amiri" w:cs="Amiri"/>
          <w:color w:val="111111"/>
          <w:sz w:val="28"/>
          <w:sz w:val="28"/>
          <w:szCs w:val="28"/>
          <w:rtl w:val="true"/>
          <w:lang w:bidi="ar-SA"/>
        </w:rPr>
        <w:t>، والشَّيخ الأعظم الأنصاريِّ قدس سره</w:t>
      </w:r>
      <w:r>
        <w:rPr>
          <w:rStyle w:val="FootnoteAnchor"/>
          <w:rtl w:val="true"/>
        </w:rPr>
        <w:footnoteReference w:id="1774"/>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1775"/>
      </w:r>
      <w:r>
        <w:rPr>
          <w:rFonts w:ascii="Amiri" w:hAnsi="Amiri" w:eastAsia="Amiri" w:cs="Amiri"/>
          <w:color w:val="111111"/>
          <w:sz w:val="28"/>
          <w:sz w:val="28"/>
          <w:szCs w:val="28"/>
          <w:rtl w:val="true"/>
          <w:lang w:bidi="ar-SA"/>
        </w:rPr>
        <w:t>، والسَّيِّد الفقيه الخوئيِّ قدس سره</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وكالإجماع أو حكاية عدم الخلاف في حرمة الاِستناد إلى القبر أو المَشي عليه، كما ذكره العلَّامةُ قدس سره</w:t>
      </w:r>
      <w:r>
        <w:rPr>
          <w:rStyle w:val="FootnoteAnchor"/>
          <w:rtl w:val="true"/>
        </w:rPr>
        <w:footnoteReference w:id="1777"/>
      </w:r>
      <w:r>
        <w:rPr>
          <w:rFonts w:ascii="Amiri" w:hAnsi="Amiri" w:eastAsia="Amiri" w:cs="Amiri"/>
          <w:color w:val="111111"/>
          <w:sz w:val="28"/>
          <w:sz w:val="28"/>
          <w:szCs w:val="28"/>
          <w:rtl w:val="true"/>
          <w:lang w:bidi="ar-SA"/>
        </w:rPr>
        <w:t>، والمحقِّقُ قدس سره</w:t>
      </w:r>
      <w:r>
        <w:rPr>
          <w:rStyle w:val="FootnoteAnchor"/>
          <w:rtl w:val="true"/>
        </w:rPr>
        <w:footnoteReference w:id="1778"/>
      </w:r>
      <w:r>
        <w:rPr>
          <w:rFonts w:ascii="Amiri" w:hAnsi="Amiri" w:eastAsia="Amiri" w:cs="Amiri"/>
          <w:color w:val="111111"/>
          <w:sz w:val="28"/>
          <w:sz w:val="28"/>
          <w:szCs w:val="28"/>
          <w:rtl w:val="true"/>
          <w:lang w:bidi="ar-SA"/>
        </w:rPr>
        <w:t>، والفقيه السَّيِّد العامليُّ قدس سره</w:t>
      </w:r>
      <w:r>
        <w:rPr>
          <w:rStyle w:val="FootnoteAnchor"/>
          <w:rtl w:val="true"/>
        </w:rPr>
        <w:footnoteReference w:id="1779"/>
      </w:r>
      <w:r>
        <w:rPr>
          <w:rFonts w:ascii="Amiri" w:hAnsi="Amiri" w:eastAsia="Amiri" w:cs="Amiri"/>
          <w:color w:val="111111"/>
          <w:sz w:val="28"/>
          <w:sz w:val="28"/>
          <w:szCs w:val="28"/>
          <w:rtl w:val="true"/>
          <w:lang w:bidi="ar-SA"/>
        </w:rPr>
        <w:t>، والشَّهيدُ قدس سره</w:t>
      </w:r>
      <w:r>
        <w:rPr>
          <w:rStyle w:val="FootnoteAnchor"/>
          <w:rtl w:val="true"/>
        </w:rPr>
        <w:footnoteReference w:id="1780"/>
      </w:r>
      <w:r>
        <w:rPr>
          <w:rFonts w:ascii="Amiri" w:hAnsi="Amiri" w:eastAsia="Amiri" w:cs="Amiri"/>
          <w:color w:val="111111"/>
          <w:sz w:val="28"/>
          <w:sz w:val="28"/>
          <w:szCs w:val="28"/>
          <w:rtl w:val="true"/>
          <w:lang w:bidi="ar-SA"/>
        </w:rPr>
        <w:t>وقد علَّله الفقيه النَّجفيُّ قدس سره بأنَّ فيهما الاِستهانةَ بالميِّت</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أيضًا إلى ما ذكره المحقِّقان البجنورديُّ قدس سره</w:t>
      </w:r>
      <w:r>
        <w:rPr>
          <w:rStyle w:val="FootnoteAnchor"/>
          <w:rtl w:val="true"/>
        </w:rPr>
        <w:footnoteReference w:id="1782"/>
      </w:r>
      <w:r>
        <w:rPr>
          <w:rFonts w:ascii="Amiri" w:hAnsi="Amiri" w:eastAsia="Amiri" w:cs="Amiri"/>
          <w:color w:val="111111"/>
          <w:sz w:val="28"/>
          <w:sz w:val="28"/>
          <w:szCs w:val="28"/>
          <w:rtl w:val="true"/>
          <w:lang w:bidi="ar-SA"/>
        </w:rPr>
        <w:t>والمراغيُّ قدس سره</w:t>
      </w:r>
      <w:r>
        <w:rPr>
          <w:rStyle w:val="FootnoteAnchor"/>
          <w:rtl w:val="true"/>
        </w:rPr>
        <w:footnoteReference w:id="1783"/>
      </w:r>
      <w:r>
        <w:rPr>
          <w:rFonts w:ascii="Amiri" w:hAnsi="Amiri" w:eastAsia="Amiri" w:cs="Amiri"/>
          <w:color w:val="111111"/>
          <w:sz w:val="28"/>
          <w:sz w:val="28"/>
          <w:szCs w:val="28"/>
          <w:rtl w:val="true"/>
          <w:lang w:bidi="ar-SA"/>
        </w:rPr>
        <w:t>في هذا المضمار</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1945356_1280447820"/>
      <w:bookmarkStart w:id="625" w:name="_Toc230"/>
      <w:bookmarkEnd w:id="624"/>
      <w:r>
        <w:rPr>
          <w:rtl w:val="true"/>
        </w:rPr>
        <w:t>رابعًا</w:t>
      </w:r>
      <w:r>
        <w:rPr>
          <w:rtl w:val="true"/>
        </w:rPr>
        <w:t xml:space="preserve">: </w:t>
      </w:r>
      <w:r>
        <w:rPr>
          <w:rtl w:val="true"/>
        </w:rPr>
        <w:t>العقل</w:t>
      </w:r>
      <w:bookmarkEnd w:id="62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المسألة من ضروريَّات العقل</w:t>
      </w:r>
      <w:r>
        <w:rPr>
          <w:rStyle w:val="FootnoteAnchor"/>
          <w:rtl w:val="true"/>
        </w:rPr>
        <w:footnoteReference w:id="1784"/>
      </w:r>
      <w:r>
        <w:rPr>
          <w:rFonts w:ascii="Amiri" w:hAnsi="Amiri" w:eastAsia="Amiri" w:cs="Amiri"/>
          <w:color w:val="111111"/>
          <w:sz w:val="28"/>
          <w:sz w:val="28"/>
          <w:szCs w:val="28"/>
          <w:rtl w:val="true"/>
          <w:lang w:bidi="ar-SA"/>
        </w:rPr>
        <w:t xml:space="preserve">، فالآيات والأحاديث الشَّريفة </w:t>
      </w:r>
      <w:bookmarkStart w:id="626" w:name="pg20337_261661"/>
    </w:p>
    <w:p>
      <w:pPr>
        <w:pStyle w:val="BookText"/>
        <w:rPr/>
      </w:pPr>
      <w:bookmarkEnd w:id="626"/>
      <w:r>
        <w:rPr>
          <w:rFonts w:ascii="Amiri" w:hAnsi="Amiri" w:eastAsia="Amiri" w:cs="Amiri"/>
          <w:color w:val="111111"/>
          <w:sz w:val="28"/>
          <w:sz w:val="28"/>
          <w:szCs w:val="28"/>
          <w:rtl w:val="true"/>
          <w:lang w:bidi="ar-SA"/>
        </w:rPr>
        <w:t>والسِّيرة والإجماع كلُّها تنشأ من هذا الحكم العقليِّ‌، فهي إمضاءٌ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والضَّرورة الفقهيَّة أيضًا تدلُّ عليه، وهي واضحةٌ لمَن أمعَنَ النَّظر في مسفورات الفقهاء</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وهيهنا تنبيهاتٌ‌</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1945358_1280447820"/>
      <w:bookmarkStart w:id="628" w:name="_Toc231"/>
      <w:bookmarkEnd w:id="627"/>
      <w:r>
        <w:rPr>
          <w:rtl w:val="true"/>
        </w:rPr>
        <w:t>تنبيهاتٌ‌</w:t>
      </w:r>
      <w:r>
        <w:rPr>
          <w:rtl w:val="true"/>
        </w:rPr>
        <w:t>:</w:t>
      </w:r>
      <w:bookmarkEnd w:id="628"/>
    </w:p>
    <w:p>
      <w:pPr>
        <w:pStyle w:val="Heading4"/>
        <w:numPr>
          <w:ilvl w:val="3"/>
          <w:numId w:val="1"/>
        </w:numPr>
        <w:rPr/>
      </w:pPr>
      <w:bookmarkStart w:id="629" w:name="__RefHeading___Toc11945360_1280447820"/>
      <w:bookmarkStart w:id="630" w:name="_Toc232"/>
      <w:bookmarkEnd w:id="629"/>
      <w:r>
        <w:rPr>
          <w:rtl w:val="true"/>
        </w:rPr>
        <w:t>التَّنبيه الأوَّل</w:t>
      </w:r>
      <w:r>
        <w:rPr>
          <w:rtl w:val="true"/>
        </w:rPr>
        <w:t>:</w:t>
      </w:r>
      <w:bookmarkEnd w:id="630"/>
    </w:p>
    <w:p>
      <w:pPr>
        <w:pStyle w:val="BookText"/>
        <w:rPr/>
      </w:pPr>
      <w:r>
        <w:rPr>
          <w:rFonts w:ascii="Amiri" w:hAnsi="Amiri" w:eastAsia="Amiri" w:cs="Amiri"/>
          <w:color w:val="111111"/>
          <w:sz w:val="28"/>
          <w:sz w:val="28"/>
          <w:szCs w:val="28"/>
          <w:rtl w:val="true"/>
          <w:lang w:bidi="ar-SA"/>
        </w:rPr>
        <w:t xml:space="preserve">إنَّ الإهانة والتَّعظيم ليس من باب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هما من باب الضِّدَّين، ضرورةَ أنَّ كثيرًا من عدم التَّعظيم لايكون من باب الإهانة، وكثيرًا من عدم الإهانة لايكون بتعظيمٍ‌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فالتَّعظيم أمرٌ مستقلٌّ لاربط بينه وبين الإهانة، والإهانة أمرٌ غير مربوطٍ بالتَّعظيم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ضدَّان لأنَّهما أمران لايجتمعان ويطردُ كلٌّ منهما الآخر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786"/>
      </w:r>
      <w:r>
        <w:rPr>
          <w:rFonts w:ascii="Amiri" w:hAnsi="Amiri" w:eastAsia="Amiri" w:cs="Amiri"/>
          <w:color w:val="111111"/>
          <w:sz w:val="28"/>
          <w:sz w:val="28"/>
          <w:szCs w:val="28"/>
          <w:rtl w:val="true"/>
          <w:lang w:bidi="ar-SA"/>
        </w:rPr>
        <w:t>تدلُّ علىٰ حرمة إهانة شعائر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ذكره الوحيدُ الفريدُ قدس سره</w:t>
      </w:r>
      <w:r>
        <w:rPr>
          <w:rStyle w:val="FootnoteAnchor"/>
          <w:rtl w:val="true"/>
        </w:rPr>
        <w:footnoteReference w:id="1787"/>
      </w:r>
      <w:r>
        <w:rPr>
          <w:rFonts w:ascii="Amiri" w:hAnsi="Amiri" w:eastAsia="Amiri" w:cs="Amiri"/>
          <w:color w:val="111111"/>
          <w:sz w:val="28"/>
          <w:sz w:val="28"/>
          <w:szCs w:val="28"/>
          <w:rtl w:val="true"/>
          <w:lang w:bidi="ar-SA"/>
        </w:rPr>
        <w:t>، والسَّيِّد الحسنيُّ شُبَّر قدس سره</w:t>
      </w:r>
      <w:r>
        <w:rPr>
          <w:rStyle w:val="FootnoteAnchor"/>
          <w:rtl w:val="true"/>
        </w:rPr>
        <w:footnoteReference w:id="1788"/>
      </w:r>
      <w:r>
        <w:rPr>
          <w:rFonts w:ascii="Amiri" w:hAnsi="Amiri" w:eastAsia="Amiri" w:cs="Amiri"/>
          <w:color w:val="111111"/>
          <w:sz w:val="28"/>
          <w:sz w:val="28"/>
          <w:szCs w:val="28"/>
          <w:rtl w:val="true"/>
          <w:lang w:bidi="ar-SA"/>
        </w:rPr>
        <w:t>، وغيرهم</w:t>
      </w:r>
      <w:r>
        <w:rPr>
          <w:rStyle w:val="FootnoteAnchor"/>
          <w:rtl w:val="true"/>
        </w:rPr>
        <w:footnoteReference w:id="1789"/>
      </w:r>
      <w:r>
        <w:rPr>
          <w:rFonts w:ascii="Amiri" w:hAnsi="Amiri" w:eastAsia="Amiri" w:cs="Amiri"/>
          <w:color w:val="111111"/>
          <w:sz w:val="28"/>
          <w:sz w:val="28"/>
          <w:szCs w:val="28"/>
          <w:rtl w:val="true"/>
          <w:lang w:bidi="ar-SA"/>
        </w:rPr>
        <w:t xml:space="preserve">ولم أجِد من مفسِّري فريقين من أشار إلى هذا </w:t>
      </w:r>
      <w:bookmarkStart w:id="631" w:name="pg20337_261662"/>
    </w:p>
    <w:p>
      <w:pPr>
        <w:pStyle w:val="BookText"/>
        <w:rPr/>
      </w:pPr>
      <w:bookmarkEnd w:id="631"/>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لقاعدة أنَّ الأمر بالشَّيء يقتضي النَّهي عن ضدِّه العامِّ‌، لأنَّ ضدَّ الإهانة العامَّ هو التَّعظيم؛</w:t>
      </w:r>
    </w:p>
    <w:p>
      <w:pPr>
        <w:pStyle w:val="BookText"/>
        <w:rPr/>
      </w:pPr>
      <w:r>
        <w:rPr>
          <w:rFonts w:ascii="Amiri" w:hAnsi="Amiri" w:eastAsia="Amiri" w:cs="Amiri"/>
          <w:color w:val="111111"/>
          <w:sz w:val="28"/>
          <w:sz w:val="28"/>
          <w:szCs w:val="28"/>
          <w:rtl w:val="true"/>
          <w:lang w:bidi="ar-SA"/>
        </w:rPr>
        <w:t>ليس بسديدٍ،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الأمر بالشَّيء هو الأمر بهذا الشَّيء فقط، ولايقتضي النَّهي عن تركه، ولا عن ضدِّه</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إنَّ الإهانة ليست هي عدم التَّعظيم، بل هي ضدُّ التَّعظيم</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11945362_1280447820"/>
      <w:bookmarkStart w:id="633" w:name="_Toc233"/>
      <w:bookmarkEnd w:id="632"/>
      <w:r>
        <w:rPr>
          <w:rtl w:val="true"/>
        </w:rPr>
        <w:t>التَّنبيه الثَّاني</w:t>
      </w:r>
      <w:r>
        <w:rPr>
          <w:rtl w:val="true"/>
        </w:rPr>
        <w:t>:</w:t>
      </w:r>
      <w:bookmarkEnd w:id="633"/>
    </w:p>
    <w:p>
      <w:pPr>
        <w:pStyle w:val="BookText"/>
        <w:rPr/>
      </w:pPr>
      <w:r>
        <w:rPr>
          <w:rFonts w:ascii="Amiri" w:hAnsi="Amiri" w:eastAsia="Amiri" w:cs="Amiri"/>
          <w:color w:val="111111"/>
          <w:sz w:val="28"/>
          <w:sz w:val="28"/>
          <w:szCs w:val="28"/>
          <w:rtl w:val="true"/>
          <w:lang w:bidi="ar-SA"/>
        </w:rPr>
        <w:t>إنَّ الإهانة كالتَّعظيم من العناوين القَصديَّة، وأنَّها لاتتحقَّق إلَّابالقصد؛ كما ذكره المحقِّق الكبير الشَّيخ الحلِّي قدس سره</w:t>
      </w:r>
      <w:r>
        <w:rPr>
          <w:rStyle w:val="FootnoteAnchor"/>
          <w:rtl w:val="true"/>
        </w:rPr>
        <w:footnoteReference w:id="1792"/>
      </w:r>
      <w:r>
        <w:rPr>
          <w:rFonts w:ascii="Amiri" w:hAnsi="Amiri" w:eastAsia="Amiri" w:cs="Amiri"/>
          <w:color w:val="111111"/>
          <w:sz w:val="28"/>
          <w:sz w:val="28"/>
          <w:szCs w:val="28"/>
          <w:rtl w:val="true"/>
          <w:lang w:bidi="ar-SA"/>
        </w:rPr>
        <w:t>، وسيِّدُنا الأستاذ الإمام الخمينيُّ قدس سره</w:t>
      </w:r>
      <w:r>
        <w:rPr>
          <w:rStyle w:val="FootnoteAnchor"/>
          <w:rtl w:val="true"/>
        </w:rPr>
        <w:footnoteReference w:id="1793"/>
      </w:r>
      <w:r>
        <w:rPr>
          <w:rFonts w:ascii="Amiri" w:hAnsi="Amiri" w:eastAsia="Amiri" w:cs="Amiri"/>
          <w:color w:val="111111"/>
          <w:sz w:val="28"/>
          <w:sz w:val="28"/>
          <w:szCs w:val="28"/>
          <w:rtl w:val="true"/>
          <w:lang w:bidi="ar-SA"/>
        </w:rPr>
        <w:t>، والسَّيِّد الفقيه الخوئيُّ قدس سره</w:t>
      </w:r>
      <w:r>
        <w:rPr>
          <w:rStyle w:val="FootnoteAnchor"/>
          <w:rtl w:val="true"/>
        </w:rPr>
        <w:footnoteReference w:id="1794"/>
      </w:r>
      <w:r>
        <w:rPr>
          <w:rFonts w:ascii="Amiri" w:hAnsi="Amiri" w:eastAsia="Amiri" w:cs="Amiri"/>
          <w:color w:val="111111"/>
          <w:sz w:val="28"/>
          <w:sz w:val="28"/>
          <w:szCs w:val="28"/>
          <w:rtl w:val="true"/>
          <w:lang w:bidi="ar-SA"/>
        </w:rPr>
        <w:t>، وغيرهم</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المنتظريِّ‌؛</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والسَّيِّد الخلخاليِّ‌؛</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الإجارة،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20337_261663"/>
    </w:p>
    <w:p>
      <w:pPr>
        <w:pStyle w:val="BookText"/>
        <w:rPr/>
      </w:pPr>
      <w:bookmarkEnd w:id="634"/>
      <w:r>
        <w:rPr>
          <w:rFonts w:ascii="Amiri" w:hAnsi="Amiri" w:eastAsia="Amiri" w:cs="Amiri"/>
          <w:color w:val="111111"/>
          <w:sz w:val="28"/>
          <w:sz w:val="28"/>
          <w:szCs w:val="28"/>
          <w:rtl w:val="true"/>
          <w:lang w:bidi="ar-SA"/>
        </w:rPr>
        <w:t>فما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مراتبها يُوجَد وإن لم يُقصد، كالسُّجود والسَّبِّ‌</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ليس بسديدٍ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السُّجود ما لم يُقصَد به التَّعبُّد لايُوجَد فيه تعظيمٌ أصلًا، وكذلك السَّبُّ ونحو ذلك ما لم يُقصَد به التَّوهين لايُوجِب الوهنَ‌، بل ربَّما يُوجَد تعظيمٌ‌، كسبِّ العاشق معشوقَه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التَّعظيم والإهانة من الأمور القصدية، ولايتحقَّق ذلك إلَّابالقصد</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1945364_1280447820"/>
      <w:bookmarkStart w:id="636" w:name="_Toc234"/>
      <w:bookmarkEnd w:id="635"/>
      <w:r>
        <w:rPr>
          <w:rtl w:val="true"/>
        </w:rPr>
        <w:t>أمثلةٌ لاستعمال القاعدة في الفقه</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جعفرٌ كاشف الغطاء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من الأشياء المحترمة كخشب الضرائح المقدَّسة وترابِها وتراب قبور النَّبيِّ صلى الله عليه و آله والأئمَّة عليهم السلام وتراب الكعبة، وهذه يجب احترامُها لنفسها، فلاتُلَوَّثُ بنجاسةٍ ويجب إزالتُها عنها</w:t>
      </w:r>
      <w:r>
        <w:rPr>
          <w:rFonts w:eastAsia="Amiri" w:cs="Amiri" w:ascii="Amiri" w:hAnsi="Amiri"/>
          <w:color w:val="111111"/>
          <w:sz w:val="28"/>
          <w:szCs w:val="28"/>
          <w:rtl w:val="true"/>
          <w:lang w:bidi="ar-SA"/>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قدس سره في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نبشُ القبر ولانقلُ المؤتىٰ بعد دفنهم</w:t>
      </w:r>
      <w:r>
        <w:rPr>
          <w:rFonts w:eastAsia="Amiri" w:cs="Amiri" w:ascii="Amiri" w:hAnsi="Amiri"/>
          <w:color w:val="111111"/>
          <w:sz w:val="28"/>
          <w:szCs w:val="28"/>
          <w:rtl w:val="true"/>
          <w:lang w:bidi="ar-SA"/>
        </w:rPr>
        <w:t>»</w:t>
      </w:r>
      <w:r>
        <w:rPr>
          <w:rStyle w:val="FootnoteAnchor"/>
          <w:rtl w:val="true"/>
        </w:rPr>
        <w:footnoteReference w:id="1798"/>
      </w:r>
      <w:r>
        <w:rPr>
          <w:rFonts w:ascii="Amiri" w:hAnsi="Amiri" w:eastAsia="Amiri" w:cs="Amiri"/>
          <w:color w:val="111111"/>
          <w:sz w:val="28"/>
          <w:sz w:val="28"/>
          <w:szCs w:val="28"/>
          <w:rtl w:val="true"/>
          <w:lang w:bidi="ar-SA"/>
        </w:rPr>
        <w:t>فعلَّلَه الفاضل المقدادُ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هتكٌ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إجماعُ المسلمين</w:t>
      </w:r>
      <w:r>
        <w:rPr>
          <w:rFonts w:eastAsia="Amiri" w:cs="Amiri" w:ascii="Amiri" w:hAnsi="Amiri"/>
          <w:color w:val="111111"/>
          <w:sz w:val="28"/>
          <w:szCs w:val="28"/>
          <w:rtl w:val="true"/>
          <w:lang w:bidi="ar-SA"/>
        </w:rPr>
        <w:t>»</w:t>
      </w:r>
      <w:r>
        <w:rPr>
          <w:rStyle w:val="FootnoteAnchor"/>
          <w:rtl w:val="true"/>
        </w:rPr>
        <w:footnoteReference w:id="1799"/>
      </w:r>
      <w:r>
        <w:rPr>
          <w:rFonts w:ascii="Amiri" w:hAnsi="Amiri" w:eastAsia="Amiri" w:cs="Amiri"/>
          <w:color w:val="111111"/>
          <w:sz w:val="28"/>
          <w:sz w:val="28"/>
          <w:szCs w:val="28"/>
          <w:rtl w:val="true"/>
          <w:lang w:bidi="ar-SA"/>
        </w:rPr>
        <w:t>وعن الفقيه الطَّباطبائيِّ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لحرمته</w:t>
      </w:r>
      <w:r>
        <w:rPr>
          <w:rFonts w:eastAsia="Amiri" w:cs="Amiri" w:ascii="Amiri" w:hAnsi="Amiri"/>
          <w:color w:val="111111"/>
          <w:sz w:val="28"/>
          <w:szCs w:val="28"/>
          <w:rtl w:val="true"/>
          <w:lang w:bidi="ar-SA"/>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وانظر عن نفس الفرع وعن هذا التَّعليل إلى ما ذكره الشَّيخُ قدس سره</w:t>
      </w:r>
      <w:r>
        <w:rPr>
          <w:rStyle w:val="FootnoteAnchor"/>
          <w:rtl w:val="true"/>
        </w:rPr>
        <w:footnoteReference w:id="1801"/>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1802"/>
      </w:r>
      <w:r>
        <w:rPr>
          <w:rFonts w:ascii="Amiri" w:hAnsi="Amiri" w:eastAsia="Amiri" w:cs="Amiri"/>
          <w:color w:val="111111"/>
          <w:sz w:val="28"/>
          <w:sz w:val="28"/>
          <w:szCs w:val="28"/>
          <w:rtl w:val="true"/>
          <w:lang w:bidi="ar-SA"/>
        </w:rPr>
        <w:t>، وابنُ فهدٍ قدس سره</w:t>
      </w:r>
      <w:r>
        <w:rPr>
          <w:rStyle w:val="FootnoteAnchor"/>
          <w:rtl w:val="true"/>
        </w:rPr>
        <w:footnoteReference w:id="1803"/>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1804"/>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1805"/>
      </w:r>
      <w:r>
        <w:rPr>
          <w:rFonts w:ascii="Amiri" w:hAnsi="Amiri" w:eastAsia="Amiri" w:cs="Amiri"/>
          <w:color w:val="111111"/>
          <w:sz w:val="28"/>
          <w:sz w:val="28"/>
          <w:szCs w:val="28"/>
          <w:rtl w:val="true"/>
          <w:lang w:bidi="ar-SA"/>
        </w:rPr>
        <w:t>، والفقيه النَّجفيُّ قدس سره</w:t>
      </w:r>
      <w:r>
        <w:rPr>
          <w:rStyle w:val="FootnoteAnchor"/>
          <w:rtl w:val="true"/>
        </w:rPr>
        <w:footnoteReference w:id="1806"/>
      </w:r>
      <w:r>
        <w:rPr>
          <w:rFonts w:ascii="Amiri" w:hAnsi="Amiri" w:eastAsia="Amiri" w:cs="Amiri"/>
          <w:color w:val="111111"/>
          <w:sz w:val="28"/>
          <w:sz w:val="28"/>
          <w:szCs w:val="28"/>
          <w:rtl w:val="true"/>
          <w:lang w:bidi="ar-SA"/>
        </w:rPr>
        <w:t>، والفقيه الخوانساريُّ قدس سره</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الفقيه اليزديُّ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إزالة النِّجاسة عن المساجد داخِلِها وسقفِها وسطحِها والطَّرفِ الدَّاخل من جُدرانِها، بل والطَّرفِ الخارج علىٰ الأحوط؛ إلَّا أن لايجعَلَها الواقفُ جزءً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تنجيسُها أيضًا، بل لايجوزُ إدخالُ عين النِّجاسة فيها وإن لم تكن منجِّسَةً إذا كانت موجبةً لهتك حرمتِها، بل مطلقًا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إدخالُ المتنجِّس فلابأس به ما لم يستلزم الهتكَ‌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عن ذلك إلى ما ذكره شُرَّاح عبارته، كالشَّيخ الحائريِّ قدس سره</w:t>
      </w:r>
      <w:r>
        <w:rPr>
          <w:rStyle w:val="FootnoteAnchor"/>
          <w:rtl w:val="true"/>
        </w:rPr>
        <w:footnoteReference w:id="1808"/>
      </w:r>
      <w:r>
        <w:rPr>
          <w:rFonts w:ascii="Amiri" w:hAnsi="Amiri" w:eastAsia="Amiri" w:cs="Amiri"/>
          <w:color w:val="111111"/>
          <w:sz w:val="28"/>
          <w:sz w:val="28"/>
          <w:szCs w:val="28"/>
          <w:rtl w:val="true"/>
          <w:lang w:bidi="ar-SA"/>
        </w:rPr>
        <w:t>، والسَّيِّد الخوئيِّ قدس سره</w:t>
      </w:r>
      <w:r>
        <w:rPr>
          <w:rStyle w:val="FootnoteAnchor"/>
          <w:rtl w:val="true"/>
        </w:rPr>
        <w:footnoteReference w:id="1809"/>
      </w:r>
      <w:r>
        <w:rPr>
          <w:rFonts w:ascii="Amiri" w:hAnsi="Amiri" w:eastAsia="Amiri" w:cs="Amiri"/>
          <w:color w:val="111111"/>
          <w:sz w:val="28"/>
          <w:sz w:val="28"/>
          <w:szCs w:val="28"/>
          <w:rtl w:val="true"/>
          <w:lang w:bidi="ar-SA"/>
        </w:rPr>
        <w:t>، والشَّيخ الأراكيِّ قدس سره</w:t>
      </w:r>
      <w:r>
        <w:rPr>
          <w:rStyle w:val="FootnoteAnchor"/>
          <w:rtl w:val="true"/>
        </w:rPr>
        <w:footnoteReference w:id="1810"/>
      </w:r>
      <w:r>
        <w:rPr>
          <w:rFonts w:ascii="Amiri" w:hAnsi="Amiri" w:eastAsia="Amiri" w:cs="Amiri"/>
          <w:color w:val="111111"/>
          <w:sz w:val="28"/>
          <w:sz w:val="28"/>
          <w:szCs w:val="28"/>
          <w:rtl w:val="true"/>
          <w:lang w:bidi="ar-SA"/>
        </w:rPr>
        <w:t>، والسَّيِّد الحكيم قدس سره</w:t>
      </w:r>
      <w:r>
        <w:rPr>
          <w:rStyle w:val="FootnoteAnchor"/>
          <w:rtl w:val="true"/>
        </w:rPr>
        <w:footnoteReference w:id="1811"/>
      </w:r>
      <w:r>
        <w:rPr>
          <w:rFonts w:ascii="Amiri" w:hAnsi="Amiri" w:eastAsia="Amiri" w:cs="Amiri"/>
          <w:color w:val="111111"/>
          <w:sz w:val="28"/>
          <w:sz w:val="28"/>
          <w:szCs w:val="28"/>
          <w:rtl w:val="true"/>
          <w:lang w:bidi="ar-SA"/>
        </w:rPr>
        <w:t xml:space="preserve">، والسَّيِّد الحسينيِّ‌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شُبَّر قدس سره</w:t>
      </w:r>
      <w:r>
        <w:rPr>
          <w:rStyle w:val="FootnoteAnchor"/>
          <w:rtl w:val="true"/>
        </w:rPr>
        <w:footnoteReference w:id="1812"/>
      </w:r>
      <w:r>
        <w:rPr>
          <w:rFonts w:ascii="Amiri" w:hAnsi="Amiri" w:eastAsia="Amiri" w:cs="Amiri"/>
          <w:color w:val="111111"/>
          <w:sz w:val="28"/>
          <w:sz w:val="28"/>
          <w:szCs w:val="28"/>
          <w:rtl w:val="true"/>
          <w:lang w:bidi="ar-SA"/>
        </w:rPr>
        <w:t>، والشَّهيد السَّيِّد الصَّدر قدس سره</w:t>
      </w:r>
      <w:r>
        <w:rPr>
          <w:rStyle w:val="FootnoteAnchor"/>
          <w:rtl w:val="true"/>
        </w:rPr>
        <w:footnoteReference w:id="1813"/>
      </w:r>
      <w:r>
        <w:rPr>
          <w:rFonts w:ascii="Amiri" w:hAnsi="Amiri" w:eastAsia="Amiri" w:cs="Amiri"/>
          <w:color w:val="111111"/>
          <w:sz w:val="28"/>
          <w:sz w:val="28"/>
          <w:szCs w:val="28"/>
          <w:rtl w:val="true"/>
          <w:lang w:bidi="ar-SA"/>
        </w:rPr>
        <w:t>، والسَّيِّد السَّبزواريِّ قدس سره</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 xml:space="preserve">. </w:t>
      </w:r>
      <w:bookmarkStart w:id="637" w:name="pg20337_261666"/>
    </w:p>
    <w:p>
      <w:pPr>
        <w:pStyle w:val="Heading2"/>
        <w:numPr>
          <w:ilvl w:val="1"/>
          <w:numId w:val="1"/>
        </w:numPr>
        <w:rPr/>
      </w:pPr>
      <w:bookmarkStart w:id="638" w:name="__RefHeading___Toc11945366_1280447820"/>
      <w:bookmarkStart w:id="639" w:name="_Toc235"/>
      <w:bookmarkEnd w:id="637"/>
      <w:bookmarkEnd w:id="638"/>
      <w:r>
        <w:rPr>
          <w:rtl w:val="true"/>
        </w:rPr>
        <w:t>[</w:t>
      </w:r>
      <w:r>
        <w:rPr/>
        <w:t>42</w:t>
      </w:r>
      <w:r>
        <w:rPr>
          <w:rtl w:val="true"/>
        </w:rPr>
        <w:t xml:space="preserve">:] </w:t>
      </w:r>
      <w:r>
        <w:rPr>
          <w:rtl w:val="true"/>
        </w:rPr>
        <w:t>قاعدة حُرمة الرِّبا</w:t>
      </w:r>
      <w:bookmarkEnd w:id="639"/>
    </w:p>
    <w:p>
      <w:pPr>
        <w:pStyle w:val="Heading3"/>
        <w:numPr>
          <w:ilvl w:val="2"/>
          <w:numId w:val="1"/>
        </w:numPr>
        <w:rPr/>
      </w:pPr>
      <w:bookmarkStart w:id="640" w:name="__RefHeading___Toc11945368_1280447820"/>
      <w:bookmarkStart w:id="641" w:name="_Toc236"/>
      <w:bookmarkEnd w:id="640"/>
      <w:r>
        <w:rPr>
          <w:rtl w:val="true"/>
        </w:rPr>
        <w:t>عناوين أُخرىٰ للقاعدة</w:t>
      </w:r>
      <w:bookmarkEnd w:id="641"/>
    </w:p>
    <w:p>
      <w:pPr>
        <w:pStyle w:val="BookText"/>
        <w:rPr/>
      </w:pPr>
      <w:r>
        <w:rPr>
          <w:rFonts w:ascii="Amiri" w:hAnsi="Amiri" w:eastAsia="Amiri" w:cs="Amiri"/>
          <w:color w:val="111111"/>
          <w:sz w:val="28"/>
          <w:sz w:val="28"/>
          <w:szCs w:val="28"/>
          <w:rtl w:val="true"/>
          <w:lang w:bidi="ar-SA"/>
        </w:rPr>
        <w:t>الرِّبا عندنا في كلِّ مكيلٍ وموزونٍ‌</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 في كلِّ ما يُكال أو يُوزَن</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ربا إلَّافيما يُكالُ أو يُوزَن</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11945370_1280447820"/>
      <w:bookmarkStart w:id="643" w:name="_Toc237"/>
      <w:bookmarkEnd w:id="642"/>
      <w:r>
        <w:rPr>
          <w:rtl w:val="true"/>
        </w:rPr>
        <w:t>توضيح مفاد القاعدة</w:t>
      </w:r>
      <w:bookmarkEnd w:id="64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قال ابنُفارِسٍ‌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الرَّاءُ والباء والحرف المُعتلُّ وكذلك </w:t>
      </w:r>
    </w:p>
    <w:p>
      <w:pPr>
        <w:pStyle w:val="BookText"/>
        <w:rPr/>
      </w:pPr>
      <w:r>
        <w:rPr>
          <w:rFonts w:ascii="Amiri" w:hAnsi="Amiri" w:eastAsia="Amiri" w:cs="Amiri"/>
          <w:color w:val="111111"/>
          <w:sz w:val="28"/>
          <w:sz w:val="28"/>
          <w:szCs w:val="28"/>
          <w:rtl w:val="true"/>
          <w:lang w:bidi="ar-SA"/>
        </w:rPr>
        <w:t>المهموزُ منه يدلُّ علىٰ أصلٍ واحدٍ، وهو الزِّيادة والَّنماء والعلُوُّ؛ تقول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الشَّيءُ يربوا إذا زاد</w:t>
      </w:r>
      <w:r>
        <w:rPr>
          <w:rFonts w:eastAsia="Amiri" w:cs="Amiri" w:ascii="Amiri" w:hAnsi="Amiri"/>
          <w:color w:val="111111"/>
          <w:sz w:val="28"/>
          <w:szCs w:val="28"/>
          <w:rtl w:val="true"/>
          <w:lang w:bidi="ar-SA"/>
        </w:rPr>
        <w:t>»</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 الجرحُ والأرضُ والمالُ وكلُّ شيءٍ يربوا 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 المالُ يربو 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ومثله في صدر العبارة ما عن الأزهريِّ‌</w:t>
      </w:r>
      <w:r>
        <w:rPr>
          <w:rStyle w:val="FootnoteAnchor"/>
          <w:rtl w:val="true"/>
        </w:rPr>
        <w:footnoteReference w:id="1820"/>
      </w:r>
      <w:r>
        <w:rPr>
          <w:rFonts w:ascii="Amiri" w:hAnsi="Amiri" w:eastAsia="Amiri" w:cs="Amiri"/>
          <w:color w:val="111111"/>
          <w:sz w:val="28"/>
          <w:sz w:val="28"/>
          <w:szCs w:val="28"/>
          <w:rtl w:val="true"/>
          <w:lang w:bidi="ar-SA"/>
        </w:rPr>
        <w:t>، والجوهريِّ‌</w:t>
      </w:r>
      <w:r>
        <w:rPr>
          <w:rStyle w:val="FootnoteAnchor"/>
          <w:rtl w:val="true"/>
        </w:rPr>
        <w:footnoteReference w:id="1821"/>
      </w:r>
      <w:r>
        <w:rPr>
          <w:rFonts w:ascii="Amiri" w:hAnsi="Amiri" w:eastAsia="Amiri" w:cs="Amiri"/>
          <w:color w:val="111111"/>
          <w:sz w:val="28"/>
          <w:sz w:val="28"/>
          <w:szCs w:val="28"/>
          <w:rtl w:val="true"/>
          <w:lang w:bidi="ar-SA"/>
        </w:rPr>
        <w:t>، وابنِسيدة</w:t>
      </w:r>
      <w:r>
        <w:rPr>
          <w:rStyle w:val="FootnoteAnchor"/>
          <w:rtl w:val="true"/>
        </w:rPr>
        <w:footnoteReference w:id="1822"/>
      </w:r>
      <w:r>
        <w:rPr>
          <w:rFonts w:ascii="Amiri" w:hAnsi="Amiri" w:eastAsia="Amiri" w:cs="Amiri"/>
          <w:color w:val="111111"/>
          <w:sz w:val="28"/>
          <w:sz w:val="28"/>
          <w:szCs w:val="28"/>
          <w:rtl w:val="true"/>
          <w:lang w:bidi="ar-SA"/>
        </w:rPr>
        <w:t>، ونشوان الحِميَريِّ‌</w:t>
      </w:r>
      <w:r>
        <w:rPr>
          <w:rStyle w:val="FootnoteAnchor"/>
          <w:rtl w:val="true"/>
        </w:rPr>
        <w:footnoteReference w:id="1823"/>
      </w:r>
      <w:r>
        <w:rPr>
          <w:rFonts w:ascii="Amiri" w:hAnsi="Amiri" w:eastAsia="Amiri" w:cs="Amiri"/>
          <w:color w:val="111111"/>
          <w:sz w:val="28"/>
          <w:sz w:val="28"/>
          <w:szCs w:val="28"/>
          <w:rtl w:val="true"/>
          <w:lang w:bidi="ar-SA"/>
        </w:rPr>
        <w:t>، والمُطَرِّزيِّ‌</w:t>
      </w:r>
      <w:r>
        <w:rPr>
          <w:rStyle w:val="FootnoteAnchor"/>
          <w:rtl w:val="true"/>
        </w:rPr>
        <w:footnoteReference w:id="1824"/>
      </w:r>
      <w:r>
        <w:rPr>
          <w:rFonts w:ascii="Amiri" w:hAnsi="Amiri" w:eastAsia="Amiri" w:cs="Amiri"/>
          <w:color w:val="111111"/>
          <w:sz w:val="28"/>
          <w:sz w:val="28"/>
          <w:szCs w:val="28"/>
          <w:rtl w:val="true"/>
          <w:lang w:bidi="ar-SA"/>
        </w:rPr>
        <w:t>، وابنِالأثير المبارك بن محمَّدٍ</w:t>
      </w:r>
      <w:r>
        <w:rPr>
          <w:rStyle w:val="FootnoteAnchor"/>
          <w:rtl w:val="true"/>
        </w:rPr>
        <w:footnoteReference w:id="1825"/>
      </w:r>
      <w:r>
        <w:rPr>
          <w:rFonts w:ascii="IRNazanin" w:hAnsi="IRNazanin" w:eastAsia="IRNazanin"/>
          <w:color w:val="111111"/>
          <w:sz w:val="28"/>
          <w:sz w:val="28"/>
          <w:szCs w:val="28"/>
          <w:rtl w:val="true"/>
          <w:lang w:bidi="fa-IR"/>
        </w:rPr>
        <w:t>، وابن منظورٍ</w:t>
      </w:r>
      <w:r>
        <w:rPr>
          <w:rStyle w:val="FootnoteAnchor"/>
          <w:rtl w:val="true"/>
        </w:rPr>
        <w:footnoteReference w:id="1826"/>
      </w:r>
      <w:r>
        <w:rPr>
          <w:rFonts w:ascii="Amiri" w:hAnsi="Amiri" w:eastAsia="Amiri" w:cs="Amiri"/>
          <w:color w:val="111111"/>
          <w:sz w:val="28"/>
          <w:sz w:val="28"/>
          <w:szCs w:val="28"/>
          <w:rtl w:val="true"/>
          <w:lang w:bidi="ar-SA"/>
        </w:rPr>
        <w:t>، والفَيُّوميِّ‌</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ولوضوح معناه عند النَّاس اكتفىٰ الصَّاحبُ إسماعيل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معروفٌ‌</w:t>
      </w:r>
      <w:r>
        <w:rPr>
          <w:rFonts w:eastAsia="Amiri" w:cs="Amiri" w:ascii="Amiri" w:hAnsi="Amiri"/>
          <w:color w:val="111111"/>
          <w:sz w:val="28"/>
          <w:szCs w:val="28"/>
          <w:rtl w:val="true"/>
          <w:lang w:bidi="ar-SA"/>
        </w:rPr>
        <w:t>»</w:t>
      </w:r>
      <w:r>
        <w:rPr>
          <w:rStyle w:val="FootnoteAnchor"/>
          <w:rtl w:val="true"/>
        </w:rPr>
        <w:footnoteReference w:id="1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وللرَّاغب هيهنا توضيحٌ وافٍ حول أقسام الرِّبا بحسب الشَّرع</w:t>
      </w:r>
      <w:r>
        <w:rPr>
          <w:rStyle w:val="FootnoteAnchor"/>
          <w:rtl w:val="true"/>
        </w:rPr>
        <w:footnoteReference w:id="1829"/>
      </w:r>
      <w:r>
        <w:rPr>
          <w:rFonts w:ascii="Amiri" w:hAnsi="Amiri" w:eastAsia="Amiri" w:cs="Amiri"/>
          <w:color w:val="111111"/>
          <w:sz w:val="28"/>
          <w:sz w:val="28"/>
          <w:szCs w:val="28"/>
          <w:rtl w:val="true"/>
          <w:lang w:bidi="ar-SA"/>
        </w:rPr>
        <w:t>وسنتكلَّم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الزِّيادة بالشَّرط؛ كما عن الوحيد الفريد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أخذ الزِّيادة معاملةً ومشارطةً في القرض وغيره</w:t>
      </w:r>
      <w:r>
        <w:rPr>
          <w:rFonts w:eastAsia="Amiri" w:cs="Amiri" w:ascii="Amiri" w:hAnsi="Amiri"/>
          <w:color w:val="111111"/>
          <w:sz w:val="28"/>
          <w:szCs w:val="28"/>
          <w:rtl w:val="true"/>
          <w:lang w:bidi="ar-SA"/>
        </w:rPr>
        <w:t>»</w:t>
      </w: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وهيهنا تعاريف أُخَر للرِّبا ذكرها القومُ بين القائل بها والنَّاقل إيَّاها عن غيره، نأتي بجملةٍ منها لترىٰ رجوعَ الكلِّ إلى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الزِّيادة في العين، إذا كان الجنس واحدًا</w:t>
      </w:r>
      <w:r>
        <w:rPr>
          <w:rFonts w:eastAsia="Amiri" w:cs="Amiri" w:ascii="Amiri" w:hAnsi="Amiri"/>
          <w:color w:val="111111"/>
          <w:sz w:val="28"/>
          <w:szCs w:val="28"/>
          <w:rtl w:val="true"/>
          <w:lang w:bidi="ar-SA"/>
        </w:rPr>
        <w:t>»</w:t>
      </w:r>
      <w:r>
        <w:rPr>
          <w:rStyle w:val="FootnoteAnchor"/>
          <w:rtl w:val="true"/>
        </w:rPr>
        <w:footnoteReference w:id="18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التَّفاضُلُ بين شيئين من جنسٍ واحدٍ من المكيل والموزون خاصَّةً‌</w:t>
      </w:r>
      <w:r>
        <w:rPr>
          <w:rFonts w:eastAsia="Amiri" w:cs="Amiri" w:ascii="Amiri" w:hAnsi="Amiri"/>
          <w:color w:val="111111"/>
          <w:sz w:val="28"/>
          <w:szCs w:val="28"/>
          <w:rtl w:val="true"/>
          <w:lang w:bidi="ar-SA"/>
        </w:rPr>
        <w:t>»</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الزِّيادة الَّتي لاعِوَض لها</w:t>
      </w:r>
      <w:r>
        <w:rPr>
          <w:rFonts w:eastAsia="Amiri" w:cs="Amiri" w:ascii="Amiri" w:hAnsi="Amiri"/>
          <w:color w:val="111111"/>
          <w:sz w:val="28"/>
          <w:szCs w:val="28"/>
          <w:rtl w:val="true"/>
          <w:lang w:bidi="ar-SA"/>
        </w:rPr>
        <w:t>»</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بيعُ أحدِ المِثلَين بأزيد منه من الآخر</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الرِّبا هو الزِّيادة في العين إذا كان الجنسُ واحدًا</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الرِّبا هو الزِّيادة من غير عِوَضٍ‌، لغةً وشرعًا</w:t>
      </w:r>
      <w:r>
        <w:rPr>
          <w:rFonts w:eastAsia="Amiri" w:cs="Amiri" w:ascii="Amiri" w:hAnsi="Amiri"/>
          <w:color w:val="111111"/>
          <w:sz w:val="28"/>
          <w:szCs w:val="28"/>
          <w:rtl w:val="true"/>
          <w:lang w:bidi="ar-SA"/>
        </w:rPr>
        <w:t>»</w:t>
      </w:r>
      <w:r>
        <w:rPr>
          <w:rStyle w:val="FootnoteAnchor"/>
          <w:rtl w:val="true"/>
        </w:rPr>
        <w:footnoteReference w:id="183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بيعُ أحدِ المتماثِلَين بالآخر مع زيادةٍ‌</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الزِّيادة مطلقًا، أعمَّ منه في العين أو الصِّفة</w:t>
      </w:r>
      <w:r>
        <w:rPr>
          <w:rFonts w:eastAsia="Amiri" w:cs="Amiri" w:ascii="Amiri" w:hAnsi="Amiri"/>
          <w:color w:val="111111"/>
          <w:sz w:val="28"/>
          <w:szCs w:val="28"/>
          <w:rtl w:val="true"/>
          <w:lang w:bidi="ar-SA"/>
        </w:rPr>
        <w:t>»</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الزِّيادة في المال، لغةً وعرفًا وشرعًا</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مقابلةُ المتجانِسَين الرَّبوِيَّين متفاضلًا، بأن يحصُلَ انتقالُ مالِ كلٍّ منهما إلى الآخر</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الرِّبا هو المعاوضةُ المزيدُ فيها</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الزِّيادة علىٰ رأسِ المال، من جنسه أو مماثِلِه إلى غير ذلك</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بيعُ الجنس بمِثله مع زيادةٍ‌</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الزِّيادةُ الَّتي يأخُذُها الدَّائنُ من المديونِ‌</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هو وضع زيادةٍ بإزاءِ المال المُقتَرَض</w:t>
      </w:r>
      <w:r>
        <w:rPr>
          <w:rFonts w:eastAsia="Amiri" w:cs="Amiri" w:ascii="Amiri" w:hAnsi="Amiri"/>
          <w:color w:val="111111"/>
          <w:sz w:val="28"/>
          <w:szCs w:val="28"/>
          <w:rtl w:val="true"/>
          <w:lang w:bidi="ar-SA"/>
        </w:rPr>
        <w:t>»</w:t>
      </w:r>
      <w:r>
        <w:rPr>
          <w:rStyle w:val="FootnoteAnchor"/>
          <w:rtl w:val="true"/>
        </w:rPr>
        <w:footnoteReference w:id="184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الرِّبا هو البيعُ المشتمَل على الزِّيادة، أو أنَّ الرِّبا المنهيَّ عنه هو الزِّيادة علىٰ أحد العِوَضيَن</w:t>
      </w:r>
      <w:r>
        <w:rPr>
          <w:rFonts w:eastAsia="Amiri" w:cs="Amiri" w:ascii="Amiri" w:hAnsi="Amiri"/>
          <w:color w:val="111111"/>
          <w:sz w:val="28"/>
          <w:szCs w:val="28"/>
          <w:rtl w:val="true"/>
          <w:lang w:bidi="ar-SA"/>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 xml:space="preserve">. </w:t>
      </w:r>
      <w:bookmarkStart w:id="644" w:name="pg20337_261670"/>
    </w:p>
    <w:p>
      <w:pPr>
        <w:pStyle w:val="BookText"/>
        <w:rPr/>
      </w:pPr>
      <w:bookmarkEnd w:id="644"/>
      <w:r>
        <w:rPr>
          <w:rFonts w:ascii="Amiri" w:hAnsi="Amiri" w:eastAsia="Amiri" w:cs="Amiri"/>
          <w:color w:val="111111"/>
          <w:sz w:val="28"/>
          <w:sz w:val="28"/>
          <w:szCs w:val="28"/>
          <w:rtl w:val="true"/>
          <w:lang w:bidi="ar-SA"/>
        </w:rPr>
        <w:t xml:space="preserve">ويُطلَق علىٰ نفس المعامَلة المشتملَة علىٰ هذه الزِّيادة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وقد أشار إليه المحقِّقُ البجنورديُّ قدس سره</w:t>
      </w:r>
      <w:r>
        <w:rPr>
          <w:rStyle w:val="FootnoteAnchor"/>
          <w:rtl w:val="true"/>
        </w:rPr>
        <w:footnoteReference w:id="184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والتَّعريف المختارُ إذن يشمل المَكيل والموزون إذا كانا متجانِسَين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ولابأس به، إذ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مشهوريٌّ‌،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المَكيل والموزون إذا كانا متجانِسَين عن الرِّبا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وسنتعرَّض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من باب الشُّروط واقعًا، فيشمله التَّعريف أوَّلًا، إلَّاأنَّه بالتَّعبُّد نُخرِجُه عن الرِّبا وحدِّه</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11945372_1280447820"/>
      <w:bookmarkStart w:id="646" w:name="_Toc238"/>
      <w:bookmarkEnd w:id="645"/>
      <w:r>
        <w:rPr>
          <w:rtl w:val="true"/>
        </w:rPr>
        <w:t>مدركُ القاعدة</w:t>
      </w:r>
      <w:bookmarkEnd w:id="646"/>
    </w:p>
    <w:p>
      <w:pPr>
        <w:pStyle w:val="Heading4"/>
        <w:numPr>
          <w:ilvl w:val="3"/>
          <w:numId w:val="1"/>
        </w:numPr>
        <w:rPr/>
      </w:pPr>
      <w:bookmarkStart w:id="647" w:name="__RefHeading___Toc11945374_1280447820"/>
      <w:bookmarkStart w:id="648" w:name="_Toc239"/>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كون حرمة الرِّبا من ضروريات الدِّين واضحٌ لائحٌ‌، ومنكره كافرٌ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الأدلَّة الأربعة</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1945376_1280447820"/>
      <w:bookmarkStart w:id="650" w:name="_Toc240"/>
      <w:bookmarkEnd w:id="649"/>
      <w:r>
        <w:rPr>
          <w:rtl w:val="true"/>
        </w:rPr>
        <w:t>أوَّلًا</w:t>
      </w:r>
      <w:r>
        <w:rPr>
          <w:rtl w:val="true"/>
        </w:rPr>
        <w:t xml:space="preserve">: </w:t>
      </w:r>
      <w:r>
        <w:rPr>
          <w:rtl w:val="true"/>
        </w:rPr>
        <w:t>الكتاب</w:t>
      </w:r>
      <w:bookmarkEnd w:id="650"/>
    </w:p>
    <w:p>
      <w:pPr>
        <w:pStyle w:val="BookText"/>
        <w:rPr/>
      </w:pPr>
      <w:r>
        <w:rPr>
          <w:rFonts w:ascii="Amiri" w:hAnsi="Amiri" w:eastAsia="Amiri" w:cs="Amiri"/>
          <w:color w:val="111111"/>
          <w:sz w:val="28"/>
          <w:sz w:val="28"/>
          <w:szCs w:val="28"/>
          <w:rtl w:val="true"/>
          <w:lang w:bidi="ar-SA"/>
        </w:rPr>
        <w:t>أمَّا الكتابُ العزيزُ ففيه آياتٌ جمَّةٌ تدلُّ علىٰ حرمته، فمنها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w:t>
      </w:r>
      <w:r>
        <w:rPr>
          <w:rFonts w:eastAsia="Amiri" w:cs="Amiri" w:ascii="Amiri" w:hAnsi="Amiri"/>
          <w:color w:val="111111"/>
          <w:sz w:val="28"/>
          <w:szCs w:val="28"/>
          <w:rtl w:val="true"/>
          <w:lang w:bidi="ar-SA"/>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حرمة الرِّبا حرمةً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ولذلك قال شيخ الطَّائفة قدس سره بعد ذكر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والرِّبا مُحرَّمٌ مُتَوَعَّدٌ عليه كبيرةٌ بلاخلافٍ‌، بهذه الآية</w:t>
      </w:r>
      <w:r>
        <w:rPr>
          <w:rFonts w:eastAsia="Amiri" w:cs="Amiri" w:ascii="Amiri" w:hAnsi="Amiri"/>
          <w:color w:val="111111"/>
          <w:sz w:val="28"/>
          <w:szCs w:val="28"/>
          <w:rtl w:val="true"/>
          <w:lang w:bidi="ar-SA"/>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ولفقهاء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كالرَّاوندي قدس سره</w:t>
      </w:r>
      <w:r>
        <w:rPr>
          <w:rStyle w:val="FootnoteAnchor"/>
          <w:rtl w:val="true"/>
        </w:rPr>
        <w:footnoteReference w:id="1850"/>
      </w:r>
      <w:r>
        <w:rPr>
          <w:rFonts w:ascii="IRNazanin" w:hAnsi="IRNazanin" w:eastAsia="IRNazanin"/>
          <w:color w:val="111111"/>
          <w:sz w:val="28"/>
          <w:sz w:val="28"/>
          <w:szCs w:val="28"/>
          <w:rtl w:val="true"/>
          <w:lang w:bidi="fa-IR"/>
        </w:rPr>
        <w:t>، والفاضل المقداد قدس سره</w:t>
      </w:r>
      <w:r>
        <w:rPr>
          <w:rStyle w:val="FootnoteAnchor"/>
          <w:rtl w:val="true"/>
        </w:rPr>
        <w:footnoteReference w:id="1851"/>
      </w:r>
      <w:r>
        <w:rPr>
          <w:rFonts w:ascii="IRNazanin" w:hAnsi="IRNazanin" w:eastAsia="IRNazanin"/>
          <w:color w:val="111111"/>
          <w:sz w:val="28"/>
          <w:sz w:val="28"/>
          <w:szCs w:val="28"/>
          <w:rtl w:val="true"/>
          <w:lang w:bidi="fa-IR"/>
        </w:rPr>
        <w:t>، والفاضل الجواد قدس سره</w:t>
      </w:r>
      <w:r>
        <w:rPr>
          <w:rStyle w:val="FootnoteAnchor"/>
          <w:rtl w:val="true"/>
        </w:rPr>
        <w:footnoteReference w:id="1852"/>
      </w:r>
      <w:r>
        <w:rPr>
          <w:rFonts w:ascii="Amiri" w:hAnsi="Amiri" w:eastAsia="Amiri" w:cs="Amiri"/>
          <w:color w:val="111111"/>
          <w:sz w:val="28"/>
          <w:sz w:val="28"/>
          <w:szCs w:val="28"/>
          <w:rtl w:val="true"/>
          <w:lang w:bidi="ar-SA"/>
        </w:rPr>
        <w:t>، والجرجانيِّ قدس سره</w:t>
      </w:r>
      <w:r>
        <w:rPr>
          <w:rStyle w:val="FootnoteAnchor"/>
          <w:rtl w:val="true"/>
        </w:rPr>
        <w:footnoteReference w:id="1853"/>
      </w:r>
      <w:r>
        <w:rPr>
          <w:rFonts w:ascii="Amiri" w:hAnsi="Amiri" w:eastAsia="Amiri" w:cs="Amiri"/>
          <w:color w:val="111111"/>
          <w:sz w:val="28"/>
          <w:sz w:val="28"/>
          <w:szCs w:val="28"/>
          <w:rtl w:val="true"/>
          <w:lang w:bidi="ar-SA"/>
        </w:rPr>
        <w:t>، وابنِالعربيِّ‌</w:t>
      </w:r>
      <w:r>
        <w:rPr>
          <w:rStyle w:val="FootnoteAnchor"/>
          <w:rtl w:val="true"/>
        </w:rPr>
        <w:footnoteReference w:id="1854"/>
      </w:r>
      <w:r>
        <w:rPr>
          <w:rFonts w:ascii="Amiri" w:hAnsi="Amiri" w:eastAsia="Amiri" w:cs="Amiri"/>
          <w:color w:val="111111"/>
          <w:sz w:val="28"/>
          <w:sz w:val="28"/>
          <w:szCs w:val="28"/>
          <w:rtl w:val="true"/>
          <w:lang w:bidi="ar-SA"/>
        </w:rPr>
        <w:t>، وسيِّدنا الأستاذ العلَّامة قدس سره</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كلماتٌ‌، فلاتغفَلْ عن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دلالة العقل والعُرف علىٰ حرمة الرِّبا وقبحه، فلذا شبَّهتْ الآيةُ الكريمةُ كلامَ من قال بأنَّه مثل البيع بكلام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الشَّرط الموجِب للرِّبا باطلٌ‌؛ أمَّا البَيع فهو صحيحٌ‌، إذ هو أمرٌ عرفيٌّ ولايسري الشَّرط الفاسد إليه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تخَبُّطَ الشِّيطان المرءَ بالمسِّ مثالٌ للتَّقريب بالذِّهن، وإلَّا فلاواقع لهذا التَّخبُّط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زيادةُ توضيحٍ لهذه الموارد، إن شاء اللَّهُ العزيزُ</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والكريمةُ 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الرِّبا يَمحَقُه اللَّه، كما أنَّ الصدقات ينمُوها و يُبارِكُها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الرِّبا لوشاع في مجتمعٍ يوجب مَحقَ اقتصاد هذا المجتمع، إذ يوجب تعطيلَ التِّجارات والزِّراعات والمعامل وغيرها ممَّا يوجب الُّنمُوَّ الإقتصاديِّ‌؛ أمَّا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فبعكسٍ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سيِّدَنا الأستاذ العلَّامة الطَّباطبائيَّ قدس سره أشار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قُوبِل في الآية بين إرباء الصَّدَقات ومَحقِ الرِّبا</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 ثمَّ أفاض في شرح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لسانٌ في الحُرمة لم يمكن أشدُّ لسانًا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آكلَ الرِّبا ليس بمؤمنٍ أصلًا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صاحبه، لا إلى أصل البَيع، لأنَّه حلالٌ لا إشكال فيه؛ فرجوع الشَّرط الفاسد إليه لاوجه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إلى ما </w:t>
      </w:r>
      <w:bookmarkStart w:id="651" w:name="pg20337_261673"/>
    </w:p>
    <w:p>
      <w:pPr>
        <w:pStyle w:val="BookText"/>
        <w:rPr/>
      </w:pPr>
      <w:bookmarkEnd w:id="651"/>
      <w:r>
        <w:rPr>
          <w:rFonts w:ascii="Amiri" w:hAnsi="Amiri" w:eastAsia="Amiri" w:cs="Amiri"/>
          <w:color w:val="111111"/>
          <w:sz w:val="28"/>
          <w:sz w:val="28"/>
          <w:szCs w:val="28"/>
          <w:rtl w:val="true"/>
          <w:lang w:bidi="ar-SA"/>
        </w:rPr>
        <w:t>ذكره النَّاظرون في الكتاب الكريم من وِجهة نظر آياته الفقهيَّة، كالرَّاونديِّ قدس سره</w:t>
      </w:r>
      <w:r>
        <w:rPr>
          <w:rStyle w:val="FootnoteAnchor"/>
          <w:rtl w:val="true"/>
        </w:rPr>
        <w:footnoteReference w:id="1859"/>
      </w:r>
      <w:r>
        <w:rPr>
          <w:rFonts w:ascii="Amiri" w:hAnsi="Amiri" w:eastAsia="Amiri" w:cs="Amiri"/>
          <w:color w:val="111111"/>
          <w:sz w:val="28"/>
          <w:sz w:val="28"/>
          <w:szCs w:val="28"/>
          <w:rtl w:val="true"/>
          <w:lang w:bidi="ar-SA"/>
        </w:rPr>
        <w:t>، والفاضلين المقداد</w:t>
      </w:r>
      <w:r>
        <w:rPr>
          <w:rStyle w:val="FootnoteAnchor"/>
          <w:rtl w:val="true"/>
        </w:rPr>
        <w:footnoteReference w:id="1860"/>
      </w:r>
      <w:r>
        <w:rPr>
          <w:rFonts w:ascii="IRNazanin" w:hAnsi="IRNazanin" w:eastAsia="IRNazanin"/>
          <w:color w:val="111111"/>
          <w:sz w:val="28"/>
          <w:sz w:val="28"/>
          <w:szCs w:val="28"/>
          <w:rtl w:val="true"/>
          <w:lang w:bidi="fa-IR"/>
        </w:rPr>
        <w:t>والجواد قدس سرهما</w:t>
      </w:r>
      <w:r>
        <w:rPr>
          <w:rStyle w:val="FootnoteAnchor"/>
          <w:rtl w:val="true"/>
        </w:rPr>
        <w:footnoteReference w:id="1861"/>
      </w:r>
      <w:r>
        <w:rPr>
          <w:rFonts w:ascii="Amiri" w:hAnsi="Amiri" w:eastAsia="Amiri" w:cs="Amiri"/>
          <w:color w:val="111111"/>
          <w:sz w:val="28"/>
          <w:sz w:val="28"/>
          <w:szCs w:val="28"/>
          <w:rtl w:val="true"/>
          <w:lang w:bidi="ar-SA"/>
        </w:rPr>
        <w:t>، والجرجانيِّ قدس سره</w:t>
      </w:r>
      <w:r>
        <w:rPr>
          <w:rStyle w:val="FootnoteAnchor"/>
          <w:rtl w:val="true"/>
        </w:rPr>
        <w:footnoteReference w:id="1862"/>
      </w:r>
      <w:r>
        <w:rPr>
          <w:rFonts w:ascii="Amiri" w:hAnsi="Amiri" w:eastAsia="Amiri" w:cs="Amiri"/>
          <w:color w:val="111111"/>
          <w:sz w:val="28"/>
          <w:sz w:val="28"/>
          <w:szCs w:val="28"/>
          <w:rtl w:val="true"/>
          <w:lang w:bidi="ar-SA"/>
        </w:rPr>
        <w:t>، والقرطبيِّ قدس سره</w:t>
      </w:r>
      <w:r>
        <w:rPr>
          <w:rStyle w:val="FootnoteAnchor"/>
          <w:rtl w:val="true"/>
        </w:rPr>
        <w:footnoteReference w:id="1863"/>
      </w:r>
      <w:r>
        <w:rPr>
          <w:rFonts w:ascii="Amiri" w:hAnsi="Amiri" w:eastAsia="Amiri" w:cs="Amiri"/>
          <w:color w:val="111111"/>
          <w:sz w:val="28"/>
          <w:sz w:val="28"/>
          <w:szCs w:val="28"/>
          <w:rtl w:val="true"/>
          <w:lang w:bidi="ar-SA"/>
        </w:rPr>
        <w:t>، والشَّيخ قدس سره</w:t>
      </w:r>
      <w:r>
        <w:rPr>
          <w:rStyle w:val="FootnoteAnchor"/>
          <w:rtl w:val="true"/>
        </w:rPr>
        <w:footnoteReference w:id="1864"/>
      </w:r>
      <w:r>
        <w:rPr>
          <w:rFonts w:ascii="Amiri" w:hAnsi="Amiri" w:eastAsia="Amiri" w:cs="Amiri"/>
          <w:color w:val="111111"/>
          <w:sz w:val="28"/>
          <w:sz w:val="28"/>
          <w:szCs w:val="28"/>
          <w:rtl w:val="true"/>
          <w:lang w:bidi="ar-SA"/>
        </w:rPr>
        <w:t>، والطَّبرسيِّ قدس سره</w:t>
      </w:r>
      <w:r>
        <w:rPr>
          <w:rStyle w:val="FootnoteAnchor"/>
          <w:rtl w:val="true"/>
        </w:rPr>
        <w:footnoteReference w:id="1865"/>
      </w:r>
      <w:r>
        <w:rPr>
          <w:rFonts w:ascii="Amiri" w:hAnsi="Amiri" w:eastAsia="Amiri" w:cs="Amiri"/>
          <w:color w:val="111111"/>
          <w:sz w:val="28"/>
          <w:sz w:val="28"/>
          <w:szCs w:val="28"/>
          <w:rtl w:val="true"/>
          <w:lang w:bidi="ar-SA"/>
        </w:rPr>
        <w:t>وغيرهم الكثيرين، لتَرىٰ ما ذكروه حولها</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1945378_1280447820"/>
      <w:bookmarkStart w:id="653" w:name="_Toc241"/>
      <w:bookmarkEnd w:id="652"/>
      <w:r>
        <w:rPr>
          <w:rtl w:val="true"/>
        </w:rPr>
        <w:t>ثانيًا</w:t>
      </w:r>
      <w:r>
        <w:rPr>
          <w:rtl w:val="true"/>
        </w:rPr>
        <w:t xml:space="preserve">: </w:t>
      </w:r>
      <w:r>
        <w:rPr>
          <w:rtl w:val="true"/>
        </w:rPr>
        <w:t>الرِّوايات</w:t>
      </w:r>
      <w:bookmarkEnd w:id="653"/>
    </w:p>
    <w:p>
      <w:pPr>
        <w:pStyle w:val="BookText"/>
        <w:rPr/>
      </w:pPr>
      <w:r>
        <w:rPr>
          <w:rFonts w:ascii="Amiri" w:hAnsi="Amiri" w:eastAsia="Amiri" w:cs="Amiri"/>
          <w:color w:val="111111"/>
          <w:sz w:val="28"/>
          <w:sz w:val="28"/>
          <w:szCs w:val="28"/>
          <w:rtl w:val="true"/>
          <w:lang w:bidi="ar-SA"/>
        </w:rPr>
        <w:t>وأمَّا الرِّوايات، فكثيرةٌ جدًّا</w:t>
      </w:r>
      <w:r>
        <w:rPr>
          <w:rStyle w:val="FootnoteAnchor"/>
          <w:rtl w:val="true"/>
        </w:rPr>
        <w:footnoteReference w:id="1866"/>
      </w:r>
      <w:r>
        <w:rPr>
          <w:rFonts w:ascii="Amiri" w:hAnsi="Amiri" w:eastAsia="Amiri" w:cs="Amiri"/>
          <w:color w:val="111111"/>
          <w:sz w:val="28"/>
          <w:sz w:val="28"/>
          <w:szCs w:val="28"/>
          <w:rtl w:val="true"/>
          <w:lang w:bidi="ar-SA"/>
        </w:rPr>
        <w:t>ولايبعد دعوىٰ وجود التَّواتر المعنويِّ فيها؛ كما أنَّ بعضَ الأخباريِّين ادَّعاه</w:t>
      </w:r>
      <w:r>
        <w:rPr>
          <w:rStyle w:val="FootnoteAnchor"/>
          <w:rtl w:val="true"/>
        </w:rPr>
        <w:footnoteReference w:id="1867"/>
      </w:r>
      <w:r>
        <w:rPr>
          <w:rFonts w:ascii="Amiri" w:hAnsi="Amiri" w:eastAsia="Amiri" w:cs="Amiri"/>
          <w:color w:val="111111"/>
          <w:sz w:val="28"/>
          <w:sz w:val="28"/>
          <w:szCs w:val="28"/>
          <w:rtl w:val="true"/>
          <w:lang w:bidi="ar-SA"/>
        </w:rPr>
        <w:t xml:space="preserve">في صحيحة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سنذكرها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والمُتَراءىٰ من هذه الطَّائفة الكثيرة الهائلة من الرِّوايات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الرِّبا أشدُّ من حرمة الزِّنا بالمحارم، فقبح عملِ آخِذِ الرِّبا أشدُّ من قبح عمل الزَّاني بأُمِّه أو أُخته أو بنته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صحَّحها العلَّامة المجلسيُّ قدس سره في مرآته</w:t>
      </w:r>
      <w:r>
        <w:rPr>
          <w:rStyle w:val="FootnoteAnchor"/>
          <w:rtl w:val="true"/>
        </w:rPr>
        <w:footnoteReference w:id="186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وملاذه</w:t>
      </w:r>
      <w:r>
        <w:rPr>
          <w:rStyle w:val="FootnoteAnchor"/>
          <w:rtl w:val="true"/>
        </w:rPr>
        <w:footnoteReference w:id="1869"/>
      </w:r>
      <w:r>
        <w:rPr>
          <w:rFonts w:ascii="Amiri" w:hAnsi="Amiri" w:eastAsia="Amiri" w:cs="Amiri"/>
          <w:color w:val="111111"/>
          <w:sz w:val="28"/>
          <w:sz w:val="28"/>
          <w:szCs w:val="28"/>
          <w:rtl w:val="true"/>
          <w:lang w:bidi="ar-SA"/>
        </w:rPr>
        <w:t>، والفيضُ‌</w:t>
      </w:r>
      <w:r>
        <w:rPr>
          <w:rStyle w:val="FootnoteAnchor"/>
          <w:rtl w:val="true"/>
        </w:rPr>
        <w:footnoteReference w:id="1870"/>
      </w:r>
      <w:r>
        <w:rPr>
          <w:rFonts w:ascii="IRNazanin" w:hAnsi="IRNazanin" w:eastAsia="IRNazanin"/>
          <w:color w:val="111111"/>
          <w:sz w:val="28"/>
          <w:sz w:val="28"/>
          <w:szCs w:val="28"/>
          <w:rtl w:val="true"/>
          <w:lang w:bidi="fa-IR"/>
        </w:rPr>
        <w:t>، والفاضل الجوادُ قدس سره</w:t>
      </w:r>
      <w:r>
        <w:rPr>
          <w:rStyle w:val="FootnoteAnchor"/>
          <w:rtl w:val="true"/>
        </w:rPr>
        <w:footnoteReference w:id="1871"/>
      </w:r>
      <w:r>
        <w:rPr>
          <w:rFonts w:ascii="Amiri" w:hAnsi="Amiri" w:eastAsia="Amiri" w:cs="Amiri"/>
          <w:color w:val="111111"/>
          <w:sz w:val="28"/>
          <w:sz w:val="28"/>
          <w:szCs w:val="28"/>
          <w:rtl w:val="true"/>
          <w:lang w:bidi="ar-SA"/>
        </w:rPr>
        <w:t>، وسيِّدنا الأستاذ الإمام الخمينيُّ قدس سره</w:t>
      </w:r>
      <w:r>
        <w:rPr>
          <w:rStyle w:val="FootnoteAnchor"/>
          <w:rtl w:val="true"/>
        </w:rPr>
        <w:footnoteReference w:id="1872"/>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من سبعينَ زَنْيَةً كلُّها بذات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الكلينيُّ قدس سره</w:t>
      </w:r>
      <w:r>
        <w:rPr>
          <w:rStyle w:val="FootnoteAnchor"/>
          <w:rtl w:val="true"/>
        </w:rPr>
        <w:footnoteReference w:id="1873"/>
      </w:r>
      <w:r>
        <w:rPr>
          <w:rFonts w:ascii="Amiri" w:hAnsi="Amiri" w:eastAsia="Amiri" w:cs="Amiri"/>
          <w:color w:val="111111"/>
          <w:sz w:val="28"/>
          <w:sz w:val="28"/>
          <w:szCs w:val="28"/>
          <w:rtl w:val="true"/>
          <w:lang w:bidi="ar-SA"/>
        </w:rPr>
        <w:t>، والشَّيخ قدس سره</w:t>
      </w:r>
      <w:r>
        <w:rPr>
          <w:rStyle w:val="FootnoteAnchor"/>
          <w:rtl w:val="true"/>
        </w:rPr>
        <w:footnoteReference w:id="1874"/>
      </w:r>
      <w:r>
        <w:rPr>
          <w:rFonts w:ascii="Amiri" w:hAnsi="Amiri" w:eastAsia="Amiri" w:cs="Amiri"/>
          <w:color w:val="111111"/>
          <w:sz w:val="28"/>
          <w:sz w:val="28"/>
          <w:szCs w:val="28"/>
          <w:rtl w:val="true"/>
          <w:lang w:bidi="ar-SA"/>
        </w:rPr>
        <w:t>، والحُرُّ قدس سره</w:t>
      </w:r>
      <w:r>
        <w:rPr>
          <w:rStyle w:val="FootnoteAnchor"/>
          <w:rtl w:val="true"/>
        </w:rPr>
        <w:footnoteReference w:id="187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إنَّ هذه الطَّائفة من الرِّوايات بصدد بيان شدَّة حرمة الرِّبا؛ وحيث إنَّ الزِّنا بذات المحرم أقبحُ المحرَّمات وأشدُّها، فشُبِّه بها الرِّبا ليظهر أنَّه كأشدِّ المحرَّمات قبحًا وعقوبةً‌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نفس الزِّنا بذات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ممَّا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تلك الرِّوايات كناياتٌ عن شدَّة حرمته بذكر اللَّازم وإرادة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الرِّبا يوجب أن يَفسُدَ إقتصاد المجتمع ويظهر في المجتمع التنازعُ الطَّبقاتيُّ الفِئويُّ‌، بتعطيل الصِّناعات والمصانع وإقدام الأثرياء بالتِّجارات الَّتي لافائدة فيها للمجتمع وأهله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المُشيرة إلى هذا الأمر الثَّاني أيضًا كثيرةٌ‌؛ </w:t>
      </w:r>
      <w:bookmarkStart w:id="654" w:name="pg20337_261675"/>
    </w:p>
    <w:p>
      <w:pPr>
        <w:pStyle w:val="BookText"/>
        <w:rPr/>
      </w:pPr>
      <w:bookmarkEnd w:id="654"/>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ذكَر الرِّبا في غير آيةٍ وكرَّره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وتدري لِمَ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يمتنع النَّاسُ من اصطناع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1876"/>
      </w:r>
      <w:r>
        <w:rPr>
          <w:rFonts w:ascii="Amiri" w:hAnsi="Amiri" w:eastAsia="Amiri" w:cs="Amiri"/>
          <w:color w:val="111111"/>
          <w:sz w:val="28"/>
          <w:sz w:val="28"/>
          <w:szCs w:val="28"/>
          <w:rtl w:val="true"/>
          <w:lang w:bidi="ar-SA"/>
        </w:rPr>
        <w:t>، والشَّيخ قدس سره</w:t>
      </w:r>
      <w:r>
        <w:rPr>
          <w:rStyle w:val="FootnoteAnchor"/>
          <w:rtl w:val="true"/>
        </w:rPr>
        <w:footnoteReference w:id="1877"/>
      </w:r>
      <w:r>
        <w:rPr>
          <w:rFonts w:ascii="Amiri" w:hAnsi="Amiri" w:eastAsia="Amiri" w:cs="Amiri"/>
          <w:color w:val="111111"/>
          <w:sz w:val="28"/>
          <w:sz w:val="28"/>
          <w:szCs w:val="28"/>
          <w:rtl w:val="true"/>
          <w:lang w:bidi="ar-SA"/>
        </w:rPr>
        <w:t>، والفيض قدس سره</w:t>
      </w:r>
      <w:r>
        <w:rPr>
          <w:rStyle w:val="FootnoteAnchor"/>
          <w:rtl w:val="true"/>
        </w:rPr>
        <w:footnoteReference w:id="1878"/>
      </w:r>
      <w:r>
        <w:rPr>
          <w:rFonts w:ascii="Amiri" w:hAnsi="Amiri" w:eastAsia="Amiri" w:cs="Amiri"/>
          <w:color w:val="111111"/>
          <w:sz w:val="28"/>
          <w:sz w:val="28"/>
          <w:szCs w:val="28"/>
          <w:rtl w:val="true"/>
          <w:lang w:bidi="ar-SA"/>
        </w:rPr>
        <w:t>، والحُرُّ قدس سره</w:t>
      </w:r>
      <w:r>
        <w:rPr>
          <w:rStyle w:val="FootnoteAnchor"/>
          <w:rtl w:val="true"/>
        </w:rPr>
        <w:footnoteReference w:id="187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والتَّوثيق لمكان سَماعة بن مهران كما عن القوم، كالعلَّامة المجلسيِّ قدس سره في مرآته</w:t>
      </w:r>
      <w:r>
        <w:rPr>
          <w:rStyle w:val="FootnoteAnchor"/>
          <w:rtl w:val="true"/>
        </w:rPr>
        <w:footnoteReference w:id="1880"/>
      </w:r>
      <w:r>
        <w:rPr>
          <w:rFonts w:ascii="IRNazanin" w:hAnsi="IRNazanin" w:eastAsia="IRNazanin"/>
          <w:color w:val="111111"/>
          <w:sz w:val="28"/>
          <w:sz w:val="28"/>
          <w:szCs w:val="28"/>
          <w:rtl w:val="true"/>
          <w:lang w:bidi="fa-IR"/>
        </w:rPr>
        <w:t>، وملاذه</w:t>
      </w:r>
      <w:r>
        <w:rPr>
          <w:rStyle w:val="FootnoteAnchor"/>
          <w:rtl w:val="true"/>
        </w:rPr>
        <w:footnoteReference w:id="1881"/>
      </w:r>
      <w:r>
        <w:rPr>
          <w:rFonts w:ascii="Amiri" w:hAnsi="Amiri" w:eastAsia="Amiri" w:cs="Amiri"/>
          <w:color w:val="111111"/>
          <w:sz w:val="28"/>
          <w:sz w:val="28"/>
          <w:szCs w:val="28"/>
          <w:rtl w:val="true"/>
          <w:lang w:bidi="ar-SA"/>
        </w:rPr>
        <w:t>، وغيره؛ وإلَّا فموافقتها لغيرها من الأخبار تشهد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مظانِّها، كالكافي</w:t>
      </w:r>
      <w:r>
        <w:rPr>
          <w:rStyle w:val="FootnoteAnchor"/>
          <w:rtl w:val="true"/>
        </w:rPr>
        <w:footnoteReference w:id="1882"/>
      </w:r>
      <w:r>
        <w:rPr>
          <w:rFonts w:ascii="Amiri" w:hAnsi="Amiri" w:eastAsia="Amiri" w:cs="Amiri"/>
          <w:color w:val="111111"/>
          <w:sz w:val="28"/>
          <w:sz w:val="28"/>
          <w:szCs w:val="28"/>
          <w:rtl w:val="true"/>
          <w:lang w:bidi="ar-SA"/>
        </w:rPr>
        <w:t>، والوافي</w:t>
      </w:r>
      <w:r>
        <w:rPr>
          <w:rStyle w:val="FootnoteAnchor"/>
          <w:rtl w:val="true"/>
        </w:rPr>
        <w:footnoteReference w:id="1883"/>
      </w:r>
      <w:r>
        <w:rPr>
          <w:rFonts w:ascii="IRNazanin" w:hAnsi="IRNazanin" w:eastAsia="IRNazanin"/>
          <w:color w:val="111111"/>
          <w:sz w:val="28"/>
          <w:sz w:val="28"/>
          <w:szCs w:val="28"/>
          <w:rtl w:val="true"/>
          <w:lang w:bidi="fa-IR"/>
        </w:rPr>
        <w:t>، والوسائل</w:t>
      </w:r>
      <w:r>
        <w:rPr>
          <w:rStyle w:val="FootnoteAnchor"/>
          <w:rtl w:val="true"/>
        </w:rPr>
        <w:footnoteReference w:id="1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الأمرَين مصرَّحًا بهما فيها</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1945380_1280447820"/>
      <w:bookmarkStart w:id="656" w:name="_Toc242"/>
      <w:bookmarkEnd w:id="655"/>
      <w:r>
        <w:rPr>
          <w:rtl w:val="true"/>
        </w:rPr>
        <w:t>ثالثًا</w:t>
      </w:r>
      <w:r>
        <w:rPr>
          <w:rtl w:val="true"/>
        </w:rPr>
        <w:t xml:space="preserve">: </w:t>
      </w:r>
      <w:r>
        <w:rPr>
          <w:rtl w:val="true"/>
        </w:rPr>
        <w:t>الإجماع</w:t>
      </w:r>
      <w:bookmarkEnd w:id="65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فالمسألةُ ممَّا لاإشكال فيها عند العامَّة والخاصَّة؛ كما قد كَثُرَ ادِّعاء ثبوت الإجماع هيهنا، كما عن صاحب الرِّياض قدس سره</w:t>
      </w:r>
      <w:r>
        <w:rPr>
          <w:rStyle w:val="FootnoteAnchor"/>
          <w:rtl w:val="true"/>
        </w:rPr>
        <w:footnoteReference w:id="1885"/>
      </w:r>
      <w:r>
        <w:rPr>
          <w:rFonts w:ascii="Amiri" w:hAnsi="Amiri" w:eastAsia="Amiri" w:cs="Amiri"/>
          <w:color w:val="111111"/>
          <w:sz w:val="28"/>
          <w:sz w:val="28"/>
          <w:szCs w:val="28"/>
          <w:rtl w:val="true"/>
          <w:lang w:bidi="ar-SA"/>
        </w:rPr>
        <w:t xml:space="preserve">، والشَّيخ حسن آل </w:t>
      </w:r>
      <w:bookmarkStart w:id="657" w:name="pg20337_261676"/>
    </w:p>
    <w:p>
      <w:pPr>
        <w:pStyle w:val="BookText"/>
        <w:rPr/>
      </w:pPr>
      <w:bookmarkEnd w:id="657"/>
      <w:r>
        <w:rPr>
          <w:rFonts w:ascii="Amiri" w:hAnsi="Amiri" w:eastAsia="Amiri" w:cs="Amiri"/>
          <w:color w:val="111111"/>
          <w:sz w:val="28"/>
          <w:sz w:val="28"/>
          <w:szCs w:val="28"/>
          <w:rtl w:val="true"/>
          <w:lang w:bidi="ar-SA"/>
        </w:rPr>
        <w:t>كاشف الغطاء قدس سره</w:t>
      </w:r>
      <w:r>
        <w:rPr>
          <w:rStyle w:val="FootnoteAnchor"/>
          <w:rtl w:val="true"/>
        </w:rPr>
        <w:footnoteReference w:id="1886"/>
      </w:r>
      <w:r>
        <w:rPr>
          <w:rFonts w:ascii="Amiri" w:hAnsi="Amiri" w:eastAsia="Amiri" w:cs="Amiri"/>
          <w:color w:val="111111"/>
          <w:sz w:val="28"/>
          <w:sz w:val="28"/>
          <w:szCs w:val="28"/>
          <w:rtl w:val="true"/>
          <w:lang w:bidi="ar-SA"/>
        </w:rPr>
        <w:t>، وغيرهما؛</w:t>
      </w:r>
    </w:p>
    <w:p>
      <w:pPr>
        <w:pStyle w:val="BookText"/>
        <w:rPr/>
      </w:pPr>
      <w:r>
        <w:rPr>
          <w:rFonts w:ascii="Amiri" w:hAnsi="Amiri" w:eastAsia="Amiri" w:cs="Amiri"/>
          <w:color w:val="111111"/>
          <w:sz w:val="28"/>
          <w:sz w:val="28"/>
          <w:szCs w:val="28"/>
          <w:rtl w:val="true"/>
          <w:lang w:bidi="ar-SA"/>
        </w:rPr>
        <w:t>بل عن سيِّدنا الأستاذ الإمام الخمينيِّ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لايبعد كونها من ضروريَّات الدِّين</w:t>
      </w:r>
      <w:r>
        <w:rPr>
          <w:rFonts w:eastAsia="Amiri" w:cs="Amiri" w:ascii="Amiri" w:hAnsi="Amiri"/>
          <w:color w:val="111111"/>
          <w:sz w:val="28"/>
          <w:szCs w:val="28"/>
          <w:rtl w:val="true"/>
          <w:lang w:bidi="ar-SA"/>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هذا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المحقِّق البجنورديُّ قدس سره</w:t>
      </w:r>
      <w:r>
        <w:rPr>
          <w:rStyle w:val="FootnoteAnchor"/>
          <w:rtl w:val="true"/>
        </w:rPr>
        <w:footnoteReference w:id="1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فلايكون دليلًا برأسه كغيره من أدلَّة القاعدة</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1945382_1280447820"/>
      <w:bookmarkStart w:id="659" w:name="_Toc243"/>
      <w:bookmarkEnd w:id="658"/>
      <w:r>
        <w:rPr>
          <w:rtl w:val="true"/>
        </w:rPr>
        <w:t>رابعًا</w:t>
      </w:r>
      <w:r>
        <w:rPr>
          <w:rtl w:val="true"/>
        </w:rPr>
        <w:t xml:space="preserve">: </w:t>
      </w:r>
      <w:r>
        <w:rPr>
          <w:rtl w:val="true"/>
        </w:rPr>
        <w:t>الأدلَّة العقليَّة</w:t>
      </w:r>
      <w:bookmarkEnd w:id="659"/>
    </w:p>
    <w:p>
      <w:pPr>
        <w:pStyle w:val="BookText"/>
        <w:rPr/>
      </w:pPr>
      <w:r>
        <w:rPr>
          <w:rFonts w:ascii="Amiri" w:hAnsi="Amiri" w:eastAsia="Amiri" w:cs="Amiri"/>
          <w:color w:val="111111"/>
          <w:sz w:val="28"/>
          <w:sz w:val="28"/>
          <w:szCs w:val="28"/>
          <w:rtl w:val="true"/>
          <w:lang w:bidi="ar-SA"/>
        </w:rPr>
        <w:t>وأمَّا العقلُ والعقلاءُ‌، فيرون قبحَ الرِّبا أمرًا واضحًا، فهو عندهم ظلمٌ‌، ولاسيَّما عند أخذه من المحتاج يحكمون بالظُّلم المضاعف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العقل باستقلاله يحكم بأنَّه من القبائح العُرفيَّة، حيث يَمحَقُ الإقتصادَ؛ والعقل في هذا الحكم لايحتاج إلى دقائق هذا العلم والتَّدبُّر فيه، بل بالبداهة يحكم بأنَّه أكلٌ بالباطل، فلايجوز نشرُه في المجتمع وإرتزاق بعض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تنبيهاتٌ‌</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1945384_1280447820"/>
      <w:bookmarkStart w:id="661" w:name="_Toc244"/>
      <w:bookmarkEnd w:id="660"/>
      <w:r>
        <w:rPr>
          <w:rtl w:val="true"/>
        </w:rPr>
        <w:t>تنبيهاتٌ‌</w:t>
      </w:r>
      <w:r>
        <w:rPr>
          <w:rtl w:val="true"/>
        </w:rPr>
        <w:t>:</w:t>
      </w:r>
      <w:bookmarkEnd w:id="661"/>
    </w:p>
    <w:p>
      <w:pPr>
        <w:pStyle w:val="Heading4"/>
        <w:numPr>
          <w:ilvl w:val="3"/>
          <w:numId w:val="1"/>
        </w:numPr>
        <w:rPr/>
      </w:pPr>
      <w:bookmarkStart w:id="662" w:name="__RefHeading___Toc11945386_1280447820"/>
      <w:bookmarkStart w:id="663" w:name="_Toc245"/>
      <w:bookmarkEnd w:id="662"/>
      <w:r>
        <w:rPr>
          <w:rtl w:val="true"/>
        </w:rPr>
        <w:t>التَّنبيه الأوَّل</w:t>
      </w:r>
      <w:r>
        <w:rPr>
          <w:rtl w:val="true"/>
        </w:rPr>
        <w:t>:</w:t>
      </w:r>
      <w:bookmarkEnd w:id="66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أجمعَت الأصحاب علىٰ أنَّ بيع مِثلين بمِثلٍ إذا كانا من المَكيل والموزون واختلَفا في الكيفيَّة لايكون رَبَويًّا أصلًا؛ حيث اشترَطُوا في الرِّبا اتِّحاد الجنس؛ والإجماع هذا </w:t>
      </w:r>
    </w:p>
    <w:p>
      <w:pPr>
        <w:pStyle w:val="BookText"/>
        <w:rPr/>
      </w:pPr>
      <w:r>
        <w:rPr>
          <w:rFonts w:ascii="Amiri" w:hAnsi="Amiri" w:eastAsia="Amiri" w:cs="Amiri"/>
          <w:color w:val="111111"/>
          <w:sz w:val="28"/>
          <w:sz w:val="28"/>
          <w:szCs w:val="28"/>
          <w:rtl w:val="true"/>
          <w:lang w:bidi="ar-SA"/>
        </w:rPr>
        <w:t>يُستَفاد نقلُه ممَّا ذكره ابنُزهرة قدس سره</w:t>
      </w:r>
      <w:r>
        <w:rPr>
          <w:rStyle w:val="FootnoteAnchor"/>
          <w:rtl w:val="true"/>
        </w:rPr>
        <w:footnoteReference w:id="1889"/>
      </w:r>
      <w:r>
        <w:rPr>
          <w:rFonts w:ascii="Amiri" w:hAnsi="Amiri" w:eastAsia="Amiri" w:cs="Amiri"/>
          <w:color w:val="111111"/>
          <w:sz w:val="28"/>
          <w:sz w:val="28"/>
          <w:szCs w:val="28"/>
          <w:rtl w:val="true"/>
          <w:lang w:bidi="ar-SA"/>
        </w:rPr>
        <w:t>، وابنُإدريس قدس سره</w:t>
      </w:r>
      <w:r>
        <w:rPr>
          <w:rStyle w:val="FootnoteAnchor"/>
          <w:rtl w:val="true"/>
        </w:rPr>
        <w:footnoteReference w:id="1890"/>
      </w:r>
      <w:r>
        <w:rPr>
          <w:rFonts w:ascii="Amiri" w:hAnsi="Amiri" w:eastAsia="Amiri" w:cs="Amiri"/>
          <w:color w:val="111111"/>
          <w:sz w:val="28"/>
          <w:sz w:val="28"/>
          <w:szCs w:val="28"/>
          <w:rtl w:val="true"/>
          <w:lang w:bidi="ar-SA"/>
        </w:rPr>
        <w:t>، وصاحبُ الرِّياض قدس سره</w:t>
      </w:r>
      <w:r>
        <w:rPr>
          <w:rStyle w:val="FootnoteAnchor"/>
          <w:rtl w:val="true"/>
        </w:rPr>
        <w:footnoteReference w:id="1891"/>
      </w:r>
      <w:r>
        <w:rPr>
          <w:rFonts w:ascii="Amiri" w:hAnsi="Amiri" w:eastAsia="Amiri" w:cs="Amiri"/>
          <w:color w:val="111111"/>
          <w:sz w:val="28"/>
          <w:sz w:val="28"/>
          <w:szCs w:val="28"/>
          <w:rtl w:val="true"/>
          <w:lang w:bidi="ar-SA"/>
        </w:rPr>
        <w:t>، والعلَّامة قدس سره</w:t>
      </w:r>
      <w:r>
        <w:rPr>
          <w:rStyle w:val="FootnoteAnchor"/>
          <w:rtl w:val="true"/>
        </w:rPr>
        <w:footnoteReference w:id="1892"/>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وادَّعىٰ صاحبُ الحدائق قدس سره عدم الخلاف فيه</w:t>
      </w:r>
      <w:r>
        <w:rPr>
          <w:rStyle w:val="FootnoteAnchor"/>
          <w:rtl w:val="true"/>
        </w:rPr>
        <w:footnoteReference w:id="1893"/>
      </w:r>
      <w:r>
        <w:rPr>
          <w:rFonts w:ascii="IRNazanin" w:hAnsi="IRNazanin" w:eastAsia="IRNazanin"/>
          <w:color w:val="111111"/>
          <w:sz w:val="28"/>
          <w:sz w:val="28"/>
          <w:szCs w:val="28"/>
          <w:rtl w:val="true"/>
          <w:lang w:bidi="fa-IR"/>
        </w:rPr>
        <w:t>وعن صاحب الجواهر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بلاخلافٍ‌، كما اعترف به بعضُهم، بل الإجماعُ بقِسمَيه عليه</w:t>
      </w:r>
      <w:r>
        <w:rPr>
          <w:rFonts w:eastAsia="Amiri" w:cs="Amiri" w:ascii="Amiri" w:hAnsi="Amiri"/>
          <w:color w:val="111111"/>
          <w:sz w:val="28"/>
          <w:szCs w:val="28"/>
          <w:rtl w:val="true"/>
          <w:lang w:bidi="ar-SA"/>
        </w:rPr>
        <w:t>»</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لاإشكال فيها ولا كلام</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صحَّتها رواياتٌ كثيرةٌ‌؛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الباقر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اختلَفا الشَّيئان فلابأس به مثلَيْن بمِثْلٍ يدًا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1896"/>
      </w:r>
      <w:r>
        <w:rPr>
          <w:rFonts w:ascii="Amiri" w:hAnsi="Amiri" w:eastAsia="Amiri" w:cs="Amiri"/>
          <w:color w:val="111111"/>
          <w:sz w:val="28"/>
          <w:sz w:val="28"/>
          <w:szCs w:val="28"/>
          <w:rtl w:val="true"/>
          <w:lang w:bidi="ar-SA"/>
        </w:rPr>
        <w:t>، والشَّيخ قدس سره</w:t>
      </w:r>
      <w:r>
        <w:rPr>
          <w:rStyle w:val="FootnoteAnchor"/>
          <w:rtl w:val="true"/>
        </w:rPr>
        <w:footnoteReference w:id="1897"/>
      </w:r>
      <w:r>
        <w:rPr>
          <w:rFonts w:ascii="Amiri" w:hAnsi="Amiri" w:eastAsia="Amiri" w:cs="Amiri"/>
          <w:color w:val="111111"/>
          <w:sz w:val="28"/>
          <w:sz w:val="28"/>
          <w:szCs w:val="28"/>
          <w:rtl w:val="true"/>
          <w:lang w:bidi="ar-SA"/>
        </w:rPr>
        <w:t>، والفيض قدس سره</w:t>
      </w:r>
      <w:r>
        <w:rPr>
          <w:rStyle w:val="FootnoteAnchor"/>
          <w:rtl w:val="true"/>
        </w:rPr>
        <w:footnoteReference w:id="1898"/>
      </w:r>
      <w:r>
        <w:rPr>
          <w:rFonts w:ascii="Amiri" w:hAnsi="Amiri" w:eastAsia="Amiri" w:cs="Amiri"/>
          <w:color w:val="111111"/>
          <w:sz w:val="28"/>
          <w:sz w:val="28"/>
          <w:szCs w:val="28"/>
          <w:rtl w:val="true"/>
          <w:lang w:bidi="ar-SA"/>
        </w:rPr>
        <w:t>، والحرُّ قدس سره</w:t>
      </w:r>
      <w:r>
        <w:rPr>
          <w:rStyle w:val="FootnoteAnchor"/>
          <w:rtl w:val="true"/>
        </w:rPr>
        <w:footnoteReference w:id="1899"/>
      </w:r>
      <w:r>
        <w:rPr>
          <w:rFonts w:ascii="Amiri" w:hAnsi="Amiri" w:eastAsia="Amiri" w:cs="Amiri"/>
          <w:color w:val="111111"/>
          <w:sz w:val="28"/>
          <w:sz w:val="28"/>
          <w:szCs w:val="28"/>
          <w:rtl w:val="true"/>
          <w:lang w:bidi="ar-SA"/>
        </w:rPr>
        <w:t>، وسيِّدنا الأستاذ العلَّامة الفقيه البروجرديُّ قدس سره</w:t>
      </w:r>
      <w:r>
        <w:rPr>
          <w:rStyle w:val="FootnoteAnchor"/>
          <w:rtl w:val="true"/>
        </w:rPr>
        <w:footnoteReference w:id="1900"/>
      </w:r>
      <w:r>
        <w:rPr>
          <w:rFonts w:ascii="Amiri" w:hAnsi="Amiri" w:eastAsia="Amiri" w:cs="Amiri"/>
          <w:color w:val="111111"/>
          <w:sz w:val="28"/>
          <w:sz w:val="28"/>
          <w:szCs w:val="28"/>
          <w:rtl w:val="true"/>
          <w:lang w:bidi="ar-SA"/>
        </w:rPr>
        <w:t>وقد صحَّحها شارح المفاتيح قدس سره</w:t>
      </w:r>
      <w:r>
        <w:rPr>
          <w:rStyle w:val="FootnoteAnchor"/>
          <w:rtl w:val="true"/>
        </w:rPr>
        <w:footnoteReference w:id="19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والمجلسيُّ قدس سره في مرآته</w:t>
      </w:r>
      <w:r>
        <w:rPr>
          <w:rStyle w:val="FootnoteAnchor"/>
          <w:rtl w:val="true"/>
        </w:rPr>
        <w:footnoteReference w:id="1902"/>
      </w:r>
      <w:r>
        <w:rPr>
          <w:rFonts w:ascii="IRNazanin" w:hAnsi="IRNazanin" w:eastAsia="IRNazanin"/>
          <w:color w:val="111111"/>
          <w:sz w:val="28"/>
          <w:sz w:val="28"/>
          <w:szCs w:val="28"/>
          <w:rtl w:val="true"/>
          <w:lang w:bidi="fa-IR"/>
        </w:rPr>
        <w:t>، وملاذه</w:t>
      </w:r>
      <w:r>
        <w:rPr>
          <w:rStyle w:val="FootnoteAnchor"/>
          <w:rtl w:val="true"/>
        </w:rPr>
        <w:footnoteReference w:id="1903"/>
      </w:r>
      <w:r>
        <w:rPr>
          <w:rFonts w:ascii="Amiri" w:hAnsi="Amiri" w:eastAsia="Amiri" w:cs="Amiri"/>
          <w:color w:val="111111"/>
          <w:sz w:val="28"/>
          <w:sz w:val="28"/>
          <w:szCs w:val="28"/>
          <w:rtl w:val="true"/>
          <w:lang w:bidi="ar-SA"/>
        </w:rPr>
        <w:t>، وأبوه المعظَّم قدس سره</w:t>
      </w:r>
      <w:r>
        <w:rPr>
          <w:rStyle w:val="FootnoteAnchor"/>
          <w:rtl w:val="true"/>
        </w:rPr>
        <w:footnoteReference w:id="190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مختلفٍ أو متاعٍ أو شيءٍ من الأشياء يتفاضَلُ فلابأس ببيعه مِثلَيْن بمِثلٍ يدًا بيدٍ، فأمَّا نَظِرَةً فلايصلحُ‌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1905"/>
      </w:r>
      <w:r>
        <w:rPr>
          <w:rFonts w:ascii="Amiri" w:hAnsi="Amiri" w:eastAsia="Amiri" w:cs="Amiri"/>
          <w:color w:val="111111"/>
          <w:sz w:val="28"/>
          <w:sz w:val="28"/>
          <w:szCs w:val="28"/>
          <w:rtl w:val="true"/>
          <w:lang w:bidi="ar-SA"/>
        </w:rPr>
        <w:t>، والصَّدوق قدس سره</w:t>
      </w:r>
      <w:r>
        <w:rPr>
          <w:rStyle w:val="FootnoteAnchor"/>
          <w:rtl w:val="true"/>
        </w:rPr>
        <w:footnoteReference w:id="1906"/>
      </w:r>
      <w:r>
        <w:rPr>
          <w:rFonts w:ascii="Amiri" w:hAnsi="Amiri" w:eastAsia="Amiri" w:cs="Amiri"/>
          <w:color w:val="111111"/>
          <w:sz w:val="28"/>
          <w:sz w:val="28"/>
          <w:szCs w:val="28"/>
          <w:rtl w:val="true"/>
          <w:lang w:bidi="ar-SA"/>
        </w:rPr>
        <w:t>، والشَّيخ قدس سره</w:t>
      </w:r>
      <w:r>
        <w:rPr>
          <w:rStyle w:val="FootnoteAnchor"/>
          <w:rtl w:val="true"/>
        </w:rPr>
        <w:footnoteReference w:id="1907"/>
      </w:r>
      <w:r>
        <w:rPr>
          <w:rFonts w:ascii="Amiri" w:hAnsi="Amiri" w:eastAsia="Amiri" w:cs="Amiri"/>
          <w:color w:val="111111"/>
          <w:sz w:val="28"/>
          <w:sz w:val="28"/>
          <w:szCs w:val="28"/>
          <w:rtl w:val="true"/>
          <w:lang w:bidi="ar-SA"/>
        </w:rPr>
        <w:t>، والفيض قدس سره</w:t>
      </w:r>
      <w:r>
        <w:rPr>
          <w:rStyle w:val="FootnoteAnchor"/>
          <w:rtl w:val="true"/>
        </w:rPr>
        <w:footnoteReference w:id="1908"/>
      </w:r>
      <w:r>
        <w:rPr>
          <w:rFonts w:ascii="Amiri" w:hAnsi="Amiri" w:eastAsia="Amiri" w:cs="Amiri"/>
          <w:color w:val="111111"/>
          <w:sz w:val="28"/>
          <w:sz w:val="28"/>
          <w:szCs w:val="28"/>
          <w:rtl w:val="true"/>
          <w:lang w:bidi="ar-SA"/>
        </w:rPr>
        <w:t>، والحرُّ قدس سره</w:t>
      </w:r>
      <w:r>
        <w:rPr>
          <w:rStyle w:val="FootnoteAnchor"/>
          <w:rtl w:val="true"/>
        </w:rPr>
        <w:footnoteReference w:id="190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لابأس به وإن قال أوَّل المجلسيَّين قدس سرهما إنَّه من الموثَّق كالصَّحيح</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 الفاضلُ الأردبيليُّ قدس سره</w:t>
      </w:r>
      <w:r>
        <w:rPr>
          <w:rStyle w:val="FootnoteAnchor"/>
          <w:rtl w:val="true"/>
        </w:rPr>
        <w:footnoteReference w:id="1911"/>
      </w:r>
      <w:r>
        <w:rPr>
          <w:rFonts w:ascii="Amiri" w:hAnsi="Amiri" w:eastAsia="Amiri" w:cs="Amiri"/>
          <w:color w:val="111111"/>
          <w:sz w:val="28"/>
          <w:sz w:val="28"/>
          <w:szCs w:val="28"/>
          <w:rtl w:val="true"/>
          <w:lang w:bidi="ar-SA"/>
        </w:rPr>
        <w:t>، وابنُفهدٍ الحلِّي قدس سره</w:t>
      </w:r>
      <w:r>
        <w:rPr>
          <w:rStyle w:val="FootnoteAnchor"/>
          <w:rtl w:val="true"/>
        </w:rPr>
        <w:footnoteReference w:id="1912"/>
      </w:r>
      <w:r>
        <w:rPr>
          <w:rFonts w:ascii="Amiri" w:hAnsi="Amiri" w:eastAsia="Amiri" w:cs="Amiri"/>
          <w:color w:val="111111"/>
          <w:sz w:val="28"/>
          <w:sz w:val="28"/>
          <w:szCs w:val="28"/>
          <w:rtl w:val="true"/>
          <w:lang w:bidi="ar-SA"/>
        </w:rPr>
        <w:t>، والشَّهيد قدس سره</w:t>
      </w:r>
      <w:r>
        <w:rPr>
          <w:rStyle w:val="FootnoteAnchor"/>
          <w:rtl w:val="true"/>
        </w:rPr>
        <w:footnoteReference w:id="1913"/>
      </w:r>
      <w:r>
        <w:rPr>
          <w:rFonts w:ascii="Amiri" w:hAnsi="Amiri" w:eastAsia="Amiri" w:cs="Amiri"/>
          <w:color w:val="111111"/>
          <w:sz w:val="28"/>
          <w:sz w:val="28"/>
          <w:szCs w:val="28"/>
          <w:rtl w:val="true"/>
          <w:lang w:bidi="ar-SA"/>
        </w:rPr>
        <w:t>وغيرهم؛ وكيف كان فلابأس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غيرهما أيضًا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أمرٌ تعبُّديٌّ لابدَّ من أن يُؤخَذَ به وإن كان بحسب القواعد غالبًا ليس من </w:t>
      </w:r>
      <w:bookmarkStart w:id="664" w:name="pg20337_261679"/>
    </w:p>
    <w:p>
      <w:pPr>
        <w:pStyle w:val="BookText"/>
        <w:rPr/>
      </w:pPr>
      <w:bookmarkEnd w:id="664"/>
      <w:r>
        <w:rPr>
          <w:rFonts w:ascii="Amiri" w:hAnsi="Amiri" w:eastAsia="Amiri" w:cs="Amiri"/>
          <w:color w:val="111111"/>
          <w:sz w:val="28"/>
          <w:sz w:val="28"/>
          <w:szCs w:val="28"/>
          <w:rtl w:val="true"/>
          <w:lang w:bidi="ar-SA"/>
        </w:rPr>
        <w:t>أخذ الزِّيادة؛ ضرورةَ أنَّ بيع مَنٍّ من الحنطة الجيِّدة بمَنٍّ من رديئها ليس من الرِّبا وأخذ الزِّيادة؛ لكن أجمعتْ الأصحابُ واتَّفقتْ الرِّوايات علىٰ كونه من مصاديق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مصاديق أخذ الزِّيادة، لأنَّه لوباع منًّا من الزَّبيب بمَنٍّ من الحِنطة تُراعىٰ في هذا البيع القيمةُ السُّوقيَّةُ‌، فيَجعَل المتبايعان أحدَهما ثمنًا والآخر مُثمنًا؛</w:t>
      </w:r>
    </w:p>
    <w:p>
      <w:pPr>
        <w:pStyle w:val="BookText"/>
        <w:rPr/>
      </w:pPr>
      <w:r>
        <w:rPr>
          <w:rFonts w:ascii="Amiri" w:hAnsi="Amiri" w:eastAsia="Amiri" w:cs="Amiri"/>
          <w:color w:val="111111"/>
          <w:sz w:val="28"/>
          <w:sz w:val="28"/>
          <w:szCs w:val="28"/>
          <w:rtl w:val="true"/>
          <w:lang w:bidi="ar-SA"/>
        </w:rPr>
        <w:t>وأمَّا إذا كان البيعُ في المِثلَين، فلايُراعِيا فيه القيمةَ‌، بل يُراعِيا فيه شرطَ الزِّيادة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تكون من مصاديق باب الرِّبا</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1945388_1280447820"/>
      <w:bookmarkStart w:id="666" w:name="_Toc246"/>
      <w:bookmarkEnd w:id="665"/>
      <w:r>
        <w:rPr>
          <w:rtl w:val="true"/>
        </w:rPr>
        <w:t>التَّنبيه الثَّاني</w:t>
      </w:r>
      <w:r>
        <w:rPr>
          <w:rtl w:val="true"/>
        </w:rPr>
        <w:t>:</w:t>
      </w:r>
      <w:bookmarkEnd w:id="666"/>
    </w:p>
    <w:p>
      <w:pPr>
        <w:pStyle w:val="BookText"/>
        <w:rPr/>
      </w:pPr>
      <w:r>
        <w:rPr>
          <w:rFonts w:ascii="Amiri" w:hAnsi="Amiri" w:eastAsia="Amiri" w:cs="Amiri"/>
          <w:color w:val="111111"/>
          <w:sz w:val="28"/>
          <w:sz w:val="28"/>
          <w:szCs w:val="28"/>
          <w:rtl w:val="true"/>
          <w:lang w:bidi="ar-SA"/>
        </w:rPr>
        <w:t>قد اختُلِفَ في المراد بالمِثلَين، واختارَ كلُّ طائفةٍ من الأعلام فيه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ومذاهِبُهم مبثوثَةٌ في أبواب الغصب، والاقتراض، والجناية،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المقداد قدس سره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في الآية يُمكنُ حملُه علىٰ المساوي في الحقيقة، وعلىٰ المساوي في الحكم، وعلىٰ المساوي في الماليَّة؛ وقد يُعبَّر عن الأوَّل بما يشترك جزؤُه وكلُّه في 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بالمِثليِّ في عبارة الفقهاء</w:t>
      </w:r>
      <w:r>
        <w:rPr>
          <w:rFonts w:eastAsia="Amiri" w:cs="Amiri" w:ascii="Amiri" w:hAnsi="Amiri"/>
          <w:color w:val="111111"/>
          <w:sz w:val="28"/>
          <w:szCs w:val="28"/>
          <w:rtl w:val="true"/>
          <w:lang w:bidi="ar-SA"/>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الفقيه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بالمِثليِّ ما يتساوىٰ أجزاؤُه في القيمة والمنفعة ويتقارب صفاتُه، كالحُبُوب والأدهان؛ ومع تعذُّر المِثل يُنتَقَل إلى القيمة</w:t>
      </w:r>
      <w:r>
        <w:rPr>
          <w:rFonts w:eastAsia="Amiri" w:cs="Amiri" w:ascii="Amiri" w:hAnsi="Amiri"/>
          <w:color w:val="111111"/>
          <w:sz w:val="28"/>
          <w:szCs w:val="28"/>
          <w:rtl w:val="true"/>
          <w:lang w:bidi="ar-SA"/>
        </w:rPr>
        <w:t>»</w:t>
      </w:r>
      <w:r>
        <w:rPr>
          <w:rStyle w:val="FootnoteAnchor"/>
          <w:rtl w:val="true"/>
        </w:rPr>
        <w:footnoteReference w:id="19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السَّيِّد عبداللَّه الجزائريِّ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بالمِثليِّ ما لاتتفاوَتُ أجزاؤُه تفاوتًا مُعتَدًّا به، كالحُبُوب والأدهان والذَّهب والفضَّة الخالِصَين الغير المصوغَين؛ وبالقِيميِّ ما عداه</w:t>
      </w:r>
      <w:r>
        <w:rPr>
          <w:rFonts w:eastAsia="Amiri" w:cs="Amiri" w:ascii="Amiri" w:hAnsi="Amiri"/>
          <w:color w:val="111111"/>
          <w:sz w:val="28"/>
          <w:szCs w:val="28"/>
          <w:rtl w:val="true"/>
          <w:lang w:bidi="ar-SA"/>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صاحب الجواهر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بالمِثليِّ في كلامهم هو الَّذي له مثلٌ‌، بمعنىٰ أنَّه مساوٍ له في جميع ما له مدخليَّةٌ في ماليَّته، من صفاته الذَّاتيَّة لاالعَرَضيَّة، كالمكان والزَّمان على وجهٍ يكون غالبًا في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 قِيميٌّ‌</w:t>
      </w:r>
      <w:r>
        <w:rPr>
          <w:rFonts w:eastAsia="Amiri" w:cs="Amiri" w:ascii="Amiri" w:hAnsi="Amiri"/>
          <w:color w:val="111111"/>
          <w:sz w:val="28"/>
          <w:szCs w:val="28"/>
          <w:rtl w:val="true"/>
          <w:lang w:bidi="ar-SA"/>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 الفقيه الأصفهانيِّ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بالمِثليِّ ما تساوَتْ قيمةُ أجزائِه لتقاربها في غالب الصِّفات والخواصِّ‌، كالحبوبات من الحِنطَةِ والشَّعير والأُرُزِّ والذَّرَّة والدُّخن والماش والعدس وغيرها، وكذا الأدهان وعقاقير الأدوية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القِيميِّ ما يكون بخلافه، كالعبيد و الإماء وأنواع الحيوان، كالفَرَس والبَغْل والحِمار والغنَم والبقر وغيرها</w:t>
      </w:r>
      <w:r>
        <w:rPr>
          <w:rFonts w:eastAsia="Amiri" w:cs="Amiri" w:ascii="Amiri" w:hAnsi="Amiri"/>
          <w:color w:val="111111"/>
          <w:sz w:val="28"/>
          <w:szCs w:val="28"/>
          <w:rtl w:val="true"/>
          <w:lang w:bidi="ar-SA"/>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معاصرينا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بالمِثليِّ هو الجنسُ الَّذي تتساوىٰ أجزاؤُه في القيمة السُّوقيَّة، لأنَّ أجزاؤُه تتقاربُ في الصِّفات والخواصِّ الَّتي تكون موضعًا للرَّغبة بين النَّاس في ذلك الجنس، كالحنطة والأُرُزِّ والشَّعير والسِّمسِمِ والعدس والماش وسائر أنواع الحبوب والأدهان والعقاقير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بالقِيميِّ ما يكون بخلاف ذلك من الأجناس، فلاتتساوىٰ أجزاؤُه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التَّقوىٰ‌،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المختارُ أنَّ المِثل معنىً عرفيٌّ‌، فلاتعريف له فقهًا؛ بل المرادُ منه ما يُشير إليه العُرف عند اِستعمال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فالدُّهنُ واللَّبن والزَّبيبُ والرَّوبُ من الغَنَم ومن البقر مثليَّان؛ أمَّا الدُّهن واللَّبن فغير مثلِيَّين؛</w:t>
      </w:r>
    </w:p>
    <w:p>
      <w:pPr>
        <w:pStyle w:val="BookText"/>
        <w:rPr/>
      </w:pPr>
      <w:r>
        <w:rPr>
          <w:rFonts w:ascii="Amiri" w:hAnsi="Amiri" w:eastAsia="Amiri" w:cs="Amiri"/>
          <w:color w:val="111111"/>
          <w:sz w:val="28"/>
          <w:sz w:val="28"/>
          <w:szCs w:val="28"/>
          <w:rtl w:val="true"/>
          <w:lang w:bidi="ar-SA"/>
        </w:rPr>
        <w:t>واللَّحم من الغنم والبقر مثليَّان، أمَّا اللَّحم والدُّهن منهما فغيريَّان؛</w:t>
      </w:r>
    </w:p>
    <w:p>
      <w:pPr>
        <w:pStyle w:val="BookText"/>
        <w:rPr/>
      </w:pPr>
      <w:r>
        <w:rPr>
          <w:rFonts w:ascii="Amiri" w:hAnsi="Amiri" w:eastAsia="Amiri" w:cs="Amiri"/>
          <w:color w:val="111111"/>
          <w:sz w:val="28"/>
          <w:sz w:val="28"/>
          <w:szCs w:val="28"/>
          <w:rtl w:val="true"/>
          <w:lang w:bidi="ar-SA"/>
        </w:rPr>
        <w:t>والذَّهب والفضَّة غيريَّان، أمَّا الذَّهب الخالص والذَّهب الرَّديءُ فمثليَّان</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ويأتي زيادة توضيحٍ لذلك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والعرفُ يدلُّ علىٰ المختار؛ فلورُوِي في بعض الرِّوايات أنَّ الحِنطة والشَّعير مثليَّان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هشام بن سالمٍ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 الرَّجلُ الطَّعامَ الأكرارَ فلايكون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كلِّ قفيزِ حنطةٍ قفيزَيْن من شعيرٍ حتَّى تستوفي ما نقص من الكيل،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أصل الشَّعيرِ من 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1921"/>
      </w:r>
      <w:r>
        <w:rPr>
          <w:rFonts w:ascii="Amiri" w:hAnsi="Amiri" w:eastAsia="Amiri" w:cs="Amiri"/>
          <w:color w:val="111111"/>
          <w:sz w:val="28"/>
          <w:sz w:val="28"/>
          <w:szCs w:val="28"/>
          <w:rtl w:val="true"/>
          <w:lang w:bidi="ar-SA"/>
        </w:rPr>
        <w:t>، والفيضُ قدس سره</w:t>
      </w:r>
      <w:r>
        <w:rPr>
          <w:rStyle w:val="FootnoteAnchor"/>
          <w:rtl w:val="true"/>
        </w:rPr>
        <w:footnoteReference w:id="1922"/>
      </w:r>
      <w:r>
        <w:rPr>
          <w:rFonts w:ascii="Amiri" w:hAnsi="Amiri" w:eastAsia="Amiri" w:cs="Amiri"/>
          <w:color w:val="111111"/>
          <w:sz w:val="28"/>
          <w:sz w:val="28"/>
          <w:szCs w:val="28"/>
          <w:rtl w:val="true"/>
          <w:lang w:bidi="ar-SA"/>
        </w:rPr>
        <w:t>، والحرُّ قدس سره</w:t>
      </w:r>
      <w:r>
        <w:rPr>
          <w:rStyle w:val="FootnoteAnchor"/>
          <w:rtl w:val="true"/>
        </w:rPr>
        <w:footnoteReference w:id="1923"/>
      </w:r>
      <w:r>
        <w:rPr>
          <w:rFonts w:ascii="Amiri" w:hAnsi="Amiri" w:eastAsia="Amiri" w:cs="Amiri"/>
          <w:color w:val="111111"/>
          <w:sz w:val="28"/>
          <w:sz w:val="28"/>
          <w:szCs w:val="28"/>
          <w:rtl w:val="true"/>
          <w:lang w:bidi="ar-SA"/>
        </w:rPr>
        <w:t>وصحَّحَها المجلسيُّ الأوَّل</w:t>
      </w:r>
      <w:r>
        <w:rPr>
          <w:rStyle w:val="FootnoteAnchor"/>
          <w:rtl w:val="true"/>
        </w:rPr>
        <w:footnoteReference w:id="1924"/>
      </w:r>
      <w:r>
        <w:rPr>
          <w:rFonts w:ascii="Amiri" w:hAnsi="Amiri" w:eastAsia="Amiri" w:cs="Amiri"/>
          <w:color w:val="111111"/>
          <w:sz w:val="28"/>
          <w:sz w:val="28"/>
          <w:szCs w:val="28"/>
          <w:rtl w:val="true"/>
          <w:lang w:bidi="ar-SA"/>
        </w:rPr>
        <w:t>، والثَّاني قدس سرهما</w:t>
      </w:r>
      <w:r>
        <w:rPr>
          <w:rStyle w:val="FootnoteAnchor"/>
          <w:rtl w:val="true"/>
        </w:rPr>
        <w:footnoteReference w:id="1925"/>
      </w:r>
      <w:r>
        <w:rPr>
          <w:rFonts w:ascii="Amiri" w:hAnsi="Amiri" w:eastAsia="Amiri" w:cs="Amiri"/>
          <w:color w:val="111111"/>
          <w:sz w:val="28"/>
          <w:sz w:val="28"/>
          <w:szCs w:val="28"/>
          <w:rtl w:val="true"/>
          <w:lang w:bidi="ar-SA"/>
        </w:rPr>
        <w:t>، وبعضُ أصحابنا الأخباريِّين قدس سره</w:t>
      </w:r>
      <w:r>
        <w:rPr>
          <w:rStyle w:val="FootnoteAnchor"/>
          <w:rtl w:val="true"/>
        </w:rPr>
        <w:footnoteReference w:id="1926"/>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تعبُّدٌ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وللرِّواية مصدرٌ مجهول المعنىٰ يشير إلى كون الحِنطة أصل الشَّعير، وهو ما رواه الصَّدوق قدس سره في عِلَله،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الْإِسْنَادِ أَنَّ عَلِيَّ بْنَ أَبِي طَالِبٍ عليه السلام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خَلَقَ اللَّهُ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آدَمَ عليه السلام أَنِ ازْرَعْ مِمَّا اخْتَرْتَ لِنَفْسِكَ‌، وَجَاءَهُ جَبْرَئِيلُ بِقَبْضَةٍ مِنَ الْحِنْطَةِ‌، فَقَبَضَ آدَمُ عَلَى قَبْضَةٍ وَقَبَضَتْ حَوَّاءُ عَلَى أُخْرَىٰ‌، فَقَالَ آدَمُ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لَاتَزْرَعِي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فَلَمْتَقْبَلْ أَمْرَ آدَمَ‌، فَكُلُّ مَا زَرَعَ آدَمُ جَاءَ حِنْطَةً وَكُلُّ مَا زَرَعَتْ حَوَّاءُ جَاءَ شَعِيرًا</w:t>
      </w:r>
      <w:r>
        <w:rPr>
          <w:rFonts w:eastAsia="Amiri" w:cs="Amiri" w:ascii="Amiri" w:hAnsi="Amiri"/>
          <w:color w:val="111111"/>
          <w:sz w:val="28"/>
          <w:szCs w:val="28"/>
          <w:rtl w:val="true"/>
          <w:lang w:bidi="ar-SA"/>
        </w:rPr>
        <w:t>»</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العلَّامة المجلسيُّ قدس سره في البحار</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في مرآتِه</w:t>
      </w:r>
      <w:r>
        <w:rPr>
          <w:rStyle w:val="FootnoteAnchor"/>
          <w:rtl w:val="true"/>
        </w:rPr>
        <w:footnoteReference w:id="1929"/>
      </w:r>
      <w:r>
        <w:rPr>
          <w:rFonts w:ascii="Amiri" w:hAnsi="Amiri" w:eastAsia="Amiri" w:cs="Amiri"/>
          <w:color w:val="111111"/>
          <w:sz w:val="28"/>
          <w:sz w:val="28"/>
          <w:szCs w:val="28"/>
          <w:rtl w:val="true"/>
          <w:lang w:bidi="ar-SA"/>
        </w:rPr>
        <w:t>، وحكَم قدس سره بكونِه موثَّقًا كالصَّحيح في ملاذه</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والمحدِّث النُّوريُّ قدس سره</w:t>
      </w:r>
      <w:r>
        <w:rPr>
          <w:rStyle w:val="FootnoteAnchor"/>
          <w:rtl w:val="true"/>
        </w:rPr>
        <w:footnoteReference w:id="1931"/>
      </w:r>
      <w:r>
        <w:rPr>
          <w:rFonts w:ascii="Amiri" w:hAnsi="Amiri" w:eastAsia="Amiri" w:cs="Amiri"/>
          <w:color w:val="111111"/>
          <w:sz w:val="28"/>
          <w:sz w:val="28"/>
          <w:szCs w:val="28"/>
          <w:rtl w:val="true"/>
          <w:lang w:bidi="ar-SA"/>
        </w:rPr>
        <w:t>وسيِّدُنا الأستاذُ الفقيهُ البروجرديُّ قدس سره</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إليه صواحب المفتاح قدس سره</w:t>
      </w:r>
      <w:r>
        <w:rPr>
          <w:rStyle w:val="FootnoteAnchor"/>
          <w:rtl w:val="true"/>
        </w:rPr>
        <w:footnoteReference w:id="1933"/>
      </w:r>
      <w:r>
        <w:rPr>
          <w:rFonts w:ascii="Amiri" w:hAnsi="Amiri" w:eastAsia="Amiri" w:cs="Amiri"/>
          <w:color w:val="111111"/>
          <w:sz w:val="28"/>
          <w:sz w:val="28"/>
          <w:szCs w:val="28"/>
          <w:rtl w:val="true"/>
          <w:lang w:bidi="ar-SA"/>
        </w:rPr>
        <w:t>، والرِّياض قدس سره</w:t>
      </w:r>
      <w:r>
        <w:rPr>
          <w:rStyle w:val="FootnoteAnchor"/>
          <w:rtl w:val="true"/>
        </w:rPr>
        <w:footnoteReference w:id="1934"/>
      </w:r>
      <w:r>
        <w:rPr>
          <w:rFonts w:ascii="IRNazanin" w:hAnsi="IRNazanin" w:eastAsia="IRNazanin"/>
          <w:color w:val="111111"/>
          <w:sz w:val="28"/>
          <w:sz w:val="28"/>
          <w:szCs w:val="28"/>
          <w:rtl w:val="true"/>
          <w:lang w:bidi="fa-IR"/>
        </w:rPr>
        <w:t>، والجواهر قدس سره</w:t>
      </w:r>
      <w:r>
        <w:rPr>
          <w:rStyle w:val="FootnoteAnchor"/>
          <w:rtl w:val="true"/>
        </w:rPr>
        <w:footnoteReference w:id="1935"/>
      </w:r>
      <w:r>
        <w:rPr>
          <w:rFonts w:ascii="IRNazanin" w:hAnsi="IRNazanin" w:eastAsia="IRNazanin"/>
          <w:color w:val="111111"/>
          <w:sz w:val="28"/>
          <w:sz w:val="28"/>
          <w:szCs w:val="28"/>
          <w:rtl w:val="true"/>
          <w:lang w:bidi="fa-IR"/>
        </w:rPr>
        <w:t xml:space="preserve">، </w:t>
      </w:r>
      <w:bookmarkStart w:id="667" w:name="pg20337_261683"/>
    </w:p>
    <w:p>
      <w:pPr>
        <w:pStyle w:val="BookText"/>
        <w:rPr/>
      </w:pPr>
      <w:bookmarkEnd w:id="667"/>
      <w:r>
        <w:rPr>
          <w:rFonts w:ascii="IRNazanin" w:hAnsi="IRNazanin" w:eastAsia="IRNazanin"/>
          <w:color w:val="111111"/>
          <w:sz w:val="28"/>
          <w:sz w:val="28"/>
          <w:szCs w:val="28"/>
          <w:rtl w:val="true"/>
          <w:lang w:bidi="fa-IR"/>
        </w:rPr>
        <w:t>والحدائق قدس سره</w:t>
      </w:r>
      <w:r>
        <w:rPr>
          <w:rStyle w:val="FootnoteAnchor"/>
          <w:rtl w:val="true"/>
        </w:rPr>
        <w:footnoteReference w:id="1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 سندًا ودلالةً‌</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إنَّ المرادَ من المِثل في الرِّوايات أمرٌ عرفيٌّ‌، فكلُّ ما حكم فيه بالمِثليَّة تجب فيه المساواة، وكلُّ ما حكم فيه بالغيريَّة فأخذ الزِّيادة فيه لايجوز؛</w:t>
      </w:r>
    </w:p>
    <w:p>
      <w:pPr>
        <w:pStyle w:val="BookText"/>
        <w:rPr/>
      </w:pPr>
      <w:r>
        <w:rPr>
          <w:rFonts w:ascii="Amiri" w:hAnsi="Amiri" w:eastAsia="Amiri" w:cs="Amiri"/>
          <w:color w:val="111111"/>
          <w:sz w:val="28"/>
          <w:sz w:val="28"/>
          <w:szCs w:val="28"/>
          <w:rtl w:val="true"/>
          <w:lang w:bidi="ar-SA"/>
        </w:rPr>
        <w:t>فلوشُكَّ في المِثليَّة والغيريَّة في شيئَين، فالأصل يقتضي الجوازَ</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1945390_1280447820"/>
      <w:bookmarkStart w:id="669" w:name="_Toc247"/>
      <w:bookmarkEnd w:id="668"/>
      <w:r>
        <w:rPr>
          <w:rtl w:val="true"/>
        </w:rPr>
        <w:t>التَّنبيه الثَّالث</w:t>
      </w:r>
      <w:r>
        <w:rPr>
          <w:rtl w:val="true"/>
        </w:rPr>
        <w:t>:</w:t>
      </w:r>
      <w:bookmarkEnd w:id="669"/>
    </w:p>
    <w:p>
      <w:pPr>
        <w:pStyle w:val="BookText"/>
        <w:rPr/>
      </w:pPr>
      <w:r>
        <w:rPr>
          <w:rFonts w:ascii="Amiri" w:hAnsi="Amiri" w:eastAsia="Amiri" w:cs="Amiri"/>
          <w:color w:val="111111"/>
          <w:sz w:val="28"/>
          <w:sz w:val="28"/>
          <w:szCs w:val="28"/>
          <w:rtl w:val="true"/>
          <w:lang w:bidi="ar-SA"/>
        </w:rPr>
        <w:t>في المراد من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المكيل والموزون أيضًا أمرٌ عرفيٌّ‌، فكلُّ شيءٍ يُكال أو يُوزَنُ في بلدٍ فلاتجوز في هذا البلد الزِّيادة فيه، وكلُّ شيءٍ يكون في بلدٍ من المعدود فكذلك لاتجيءُ فيه الزِّيادة؛ واختلافُ البلاد في شيءٍ في كونه مَكيلًا أو موزونًا أو غير مكيلٍ وغير موزونٍ‌، يُوجِبُ أن يُتَّبَعَ في كلِّ بلدٍ ما هو الغالبُ والمتعارَفُ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المناطَ هو الجاري في عَهدَي النَّبيِّ صلى الله عليه و آله والأئمَّة عليهم السلام</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القواعد الفقهيَّة،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الحكمَ ثابتٌ من زمنهم عليهم السلام إلى زمننا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محمَّدٍ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الكافي</w:t>
      </w:r>
      <w:r>
        <w:rPr>
          <w:rStyle w:val="FootnoteAnchor"/>
          <w:rtl w:val="true"/>
        </w:rPr>
        <w:footnoteReference w:id="1939"/>
      </w:r>
      <w:r>
        <w:rPr>
          <w:rFonts w:ascii="IRNazanin" w:hAnsi="IRNazanin" w:eastAsia="IRNazanin"/>
          <w:color w:val="111111"/>
          <w:sz w:val="28"/>
          <w:sz w:val="28"/>
          <w:szCs w:val="28"/>
          <w:rtl w:val="true"/>
          <w:lang w:bidi="fa-IR"/>
        </w:rPr>
        <w:t>، والوسائل</w:t>
      </w:r>
      <w:r>
        <w:rPr>
          <w:rStyle w:val="FootnoteAnchor"/>
          <w:rtl w:val="true"/>
        </w:rPr>
        <w:footnoteReference w:id="1940"/>
      </w:r>
      <w:r>
        <w:rPr>
          <w:rFonts w:ascii="Amiri" w:hAnsi="Amiri" w:eastAsia="Amiri" w:cs="Amiri"/>
          <w:color w:val="111111"/>
          <w:sz w:val="28"/>
          <w:sz w:val="28"/>
          <w:szCs w:val="28"/>
          <w:rtl w:val="true"/>
          <w:lang w:bidi="ar-SA"/>
        </w:rPr>
        <w:t xml:space="preserve">، وعن الشَّيخ الحرِّ قدس سره في </w:t>
      </w:r>
    </w:p>
    <w:p>
      <w:pPr>
        <w:pStyle w:val="BookText"/>
        <w:rPr/>
      </w:pPr>
      <w:r>
        <w:rPr>
          <w:rFonts w:ascii="Amiri" w:hAnsi="Amiri" w:eastAsia="Amiri" w:cs="Amiri"/>
          <w:color w:val="111111"/>
          <w:sz w:val="28"/>
          <w:sz w:val="28"/>
          <w:szCs w:val="28"/>
          <w:rtl w:val="true"/>
          <w:lang w:bidi="ar-SA"/>
        </w:rPr>
        <w:t>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المتواتَر المعنويِّ‌</w:t>
      </w:r>
      <w:r>
        <w:rPr>
          <w:rFonts w:eastAsia="Amiri" w:cs="Amiri" w:ascii="Amiri" w:hAnsi="Amiri"/>
          <w:color w:val="111111"/>
          <w:sz w:val="28"/>
          <w:szCs w:val="28"/>
          <w:rtl w:val="true"/>
          <w:lang w:bidi="ar-SA"/>
        </w:rPr>
        <w:t>»</w:t>
      </w:r>
      <w:r>
        <w:rPr>
          <w:rStyle w:val="FootnoteAnchor"/>
          <w:rtl w:val="true"/>
        </w:rPr>
        <w:footnoteReference w:id="1941"/>
      </w:r>
      <w:r>
        <w:rPr>
          <w:rFonts w:ascii="Amiri" w:hAnsi="Amiri" w:eastAsia="Amiri" w:cs="Amiri"/>
          <w:color w:val="111111"/>
          <w:sz w:val="28"/>
          <w:sz w:val="28"/>
          <w:szCs w:val="28"/>
          <w:rtl w:val="true"/>
          <w:lang w:bidi="ar-SA"/>
        </w:rPr>
        <w:t>، وعن الشَّيخ كاشف الغطاء قدس سره أيضًا</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ونُسِب إليه صلى الله عليه و آله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w:t>
      </w:r>
      <w:r>
        <w:rPr>
          <w:rStyle w:val="FootnoteAnchor"/>
          <w:rtl w:val="true"/>
        </w:rPr>
        <w:footnoteReference w:id="1943"/>
      </w:r>
      <w:r>
        <w:rPr>
          <w:rFonts w:ascii="Amiri" w:hAnsi="Amiri" w:eastAsia="Amiri" w:cs="Amiri"/>
          <w:color w:val="111111"/>
          <w:sz w:val="28"/>
          <w:sz w:val="28"/>
          <w:szCs w:val="28"/>
          <w:rtl w:val="true"/>
          <w:lang w:bidi="ar-SA"/>
        </w:rPr>
        <w:t>فيما رواه العامَّة، وأورَدَه ابنُ أبي جمهورٍ قدس سره</w:t>
      </w:r>
      <w:r>
        <w:rPr>
          <w:rStyle w:val="FootnoteAnchor"/>
          <w:rtl w:val="true"/>
        </w:rPr>
        <w:footnoteReference w:id="1944"/>
      </w:r>
      <w:r>
        <w:rPr>
          <w:rFonts w:ascii="Amiri" w:hAnsi="Amiri" w:eastAsia="Amiri" w:cs="Amiri"/>
          <w:color w:val="111111"/>
          <w:sz w:val="28"/>
          <w:sz w:val="28"/>
          <w:szCs w:val="28"/>
          <w:rtl w:val="true"/>
          <w:lang w:bidi="ar-SA"/>
        </w:rPr>
        <w:t xml:space="preserve">أيضًا، وبمعناه ما يُوجَد عندنا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 كان شيءٌ مكيلًا في عهد النَّبيِّ الكريم صلى الله عليه و آله بينما لم يكن في عصرنا مكيلاً، فبانتفاء الموضوع ينتفي الحكمُ بالنِّسبة إليه؛ ومن المعلوم أنَّ الزَّمانَ والمكان يُغيِّران الموضوعَ‌، فلامحالة يُغيِّران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عندي واضحٌ لاسترة فيه، وإن وقع فيه بين الأعلام خلافٌ شديدٌ، حتَّى ادُّعِي الإجماعُ علىٰ أنَّ المناط في الأشياء هو خصوصُ عصر النِّبيِّ صلى الله عليه و آله وما كان جاريًا فيه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وافَقَنا في هذا الرَّأي بعضُهم وخالفنا فيه آخر؛ فانظُر إلى ما ذكره الأردبيليُّ قدس سره</w:t>
      </w:r>
      <w:r>
        <w:rPr>
          <w:rStyle w:val="FootnoteAnchor"/>
          <w:rtl w:val="true"/>
        </w:rPr>
        <w:footnoteReference w:id="1945"/>
      </w:r>
      <w:r>
        <w:rPr>
          <w:rFonts w:ascii="Amiri" w:hAnsi="Amiri" w:eastAsia="Amiri" w:cs="Amiri"/>
          <w:color w:val="111111"/>
          <w:sz w:val="28"/>
          <w:sz w:val="28"/>
          <w:szCs w:val="28"/>
          <w:rtl w:val="true"/>
          <w:lang w:bidi="ar-SA"/>
        </w:rPr>
        <w:t>، والبحرانيُّ قدس سره</w:t>
      </w:r>
      <w:r>
        <w:rPr>
          <w:rStyle w:val="FootnoteAnchor"/>
          <w:rtl w:val="true"/>
        </w:rPr>
        <w:footnoteReference w:id="1946"/>
      </w:r>
      <w:r>
        <w:rPr>
          <w:rFonts w:ascii="Amiri" w:hAnsi="Amiri" w:eastAsia="Amiri" w:cs="Amiri"/>
          <w:color w:val="111111"/>
          <w:sz w:val="28"/>
          <w:sz w:val="28"/>
          <w:szCs w:val="28"/>
          <w:rtl w:val="true"/>
          <w:lang w:bidi="ar-SA"/>
        </w:rPr>
        <w:t>، والوحيد الفريد قدس سره</w:t>
      </w:r>
      <w:r>
        <w:rPr>
          <w:rStyle w:val="FootnoteAnchor"/>
          <w:rtl w:val="true"/>
        </w:rPr>
        <w:footnoteReference w:id="1947"/>
      </w:r>
      <w:r>
        <w:rPr>
          <w:rFonts w:ascii="Amiri" w:hAnsi="Amiri" w:eastAsia="Amiri" w:cs="Amiri"/>
          <w:color w:val="111111"/>
          <w:sz w:val="28"/>
          <w:sz w:val="28"/>
          <w:szCs w:val="28"/>
          <w:rtl w:val="true"/>
          <w:lang w:bidi="ar-SA"/>
        </w:rPr>
        <w:t>، والشَّيخ قدس سره</w:t>
      </w:r>
      <w:r>
        <w:rPr>
          <w:rStyle w:val="FootnoteAnchor"/>
          <w:rtl w:val="true"/>
        </w:rPr>
        <w:footnoteReference w:id="1948"/>
      </w:r>
      <w:r>
        <w:rPr>
          <w:rFonts w:ascii="Amiri" w:hAnsi="Amiri" w:eastAsia="Amiri" w:cs="Amiri"/>
          <w:color w:val="111111"/>
          <w:sz w:val="28"/>
          <w:sz w:val="28"/>
          <w:szCs w:val="28"/>
          <w:rtl w:val="true"/>
          <w:lang w:bidi="ar-SA"/>
        </w:rPr>
        <w:t>، والعلَّامة قدس سره</w:t>
      </w:r>
      <w:r>
        <w:rPr>
          <w:rStyle w:val="FootnoteAnchor"/>
          <w:rtl w:val="true"/>
        </w:rPr>
        <w:footnoteReference w:id="1949"/>
      </w:r>
      <w:r>
        <w:rPr>
          <w:rFonts w:ascii="Amiri" w:hAnsi="Amiri" w:eastAsia="Amiri" w:cs="Amiri"/>
          <w:color w:val="111111"/>
          <w:sz w:val="28"/>
          <w:sz w:val="28"/>
          <w:szCs w:val="28"/>
          <w:rtl w:val="true"/>
          <w:lang w:bidi="ar-SA"/>
        </w:rPr>
        <w:t>، وفي نهايته</w:t>
      </w:r>
      <w:r>
        <w:rPr>
          <w:rStyle w:val="FootnoteAnchor"/>
          <w:rtl w:val="true"/>
        </w:rPr>
        <w:footnoteReference w:id="1950"/>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1951"/>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xml:space="preserve">. </w:t>
      </w:r>
      <w:bookmarkStart w:id="670" w:name="pg20337_261685"/>
    </w:p>
    <w:p>
      <w:pPr>
        <w:pStyle w:val="BookText"/>
        <w:rPr/>
      </w:pPr>
      <w:bookmarkEnd w:id="670"/>
      <w:r>
        <w:rPr>
          <w:rFonts w:ascii="IRNazanin" w:hAnsi="IRNazanin" w:eastAsia="IRNazanin"/>
          <w:color w:val="111111"/>
          <w:sz w:val="28"/>
          <w:sz w:val="28"/>
          <w:szCs w:val="28"/>
          <w:rtl w:val="true"/>
          <w:lang w:bidi="fa-IR"/>
        </w:rPr>
        <w:t>وقد أشرنا إلى أنَّ هذا القول لاوجه له قطعًا</w:t>
      </w:r>
      <w:r>
        <w:rPr>
          <w:rFonts w:eastAsia="IRNazanin" w:cs="IRNazanin"/>
          <w:color w:val="111111"/>
          <w:sz w:val="28"/>
          <w:szCs w:val="28"/>
          <w:rtl w:val="true"/>
          <w:lang w:bidi="fa-IR"/>
        </w:rPr>
        <w:t>.</w:t>
      </w:r>
    </w:p>
    <w:p>
      <w:pPr>
        <w:pStyle w:val="Heading4"/>
        <w:numPr>
          <w:ilvl w:val="3"/>
          <w:numId w:val="1"/>
        </w:numPr>
        <w:rPr/>
      </w:pPr>
      <w:bookmarkStart w:id="671" w:name="__RefHeading___Toc11945392_1280447820"/>
      <w:bookmarkStart w:id="672" w:name="_Toc248"/>
      <w:bookmarkEnd w:id="671"/>
      <w:r>
        <w:rPr>
          <w:rtl w:val="true"/>
        </w:rPr>
        <w:t>التَّنبيه الرَّابع</w:t>
      </w:r>
      <w:r>
        <w:rPr>
          <w:rtl w:val="true"/>
        </w:rPr>
        <w:t>:</w:t>
      </w:r>
      <w:bookmarkEnd w:id="672"/>
    </w:p>
    <w:p>
      <w:pPr>
        <w:pStyle w:val="BookText"/>
        <w:rPr/>
      </w:pPr>
      <w:r>
        <w:rPr>
          <w:rFonts w:ascii="Amiri" w:hAnsi="Amiri" w:eastAsia="Amiri" w:cs="Amiri"/>
          <w:color w:val="111111"/>
          <w:sz w:val="28"/>
          <w:sz w:val="28"/>
          <w:szCs w:val="28"/>
          <w:rtl w:val="true"/>
          <w:lang w:bidi="ar-SA"/>
        </w:rPr>
        <w:t>قد اشتهر بين الأصحاب أنَّ الجِنسَين لو لم يكونا مثلِيَّين يجوز فيهما الزِّيادة، فمَن باع منًّا من الحِنطة بمَنَّين من الأَرُزِّ لابأس ببيعه؛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يجوز فيهما التَّفاضل إذا كانا غير مَكيلٍ وغير مَوزونٍ‌، كالبَعير بالبَعيرين، والبيضة بالبيضتين؛ كما عن الشَّيخ قدس سره</w:t>
      </w:r>
      <w:r>
        <w:rPr>
          <w:rStyle w:val="FootnoteAnchor"/>
          <w:rtl w:val="true"/>
        </w:rPr>
        <w:footnoteReference w:id="1952"/>
      </w:r>
      <w:r>
        <w:rPr>
          <w:rFonts w:ascii="Amiri" w:hAnsi="Amiri" w:eastAsia="Amiri" w:cs="Amiri"/>
          <w:color w:val="111111"/>
          <w:sz w:val="28"/>
          <w:sz w:val="28"/>
          <w:szCs w:val="28"/>
          <w:rtl w:val="true"/>
          <w:lang w:bidi="ar-SA"/>
        </w:rPr>
        <w:t>، وابن إدريس قدس سره</w:t>
      </w:r>
      <w:r>
        <w:rPr>
          <w:rStyle w:val="FootnoteAnchor"/>
          <w:rtl w:val="true"/>
        </w:rPr>
        <w:footnoteReference w:id="1953"/>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1954"/>
      </w:r>
      <w:r>
        <w:rPr>
          <w:rFonts w:ascii="Amiri" w:hAnsi="Amiri" w:eastAsia="Amiri" w:cs="Amiri"/>
          <w:color w:val="111111"/>
          <w:sz w:val="28"/>
          <w:sz w:val="28"/>
          <w:szCs w:val="28"/>
          <w:rtl w:val="true"/>
          <w:lang w:bidi="ar-SA"/>
        </w:rPr>
        <w:t>، والمحقِّق قدس سره</w:t>
      </w:r>
      <w:r>
        <w:rPr>
          <w:rStyle w:val="FootnoteAnchor"/>
          <w:rtl w:val="true"/>
        </w:rPr>
        <w:footnoteReference w:id="1955"/>
      </w:r>
      <w:r>
        <w:rPr>
          <w:rFonts w:ascii="Amiri" w:hAnsi="Amiri" w:eastAsia="Amiri" w:cs="Amiri"/>
          <w:color w:val="111111"/>
          <w:sz w:val="28"/>
          <w:sz w:val="28"/>
          <w:szCs w:val="28"/>
          <w:rtl w:val="true"/>
          <w:lang w:bidi="ar-SA"/>
        </w:rPr>
        <w:t>، والعلَّامة قدس سره</w:t>
      </w:r>
      <w:r>
        <w:rPr>
          <w:rStyle w:val="FootnoteAnchor"/>
          <w:rtl w:val="true"/>
        </w:rPr>
        <w:footnoteReference w:id="1956"/>
      </w:r>
      <w:r>
        <w:rPr>
          <w:rFonts w:ascii="Amiri" w:hAnsi="Amiri" w:eastAsia="Amiri" w:cs="Amiri"/>
          <w:color w:val="111111"/>
          <w:sz w:val="28"/>
          <w:sz w:val="28"/>
          <w:szCs w:val="28"/>
          <w:rtl w:val="true"/>
          <w:lang w:bidi="ar-SA"/>
        </w:rPr>
        <w:t>، والصَّدوق قدس سره</w:t>
      </w:r>
      <w:r>
        <w:rPr>
          <w:rStyle w:val="FootnoteAnchor"/>
          <w:rtl w:val="true"/>
        </w:rPr>
        <w:footnoteReference w:id="1957"/>
      </w:r>
      <w:r>
        <w:rPr>
          <w:rFonts w:ascii="Amiri" w:hAnsi="Amiri" w:eastAsia="Amiri" w:cs="Amiri"/>
          <w:color w:val="111111"/>
          <w:sz w:val="28"/>
          <w:sz w:val="28"/>
          <w:szCs w:val="28"/>
          <w:rtl w:val="true"/>
          <w:lang w:bidi="ar-SA"/>
        </w:rPr>
        <w:t>، وابن البرَّاج قدس سره</w:t>
      </w:r>
      <w:r>
        <w:rPr>
          <w:rStyle w:val="FootnoteAnchor"/>
          <w:rtl w:val="true"/>
        </w:rPr>
        <w:footnoteReference w:id="1958"/>
      </w:r>
      <w:r>
        <w:rPr>
          <w:rFonts w:ascii="Amiri" w:hAnsi="Amiri" w:eastAsia="Amiri" w:cs="Amiri"/>
          <w:color w:val="111111"/>
          <w:sz w:val="28"/>
          <w:sz w:val="28"/>
          <w:szCs w:val="28"/>
          <w:rtl w:val="true"/>
          <w:lang w:bidi="ar-SA"/>
        </w:rPr>
        <w:t>، والشَّهيد قدس سره</w:t>
      </w:r>
      <w:r>
        <w:rPr>
          <w:rStyle w:val="FootnoteAnchor"/>
          <w:rtl w:val="true"/>
        </w:rPr>
        <w:footnoteReference w:id="1959"/>
      </w:r>
      <w:r>
        <w:rPr>
          <w:rFonts w:ascii="Amiri" w:hAnsi="Amiri" w:eastAsia="Amiri" w:cs="Amiri"/>
          <w:color w:val="111111"/>
          <w:sz w:val="28"/>
          <w:sz w:val="28"/>
          <w:szCs w:val="28"/>
          <w:rtl w:val="true"/>
          <w:lang w:bidi="ar-SA"/>
        </w:rPr>
        <w:t>، والقطَّان قدس سره</w:t>
      </w:r>
      <w:r>
        <w:rPr>
          <w:rStyle w:val="FootnoteAnchor"/>
          <w:rtl w:val="true"/>
        </w:rPr>
        <w:footnoteReference w:id="1960"/>
      </w:r>
      <w:r>
        <w:rPr>
          <w:rFonts w:ascii="Amiri" w:hAnsi="Amiri" w:eastAsia="Amiri" w:cs="Amiri"/>
          <w:color w:val="111111"/>
          <w:sz w:val="28"/>
          <w:sz w:val="28"/>
          <w:szCs w:val="28"/>
          <w:rtl w:val="true"/>
          <w:lang w:bidi="ar-SA"/>
        </w:rPr>
        <w:t>، والصَّيمُريِّ قدس سره</w:t>
      </w:r>
      <w:r>
        <w:rPr>
          <w:rStyle w:val="FootnoteAnchor"/>
          <w:rtl w:val="true"/>
        </w:rPr>
        <w:footnoteReference w:id="1961"/>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19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والسَّبزواري قدس سره</w:t>
      </w:r>
      <w:r>
        <w:rPr>
          <w:rStyle w:val="FootnoteAnchor"/>
          <w:rtl w:val="true"/>
        </w:rPr>
        <w:footnoteReference w:id="1963"/>
      </w:r>
      <w:r>
        <w:rPr>
          <w:rFonts w:ascii="Amiri" w:hAnsi="Amiri" w:eastAsia="Amiri" w:cs="Amiri"/>
          <w:color w:val="111111"/>
          <w:sz w:val="28"/>
          <w:sz w:val="28"/>
          <w:szCs w:val="28"/>
          <w:rtl w:val="true"/>
          <w:lang w:bidi="ar-SA"/>
        </w:rPr>
        <w:t>، والطَّباطبائيِّ قدس سره</w:t>
      </w:r>
      <w:r>
        <w:rPr>
          <w:rStyle w:val="FootnoteAnchor"/>
          <w:rtl w:val="true"/>
        </w:rPr>
        <w:footnoteReference w:id="1964"/>
      </w:r>
      <w:r>
        <w:rPr>
          <w:rFonts w:ascii="Amiri" w:hAnsi="Amiri" w:eastAsia="Amiri" w:cs="Amiri"/>
          <w:color w:val="111111"/>
          <w:sz w:val="28"/>
          <w:sz w:val="28"/>
          <w:szCs w:val="28"/>
          <w:rtl w:val="true"/>
          <w:lang w:bidi="ar-SA"/>
        </w:rPr>
        <w:t>، والنَّجفيِّ قدس سره</w:t>
      </w:r>
      <w:r>
        <w:rPr>
          <w:rStyle w:val="FootnoteAnchor"/>
          <w:rtl w:val="true"/>
        </w:rPr>
        <w:footnoteReference w:id="196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العلَّامة قدس سره</w:t>
      </w:r>
      <w:r>
        <w:rPr>
          <w:rStyle w:val="FootnoteAnchor"/>
          <w:rtl w:val="true"/>
        </w:rPr>
        <w:footnoteReference w:id="1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القواعد والعمومات عليه؛</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اشترىٰ سَمْنًا ففَضَلَ له رحلٌ‌، أ يحلُّ له أن يأخذ مكانَه رطلًا أو رَطْلين زَيتًا؟،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وتراضَيا فليَأْخُذ ما أحبَّ فلابأس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عليٌّ نفسُه</w:t>
      </w:r>
      <w:r>
        <w:rPr>
          <w:rStyle w:val="FootnoteAnchor"/>
          <w:rtl w:val="true"/>
        </w:rPr>
        <w:footnoteReference w:id="1967"/>
      </w:r>
      <w:r>
        <w:rPr>
          <w:rFonts w:ascii="Amiri" w:hAnsi="Amiri" w:eastAsia="Amiri" w:cs="Amiri"/>
          <w:color w:val="111111"/>
          <w:sz w:val="28"/>
          <w:sz w:val="28"/>
          <w:szCs w:val="28"/>
          <w:rtl w:val="true"/>
          <w:lang w:bidi="ar-SA"/>
        </w:rPr>
        <w:t>، والحِميَريُّ قدس سره</w:t>
      </w:r>
      <w:r>
        <w:rPr>
          <w:rStyle w:val="FootnoteAnchor"/>
          <w:rtl w:val="true"/>
        </w:rPr>
        <w:footnoteReference w:id="1968"/>
      </w:r>
      <w:r>
        <w:rPr>
          <w:rFonts w:ascii="Amiri" w:hAnsi="Amiri" w:eastAsia="Amiri" w:cs="Amiri"/>
          <w:color w:val="111111"/>
          <w:sz w:val="28"/>
          <w:sz w:val="28"/>
          <w:szCs w:val="28"/>
          <w:rtl w:val="true"/>
          <w:lang w:bidi="ar-SA"/>
        </w:rPr>
        <w:t>، والحرُّ قدس سره</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والعلَّامة المجلسيُّ قدس سره</w:t>
      </w:r>
      <w:r>
        <w:rPr>
          <w:rStyle w:val="FootnoteAnchor"/>
          <w:rtl w:val="true"/>
        </w:rPr>
        <w:footnoteReference w:id="1970"/>
      </w:r>
      <w:r>
        <w:rPr>
          <w:rFonts w:ascii="Amiri" w:hAnsi="Amiri" w:eastAsia="Amiri" w:cs="Amiri"/>
          <w:color w:val="111111"/>
          <w:sz w:val="28"/>
          <w:sz w:val="28"/>
          <w:szCs w:val="28"/>
          <w:rtl w:val="true"/>
          <w:lang w:bidi="ar-SA"/>
        </w:rPr>
        <w:t>وغيرهم؛ وقد صحَّحها شارحُ المفاتيح قدس سره</w:t>
      </w:r>
      <w:r>
        <w:rPr>
          <w:rStyle w:val="FootnoteAnchor"/>
          <w:rtl w:val="true"/>
        </w:rPr>
        <w:footnoteReference w:id="197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أباعبداللَّه عليه السلام عن الشَّاة بالشَّاتين والبيضة بالبيضتين‌؟،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يكن مَكيلًا أو موزونًا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 </w:t>
      </w:r>
    </w:p>
    <w:p>
      <w:pPr>
        <w:pStyle w:val="BookText"/>
        <w:rPr/>
      </w:pPr>
      <w:r>
        <w:rPr>
          <w:rFonts w:ascii="Amiri" w:hAnsi="Amiri" w:eastAsia="Amiri" w:cs="Amiri"/>
          <w:color w:val="111111"/>
          <w:sz w:val="28"/>
          <w:sz w:val="28"/>
          <w:szCs w:val="28"/>
          <w:rtl w:val="true"/>
          <w:lang w:bidi="ar-SA"/>
        </w:rPr>
        <w:t>الكلينيِّ قدس سره</w:t>
      </w:r>
      <w:r>
        <w:rPr>
          <w:rStyle w:val="FootnoteAnchor"/>
          <w:rtl w:val="true"/>
        </w:rPr>
        <w:footnoteReference w:id="1972"/>
      </w:r>
      <w:r>
        <w:rPr>
          <w:rFonts w:ascii="Amiri" w:hAnsi="Amiri" w:eastAsia="Amiri" w:cs="Amiri"/>
          <w:color w:val="111111"/>
          <w:sz w:val="28"/>
          <w:sz w:val="28"/>
          <w:szCs w:val="28"/>
          <w:rtl w:val="true"/>
          <w:lang w:bidi="ar-SA"/>
        </w:rPr>
        <w:t>، والشَّيخ قدس سره</w:t>
      </w:r>
      <w:r>
        <w:rPr>
          <w:rStyle w:val="FootnoteAnchor"/>
          <w:rtl w:val="true"/>
        </w:rPr>
        <w:footnoteReference w:id="1973"/>
      </w:r>
      <w:r>
        <w:rPr>
          <w:rFonts w:ascii="Amiri" w:hAnsi="Amiri" w:eastAsia="Amiri" w:cs="Amiri"/>
          <w:color w:val="111111"/>
          <w:sz w:val="28"/>
          <w:sz w:val="28"/>
          <w:szCs w:val="28"/>
          <w:rtl w:val="true"/>
          <w:lang w:bidi="ar-SA"/>
        </w:rPr>
        <w:t>، والصَّدوق قدس سره</w:t>
      </w:r>
      <w:r>
        <w:rPr>
          <w:rStyle w:val="FootnoteAnchor"/>
          <w:rtl w:val="true"/>
        </w:rPr>
        <w:footnoteReference w:id="1974"/>
      </w:r>
      <w:r>
        <w:rPr>
          <w:rFonts w:ascii="Amiri" w:hAnsi="Amiri" w:eastAsia="Amiri" w:cs="Amiri"/>
          <w:color w:val="111111"/>
          <w:sz w:val="28"/>
          <w:sz w:val="28"/>
          <w:szCs w:val="28"/>
          <w:rtl w:val="true"/>
          <w:lang w:bidi="ar-SA"/>
        </w:rPr>
        <w:t>، والحرِّ قدس سره</w:t>
      </w:r>
      <w:r>
        <w:rPr>
          <w:rStyle w:val="FootnoteAnchor"/>
          <w:rtl w:val="true"/>
        </w:rPr>
        <w:footnoteReference w:id="1975"/>
      </w:r>
      <w:r>
        <w:rPr>
          <w:rFonts w:ascii="Amiri" w:hAnsi="Amiri" w:eastAsia="Amiri" w:cs="Amiri"/>
          <w:color w:val="111111"/>
          <w:sz w:val="28"/>
          <w:sz w:val="28"/>
          <w:szCs w:val="28"/>
          <w:rtl w:val="true"/>
          <w:lang w:bidi="ar-SA"/>
        </w:rPr>
        <w:t>وفي الفقه المنسوب للإمام الرِّضا عليه السلام</w:t>
      </w:r>
      <w:r>
        <w:rPr>
          <w:rStyle w:val="FootnoteAnchor"/>
          <w:rtl w:val="true"/>
        </w:rPr>
        <w:footnoteReference w:id="197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في الباب تُوجَد رواياتٌ تدلُّ علىٰ عدم الجواز إذا كان البيع نسيئةً‌؛ وأمَّا إذا كان عن يدٍ فلابأس 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مختلِفٍ أو متاعٍ أو شيءٍ من الأشياء يتفاضَلُ‌، فلابأس بِبَيْعه مثلَين بمِثلٍ يدًا بيدٍ، فأمَّا نَظِرَةً فلايصلُحُ‌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1977"/>
      </w:r>
      <w:r>
        <w:rPr>
          <w:rFonts w:ascii="Amiri" w:hAnsi="Amiri" w:eastAsia="Amiri" w:cs="Amiri"/>
          <w:color w:val="111111"/>
          <w:sz w:val="28"/>
          <w:sz w:val="28"/>
          <w:szCs w:val="28"/>
          <w:rtl w:val="true"/>
          <w:lang w:bidi="ar-SA"/>
        </w:rPr>
        <w:t>، والصَّدوق قدس سره</w:t>
      </w:r>
      <w:r>
        <w:rPr>
          <w:rStyle w:val="FootnoteAnchor"/>
          <w:rtl w:val="true"/>
        </w:rPr>
        <w:footnoteReference w:id="1978"/>
      </w:r>
      <w:r>
        <w:rPr>
          <w:rFonts w:ascii="Amiri" w:hAnsi="Amiri" w:eastAsia="Amiri" w:cs="Amiri"/>
          <w:color w:val="111111"/>
          <w:sz w:val="28"/>
          <w:sz w:val="28"/>
          <w:szCs w:val="28"/>
          <w:rtl w:val="true"/>
          <w:lang w:bidi="ar-SA"/>
        </w:rPr>
        <w:t>، والشَّيخ قدس سره</w:t>
      </w:r>
      <w:r>
        <w:rPr>
          <w:rStyle w:val="FootnoteAnchor"/>
          <w:rtl w:val="true"/>
        </w:rPr>
        <w:footnoteReference w:id="1979"/>
      </w:r>
      <w:r>
        <w:rPr>
          <w:rFonts w:ascii="Amiri" w:hAnsi="Amiri" w:eastAsia="Amiri" w:cs="Amiri"/>
          <w:color w:val="111111"/>
          <w:sz w:val="28"/>
          <w:sz w:val="28"/>
          <w:szCs w:val="28"/>
          <w:rtl w:val="true"/>
          <w:lang w:bidi="ar-SA"/>
        </w:rPr>
        <w:t>، والفيضُ قدس سره</w:t>
      </w:r>
      <w:r>
        <w:rPr>
          <w:rStyle w:val="FootnoteAnchor"/>
          <w:rtl w:val="true"/>
        </w:rPr>
        <w:footnoteReference w:id="1980"/>
      </w:r>
      <w:r>
        <w:rPr>
          <w:rFonts w:ascii="Amiri" w:hAnsi="Amiri" w:eastAsia="Amiri" w:cs="Amiri"/>
          <w:color w:val="111111"/>
          <w:sz w:val="28"/>
          <w:sz w:val="28"/>
          <w:szCs w:val="28"/>
          <w:rtl w:val="true"/>
          <w:lang w:bidi="ar-SA"/>
        </w:rPr>
        <w:t>، والحرُّ قدس سره</w:t>
      </w:r>
      <w:r>
        <w:rPr>
          <w:rStyle w:val="FootnoteAnchor"/>
          <w:rtl w:val="true"/>
        </w:rPr>
        <w:footnoteReference w:id="1981"/>
      </w:r>
      <w:r>
        <w:rPr>
          <w:rFonts w:ascii="Amiri" w:hAnsi="Amiri" w:eastAsia="Amiri" w:cs="Amiri"/>
          <w:color w:val="111111"/>
          <w:sz w:val="28"/>
          <w:sz w:val="28"/>
          <w:szCs w:val="28"/>
          <w:rtl w:val="true"/>
          <w:lang w:bidi="ar-SA"/>
        </w:rPr>
        <w:t>وغيرهم؛ وقد جعل أوَّلُ المجلسيَّين قدس سرهما طريقَ الصَّدوق إليه موثَّقًا كالصَّحيح</w:t>
      </w:r>
      <w:r>
        <w:rPr>
          <w:rStyle w:val="FootnoteAnchor"/>
          <w:rtl w:val="true"/>
        </w:rPr>
        <w:footnoteReference w:id="1982"/>
      </w:r>
      <w:r>
        <w:rPr>
          <w:rFonts w:ascii="Amiri" w:hAnsi="Amiri" w:eastAsia="Amiri" w:cs="Amiri"/>
          <w:color w:val="111111"/>
          <w:sz w:val="28"/>
          <w:sz w:val="28"/>
          <w:szCs w:val="28"/>
          <w:rtl w:val="true"/>
          <w:lang w:bidi="ar-SA"/>
        </w:rPr>
        <w:t>وطريقُ الكلينيِّ إليه ضعيفٌ عند ثانيهما قدس سرهما</w:t>
      </w:r>
      <w:r>
        <w:rPr>
          <w:rStyle w:val="FootnoteAnchor"/>
          <w:rtl w:val="true"/>
        </w:rPr>
        <w:footnoteReference w:id="1983"/>
      </w:r>
      <w:r>
        <w:rPr>
          <w:rFonts w:ascii="Amiri" w:hAnsi="Amiri" w:eastAsia="Amiri" w:cs="Amiri"/>
          <w:color w:val="111111"/>
          <w:sz w:val="28"/>
          <w:sz w:val="28"/>
          <w:szCs w:val="28"/>
          <w:rtl w:val="true"/>
          <w:lang w:bidi="ar-SA"/>
        </w:rPr>
        <w:t>، وطريقُ الشَّيخ إليه أيضًا ضعيفٌ عنده</w:t>
      </w:r>
      <w:r>
        <w:rPr>
          <w:rStyle w:val="FootnoteAnchor"/>
          <w:rtl w:val="true"/>
        </w:rPr>
        <w:footnoteReference w:id="1984"/>
      </w:r>
      <w:r>
        <w:rPr>
          <w:rFonts w:ascii="Amiri" w:hAnsi="Amiri" w:eastAsia="Amiri" w:cs="Amiri"/>
          <w:color w:val="111111"/>
          <w:sz w:val="28"/>
          <w:sz w:val="28"/>
          <w:szCs w:val="28"/>
          <w:rtl w:val="true"/>
          <w:lang w:bidi="ar-SA"/>
        </w:rPr>
        <w:t xml:space="preserve">، لكنَّه صحيحٌ عند </w:t>
      </w:r>
    </w:p>
    <w:p>
      <w:pPr>
        <w:pStyle w:val="BookText"/>
        <w:rPr/>
      </w:pPr>
      <w:r>
        <w:rPr>
          <w:rFonts w:ascii="Amiri" w:hAnsi="Amiri" w:eastAsia="Amiri" w:cs="Amiri"/>
          <w:color w:val="111111"/>
          <w:sz w:val="28"/>
          <w:sz w:val="28"/>
          <w:szCs w:val="28"/>
          <w:rtl w:val="true"/>
          <w:lang w:bidi="ar-SA"/>
        </w:rPr>
        <w:t>البحرانيِّ قدس سره</w:t>
      </w:r>
      <w:r>
        <w:rPr>
          <w:rStyle w:val="FootnoteAnchor"/>
          <w:rtl w:val="true"/>
        </w:rPr>
        <w:footnoteReference w:id="1985"/>
      </w:r>
      <w:r>
        <w:rPr>
          <w:rFonts w:ascii="Amiri" w:hAnsi="Amiri" w:eastAsia="Amiri" w:cs="Amiri"/>
          <w:color w:val="111111"/>
          <w:sz w:val="28"/>
          <w:sz w:val="28"/>
          <w:szCs w:val="28"/>
          <w:rtl w:val="true"/>
          <w:lang w:bidi="ar-SA"/>
        </w:rPr>
        <w:t>، والعامِليِّ قدس سره</w:t>
      </w:r>
      <w:r>
        <w:rPr>
          <w:rStyle w:val="FootnoteAnchor"/>
          <w:rtl w:val="true"/>
        </w:rPr>
        <w:footnoteReference w:id="1986"/>
      </w:r>
      <w:r>
        <w:rPr>
          <w:rFonts w:ascii="Amiri" w:hAnsi="Amiri" w:eastAsia="Amiri" w:cs="Amiri"/>
          <w:color w:val="111111"/>
          <w:sz w:val="28"/>
          <w:sz w:val="28"/>
          <w:szCs w:val="28"/>
          <w:rtl w:val="true"/>
          <w:lang w:bidi="ar-SA"/>
        </w:rPr>
        <w:t>، والسَّيِّد الفقيه الخوانساريِّ قدس سره</w:t>
      </w:r>
      <w:r>
        <w:rPr>
          <w:rStyle w:val="FootnoteAnchor"/>
          <w:rtl w:val="true"/>
        </w:rPr>
        <w:footnoteReference w:id="1987"/>
      </w:r>
      <w:r>
        <w:rPr>
          <w:rFonts w:ascii="Amiri" w:hAnsi="Amiri" w:eastAsia="Amiri" w:cs="Amiri"/>
          <w:color w:val="111111"/>
          <w:sz w:val="28"/>
          <w:sz w:val="28"/>
          <w:szCs w:val="28"/>
          <w:rtl w:val="true"/>
          <w:lang w:bidi="ar-SA"/>
        </w:rPr>
        <w:t>وغيرهم، وهو صحيحٌ عندنا أيضًا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بالبعيرَين والدَّابة بالدَّابَّتَين يدًا بيدٍ 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الكلينيُّ قدس سره</w:t>
      </w:r>
      <w:r>
        <w:rPr>
          <w:rStyle w:val="FootnoteAnchor"/>
          <w:rtl w:val="true"/>
        </w:rPr>
        <w:footnoteReference w:id="1988"/>
      </w:r>
      <w:r>
        <w:rPr>
          <w:rFonts w:ascii="Amiri" w:hAnsi="Amiri" w:eastAsia="Amiri" w:cs="Amiri"/>
          <w:color w:val="111111"/>
          <w:sz w:val="28"/>
          <w:sz w:val="28"/>
          <w:szCs w:val="28"/>
          <w:rtl w:val="true"/>
          <w:lang w:bidi="ar-SA"/>
        </w:rPr>
        <w:t>، والصَّدوق قدس سره</w:t>
      </w:r>
      <w:r>
        <w:rPr>
          <w:rStyle w:val="FootnoteAnchor"/>
          <w:rtl w:val="true"/>
        </w:rPr>
        <w:footnoteReference w:id="1989"/>
      </w:r>
      <w:r>
        <w:rPr>
          <w:rFonts w:ascii="Amiri" w:hAnsi="Amiri" w:eastAsia="Amiri" w:cs="Amiri"/>
          <w:color w:val="111111"/>
          <w:sz w:val="28"/>
          <w:sz w:val="28"/>
          <w:szCs w:val="28"/>
          <w:rtl w:val="true"/>
          <w:lang w:bidi="ar-SA"/>
        </w:rPr>
        <w:t>، والشَّيخ قدس سره في اِستبصاره</w:t>
      </w:r>
      <w:r>
        <w:rPr>
          <w:rStyle w:val="FootnoteAnchor"/>
          <w:rtl w:val="true"/>
        </w:rPr>
        <w:footnoteReference w:id="1990"/>
      </w:r>
      <w:r>
        <w:rPr>
          <w:rFonts w:ascii="Amiri" w:hAnsi="Amiri" w:eastAsia="Amiri" w:cs="Amiri"/>
          <w:color w:val="111111"/>
          <w:sz w:val="28"/>
          <w:sz w:val="28"/>
          <w:szCs w:val="28"/>
          <w:rtl w:val="true"/>
          <w:lang w:bidi="ar-SA"/>
        </w:rPr>
        <w:t>، وتهذيبه</w:t>
      </w:r>
      <w:r>
        <w:rPr>
          <w:rStyle w:val="FootnoteAnchor"/>
          <w:rtl w:val="true"/>
        </w:rPr>
        <w:footnoteReference w:id="1991"/>
      </w:r>
      <w:r>
        <w:rPr>
          <w:rFonts w:ascii="Amiri" w:hAnsi="Amiri" w:eastAsia="Amiri" w:cs="Amiri"/>
          <w:color w:val="111111"/>
          <w:sz w:val="28"/>
          <w:sz w:val="28"/>
          <w:szCs w:val="28"/>
          <w:rtl w:val="true"/>
          <w:lang w:bidi="ar-SA"/>
        </w:rPr>
        <w:t>، والفيض قدس سره</w:t>
      </w:r>
      <w:r>
        <w:rPr>
          <w:rStyle w:val="FootnoteAnchor"/>
          <w:rtl w:val="true"/>
        </w:rPr>
        <w:footnoteReference w:id="1992"/>
      </w:r>
      <w:r>
        <w:rPr>
          <w:rFonts w:ascii="Amiri" w:hAnsi="Amiri" w:eastAsia="Amiri" w:cs="Amiri"/>
          <w:color w:val="111111"/>
          <w:sz w:val="28"/>
          <w:sz w:val="28"/>
          <w:szCs w:val="28"/>
          <w:rtl w:val="true"/>
          <w:lang w:bidi="ar-SA"/>
        </w:rPr>
        <w:t>، والحرُّ قدس سره</w:t>
      </w:r>
      <w:r>
        <w:rPr>
          <w:rStyle w:val="FootnoteAnchor"/>
          <w:rtl w:val="true"/>
        </w:rPr>
        <w:footnoteReference w:id="1993"/>
      </w:r>
      <w:r>
        <w:rPr>
          <w:rFonts w:ascii="Amiri" w:hAnsi="Amiri" w:eastAsia="Amiri" w:cs="Amiri"/>
          <w:color w:val="111111"/>
          <w:sz w:val="28"/>
          <w:sz w:val="28"/>
          <w:szCs w:val="28"/>
          <w:rtl w:val="true"/>
          <w:lang w:bidi="ar-SA"/>
        </w:rPr>
        <w:t>وقد جعله ثاني المجلسيَّين قدس سرهما حسَنًا كالصَّحيح في شرح الكافي</w:t>
      </w:r>
      <w:r>
        <w:rPr>
          <w:rStyle w:val="FootnoteAnchor"/>
          <w:rtl w:val="true"/>
        </w:rPr>
        <w:footnoteReference w:id="1994"/>
      </w:r>
      <w:r>
        <w:rPr>
          <w:rFonts w:ascii="Amiri" w:hAnsi="Amiri" w:eastAsia="Amiri" w:cs="Amiri"/>
          <w:color w:val="111111"/>
          <w:sz w:val="28"/>
          <w:sz w:val="28"/>
          <w:szCs w:val="28"/>
          <w:rtl w:val="true"/>
          <w:lang w:bidi="ar-SA"/>
        </w:rPr>
        <w:t>، وصحيحًا في شرح التَّهذيب</w:t>
      </w:r>
      <w:r>
        <w:rPr>
          <w:rStyle w:val="FootnoteAnchor"/>
          <w:rtl w:val="true"/>
        </w:rPr>
        <w:footnoteReference w:id="1995"/>
      </w:r>
      <w:r>
        <w:rPr>
          <w:rFonts w:ascii="Amiri" w:hAnsi="Amiri" w:eastAsia="Amiri" w:cs="Amiri"/>
          <w:color w:val="111111"/>
          <w:sz w:val="28"/>
          <w:sz w:val="28"/>
          <w:szCs w:val="28"/>
          <w:rtl w:val="true"/>
          <w:lang w:bidi="ar-SA"/>
        </w:rPr>
        <w:t>، كوالده قدس سرهما</w:t>
      </w:r>
      <w:r>
        <w:rPr>
          <w:rStyle w:val="FootnoteAnchor"/>
          <w:rtl w:val="true"/>
        </w:rPr>
        <w:footnoteReference w:id="1996"/>
      </w:r>
      <w:r>
        <w:rPr>
          <w:rFonts w:ascii="Amiri" w:hAnsi="Amiri" w:eastAsia="Amiri" w:cs="Amiri"/>
          <w:color w:val="111111"/>
          <w:sz w:val="28"/>
          <w:sz w:val="28"/>
          <w:szCs w:val="28"/>
          <w:rtl w:val="true"/>
          <w:lang w:bidi="ar-SA"/>
        </w:rPr>
        <w:t>، وذلك لاختلاف الأسانيد؛ وقد صحَّحه العلَّامة قدس سره</w:t>
      </w:r>
      <w:r>
        <w:rPr>
          <w:rStyle w:val="FootnoteAnchor"/>
          <w:rtl w:val="true"/>
        </w:rPr>
        <w:footnoteReference w:id="1997"/>
      </w:r>
      <w:r>
        <w:rPr>
          <w:rFonts w:ascii="IRNazanin" w:hAnsi="IRNazanin" w:eastAsia="IRNazanin"/>
          <w:color w:val="111111"/>
          <w:sz w:val="28"/>
          <w:sz w:val="28"/>
          <w:szCs w:val="28"/>
          <w:rtl w:val="true"/>
          <w:lang w:bidi="fa-IR"/>
        </w:rPr>
        <w:t xml:space="preserve">، </w:t>
      </w:r>
      <w:bookmarkStart w:id="673" w:name="pg20337_261689"/>
    </w:p>
    <w:p>
      <w:pPr>
        <w:pStyle w:val="BookText"/>
        <w:rPr/>
      </w:pPr>
      <w:bookmarkEnd w:id="673"/>
      <w:r>
        <w:rPr>
          <w:rFonts w:ascii="Amiri" w:hAnsi="Amiri" w:eastAsia="Amiri" w:cs="Amiri"/>
          <w:color w:val="111111"/>
          <w:sz w:val="28"/>
          <w:sz w:val="28"/>
          <w:szCs w:val="28"/>
          <w:rtl w:val="true"/>
          <w:lang w:bidi="ar-SA"/>
        </w:rPr>
        <w:t>والبحرانيُّ قدس سره</w:t>
      </w:r>
      <w:r>
        <w:rPr>
          <w:rStyle w:val="FootnoteAnchor"/>
          <w:rtl w:val="true"/>
        </w:rPr>
        <w:footnoteReference w:id="1998"/>
      </w:r>
      <w:r>
        <w:rPr>
          <w:rFonts w:ascii="Amiri" w:hAnsi="Amiri" w:eastAsia="Amiri" w:cs="Amiri"/>
          <w:color w:val="111111"/>
          <w:sz w:val="28"/>
          <w:sz w:val="28"/>
          <w:szCs w:val="28"/>
          <w:rtl w:val="true"/>
          <w:lang w:bidi="ar-SA"/>
        </w:rPr>
        <w:t>، والعامليُّ قدس سره</w:t>
      </w:r>
      <w:r>
        <w:rPr>
          <w:rStyle w:val="FootnoteAnchor"/>
          <w:rtl w:val="true"/>
        </w:rPr>
        <w:footnoteReference w:id="199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ما بين هاتين الطَّائفَتَين من الأخبار من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التَّعارض وإن كان قابلًا للجمع، بحمل العامِّ علىٰ الخاصِّ‌، إلَّاأنَّ الأصحاب لم يجمعوا بينهما بهذا الوجه، بل حملوهُما علىٰ الكراهة؛ بل كثيرٌ منهم جمعوا بينهما بحمل روايات عدم الجواز علىٰ التَّقيَّة؛ كما فعله الفقيه الطَّباطبائيُّ الحائريُّ قدس سره</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الأقوىٰ‌، لمكان التَّشتُّت الواقع في روايات الباب، إذ هذا التَّشتُّت يدُلُّنا علىٰ أنَّ صدور مثل هذه الرِّوايات المخالفة للقواعد والأصول لايمكن أن تُحمَل علىٰ الكراهة، بل لاوجه لهذا الحمل أصلًا</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11945394_1280447820"/>
      <w:bookmarkStart w:id="675" w:name="_Toc249"/>
      <w:bookmarkEnd w:id="674"/>
      <w:r>
        <w:rPr>
          <w:rtl w:val="true"/>
        </w:rPr>
        <w:t>التَّنبيه الخامس</w:t>
      </w:r>
      <w:r>
        <w:rPr>
          <w:rtl w:val="true"/>
        </w:rPr>
        <w:t>:</w:t>
      </w:r>
      <w:bookmarkEnd w:id="675"/>
    </w:p>
    <w:p>
      <w:pPr>
        <w:pStyle w:val="BookText"/>
        <w:rPr/>
      </w:pPr>
      <w:r>
        <w:rPr>
          <w:rFonts w:ascii="Amiri" w:hAnsi="Amiri" w:eastAsia="Amiri" w:cs="Amiri"/>
          <w:color w:val="111111"/>
          <w:sz w:val="28"/>
          <w:sz w:val="28"/>
          <w:szCs w:val="28"/>
          <w:rtl w:val="true"/>
          <w:lang w:bidi="ar-SA"/>
        </w:rPr>
        <w:t>هل الرِّبا مختصٌّ بالبيع والقرض‌؟، أم لا اختصاص له فيهما، بل إنَّه يعُمُّ جميعَ المعاملات الَّتي يمكن أن يُوجَد فيه الرِّبا؟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المحقِّق قدس سره</w:t>
      </w:r>
      <w:r>
        <w:rPr>
          <w:rStyle w:val="FootnoteAnchor"/>
          <w:rtl w:val="true"/>
        </w:rPr>
        <w:footnoteReference w:id="2002"/>
      </w:r>
      <w:r>
        <w:rPr>
          <w:rFonts w:ascii="Amiri" w:hAnsi="Amiri" w:eastAsia="Amiri" w:cs="Amiri"/>
          <w:color w:val="111111"/>
          <w:sz w:val="28"/>
          <w:sz w:val="28"/>
          <w:szCs w:val="28"/>
          <w:rtl w:val="true"/>
          <w:lang w:bidi="ar-SA"/>
        </w:rPr>
        <w:t>والشَّهيد قدس سره</w:t>
      </w:r>
      <w:r>
        <w:rPr>
          <w:rStyle w:val="FootnoteAnchor"/>
          <w:rtl w:val="true"/>
        </w:rPr>
        <w:footnoteReference w:id="2003"/>
      </w:r>
      <w:r>
        <w:rPr>
          <w:rFonts w:ascii="Amiri" w:hAnsi="Amiri" w:eastAsia="Amiri" w:cs="Amiri"/>
          <w:color w:val="111111"/>
          <w:sz w:val="28"/>
          <w:sz w:val="28"/>
          <w:szCs w:val="28"/>
          <w:rtl w:val="true"/>
          <w:lang w:bidi="ar-SA"/>
        </w:rPr>
        <w:t xml:space="preserve">الثَّانِيَين وجمعٍ آخر من الأصحاب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كابن أبي طيٍّ قدس سره</w:t>
      </w:r>
      <w:r>
        <w:rPr>
          <w:rStyle w:val="FootnoteAnchor"/>
          <w:rtl w:val="true"/>
        </w:rPr>
        <w:footnoteReference w:id="2004"/>
      </w:r>
      <w:r>
        <w:rPr>
          <w:rFonts w:ascii="Amiri" w:hAnsi="Amiri" w:eastAsia="Amiri" w:cs="Amiri"/>
          <w:color w:val="111111"/>
          <w:sz w:val="28"/>
          <w:sz w:val="28"/>
          <w:szCs w:val="28"/>
          <w:rtl w:val="true"/>
          <w:lang w:bidi="ar-SA"/>
        </w:rPr>
        <w:t>، والفقيه السَّبزواريِّ قدس سره</w:t>
      </w:r>
      <w:r>
        <w:rPr>
          <w:rStyle w:val="FootnoteAnchor"/>
          <w:rtl w:val="true"/>
        </w:rPr>
        <w:footnoteReference w:id="2005"/>
      </w:r>
      <w:r>
        <w:rPr>
          <w:rFonts w:ascii="Amiri" w:hAnsi="Amiri" w:eastAsia="Amiri" w:cs="Amiri"/>
          <w:color w:val="111111"/>
          <w:sz w:val="28"/>
          <w:sz w:val="28"/>
          <w:szCs w:val="28"/>
          <w:rtl w:val="true"/>
          <w:lang w:bidi="ar-SA"/>
        </w:rPr>
        <w:t>، وشارح المفاتيح قدس سره</w:t>
      </w:r>
      <w:r>
        <w:rPr>
          <w:rStyle w:val="FootnoteAnchor"/>
          <w:rtl w:val="true"/>
        </w:rPr>
        <w:footnoteReference w:id="2006"/>
      </w:r>
      <w:r>
        <w:rPr>
          <w:rFonts w:ascii="IRNazanin" w:hAnsi="IRNazanin" w:eastAsia="IRNazanin"/>
          <w:color w:val="111111"/>
          <w:sz w:val="28"/>
          <w:sz w:val="28"/>
          <w:szCs w:val="28"/>
          <w:rtl w:val="true"/>
          <w:lang w:bidi="fa-IR"/>
        </w:rPr>
        <w:t>، وصاحب المناهل قدس سره</w:t>
      </w:r>
      <w:r>
        <w:rPr>
          <w:rStyle w:val="FootnoteAnchor"/>
          <w:rtl w:val="true"/>
        </w:rPr>
        <w:footnoteReference w:id="2007"/>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القول الثَّاني، ونسب المقدَّس قدس سره هذا القول إلى المشهور</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وعن المحقِّق قدس سره في باب ربا الشَّرائع</w:t>
      </w:r>
      <w:r>
        <w:rPr>
          <w:rStyle w:val="FootnoteAnchor"/>
          <w:rtl w:val="true"/>
        </w:rPr>
        <w:footnoteReference w:id="2009"/>
      </w:r>
      <w:r>
        <w:rPr>
          <w:rFonts w:ascii="Amiri" w:hAnsi="Amiri" w:eastAsia="Amiri" w:cs="Amiri"/>
          <w:color w:val="111111"/>
          <w:sz w:val="28"/>
          <w:sz w:val="28"/>
          <w:szCs w:val="28"/>
          <w:rtl w:val="true"/>
          <w:lang w:bidi="ar-SA"/>
        </w:rPr>
        <w:t>والعلَّامة قدس سره في القواعد القولُ بالاختصاص،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ولايُثبِتُ الرِّبا في غير البيع</w:t>
      </w:r>
      <w:r>
        <w:rPr>
          <w:rFonts w:eastAsia="Amiri" w:cs="Amiri" w:ascii="Amiri" w:hAnsi="Amiri"/>
          <w:color w:val="111111"/>
          <w:sz w:val="28"/>
          <w:szCs w:val="28"/>
          <w:rtl w:val="true"/>
          <w:lang w:bidi="ar-SA"/>
        </w:rPr>
        <w:t>»</w:t>
      </w:r>
      <w:r>
        <w:rPr>
          <w:rStyle w:val="FootnoteAnchor"/>
          <w:rtl w:val="true"/>
        </w:rPr>
        <w:footnoteReference w:id="2010"/>
      </w:r>
      <w:r>
        <w:rPr>
          <w:rFonts w:ascii="Amiri" w:hAnsi="Amiri" w:eastAsia="Amiri" w:cs="Amiri"/>
          <w:color w:val="111111"/>
          <w:sz w:val="28"/>
          <w:sz w:val="28"/>
          <w:szCs w:val="28"/>
          <w:rtl w:val="true"/>
          <w:lang w:bidi="ar-SA"/>
        </w:rPr>
        <w:t>وانظر إلى ما ذكره شُرَّاحُ عبارتِه، كولده قدس سره</w:t>
      </w:r>
      <w:r>
        <w:rPr>
          <w:rStyle w:val="FootnoteAnchor"/>
          <w:rtl w:val="true"/>
        </w:rPr>
        <w:footnoteReference w:id="2011"/>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2012"/>
      </w:r>
      <w:r>
        <w:rPr>
          <w:rFonts w:ascii="Amiri" w:hAnsi="Amiri" w:eastAsia="Amiri" w:cs="Amiri"/>
          <w:color w:val="111111"/>
          <w:sz w:val="28"/>
          <w:sz w:val="28"/>
          <w:szCs w:val="28"/>
          <w:rtl w:val="true"/>
          <w:lang w:bidi="ar-SA"/>
        </w:rPr>
        <w:t>، والعاملي قدس سره</w:t>
      </w:r>
      <w:r>
        <w:rPr>
          <w:rStyle w:val="FootnoteAnchor"/>
          <w:rtl w:val="true"/>
        </w:rPr>
        <w:footnoteReference w:id="2013"/>
      </w:r>
      <w:r>
        <w:rPr>
          <w:rFonts w:ascii="Amiri" w:hAnsi="Amiri" w:eastAsia="Amiri" w:cs="Amiri"/>
          <w:color w:val="111111"/>
          <w:sz w:val="28"/>
          <w:sz w:val="28"/>
          <w:szCs w:val="28"/>
          <w:rtl w:val="true"/>
          <w:lang w:bidi="ar-SA"/>
        </w:rPr>
        <w:t>، ففيه نكتٌ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قدس سره نفسه ذهب في كتاب الغصب من الشَّرائع إلى ثبوته في جميع المعاوَضات،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ولاتظُنَّنَّ أنَّ الرِّبا يختصُّ بالبيع، بل هو ثابتٌ في كلِّ معاوضةٍ علىٰ ربويَّين مقتفَى الجنس</w:t>
      </w:r>
      <w:r>
        <w:rPr>
          <w:rFonts w:eastAsia="Amiri" w:cs="Amiri" w:ascii="Amiri" w:hAnsi="Amiri"/>
          <w:color w:val="111111"/>
          <w:sz w:val="28"/>
          <w:szCs w:val="28"/>
          <w:rtl w:val="true"/>
          <w:lang w:bidi="ar-SA"/>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هو القول الأوَّل، فيجري الرِّبا في جميع المعامَلات ولا اختصاص له </w:t>
      </w:r>
    </w:p>
    <w:p>
      <w:pPr>
        <w:pStyle w:val="BookText"/>
        <w:rPr/>
      </w:pPr>
      <w:r>
        <w:rPr>
          <w:rFonts w:ascii="Amiri" w:hAnsi="Amiri" w:eastAsia="Amiri" w:cs="Amiri"/>
          <w:color w:val="111111"/>
          <w:sz w:val="28"/>
          <w:sz w:val="28"/>
          <w:szCs w:val="28"/>
          <w:rtl w:val="true"/>
          <w:lang w:bidi="ar-SA"/>
        </w:rPr>
        <w:t>بالبيع والقرض</w:t>
      </w:r>
      <w:r>
        <w:rPr>
          <w:rStyle w:val="FootnoteAnchor"/>
          <w:rtl w:val="true"/>
        </w:rPr>
        <w:footnoteReference w:id="2015"/>
      </w:r>
      <w:r>
        <w:rPr>
          <w:rFonts w:ascii="Amiri" w:hAnsi="Amiri" w:eastAsia="Amiri" w:cs="Amiri"/>
          <w:color w:val="111111"/>
          <w:sz w:val="28"/>
          <w:sz w:val="28"/>
          <w:szCs w:val="28"/>
          <w:rtl w:val="true"/>
          <w:lang w:bidi="ar-SA"/>
        </w:rPr>
        <w:t xml:space="preserve">، بل لاوجه للاختصاص إلَّاعلىٰ القول بظهور الرِّوايات في ذلك، لكنَّ الظُّهور لاحجِّيَّة فيه، لكونه من باب المِثال؛ ولعموم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Style w:val="FootnoteAnchor"/>
          <w:rtl w:val="true"/>
        </w:rPr>
        <w:footnoteReference w:id="2016"/>
      </w:r>
      <w:r>
        <w:rPr>
          <w:rFonts w:ascii="Amiri" w:hAnsi="Amiri" w:eastAsia="Amiri" w:cs="Amiri"/>
          <w:color w:val="111111"/>
          <w:sz w:val="28"/>
          <w:sz w:val="28"/>
          <w:szCs w:val="28"/>
          <w:rtl w:val="true"/>
          <w:lang w:bidi="ar-SA"/>
        </w:rPr>
        <w:t>، كما استدلَّ به ثاني الشَّهيدين قدس سرهما</w:t>
      </w:r>
      <w:r>
        <w:rPr>
          <w:rStyle w:val="FootnoteAnchor"/>
          <w:rtl w:val="true"/>
        </w:rPr>
        <w:footnoteReference w:id="2017"/>
      </w:r>
      <w:r>
        <w:rPr>
          <w:rFonts w:ascii="Amiri" w:hAnsi="Amiri" w:eastAsia="Amiri" w:cs="Amiri"/>
          <w:color w:val="111111"/>
          <w:sz w:val="28"/>
          <w:sz w:val="28"/>
          <w:szCs w:val="28"/>
          <w:rtl w:val="true"/>
          <w:lang w:bidi="ar-SA"/>
        </w:rPr>
        <w:t>، وفي بعض رسائله أيضًا</w:t>
      </w:r>
      <w:r>
        <w:rPr>
          <w:rStyle w:val="FootnoteAnchor"/>
          <w:rtl w:val="true"/>
        </w:rPr>
        <w:footnoteReference w:id="2018"/>
      </w:r>
      <w:r>
        <w:rPr>
          <w:rFonts w:ascii="Amiri" w:hAnsi="Amiri" w:eastAsia="Amiri" w:cs="Amiri"/>
          <w:color w:val="111111"/>
          <w:sz w:val="28"/>
          <w:sz w:val="28"/>
          <w:szCs w:val="28"/>
          <w:rtl w:val="true"/>
          <w:lang w:bidi="ar-SA"/>
        </w:rPr>
        <w:t>، والبحرانيُّ قدس سره</w:t>
      </w:r>
      <w:r>
        <w:rPr>
          <w:rStyle w:val="FootnoteAnchor"/>
          <w:rtl w:val="true"/>
        </w:rPr>
        <w:footnoteReference w:id="2019"/>
      </w:r>
      <w:r>
        <w:rPr>
          <w:rFonts w:ascii="Amiri" w:hAnsi="Amiri" w:eastAsia="Amiri" w:cs="Amiri"/>
          <w:color w:val="111111"/>
          <w:sz w:val="28"/>
          <w:sz w:val="28"/>
          <w:szCs w:val="28"/>
          <w:rtl w:val="true"/>
          <w:lang w:bidi="ar-SA"/>
        </w:rPr>
        <w:t>، وشارحُ المفاتيح قدس سره</w:t>
      </w:r>
      <w:r>
        <w:rPr>
          <w:rStyle w:val="FootnoteAnchor"/>
          <w:rtl w:val="true"/>
        </w:rPr>
        <w:footnoteReference w:id="2020"/>
      </w:r>
      <w:r>
        <w:rPr>
          <w:rFonts w:ascii="Amiri" w:hAnsi="Amiri" w:eastAsia="Amiri" w:cs="Amiri"/>
          <w:color w:val="111111"/>
          <w:sz w:val="28"/>
          <w:sz w:val="28"/>
          <w:szCs w:val="28"/>
          <w:rtl w:val="true"/>
          <w:lang w:bidi="ar-SA"/>
        </w:rPr>
        <w:t>، والفقيهُ العامِليُّ قدس سره</w:t>
      </w:r>
      <w:r>
        <w:rPr>
          <w:rStyle w:val="FootnoteAnchor"/>
          <w:rtl w:val="true"/>
        </w:rPr>
        <w:footnoteReference w:id="202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فلوصالَحَ منًّا من الحنطة بمَنَّين منها فهو كمَن باع ذلك كذلك، فيجري فيه الرِّبا، فلايجوز هذا البيع،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حكم العقلاء بذلك أوَّلًا؛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إلى العمومات الواردة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من سبعين زنْيَة كلِّها بذات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الكلينيُّ قدس سره</w:t>
      </w:r>
      <w:r>
        <w:rPr>
          <w:rStyle w:val="FootnoteAnchor"/>
          <w:rtl w:val="true"/>
        </w:rPr>
        <w:footnoteReference w:id="2022"/>
      </w:r>
      <w:r>
        <w:rPr>
          <w:rFonts w:ascii="Amiri" w:hAnsi="Amiri" w:eastAsia="Amiri" w:cs="Amiri"/>
          <w:color w:val="111111"/>
          <w:sz w:val="28"/>
          <w:sz w:val="28"/>
          <w:szCs w:val="28"/>
          <w:rtl w:val="true"/>
          <w:lang w:bidi="ar-SA"/>
        </w:rPr>
        <w:t>، والصَّدوق قدس سره</w:t>
      </w:r>
      <w:r>
        <w:rPr>
          <w:rStyle w:val="FootnoteAnchor"/>
          <w:rtl w:val="true"/>
        </w:rPr>
        <w:footnoteReference w:id="2023"/>
      </w:r>
      <w:r>
        <w:rPr>
          <w:rFonts w:ascii="Amiri" w:hAnsi="Amiri" w:eastAsia="Amiri" w:cs="Amiri"/>
          <w:color w:val="111111"/>
          <w:sz w:val="28"/>
          <w:sz w:val="28"/>
          <w:szCs w:val="28"/>
          <w:rtl w:val="true"/>
          <w:lang w:bidi="ar-SA"/>
        </w:rPr>
        <w:t>، وفي هدايته</w:t>
      </w:r>
      <w:r>
        <w:rPr>
          <w:rStyle w:val="FootnoteAnchor"/>
          <w:rtl w:val="true"/>
        </w:rPr>
        <w:footnoteReference w:id="2024"/>
      </w:r>
      <w:r>
        <w:rPr>
          <w:rFonts w:ascii="Amiri" w:hAnsi="Amiri" w:eastAsia="Amiri" w:cs="Amiri"/>
          <w:color w:val="111111"/>
          <w:sz w:val="28"/>
          <w:sz w:val="28"/>
          <w:szCs w:val="28"/>
          <w:rtl w:val="true"/>
          <w:lang w:bidi="ar-SA"/>
        </w:rPr>
        <w:t>، والشَّيخ قدس سره</w:t>
      </w:r>
      <w:r>
        <w:rPr>
          <w:rStyle w:val="FootnoteAnchor"/>
          <w:rtl w:val="true"/>
        </w:rPr>
        <w:footnoteReference w:id="2025"/>
      </w:r>
      <w:r>
        <w:rPr>
          <w:rFonts w:ascii="Amiri" w:hAnsi="Amiri" w:eastAsia="Amiri" w:cs="Amiri"/>
          <w:color w:val="111111"/>
          <w:sz w:val="28"/>
          <w:sz w:val="28"/>
          <w:szCs w:val="28"/>
          <w:rtl w:val="true"/>
          <w:lang w:bidi="ar-SA"/>
        </w:rPr>
        <w:t>، والفيضُ قدس سره</w:t>
      </w:r>
      <w:r>
        <w:rPr>
          <w:rStyle w:val="FootnoteAnchor"/>
          <w:rtl w:val="true"/>
        </w:rPr>
        <w:footnoteReference w:id="2026"/>
      </w:r>
      <w:r>
        <w:rPr>
          <w:rFonts w:ascii="Amiri" w:hAnsi="Amiri" w:eastAsia="Amiri" w:cs="Amiri"/>
          <w:color w:val="111111"/>
          <w:sz w:val="28"/>
          <w:sz w:val="28"/>
          <w:szCs w:val="28"/>
          <w:rtl w:val="true"/>
          <w:lang w:bidi="ar-SA"/>
        </w:rPr>
        <w:t>، والحرُّ قدس سره</w:t>
      </w:r>
      <w:r>
        <w:rPr>
          <w:rStyle w:val="FootnoteAnchor"/>
          <w:rtl w:val="true"/>
        </w:rPr>
        <w:footnoteReference w:id="2027"/>
      </w:r>
      <w:r>
        <w:rPr>
          <w:rFonts w:ascii="Amiri" w:hAnsi="Amiri" w:eastAsia="Amiri" w:cs="Amiri"/>
          <w:color w:val="111111"/>
          <w:sz w:val="28"/>
          <w:sz w:val="28"/>
          <w:szCs w:val="28"/>
          <w:rtl w:val="true"/>
          <w:lang w:bidi="ar-SA"/>
        </w:rPr>
        <w:t xml:space="preserve">وغيرهم؛ </w:t>
      </w:r>
    </w:p>
    <w:p>
      <w:pPr>
        <w:pStyle w:val="BookText"/>
        <w:rPr/>
      </w:pPr>
      <w:r>
        <w:rPr>
          <w:rFonts w:ascii="Amiri" w:hAnsi="Amiri" w:eastAsia="Amiri" w:cs="Amiri"/>
          <w:color w:val="111111"/>
          <w:sz w:val="28"/>
          <w:sz w:val="28"/>
          <w:szCs w:val="28"/>
          <w:rtl w:val="true"/>
          <w:lang w:bidi="ar-SA"/>
        </w:rPr>
        <w:t>وادَّعىٰ بعضُ أصحابِنا الأخباريِّين كونَه متواترًا معنويًّا</w:t>
      </w:r>
      <w:r>
        <w:rPr>
          <w:rStyle w:val="FootnoteAnchor"/>
          <w:rtl w:val="true"/>
        </w:rPr>
        <w:footnoteReference w:id="2028"/>
      </w:r>
      <w:r>
        <w:rPr>
          <w:rFonts w:ascii="Amiri" w:hAnsi="Amiri" w:eastAsia="Amiri" w:cs="Amiri"/>
          <w:color w:val="111111"/>
          <w:sz w:val="28"/>
          <w:sz w:val="28"/>
          <w:szCs w:val="28"/>
          <w:rtl w:val="true"/>
          <w:lang w:bidi="ar-SA"/>
        </w:rPr>
        <w:t>، ولذلك لايحتاج إلى تصحيح السَّند وإن صحَّحه المجلسيُّ الأوَّل</w:t>
      </w:r>
      <w:r>
        <w:rPr>
          <w:rStyle w:val="FootnoteAnchor"/>
          <w:rtl w:val="true"/>
        </w:rPr>
        <w:footnoteReference w:id="2029"/>
      </w:r>
      <w:r>
        <w:rPr>
          <w:rFonts w:ascii="Amiri" w:hAnsi="Amiri" w:eastAsia="Amiri" w:cs="Amiri"/>
          <w:color w:val="111111"/>
          <w:sz w:val="28"/>
          <w:sz w:val="28"/>
          <w:szCs w:val="28"/>
          <w:rtl w:val="true"/>
          <w:lang w:bidi="ar-SA"/>
        </w:rPr>
        <w:t>، والثَّاني قدس سرهما في مرآته</w:t>
      </w:r>
      <w:r>
        <w:rPr>
          <w:rStyle w:val="FootnoteAnchor"/>
          <w:rtl w:val="true"/>
        </w:rPr>
        <w:footnoteReference w:id="2030"/>
      </w:r>
      <w:r>
        <w:rPr>
          <w:rFonts w:ascii="IRNazanin" w:hAnsi="IRNazanin" w:eastAsia="IRNazanin"/>
          <w:color w:val="111111"/>
          <w:sz w:val="28"/>
          <w:sz w:val="28"/>
          <w:szCs w:val="28"/>
          <w:rtl w:val="true"/>
          <w:lang w:bidi="fa-IR"/>
        </w:rPr>
        <w:t>، وملاذه</w:t>
      </w:r>
      <w:r>
        <w:rPr>
          <w:rStyle w:val="FootnoteAnchor"/>
          <w:rtl w:val="true"/>
        </w:rPr>
        <w:footnoteReference w:id="2031"/>
      </w:r>
      <w:r>
        <w:rPr>
          <w:rFonts w:ascii="Amiri" w:hAnsi="Amiri" w:eastAsia="Amiri" w:cs="Amiri"/>
          <w:color w:val="111111"/>
          <w:sz w:val="28"/>
          <w:sz w:val="28"/>
          <w:szCs w:val="28"/>
          <w:rtl w:val="true"/>
          <w:lang w:bidi="ar-SA"/>
        </w:rPr>
        <w:t xml:space="preserve">، وغيرهما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ومضافًا إلى تنقيح المناط وعموم العلَّة الواردة في الآيات</w:t>
      </w:r>
      <w:r>
        <w:rPr>
          <w:rStyle w:val="FootnoteAnchor"/>
          <w:rtl w:val="true"/>
        </w:rPr>
        <w:footnoteReference w:id="2032"/>
      </w:r>
      <w:r>
        <w:rPr>
          <w:rFonts w:ascii="Amiri" w:hAnsi="Amiri" w:eastAsia="Amiri" w:cs="Amiri"/>
          <w:color w:val="111111"/>
          <w:sz w:val="28"/>
          <w:sz w:val="28"/>
          <w:szCs w:val="28"/>
          <w:rtl w:val="true"/>
          <w:lang w:bidi="ar-SA"/>
        </w:rPr>
        <w:t>والرِّوايات ثالثًا؛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بخصوص ذلك الحكم رابعًا، كصحيحة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يدفع إلى الطَّحَّان الطعامَ فيُقاطِعُه علىٰ أن يُعطِيَ لكلِّ عشرة أرطالٍ اثنيٰعشر دقيفًا،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يدفعُ السِّمْسِمَ إلى العصَّار ويضمن له لكلِّ صاعٍ أرطالًا مسمَّاةً؟،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2033"/>
      </w:r>
      <w:r>
        <w:rPr>
          <w:rFonts w:ascii="Amiri" w:hAnsi="Amiri" w:eastAsia="Amiri" w:cs="Amiri"/>
          <w:color w:val="111111"/>
          <w:sz w:val="28"/>
          <w:sz w:val="28"/>
          <w:szCs w:val="28"/>
          <w:rtl w:val="true"/>
          <w:lang w:bidi="ar-SA"/>
        </w:rPr>
        <w:t>، والشَّيخ قدس سره</w:t>
      </w:r>
      <w:r>
        <w:rPr>
          <w:rStyle w:val="FootnoteAnchor"/>
          <w:rtl w:val="true"/>
        </w:rPr>
        <w:footnoteReference w:id="2034"/>
      </w:r>
      <w:r>
        <w:rPr>
          <w:rFonts w:ascii="Amiri" w:hAnsi="Amiri" w:eastAsia="Amiri" w:cs="Amiri"/>
          <w:color w:val="111111"/>
          <w:sz w:val="28"/>
          <w:sz w:val="28"/>
          <w:szCs w:val="28"/>
          <w:rtl w:val="true"/>
          <w:lang w:bidi="ar-SA"/>
        </w:rPr>
        <w:t>، والفيضُ قدس سره</w:t>
      </w:r>
      <w:r>
        <w:rPr>
          <w:rStyle w:val="FootnoteAnchor"/>
          <w:rtl w:val="true"/>
        </w:rPr>
        <w:footnoteReference w:id="2035"/>
      </w:r>
      <w:r>
        <w:rPr>
          <w:rFonts w:ascii="Amiri" w:hAnsi="Amiri" w:eastAsia="Amiri" w:cs="Amiri"/>
          <w:color w:val="111111"/>
          <w:sz w:val="28"/>
          <w:sz w:val="28"/>
          <w:szCs w:val="28"/>
          <w:rtl w:val="true"/>
          <w:lang w:bidi="ar-SA"/>
        </w:rPr>
        <w:t>، والحرُّ قدس سره</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صحَّحه ثاني </w:t>
      </w:r>
      <w:bookmarkStart w:id="676" w:name="pg20337_261693"/>
    </w:p>
    <w:p>
      <w:pPr>
        <w:pStyle w:val="BookText"/>
        <w:rPr/>
      </w:pPr>
      <w:bookmarkEnd w:id="676"/>
      <w:r>
        <w:rPr>
          <w:rFonts w:ascii="Amiri" w:hAnsi="Amiri" w:eastAsia="Amiri" w:cs="Amiri"/>
          <w:color w:val="111111"/>
          <w:sz w:val="28"/>
          <w:sz w:val="28"/>
          <w:szCs w:val="28"/>
          <w:rtl w:val="true"/>
          <w:lang w:bidi="ar-SA"/>
        </w:rPr>
        <w:t>المجلسيَّين قدس سرهما في مرآته</w:t>
      </w:r>
      <w:r>
        <w:rPr>
          <w:rStyle w:val="FootnoteAnchor"/>
          <w:rtl w:val="true"/>
        </w:rPr>
        <w:footnoteReference w:id="2037"/>
      </w:r>
      <w:r>
        <w:rPr>
          <w:rFonts w:ascii="IRNazanin" w:hAnsi="IRNazanin" w:eastAsia="IRNazanin"/>
          <w:color w:val="111111"/>
          <w:sz w:val="28"/>
          <w:sz w:val="28"/>
          <w:szCs w:val="28"/>
          <w:rtl w:val="true"/>
          <w:lang w:bidi="fa-IR"/>
        </w:rPr>
        <w:t>، وملاذه</w:t>
      </w:r>
      <w:r>
        <w:rPr>
          <w:rStyle w:val="FootnoteAnchor"/>
          <w:rtl w:val="true"/>
        </w:rPr>
        <w:footnoteReference w:id="2038"/>
      </w:r>
      <w:r>
        <w:rPr>
          <w:rFonts w:ascii="Amiri" w:hAnsi="Amiri" w:eastAsia="Amiri" w:cs="Amiri"/>
          <w:color w:val="111111"/>
          <w:sz w:val="28"/>
          <w:sz w:val="28"/>
          <w:szCs w:val="28"/>
          <w:rtl w:val="true"/>
          <w:lang w:bidi="ar-SA"/>
        </w:rPr>
        <w:t>، والبحرانيُّ قدس سره</w:t>
      </w:r>
      <w:r>
        <w:rPr>
          <w:rStyle w:val="FootnoteAnchor"/>
          <w:rtl w:val="true"/>
        </w:rPr>
        <w:footnoteReference w:id="2039"/>
      </w:r>
      <w:r>
        <w:rPr>
          <w:rFonts w:ascii="Amiri" w:hAnsi="Amiri" w:eastAsia="Amiri" w:cs="Amiri"/>
          <w:color w:val="111111"/>
          <w:sz w:val="28"/>
          <w:sz w:val="28"/>
          <w:szCs w:val="28"/>
          <w:rtl w:val="true"/>
          <w:lang w:bidi="ar-SA"/>
        </w:rPr>
        <w:t>، وشارح المفاتيح قدس سره</w:t>
      </w:r>
      <w:r>
        <w:rPr>
          <w:rStyle w:val="FootnoteAnchor"/>
          <w:rtl w:val="true"/>
        </w:rPr>
        <w:footnoteReference w:id="2040"/>
      </w:r>
      <w:r>
        <w:rPr>
          <w:rFonts w:ascii="Amiri" w:hAnsi="Amiri" w:eastAsia="Amiri" w:cs="Amiri"/>
          <w:color w:val="111111"/>
          <w:sz w:val="28"/>
          <w:sz w:val="28"/>
          <w:szCs w:val="28"/>
          <w:rtl w:val="true"/>
          <w:lang w:bidi="ar-SA"/>
        </w:rPr>
        <w:t>، والطَّباطبائيُّ قدس سره</w:t>
      </w:r>
      <w:r>
        <w:rPr>
          <w:rStyle w:val="FootnoteAnchor"/>
          <w:rtl w:val="true"/>
        </w:rPr>
        <w:footnoteReference w:id="2041"/>
      </w:r>
      <w:r>
        <w:rPr>
          <w:rFonts w:ascii="Amiri" w:hAnsi="Amiri" w:eastAsia="Amiri" w:cs="Amiri"/>
          <w:color w:val="111111"/>
          <w:sz w:val="28"/>
          <w:sz w:val="28"/>
          <w:szCs w:val="28"/>
          <w:rtl w:val="true"/>
          <w:lang w:bidi="ar-SA"/>
        </w:rPr>
        <w:t>، وولده المعظَّم قدس سره</w:t>
      </w:r>
      <w:r>
        <w:rPr>
          <w:rStyle w:val="FootnoteAnchor"/>
          <w:rtl w:val="true"/>
        </w:rPr>
        <w:footnoteReference w:id="204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بوضوحٍ أنَّ الإمام عليه السلام نهىٰ عن الرِّبا في المقاطعة، وكذلك نهىٰ عنه في الضَّمان؛ فالأقوىٰ أنَّ الرِّبا يجيء في جميع المعامَلات ولايختصُّ بالبيع والقرض فقط</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1945396_1280447820"/>
      <w:bookmarkStart w:id="678" w:name="_Toc250"/>
      <w:bookmarkEnd w:id="677"/>
      <w:r>
        <w:rPr>
          <w:rtl w:val="true"/>
        </w:rPr>
        <w:t>التَّنبيه السَّادس</w:t>
      </w:r>
      <w:r>
        <w:rPr>
          <w:rtl w:val="true"/>
        </w:rPr>
        <w:t>:</w:t>
      </w:r>
      <w:bookmarkEnd w:id="67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ادَّعىٰ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قدس سره</w:t>
      </w:r>
      <w:r>
        <w:rPr>
          <w:rStyle w:val="FootnoteAnchor"/>
          <w:rtl w:val="true"/>
        </w:rPr>
        <w:footnoteReference w:id="2043"/>
      </w:r>
      <w:r>
        <w:rPr>
          <w:rFonts w:ascii="Amiri" w:hAnsi="Amiri" w:eastAsia="Amiri" w:cs="Amiri"/>
          <w:color w:val="111111"/>
          <w:sz w:val="28"/>
          <w:sz w:val="28"/>
          <w:szCs w:val="28"/>
          <w:rtl w:val="true"/>
          <w:lang w:bidi="ar-SA"/>
        </w:rPr>
        <w:t>، والعلَّامة قدس سره</w:t>
      </w:r>
      <w:r>
        <w:rPr>
          <w:rStyle w:val="FootnoteAnchor"/>
          <w:rtl w:val="true"/>
        </w:rPr>
        <w:footnoteReference w:id="2044"/>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الإجماع علىٰ جواز رفع الرِّبا بالضَّميمة، فعلىٰ سبيل المثال لوباع دنانير بدنانير تفاضلًا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مأة دينارٍ بمأتين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 درهمًا إلى المأة دينار أو ضمَّ ما له ماليَّةٌ كحبَّةٍ من النَّبات والطَّبَرزَد إلى المأة فالمعاملة صحيحةٌ ولا ربا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الرِّياض شارحًا قول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يُتُخَلَّص من الرِّبا إن أُريد بيعُ أحد الرَّبويَّين بالآخر متفاضلًا بالضَّميمة، بأن يُجعَلَ مع النَّاقص منهما أو معهما إن أُشتُبِه </w:t>
      </w:r>
    </w:p>
    <w:p>
      <w:pPr>
        <w:pStyle w:val="BookText"/>
        <w:rPr/>
      </w:pPr>
      <w:r>
        <w:rPr>
          <w:rFonts w:ascii="Amiri" w:hAnsi="Amiri" w:eastAsia="Amiri" w:cs="Amiri"/>
          <w:color w:val="111111"/>
          <w:sz w:val="28"/>
          <w:sz w:val="28"/>
          <w:szCs w:val="28"/>
          <w:rtl w:val="true"/>
          <w:lang w:bidi="ar-SA"/>
        </w:rPr>
        <w:t>ناقصُهما متاعَ من غير جنسه،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فتكون الضَّميمةُ في مقابلة الزِّيادة، مثلُ بيع درهمٍ ومُدٍّ من تَمرٍ بمُدَّين منه</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ومثله ما عن الشَّهيد</w:t>
      </w:r>
      <w:r>
        <w:rPr>
          <w:rStyle w:val="FootnoteAnchor"/>
          <w:rtl w:val="true"/>
        </w:rPr>
        <w:footnoteReference w:id="2047"/>
      </w:r>
      <w:r>
        <w:rPr>
          <w:rFonts w:ascii="Amiri" w:hAnsi="Amiri" w:eastAsia="Amiri" w:cs="Amiri"/>
          <w:color w:val="111111"/>
          <w:sz w:val="28"/>
          <w:sz w:val="28"/>
          <w:szCs w:val="28"/>
          <w:rtl w:val="true"/>
          <w:lang w:bidi="ar-SA"/>
        </w:rPr>
        <w:t>، وثانيهما قدس سرهما</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ثبوت الإجماع عليه أوَّلًا؛</w:t>
      </w:r>
    </w:p>
    <w:p>
      <w:pPr>
        <w:pStyle w:val="BookText"/>
        <w:rPr/>
      </w:pPr>
      <w:r>
        <w:rPr>
          <w:rFonts w:ascii="Amiri" w:hAnsi="Amiri" w:eastAsia="Amiri" w:cs="Amiri"/>
          <w:color w:val="111111"/>
          <w:sz w:val="28"/>
          <w:sz w:val="28"/>
          <w:szCs w:val="28"/>
          <w:rtl w:val="true"/>
          <w:lang w:bidi="ar-SA"/>
        </w:rPr>
        <w:t>يدلُّ عليه ثانيًا ما ورد في المسألة من الرِّوايات؛</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w:t>
      </w:r>
      <w:r>
        <w:rPr>
          <w:rStyle w:val="FootnoteAnchor"/>
          <w:rtl w:val="true"/>
        </w:rPr>
        <w:footnoteReference w:id="2049"/>
      </w:r>
      <w:r>
        <w:rPr>
          <w:rFonts w:ascii="Amiri" w:hAnsi="Amiri" w:eastAsia="Amiri" w:cs="Amiri"/>
          <w:color w:val="111111"/>
          <w:sz w:val="28"/>
          <w:sz w:val="28"/>
          <w:szCs w:val="28"/>
          <w:rtl w:val="true"/>
          <w:lang w:bidi="ar-SA"/>
        </w:rPr>
        <w:t>قدس سره والصَّدوق</w:t>
      </w:r>
      <w:r>
        <w:rPr>
          <w:rStyle w:val="FootnoteAnchor"/>
          <w:rtl w:val="true"/>
        </w:rPr>
        <w:footnoteReference w:id="2050"/>
      </w:r>
      <w:r>
        <w:rPr>
          <w:rFonts w:ascii="Amiri" w:hAnsi="Amiri" w:eastAsia="Amiri" w:cs="Amiri"/>
          <w:color w:val="111111"/>
          <w:sz w:val="28"/>
          <w:sz w:val="28"/>
          <w:szCs w:val="28"/>
          <w:rtl w:val="true"/>
          <w:lang w:bidi="ar-SA"/>
        </w:rPr>
        <w:t>قدس سره والشَّيخ الحُرُّ</w:t>
      </w:r>
      <w:r>
        <w:rPr>
          <w:rStyle w:val="FootnoteAnchor"/>
          <w:rtl w:val="true"/>
        </w:rPr>
        <w:footnoteReference w:id="2051"/>
      </w:r>
      <w:r>
        <w:rPr>
          <w:rFonts w:ascii="Amiri" w:hAnsi="Amiri" w:eastAsia="Amiri" w:cs="Amiri"/>
          <w:color w:val="111111"/>
          <w:sz w:val="28"/>
          <w:sz w:val="28"/>
          <w:szCs w:val="28"/>
          <w:rtl w:val="true"/>
          <w:lang w:bidi="ar-SA"/>
        </w:rPr>
        <w:t>قدس سره عن عبدِالرَّحمنِ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رُبَّمَا عَجِلَتْ فَخَرَجَتْ فَلَمْنَقْدِرْ عَلَى الدِّمَشْقِيَّةِ وَالْبَصْرِيَّةِ وَإِنَّمَا يَجُوزُ نَيْسَابُورَ الدِّمَشْقِيَّةُ وَالْبَصْرِيَّةُ‌،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الرِّفْقَةُ؟،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يَتَرَافَقُونَ وَيَجْتَمِعُونَ لِلْخُرُوجِ‌، فَإِذَا عَجِلُوا فَرُبَّمَا لَمْيَقْدِرُوا عَلَى الدِّمَشْقِيَّةِ وَالْبَصْرِيَّةِ‌، فَبَعَثْنَا بِالْغِلَّةِ فَصَرَفُوا أَلْفًا وَخَمْسِينَ مِنْهَا بِأَلْفٍ مِنَ الدِّمَشْقِيَّةِ وَالْبَصْرِيَّةِ‌؛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هَذَا، أَفَلايَجْعَلُونَ فِيهَا ذَهَبًا لِمَكَانِ زِيَادَتِهَا؟، فَقُلْتُ 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أَشْتَرِي أَلْفَ دِرْهَمٍ وَدِينَارًا بِأَلْفَيْ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أَجْرَأَ عَلَى أَهْلِ الْمَدِينَةِ مِنِّي، فَكَانَ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الْفِرَارُ، لَوْجَاءَ رَجُلٌ بِدِينَارٍ لَمْيُعْطَ </w:t>
      </w:r>
    </w:p>
    <w:p>
      <w:pPr>
        <w:pStyle w:val="BookText"/>
        <w:rPr/>
      </w:pPr>
      <w:r>
        <w:rPr>
          <w:rFonts w:ascii="Amiri" w:hAnsi="Amiri" w:eastAsia="Amiri" w:cs="Amiri"/>
          <w:color w:val="111111"/>
          <w:sz w:val="28"/>
          <w:sz w:val="28"/>
          <w:szCs w:val="28"/>
          <w:rtl w:val="true"/>
          <w:lang w:bidi="ar-SA"/>
        </w:rPr>
        <w:t>أَلْفَ دِرْهَمٍ وَلَوْ جَاءَ بِأَلْفِ دِرْهَمٍ لَمْيُعْطَ أَلْفَ دِينَارٍ، 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الْحَرَامِ إِلَى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w:t>
      </w:r>
      <w:r>
        <w:rPr>
          <w:rStyle w:val="FootnoteAnchor"/>
          <w:rtl w:val="true"/>
        </w:rPr>
        <w:footnoteReference w:id="2052"/>
      </w:r>
      <w:r>
        <w:rPr>
          <w:rFonts w:ascii="Amiri" w:hAnsi="Amiri" w:eastAsia="Amiri" w:cs="Amiri"/>
          <w:color w:val="111111"/>
          <w:sz w:val="28"/>
          <w:sz w:val="28"/>
          <w:szCs w:val="28"/>
          <w:rtl w:val="true"/>
          <w:lang w:bidi="ar-SA"/>
        </w:rPr>
        <w:t>قدس سره والشَّيخ الحُرُّ</w:t>
      </w:r>
      <w:r>
        <w:rPr>
          <w:rStyle w:val="FootnoteAnchor"/>
          <w:rtl w:val="true"/>
        </w:rPr>
        <w:footnoteReference w:id="2053"/>
      </w:r>
      <w:r>
        <w:rPr>
          <w:rFonts w:ascii="Amiri" w:hAnsi="Amiri" w:eastAsia="Amiri" w:cs="Amiri"/>
          <w:color w:val="111111"/>
          <w:sz w:val="28"/>
          <w:sz w:val="28"/>
          <w:szCs w:val="28"/>
          <w:rtl w:val="true"/>
          <w:lang w:bidi="ar-SA"/>
        </w:rPr>
        <w:t xml:space="preserve">قدس سره عن عبدالرَّحمن بنِ الحجَّاجِ أيضًا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الْمُنْكَدِرِ يَقُولُ لأَبِي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إِنَّا لَنَعْلَمُ أَنَّكَ لَوْأَخَذْتَ دِينَارًا وَالصَّرْفُ بِثََمانِيَةَ عَشَرَ فَدُرْتَ الْمَدِينَةَ عَلَى أَنْ تَجِدَ مَنْ يُعْطِيكَ عِشْرِينَ مَا وَجَدْتَهُ‌، وَمَا هَذَا إلَّافِرَارٌ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فِرَارٌ مِنْ بَاطِلٍ إِلَى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قدس سره</w:t>
      </w:r>
      <w:r>
        <w:rPr>
          <w:rStyle w:val="FootnoteAnchor"/>
          <w:rtl w:val="true"/>
        </w:rPr>
        <w:footnoteReference w:id="2054"/>
      </w:r>
      <w:r>
        <w:rPr>
          <w:rFonts w:ascii="Amiri" w:hAnsi="Amiri" w:eastAsia="Amiri" w:cs="Amiri"/>
          <w:color w:val="111111"/>
          <w:sz w:val="28"/>
          <w:sz w:val="28"/>
          <w:szCs w:val="28"/>
          <w:rtl w:val="true"/>
          <w:lang w:bidi="ar-SA"/>
        </w:rPr>
        <w:t>والشَّيخ الحُرُّ قدس سره</w:t>
      </w:r>
      <w:r>
        <w:rPr>
          <w:rStyle w:val="FootnoteAnchor"/>
          <w:rtl w:val="true"/>
        </w:rPr>
        <w:footnoteReference w:id="2055"/>
      </w:r>
      <w:r>
        <w:rPr>
          <w:rFonts w:ascii="Amiri" w:hAnsi="Amiri" w:eastAsia="Amiri" w:cs="Amiri"/>
          <w:color w:val="111111"/>
          <w:sz w:val="28"/>
          <w:sz w:val="28"/>
          <w:szCs w:val="28"/>
          <w:rtl w:val="true"/>
          <w:lang w:bidi="ar-SA"/>
        </w:rPr>
        <w:t>عن عبدالرَّحمن بنِ الحجَّاج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يَأْتِي بِالدَّرَاهِمِ إِلَى الصَّيْرَفِيِّ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مِنْكَ الْمِائَةَ بِمِائَةٍ وَعِشْرِينَ‌، أَوْ بِمِائَةٍ وَخَمْسَةٍ حَتَّى يُرَاوِضَهُ عَلَى الَّذِي يُرِيدُ، فَإِذَا فَرَغَ جَعَلَ مَكَانَ الدَّرَاهِمِ الزِّيَادَةِ دِينَارًا أَوْ ذَهَبًا،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رَادَدْتُكَ الْبَيْعَ وَإِنَّمَا أُبَايِعُكَ عَلَى هَذَا لأَنَّ الأَوَّلَ لايَصْلُحُ أَوْ لَمْيَقُلْ ذَلِكَ وَجَعَلَ ذَهَبًا مَكَانَ 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الْبَيْعِ عَلَى الْحَلالِ فَلابَأْسَ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مَكَانَ الذَّهَبِ فُلُوسًا،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غيرها ممَّا هو مذكورٌ في موضِعها من مصادرنا الرِّوائيَّة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كُرِّر في هذه الرِّوايات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الشَّيءُ الفرارُ من الحرام إلى </w:t>
      </w:r>
    </w:p>
    <w:p>
      <w:pPr>
        <w:pStyle w:val="BookText"/>
        <w:rPr/>
      </w:pP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القول عندي في غاية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الرِّوايات ليستْ بصدد تحليل الرِّبا، لأنَّه محالٌ ممتنعٌ‌، بل بصدد رفع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صدرتْ كلَّها في المِثلِيَّين، سيَّما في الدِّينار، وبما أنَّ في تلك الأزمان كان النَّاس بحاجةٍ ماسَّةٍ إلى تبديل الدَّنانير بالدَّنانير وكانت الدَّنانير مختلفةً قيمةً ووزنًا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لاختلافها في الخلوص والوزن، بحسب إختلاف المصانع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فتبديلُ ما هو الجيِّد بما هو الرَّديء يحتاج إلى الزِّيادة، فيلزم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الدِّينارَين مثلِيَّان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 عليه السلام تمحَّل لذلك إلى إضافة درهمٍ إلى النَّقيصة،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فرارٌ من الحرام إلى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الرِّبا في المِثلي ليس بربىً أصلًا، بل الرِّبا الواقعي يختصُّ بالقرض، لأنَّه يُؤخَذ فيه الزِّيادة بدلًا عن المدَّة؛ أمَّا بيع الذَّهب الرَّديء بالجيِّد منه مع التَّفاضل فهو أخذُ الَّثمن الواقعيِّ قِبَل المُثمَن، فلازيادة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فبيع المِثلِيِّ بالمِثلِيِّ مع التَّفاضل ليس من الرَّبا الحرام بالأدلَّة الأربعة، بل إنَّه تعبُّدٌ، بل لولا إنعقاد الإجماع عليه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مباني العامَّة، وما اختاره أئمَّة أهل البيت عليهم السلام إلَّاتقيَّةً‌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تعبُّدٌ أوَّلًا؛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الفرار بهذا الوجه هو تعبُّدٌ ثانٍ لتسهيل الأمر في معاملات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روايات الباب تجِد صدق ما قلنا</w:t>
      </w:r>
      <w:r>
        <w:rPr>
          <w:rFonts w:eastAsia="Amiri" w:cs="Amiri" w:ascii="Amiri" w:hAnsi="Amiri"/>
          <w:color w:val="111111"/>
          <w:sz w:val="28"/>
          <w:szCs w:val="28"/>
          <w:rtl w:val="true"/>
          <w:lang w:bidi="ar-SA"/>
        </w:rPr>
        <w:t xml:space="preserve">. </w:t>
      </w:r>
      <w:bookmarkStart w:id="679" w:name="pg20337_261697"/>
    </w:p>
    <w:p>
      <w:pPr>
        <w:pStyle w:val="Heading4"/>
        <w:numPr>
          <w:ilvl w:val="3"/>
          <w:numId w:val="1"/>
        </w:numPr>
        <w:rPr/>
      </w:pPr>
      <w:bookmarkStart w:id="680" w:name="__RefHeading___Toc11945398_1280447820"/>
      <w:bookmarkStart w:id="681" w:name="_Toc251"/>
      <w:bookmarkEnd w:id="679"/>
      <w:bookmarkEnd w:id="680"/>
      <w:r>
        <w:rPr>
          <w:rtl w:val="true"/>
        </w:rPr>
        <w:t>التَّنبيه السَّابع</w:t>
      </w:r>
      <w:r>
        <w:rPr>
          <w:rtl w:val="true"/>
        </w:rPr>
        <w:t>:</w:t>
      </w:r>
      <w:bookmarkEnd w:id="681"/>
    </w:p>
    <w:p>
      <w:pPr>
        <w:pStyle w:val="BookText"/>
        <w:rPr/>
      </w:pPr>
      <w:r>
        <w:rPr>
          <w:rFonts w:ascii="Amiri" w:hAnsi="Amiri" w:eastAsia="Amiri" w:cs="Amiri"/>
          <w:color w:val="111111"/>
          <w:sz w:val="28"/>
          <w:sz w:val="28"/>
          <w:szCs w:val="28"/>
          <w:rtl w:val="true"/>
          <w:lang w:bidi="ar-SA"/>
        </w:rPr>
        <w:t xml:space="preserve">هل يجوز تحليل الرِّبا بالحيلة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أقرَضَه ألف تومانٍ بألف تومانٍ قرضًا غير ربويٍّ ثمَّ باع منه حبَّةَ نباتٍ بمأة تومانٍ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ذكروه هيهنا، كثاني الشَّهيدَين قدس سرهما</w:t>
      </w:r>
      <w:r>
        <w:rPr>
          <w:rStyle w:val="FootnoteAnchor"/>
          <w:rtl w:val="true"/>
        </w:rPr>
        <w:footnoteReference w:id="2057"/>
      </w:r>
      <w:r>
        <w:rPr>
          <w:rFonts w:ascii="Amiri" w:hAnsi="Amiri" w:eastAsia="Amiri" w:cs="Amiri"/>
          <w:color w:val="111111"/>
          <w:sz w:val="28"/>
          <w:sz w:val="28"/>
          <w:szCs w:val="28"/>
          <w:rtl w:val="true"/>
          <w:lang w:bidi="ar-SA"/>
        </w:rPr>
        <w:t>، والعلَّامة المجلسيِّ قدس سره</w:t>
      </w:r>
      <w:r>
        <w:rPr>
          <w:rStyle w:val="FootnoteAnchor"/>
          <w:rtl w:val="true"/>
        </w:rPr>
        <w:footnoteReference w:id="2058"/>
      </w:r>
      <w:r>
        <w:rPr>
          <w:rFonts w:ascii="Amiri" w:hAnsi="Amiri" w:eastAsia="Amiri" w:cs="Amiri"/>
          <w:color w:val="111111"/>
          <w:sz w:val="28"/>
          <w:sz w:val="28"/>
          <w:szCs w:val="28"/>
          <w:rtl w:val="true"/>
          <w:lang w:bidi="ar-SA"/>
        </w:rPr>
        <w:t>، والوحيد الفريد قدس سره</w:t>
      </w:r>
      <w:r>
        <w:rPr>
          <w:rStyle w:val="FootnoteAnchor"/>
          <w:rtl w:val="true"/>
        </w:rPr>
        <w:footnoteReference w:id="2059"/>
      </w:r>
      <w:r>
        <w:rPr>
          <w:rFonts w:ascii="Amiri" w:hAnsi="Amiri" w:eastAsia="Amiri" w:cs="Amiri"/>
          <w:color w:val="111111"/>
          <w:sz w:val="28"/>
          <w:sz w:val="28"/>
          <w:szCs w:val="28"/>
          <w:rtl w:val="true"/>
          <w:lang w:bidi="ar-SA"/>
        </w:rPr>
        <w:t>، وشارح المفاتيح قدس سره</w:t>
      </w:r>
      <w:r>
        <w:rPr>
          <w:rStyle w:val="FootnoteAnchor"/>
          <w:rtl w:val="true"/>
        </w:rPr>
        <w:footnoteReference w:id="2060"/>
      </w:r>
      <w:r>
        <w:rPr>
          <w:rFonts w:ascii="Amiri" w:hAnsi="Amiri" w:eastAsia="Amiri" w:cs="Amiri"/>
          <w:color w:val="111111"/>
          <w:sz w:val="28"/>
          <w:sz w:val="28"/>
          <w:szCs w:val="28"/>
          <w:rtl w:val="true"/>
          <w:lang w:bidi="ar-SA"/>
        </w:rPr>
        <w:t>، والشَّيخ حسن آل كاشف الغطاء قدس سره</w:t>
      </w:r>
      <w:r>
        <w:rPr>
          <w:rStyle w:val="FootnoteAnchor"/>
          <w:rtl w:val="true"/>
        </w:rPr>
        <w:footnoteReference w:id="2061"/>
      </w:r>
      <w:r>
        <w:rPr>
          <w:rFonts w:ascii="Amiri" w:hAnsi="Amiri" w:eastAsia="Amiri" w:cs="Amiri"/>
          <w:color w:val="111111"/>
          <w:sz w:val="28"/>
          <w:sz w:val="28"/>
          <w:szCs w:val="28"/>
          <w:rtl w:val="true"/>
          <w:lang w:bidi="ar-SA"/>
        </w:rPr>
        <w:t>وادَّعىٰ البحرانيُّ قدس سره اتِّفاقَ الأصحاب علىٰ جواز الحِيَل فيه</w:t>
      </w:r>
      <w:r>
        <w:rPr>
          <w:rStyle w:val="FootnoteAnchor"/>
          <w:rtl w:val="true"/>
        </w:rPr>
        <w:footnoteReference w:id="2062"/>
      </w:r>
      <w:r>
        <w:rPr>
          <w:rFonts w:ascii="Amiri" w:hAnsi="Amiri" w:eastAsia="Amiri" w:cs="Amiri"/>
          <w:color w:val="111111"/>
          <w:sz w:val="28"/>
          <w:sz w:val="28"/>
          <w:szCs w:val="28"/>
          <w:rtl w:val="true"/>
          <w:lang w:bidi="ar-SA"/>
        </w:rPr>
        <w:t>، والعامليُّ قدس سره</w:t>
      </w:r>
      <w:r>
        <w:rPr>
          <w:rStyle w:val="FootnoteAnchor"/>
          <w:rtl w:val="true"/>
        </w:rPr>
        <w:footnoteReference w:id="206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تمسَّكوا بقوله عليه السلام الَّذي أشرنا إليه آنفًا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الفرارُ من الحرام إلى الحلال</w:t>
      </w:r>
      <w:r>
        <w:rPr>
          <w:rFonts w:eastAsia="Amiri" w:cs="Amiri" w:ascii="Amiri" w:hAnsi="Amiri"/>
          <w:color w:val="111111"/>
          <w:sz w:val="28"/>
          <w:szCs w:val="28"/>
          <w:rtl w:val="true"/>
          <w:lang w:bidi="ar-SA"/>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عندي هو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للمحقِّق المقدَّس قدس سره</w:t>
      </w:r>
      <w:r>
        <w:rPr>
          <w:rStyle w:val="FootnoteAnchor"/>
          <w:rtl w:val="true"/>
        </w:rPr>
        <w:footnoteReference w:id="2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الرِّواية هذه صدرتْ في الفرار عن بيع المِثليِّ بالتَّفاضل، ولم ترد روايةٌ ولا واحدةٌ في تحليل الرِّبا في القرض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ألاخذ بعموم العلَّة المستفادة من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بسديدٍ، لأنَّ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تحليل التَّفاضل تعبُّدًا، فلايكون ربًا أصلًا؛ فكيف نقول بذلك في تحليل الرِّبا الواقعي المحرَّم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الحيلة وقعتْ في معاملَتَين مستقلَّتَين، فهو إجحافٌ لا أنَّها ربًا يُوجِب الفساد والحرمةَ؟؛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تصحيح الرِّبا وتحليله بهذه الحيلة يأباه العُرف، ولايُوجَد هيهنا ما يَردَعُ عن العرف حتَّى يُقال بعدم حجِّيَّته في المقام؛</w:t>
      </w:r>
    </w:p>
    <w:p>
      <w:pPr>
        <w:pStyle w:val="BookText"/>
        <w:rPr/>
      </w:pPr>
      <w:r>
        <w:rPr>
          <w:rFonts w:ascii="Amiri" w:hAnsi="Amiri" w:eastAsia="Amiri" w:cs="Amiri"/>
          <w:color w:val="111111"/>
          <w:sz w:val="28"/>
          <w:sz w:val="28"/>
          <w:szCs w:val="28"/>
          <w:rtl w:val="true"/>
          <w:lang w:bidi="ar-SA"/>
        </w:rPr>
        <w:t xml:space="preserve">بل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العلل الواردة فيها،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الرِّبا الَّذي جرتْ فيه الحيلةُ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2067"/>
      </w:r>
      <w:r>
        <w:rPr>
          <w:rFonts w:ascii="Amiri" w:hAnsi="Amiri" w:eastAsia="Amiri" w:cs="Amiri"/>
          <w:color w:val="111111"/>
          <w:sz w:val="28"/>
          <w:sz w:val="28"/>
          <w:szCs w:val="28"/>
          <w:rtl w:val="true"/>
          <w:lang w:bidi="ar-SA"/>
        </w:rPr>
        <w:t>يردعُ عن كلِّ حيلةٍ وينهىٰ عنها؛</w:t>
      </w:r>
    </w:p>
    <w:p>
      <w:pPr>
        <w:pStyle w:val="BookText"/>
        <w:rPr/>
      </w:pPr>
      <w:r>
        <w:rPr>
          <w:rFonts w:ascii="Amiri" w:hAnsi="Amiri" w:eastAsia="Amiri" w:cs="Amiri"/>
          <w:color w:val="111111"/>
          <w:sz w:val="28"/>
          <w:sz w:val="28"/>
          <w:szCs w:val="28"/>
          <w:rtl w:val="true"/>
          <w:lang w:bidi="ar-SA"/>
        </w:rPr>
        <w:t>بل العرفُ مضافًا إلى أنَّه يرىٰ عدم صحَّة ذلك، يرىٰ أنَّ الحيلةَ في الرِّبا لتحليله أقبح من أصل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نختاره في جميع الحِيَل المتَّخذة لتصحيح بيعٍ أو معاملةٍ حرامٍ‌، أو لتصحيح محرَّمٍ آخر، إذ من المحال أنْ تُوجِب الحيلةُ تحليلَ حرامٍ‌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يقع المرأ بالضَّرورة لا بالاختيار في إرتكاب حرامٍ‌، أو ترك واجبٍ‌؛ </w:t>
      </w:r>
      <w:bookmarkStart w:id="682" w:name="pg20337_261699"/>
    </w:p>
    <w:p>
      <w:pPr>
        <w:pStyle w:val="BookText"/>
        <w:rPr/>
      </w:pPr>
      <w:bookmarkEnd w:id="682"/>
      <w:r>
        <w:rPr>
          <w:rFonts w:ascii="Amiri" w:hAnsi="Amiri" w:eastAsia="Amiri" w:cs="Amiri"/>
          <w:color w:val="111111"/>
          <w:sz w:val="28"/>
          <w:sz w:val="28"/>
          <w:szCs w:val="28"/>
          <w:rtl w:val="true"/>
          <w:lang w:bidi="ar-SA"/>
        </w:rPr>
        <w:t>فتلك الضَّرورة بالعنوان الثَّانوي المُتَّخَذ من حديث الرَّفع تُوجِب جوازَ ارتكاب الحرام، أو ترك الواجب؛ كما في قصَّة يوسف عليه السلام ونداء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المفسِّرون، كالطَّبرسيِّ قدس سره</w:t>
      </w:r>
      <w:r>
        <w:rPr>
          <w:rStyle w:val="FootnoteAnchor"/>
          <w:rtl w:val="true"/>
        </w:rPr>
        <w:footnoteReference w:id="2069"/>
      </w:r>
      <w:r>
        <w:rPr>
          <w:rFonts w:ascii="Amiri" w:hAnsi="Amiri" w:eastAsia="Amiri" w:cs="Amiri"/>
          <w:color w:val="111111"/>
          <w:sz w:val="28"/>
          <w:sz w:val="28"/>
          <w:szCs w:val="28"/>
          <w:rtl w:val="true"/>
          <w:lang w:bidi="ar-SA"/>
        </w:rPr>
        <w:t>، والشَّيخ قدس سره</w:t>
      </w:r>
      <w:r>
        <w:rPr>
          <w:rStyle w:val="FootnoteAnchor"/>
          <w:rtl w:val="true"/>
        </w:rPr>
        <w:footnoteReference w:id="2070"/>
      </w:r>
      <w:r>
        <w:rPr>
          <w:rFonts w:ascii="Amiri" w:hAnsi="Amiri" w:eastAsia="Amiri" w:cs="Amiri"/>
          <w:color w:val="111111"/>
          <w:sz w:val="28"/>
          <w:sz w:val="28"/>
          <w:szCs w:val="28"/>
          <w:rtl w:val="true"/>
          <w:lang w:bidi="ar-SA"/>
        </w:rPr>
        <w:t>، والفيض قدس سره</w:t>
      </w:r>
      <w:r>
        <w:rPr>
          <w:rStyle w:val="FootnoteAnchor"/>
          <w:rtl w:val="true"/>
        </w:rPr>
        <w:footnoteReference w:id="2071"/>
      </w:r>
      <w:r>
        <w:rPr>
          <w:rFonts w:ascii="Amiri" w:hAnsi="Amiri" w:eastAsia="Amiri" w:cs="Amiri"/>
          <w:color w:val="111111"/>
          <w:sz w:val="28"/>
          <w:sz w:val="28"/>
          <w:szCs w:val="28"/>
          <w:rtl w:val="true"/>
          <w:lang w:bidi="ar-SA"/>
        </w:rPr>
        <w:t>، وسيِّدنا الأستاذ العلَّامة قدس سره</w:t>
      </w:r>
      <w:r>
        <w:rPr>
          <w:rStyle w:val="FootnoteAnchor"/>
          <w:rtl w:val="true"/>
        </w:rPr>
        <w:footnoteReference w:id="2072"/>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في قصَّة أيُّوب عليه السلام وحكاية أداء نذره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مذكورةٌ عند الشَّيخ قدس سره</w:t>
      </w:r>
      <w:r>
        <w:rPr>
          <w:rStyle w:val="FootnoteAnchor"/>
          <w:rtl w:val="true"/>
        </w:rPr>
        <w:footnoteReference w:id="2073"/>
      </w:r>
      <w:r>
        <w:rPr>
          <w:rFonts w:ascii="Amiri" w:hAnsi="Amiri" w:eastAsia="Amiri" w:cs="Amiri"/>
          <w:color w:val="111111"/>
          <w:sz w:val="28"/>
          <w:sz w:val="28"/>
          <w:szCs w:val="28"/>
          <w:rtl w:val="true"/>
          <w:lang w:bidi="ar-SA"/>
        </w:rPr>
        <w:t>، والطَّبرسي قدس سره</w:t>
      </w:r>
      <w:r>
        <w:rPr>
          <w:rStyle w:val="FootnoteAnchor"/>
          <w:rtl w:val="true"/>
        </w:rPr>
        <w:footnoteReference w:id="2074"/>
      </w:r>
      <w:r>
        <w:rPr>
          <w:rFonts w:ascii="Amiri" w:hAnsi="Amiri" w:eastAsia="Amiri" w:cs="Amiri"/>
          <w:color w:val="111111"/>
          <w:sz w:val="28"/>
          <w:sz w:val="28"/>
          <w:szCs w:val="28"/>
          <w:rtl w:val="true"/>
          <w:lang w:bidi="ar-SA"/>
        </w:rPr>
        <w:t>، والفيض قدس سره</w:t>
      </w:r>
      <w:r>
        <w:rPr>
          <w:rStyle w:val="FootnoteAnchor"/>
          <w:rtl w:val="true"/>
        </w:rPr>
        <w:footnoteReference w:id="2075"/>
      </w:r>
      <w:r>
        <w:rPr>
          <w:rFonts w:ascii="Amiri" w:hAnsi="Amiri" w:eastAsia="Amiri" w:cs="Amiri"/>
          <w:color w:val="111111"/>
          <w:sz w:val="28"/>
          <w:sz w:val="28"/>
          <w:szCs w:val="28"/>
          <w:rtl w:val="true"/>
          <w:lang w:bidi="ar-SA"/>
        </w:rPr>
        <w:t>، وسيِّدِنا الأستاذ العلَّامة قدس سره</w:t>
      </w:r>
      <w:r>
        <w:rPr>
          <w:rStyle w:val="FootnoteAnchor"/>
          <w:rtl w:val="true"/>
        </w:rPr>
        <w:footnoteReference w:id="2076"/>
      </w:r>
      <w:r>
        <w:rPr>
          <w:rFonts w:ascii="Amiri" w:hAnsi="Amiri" w:eastAsia="Amiri" w:cs="Amiri"/>
          <w:color w:val="111111"/>
          <w:sz w:val="28"/>
          <w:sz w:val="28"/>
          <w:szCs w:val="28"/>
          <w:rtl w:val="true"/>
          <w:lang w:bidi="ar-SA"/>
        </w:rPr>
        <w:t xml:space="preserve">وغيرهم في التَّذييل علىٰ كريمة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في جواز الكِذب وجواز الغيبة وأكل الشَّراب والمِيتة ونحوها لدَوَران الأمر بين الأهمِّ والمهم، ففي هذه الموارد يُؤخَذ بالأهمِّ ويُرفَع اليد عن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العقلُ يحكم بالتشبُّث بالحيل حفظًا لتقدُّس الواجبات ووجوب الإجتناب عن المحرَّمات</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1945400_1280447820"/>
      <w:bookmarkStart w:id="684" w:name="_Toc252"/>
      <w:bookmarkEnd w:id="683"/>
      <w:r>
        <w:rPr>
          <w:rtl w:val="true"/>
        </w:rPr>
        <w:t>التَّنبيه الثَّامن</w:t>
      </w:r>
      <w:r>
        <w:rPr>
          <w:rtl w:val="true"/>
        </w:rPr>
        <w:t>:</w:t>
      </w:r>
      <w:bookmarkEnd w:id="68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المعامَلات الرَّبويَّة فاسدةٌ مضافًا إلى حرمتها؟، أم ليست بفاسدةٍ بعد وفاق </w:t>
      </w:r>
      <w:bookmarkStart w:id="685" w:name="pg20337_261700"/>
    </w:p>
    <w:p>
      <w:pPr>
        <w:pStyle w:val="BookText"/>
        <w:rPr/>
      </w:pPr>
      <w:bookmarkEnd w:id="685"/>
      <w:r>
        <w:rPr>
          <w:rFonts w:ascii="Amiri" w:hAnsi="Amiri" w:eastAsia="Amiri" w:cs="Amiri"/>
          <w:color w:val="111111"/>
          <w:sz w:val="28"/>
          <w:sz w:val="28"/>
          <w:szCs w:val="28"/>
          <w:rtl w:val="true"/>
          <w:lang w:bidi="ar-SA"/>
        </w:rPr>
        <w:t>الكلِّ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هو التَّفصيل بين عقد بيع المِثليِّ بالمِثليِّ‌، وبين القرض الرَّبويِّ‌؛ ففي الأوَّل يكون العقد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والنَّهيُ في المعاملات إرشادٌ إلى فسادها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القَرض فالقرضُ ليس بفاسدٍ، بل الفاسد هو الشَّرط، والشَّرط الفاسد لايوجب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لونَوىٰ المقترضُ أن لايؤدِّي الزيادةَ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يعمل بما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في الباب آيةٌ ولاروايةٌ تدلُّ علىٰ فَساد القرض حينئذٍ، بل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Style w:val="FootnoteAnchor"/>
          <w:rtl w:val="true"/>
        </w:rPr>
        <w:footnoteReference w:id="2078"/>
      </w:r>
      <w:r>
        <w:rPr>
          <w:rFonts w:ascii="Amiri" w:hAnsi="Amiri" w:eastAsia="Amiri" w:cs="Amiri"/>
          <w:color w:val="111111"/>
          <w:sz w:val="28"/>
          <w:sz w:val="28"/>
          <w:szCs w:val="28"/>
          <w:rtl w:val="true"/>
          <w:lang w:bidi="ar-SA"/>
        </w:rPr>
        <w:t>يدلُّ علىٰ حرمة الرِّبا وصحَّة العقد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المجمع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البيع الرِّبويَّ‌</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ليس له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لاوجه لرفع اليد عن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مدارك الباب لو لم يكن ظاهرًا في صحَّة العقد وحرمة الرِّبا، فلاأقلَّ من الشَّكِّ في دلالته علىٰ ذلك، ولاوجه لرفع اليد عن الظُّهور بالشَّكِّ‌</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1945402_1280447820"/>
      <w:bookmarkStart w:id="687" w:name="_Toc253"/>
      <w:bookmarkEnd w:id="686"/>
      <w:r>
        <w:rPr>
          <w:rtl w:val="true"/>
        </w:rPr>
        <w:t>التَّنبيه التَّاسع</w:t>
      </w:r>
      <w:r>
        <w:rPr>
          <w:rtl w:val="true"/>
        </w:rPr>
        <w:t>:</w:t>
      </w:r>
      <w:bookmarkEnd w:id="68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جملةٌ من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w:t>
      </w:r>
    </w:p>
    <w:p>
      <w:pPr>
        <w:pStyle w:val="BookText"/>
        <w:rPr/>
      </w:pPr>
      <w:r>
        <w:rPr>
          <w:rFonts w:ascii="Amiri" w:hAnsi="Amiri" w:eastAsia="Amiri" w:cs="Amiri"/>
          <w:color w:val="111111"/>
          <w:sz w:val="28"/>
          <w:sz w:val="28"/>
          <w:szCs w:val="28"/>
          <w:rtl w:val="true"/>
          <w:lang w:bidi="ar-SA"/>
        </w:rPr>
        <w:t>ارتَكَب الرِّبا جهلًا بالحكم، أو بالموضوع، ثمَّ التفَتَ فله ما سلف، ولايجب أن يرُدَّه إلى صاحبه</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فالحرمةُ إذن تختصُّ بالعامد، دون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أكَل الرِّبا بجَهالةٍ وهو لايعلَمُ أنَّه حرامٌ فله ما سلف، ولا إثمَّ عليه فيما لايعلم</w:t>
      </w:r>
      <w:r>
        <w:rPr>
          <w:rFonts w:eastAsia="Amiri" w:cs="Amiri" w:ascii="Amiri" w:hAnsi="Amiri"/>
          <w:color w:val="111111"/>
          <w:sz w:val="28"/>
          <w:szCs w:val="28"/>
          <w:rtl w:val="true"/>
          <w:lang w:bidi="ar-SA"/>
        </w:rPr>
        <w:t>»</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وقريبٌ منه ما عن الفاضل الآبيِّ قدس سره</w:t>
      </w:r>
      <w:r>
        <w:rPr>
          <w:rStyle w:val="FootnoteAnchor"/>
          <w:rtl w:val="true"/>
        </w:rPr>
        <w:footnoteReference w:id="2082"/>
      </w:r>
      <w:r>
        <w:rPr>
          <w:rFonts w:ascii="Amiri" w:hAnsi="Amiri" w:eastAsia="Amiri" w:cs="Amiri"/>
          <w:color w:val="111111"/>
          <w:sz w:val="28"/>
          <w:sz w:val="28"/>
          <w:szCs w:val="28"/>
          <w:rtl w:val="true"/>
          <w:lang w:bidi="ar-SA"/>
        </w:rPr>
        <w:t>، والشَّهيد الثَّاني قدس سره</w:t>
      </w:r>
      <w:r>
        <w:rPr>
          <w:rStyle w:val="FootnoteAnchor"/>
          <w:rtl w:val="true"/>
        </w:rPr>
        <w:footnoteReference w:id="2083"/>
      </w:r>
      <w:r>
        <w:rPr>
          <w:rFonts w:ascii="Amiri" w:hAnsi="Amiri" w:eastAsia="Amiri" w:cs="Amiri"/>
          <w:color w:val="111111"/>
          <w:sz w:val="28"/>
          <w:sz w:val="28"/>
          <w:szCs w:val="28"/>
          <w:rtl w:val="true"/>
          <w:lang w:bidi="ar-SA"/>
        </w:rPr>
        <w:t>، والمجلسي الأوَّل قدس سرهما</w:t>
      </w:r>
      <w:r>
        <w:rPr>
          <w:rStyle w:val="FootnoteAnchor"/>
          <w:rtl w:val="true"/>
        </w:rPr>
        <w:footnoteReference w:id="2084"/>
      </w:r>
      <w:r>
        <w:rPr>
          <w:rFonts w:ascii="Amiri" w:hAnsi="Amiri" w:eastAsia="Amiri" w:cs="Amiri"/>
          <w:color w:val="111111"/>
          <w:sz w:val="28"/>
          <w:sz w:val="28"/>
          <w:szCs w:val="28"/>
          <w:rtl w:val="true"/>
          <w:lang w:bidi="ar-SA"/>
        </w:rPr>
        <w:t>، والبحرانيِّ قدس سره</w:t>
      </w:r>
      <w:r>
        <w:rPr>
          <w:rStyle w:val="FootnoteAnchor"/>
          <w:rtl w:val="true"/>
        </w:rPr>
        <w:footnoteReference w:id="2085"/>
      </w:r>
      <w:r>
        <w:rPr>
          <w:rFonts w:ascii="Amiri" w:hAnsi="Amiri" w:eastAsia="Amiri" w:cs="Amiri"/>
          <w:color w:val="111111"/>
          <w:sz w:val="28"/>
          <w:sz w:val="28"/>
          <w:szCs w:val="28"/>
          <w:rtl w:val="true"/>
          <w:lang w:bidi="ar-SA"/>
        </w:rPr>
        <w:t>، وفي دُرَرِه</w:t>
      </w:r>
      <w:r>
        <w:rPr>
          <w:rStyle w:val="FootnoteAnchor"/>
          <w:rtl w:val="true"/>
        </w:rPr>
        <w:footnoteReference w:id="2086"/>
      </w:r>
      <w:r>
        <w:rPr>
          <w:rFonts w:ascii="Amiri" w:hAnsi="Amiri" w:eastAsia="Amiri" w:cs="Amiri"/>
          <w:color w:val="111111"/>
          <w:sz w:val="28"/>
          <w:sz w:val="28"/>
          <w:szCs w:val="28"/>
          <w:rtl w:val="true"/>
          <w:lang w:bidi="ar-SA"/>
        </w:rPr>
        <w:t>أيضًا، والشَّيخ قدس سره</w:t>
      </w:r>
      <w:r>
        <w:rPr>
          <w:rStyle w:val="FootnoteAnchor"/>
          <w:rtl w:val="true"/>
        </w:rPr>
        <w:footnoteReference w:id="2087"/>
      </w:r>
      <w:r>
        <w:rPr>
          <w:rFonts w:ascii="Amiri" w:hAnsi="Amiri" w:eastAsia="Amiri" w:cs="Amiri"/>
          <w:color w:val="111111"/>
          <w:sz w:val="28"/>
          <w:sz w:val="28"/>
          <w:szCs w:val="28"/>
          <w:rtl w:val="true"/>
          <w:lang w:bidi="ar-SA"/>
        </w:rPr>
        <w:t>، والمحقِّق قدس سره</w:t>
      </w:r>
      <w:r>
        <w:rPr>
          <w:rStyle w:val="FootnoteAnchor"/>
          <w:rtl w:val="true"/>
        </w:rPr>
        <w:footnoteReference w:id="2088"/>
      </w:r>
      <w:r>
        <w:rPr>
          <w:rFonts w:ascii="Amiri" w:hAnsi="Amiri" w:eastAsia="Amiri" w:cs="Amiri"/>
          <w:color w:val="111111"/>
          <w:sz w:val="28"/>
          <w:sz w:val="28"/>
          <w:szCs w:val="28"/>
          <w:rtl w:val="true"/>
          <w:lang w:bidi="ar-SA"/>
        </w:rPr>
        <w:t>، وفي نُكَته</w:t>
      </w:r>
      <w:r>
        <w:rPr>
          <w:rStyle w:val="FootnoteAnchor"/>
          <w:rtl w:val="true"/>
        </w:rPr>
        <w:footnoteReference w:id="2089"/>
      </w:r>
      <w:r>
        <w:rPr>
          <w:rFonts w:ascii="Amiri" w:hAnsi="Amiri" w:eastAsia="Amiri" w:cs="Amiri"/>
          <w:color w:val="111111"/>
          <w:sz w:val="28"/>
          <w:sz w:val="28"/>
          <w:szCs w:val="28"/>
          <w:rtl w:val="true"/>
          <w:lang w:bidi="ar-SA"/>
        </w:rPr>
        <w:t>، وابنِفهدٍ قدس سره</w:t>
      </w:r>
      <w:r>
        <w:rPr>
          <w:rStyle w:val="FootnoteAnchor"/>
          <w:rtl w:val="true"/>
        </w:rPr>
        <w:footnoteReference w:id="2090"/>
      </w:r>
      <w:r>
        <w:rPr>
          <w:rFonts w:ascii="Amiri" w:hAnsi="Amiri" w:eastAsia="Amiri" w:cs="Amiri"/>
          <w:color w:val="111111"/>
          <w:sz w:val="28"/>
          <w:sz w:val="28"/>
          <w:szCs w:val="28"/>
          <w:rtl w:val="true"/>
          <w:lang w:bidi="ar-SA"/>
        </w:rPr>
        <w:t>، والسَّيِّد الطَّباطبائيِّ قدس سره</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قولٌ اختُصَّ بالخاصَّة دون العامَّة، أخذًا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جٰاءَهُ‌ </w:t>
      </w:r>
    </w:p>
    <w:p>
      <w:pPr>
        <w:pStyle w:val="BookText"/>
        <w:rPr/>
      </w:pPr>
      <w:r>
        <w:rPr>
          <w:rFonts w:ascii="Amiri" w:hAnsi="Amiri" w:eastAsia="Amiri" w:cs="Amiri"/>
          <w:color w:val="111111"/>
          <w:sz w:val="28"/>
          <w:sz w:val="28"/>
          <w:szCs w:val="28"/>
          <w:rtl w:val="true"/>
          <w:lang w:bidi="ar-SA"/>
        </w:rPr>
        <w:t>مَوْعِظَةٌ مِنْ رَبِّهِ فَانْتَهىٰ فَلَهُ مٰا سَلَفَ وَ أَمْرُهُ إِلَى اَللّٰهِ‌</w:t>
      </w:r>
      <w:r>
        <w:rPr>
          <w:rFonts w:eastAsia="Amiri" w:cs="Amiri" w:ascii="Amiri" w:hAnsi="Amiri"/>
          <w:color w:val="111111"/>
          <w:sz w:val="28"/>
          <w:szCs w:val="28"/>
          <w:rtl w:val="true"/>
          <w:lang w:bidi="ar-SA"/>
        </w:rPr>
        <w:t xml:space="preserve">»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رواياتٍ كثيرةٍ تمسُّكُ أهل البيت عليهم السلام بهذه الآية رغمًا لأنفِ العامَّة، قائلًا بأنَّ التَّوبة تتداركُ ما سلف من الحكم الوضعيِّ والتَّكليفيِّ‌، إذ حرمةُ أكل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ووضعًا، جاهلًا بالحكم كان أو بالموضوع، والجهلُ بسيطًا كان أو مركَّبًا، وقصوريًّا كان أو تقصيريًّا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بالعامَّة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 في هذا الحكم جمعٌ من أعلامنا، كالفاضل المقداد قدس سره</w:t>
      </w:r>
      <w:r>
        <w:rPr>
          <w:rStyle w:val="FootnoteAnchor"/>
          <w:rtl w:val="true"/>
        </w:rPr>
        <w:footnoteReference w:id="2093"/>
      </w:r>
      <w:r>
        <w:rPr>
          <w:rFonts w:ascii="Amiri" w:hAnsi="Amiri" w:eastAsia="Amiri" w:cs="Amiri"/>
          <w:color w:val="111111"/>
          <w:sz w:val="28"/>
          <w:sz w:val="28"/>
          <w:szCs w:val="28"/>
          <w:rtl w:val="true"/>
          <w:lang w:bidi="ar-SA"/>
        </w:rPr>
        <w:t>، وفي تنقيحه</w:t>
      </w:r>
      <w:r>
        <w:rPr>
          <w:rStyle w:val="FootnoteAnchor"/>
          <w:rtl w:val="true"/>
        </w:rPr>
        <w:footnoteReference w:id="2094"/>
      </w:r>
      <w:r>
        <w:rPr>
          <w:rFonts w:ascii="Amiri" w:hAnsi="Amiri" w:eastAsia="Amiri" w:cs="Amiri"/>
          <w:color w:val="111111"/>
          <w:sz w:val="28"/>
          <w:sz w:val="28"/>
          <w:szCs w:val="28"/>
          <w:rtl w:val="true"/>
          <w:lang w:bidi="ar-SA"/>
        </w:rPr>
        <w:t>أيضًا، وابنِإدريس قدس سره</w:t>
      </w:r>
      <w:r>
        <w:rPr>
          <w:rStyle w:val="FootnoteAnchor"/>
          <w:rtl w:val="true"/>
        </w:rPr>
        <w:footnoteReference w:id="2095"/>
      </w:r>
      <w:r>
        <w:rPr>
          <w:rFonts w:ascii="Amiri" w:hAnsi="Amiri" w:eastAsia="Amiri" w:cs="Amiri"/>
          <w:color w:val="111111"/>
          <w:sz w:val="28"/>
          <w:sz w:val="28"/>
          <w:szCs w:val="28"/>
          <w:rtl w:val="true"/>
          <w:lang w:bidi="ar-SA"/>
        </w:rPr>
        <w:t>، والعلَّامة قدس سره</w:t>
      </w:r>
      <w:r>
        <w:rPr>
          <w:rStyle w:val="FootnoteAnchor"/>
          <w:rtl w:val="true"/>
        </w:rPr>
        <w:footnoteReference w:id="2096"/>
      </w:r>
      <w:r>
        <w:rPr>
          <w:rFonts w:ascii="Amiri" w:hAnsi="Amiri" w:eastAsia="Amiri" w:cs="Amiri"/>
          <w:color w:val="111111"/>
          <w:sz w:val="28"/>
          <w:sz w:val="28"/>
          <w:szCs w:val="28"/>
          <w:rtl w:val="true"/>
          <w:lang w:bidi="ar-SA"/>
        </w:rPr>
        <w:t>، وفي نهايته</w:t>
      </w:r>
      <w:r>
        <w:rPr>
          <w:rStyle w:val="FootnoteAnchor"/>
          <w:rtl w:val="true"/>
        </w:rPr>
        <w:footnoteReference w:id="2097"/>
      </w:r>
      <w:r>
        <w:rPr>
          <w:rFonts w:ascii="Amiri" w:hAnsi="Amiri" w:eastAsia="Amiri" w:cs="Amiri"/>
          <w:color w:val="111111"/>
          <w:sz w:val="28"/>
          <w:sz w:val="28"/>
          <w:szCs w:val="28"/>
          <w:rtl w:val="true"/>
          <w:lang w:bidi="ar-SA"/>
        </w:rPr>
        <w:t>، ومُختَلَفه</w:t>
      </w:r>
      <w:r>
        <w:rPr>
          <w:rStyle w:val="FootnoteAnchor"/>
          <w:rtl w:val="true"/>
        </w:rPr>
        <w:footnoteReference w:id="2098"/>
      </w:r>
      <w:r>
        <w:rPr>
          <w:rFonts w:ascii="Amiri" w:hAnsi="Amiri" w:eastAsia="Amiri" w:cs="Amiri"/>
          <w:color w:val="111111"/>
          <w:sz w:val="28"/>
          <w:sz w:val="28"/>
          <w:szCs w:val="28"/>
          <w:rtl w:val="true"/>
          <w:lang w:bidi="ar-SA"/>
        </w:rPr>
        <w:t>، وولده المُعَظَّم قدس سره</w:t>
      </w:r>
      <w:r>
        <w:rPr>
          <w:rStyle w:val="FootnoteAnchor"/>
          <w:rtl w:val="true"/>
        </w:rPr>
        <w:footnoteReference w:id="2099"/>
      </w:r>
      <w:r>
        <w:rPr>
          <w:rFonts w:ascii="Amiri" w:hAnsi="Amiri" w:eastAsia="Amiri" w:cs="Amiri"/>
          <w:color w:val="111111"/>
          <w:sz w:val="28"/>
          <w:sz w:val="28"/>
          <w:szCs w:val="28"/>
          <w:rtl w:val="true"/>
          <w:lang w:bidi="ar-SA"/>
        </w:rPr>
        <w:t>، وثاني المحقِّقَين قدس سرهما</w:t>
      </w:r>
      <w:r>
        <w:rPr>
          <w:rStyle w:val="FootnoteAnchor"/>
          <w:rtl w:val="true"/>
        </w:rPr>
        <w:footnoteReference w:id="2100"/>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أُشير إليه في طائفةٍ من الرِّوايات، وقد أوردها الشَّيخ الحُرُّ قدس سره في الباب الخامس من أبواب الرِّبا من كتابه؛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جعفرٍ عليه السلام من أهل </w:t>
      </w:r>
    </w:p>
    <w:p>
      <w:pPr>
        <w:pStyle w:val="BookText"/>
        <w:rPr/>
      </w:pPr>
      <w:r>
        <w:rPr>
          <w:rFonts w:ascii="Amiri" w:hAnsi="Amiri" w:eastAsia="Amiri" w:cs="Amiri"/>
          <w:color w:val="111111"/>
          <w:sz w:val="28"/>
          <w:sz w:val="28"/>
          <w:szCs w:val="28"/>
          <w:rtl w:val="true"/>
          <w:lang w:bidi="ar-SA"/>
        </w:rPr>
        <w:t xml:space="preserve">خراسانَ قد عمل بالرِّبا حتَّى كثُرَ مالُه، ثمَّ إنَّه سأل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يُقبَل منك شيءٌ إلَّاأن ترُدَّه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أبي جعفرٍ عليه السلام فقصَّ عليه قصَّتَه، فقال له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مخرجُك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 وَ أَمْرُهُ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الشَّيخ قدس سره</w:t>
      </w:r>
      <w:r>
        <w:rPr>
          <w:rStyle w:val="FootnoteAnchor"/>
          <w:rtl w:val="true"/>
        </w:rPr>
        <w:footnoteReference w:id="2102"/>
      </w:r>
      <w:r>
        <w:rPr>
          <w:rFonts w:ascii="Amiri" w:hAnsi="Amiri" w:eastAsia="Amiri" w:cs="Amiri"/>
          <w:color w:val="111111"/>
          <w:sz w:val="28"/>
          <w:sz w:val="28"/>
          <w:szCs w:val="28"/>
          <w:rtl w:val="true"/>
          <w:lang w:bidi="ar-SA"/>
        </w:rPr>
        <w:t>، والفيض قدس سره</w:t>
      </w:r>
      <w:r>
        <w:rPr>
          <w:rStyle w:val="FootnoteAnchor"/>
          <w:rtl w:val="true"/>
        </w:rPr>
        <w:footnoteReference w:id="2103"/>
      </w:r>
      <w:r>
        <w:rPr>
          <w:rFonts w:ascii="Amiri" w:hAnsi="Amiri" w:eastAsia="Amiri" w:cs="Amiri"/>
          <w:color w:val="111111"/>
          <w:sz w:val="28"/>
          <w:sz w:val="28"/>
          <w:szCs w:val="28"/>
          <w:rtl w:val="true"/>
          <w:lang w:bidi="ar-SA"/>
        </w:rPr>
        <w:t>، والحرُّ قدس سره</w:t>
      </w:r>
      <w:r>
        <w:rPr>
          <w:rStyle w:val="FootnoteAnchor"/>
          <w:rtl w:val="true"/>
        </w:rPr>
        <w:footnoteReference w:id="2104"/>
      </w:r>
      <w:r>
        <w:rPr>
          <w:rFonts w:ascii="Amiri" w:hAnsi="Amiri" w:eastAsia="Amiri" w:cs="Amiri"/>
          <w:color w:val="111111"/>
          <w:sz w:val="28"/>
          <w:sz w:val="28"/>
          <w:szCs w:val="28"/>
          <w:rtl w:val="true"/>
          <w:lang w:bidi="ar-SA"/>
        </w:rPr>
        <w:t>بسندٍ صحيحٍ‌، كما صحَّحَه المجلسيُّ‌</w:t>
      </w:r>
      <w:r>
        <w:rPr>
          <w:rStyle w:val="FootnoteAnchor"/>
          <w:rtl w:val="true"/>
        </w:rPr>
        <w:footnoteReference w:id="2105"/>
      </w:r>
      <w:r>
        <w:rPr>
          <w:rFonts w:ascii="Amiri" w:hAnsi="Amiri" w:eastAsia="Amiri" w:cs="Amiri"/>
          <w:color w:val="111111"/>
          <w:sz w:val="28"/>
          <w:sz w:val="28"/>
          <w:szCs w:val="28"/>
          <w:rtl w:val="true"/>
          <w:lang w:bidi="ar-SA"/>
        </w:rPr>
        <w:t>، وأوَّلُهُما قدس سرهما</w:t>
      </w:r>
      <w:r>
        <w:rPr>
          <w:rStyle w:val="FootnoteAnchor"/>
          <w:rtl w:val="true"/>
        </w:rPr>
        <w:footnoteReference w:id="2106"/>
      </w:r>
      <w:r>
        <w:rPr>
          <w:rFonts w:ascii="Amiri" w:hAnsi="Amiri" w:eastAsia="Amiri" w:cs="Amiri"/>
          <w:color w:val="111111"/>
          <w:sz w:val="28"/>
          <w:sz w:val="28"/>
          <w:szCs w:val="28"/>
          <w:rtl w:val="true"/>
          <w:lang w:bidi="ar-SA"/>
        </w:rPr>
        <w:t>، والبحرانيُّ قدس سره</w:t>
      </w:r>
      <w:r>
        <w:rPr>
          <w:rStyle w:val="FootnoteAnchor"/>
          <w:rtl w:val="true"/>
        </w:rPr>
        <w:footnoteReference w:id="2107"/>
      </w:r>
      <w:r>
        <w:rPr>
          <w:rFonts w:ascii="Amiri" w:hAnsi="Amiri" w:eastAsia="Amiri" w:cs="Amiri"/>
          <w:color w:val="111111"/>
          <w:sz w:val="28"/>
          <w:sz w:val="28"/>
          <w:szCs w:val="28"/>
          <w:rtl w:val="true"/>
          <w:lang w:bidi="ar-SA"/>
        </w:rPr>
        <w:t>، والعاملِيُّ قدس سره</w:t>
      </w:r>
      <w:r>
        <w:rPr>
          <w:rStyle w:val="FootnoteAnchor"/>
          <w:rtl w:val="true"/>
        </w:rPr>
        <w:footnoteReference w:id="210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بعضٍ آخر من الرِّوايات من أنَّ الرِّبا لوكان معيَّنًا في ماله ولم يختلط به، فيجب ردُّه؛ مثل ما ورد في خبر أبي المَغْرا عن أبي عبداللَّه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رِبًا أَكَلَهُ النَّاسُ بِجَهَالَةٍ ثُمَّ تَابُوا فَإِنَّهُ يُقْبَلُ مِنْهُمْ إِذَا عُرِفَ مِنْهُمُ التَّوْبَةُ‌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وَرِثَ مِنْ أَبِيهِ مَالًا وَقَدْ عَرَفَ أَنَّ فِي ذَلِكَ الْمَالِ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اخْتَلَطَ فِي التِّجَارَةِ بِغَيْرِهِ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حَلَالًا طَيِّبًا فَلْيَأْكُلْهُ‌، وَإِنْ عَرَفَ مِنْهُ شَيْئًا أَنَّهُ رِبًا فَلْيَأْخُذْ رَأْسَ مَالِهِ وَلْيَرُدَّ الرِّبَا، وَأَيُّمَا رَجُلٍ أَفَادَ مَالًا كَثِيرًا قَدْ أَكْثَرَ فِيهِ مِنَ الرِّبَا فَجَهِلَ ذَلِكَ ثُمَّ عَرَفَهُ بَعْدُ فَأَرَادَ أَنْ يَنْزِعَهُ فَمَا مَضَى فَلَهُ وَيَدَعُهُ فِيَما يَسْتَأْنِفُ‌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w:t>
      </w:r>
      <w:bookmarkStart w:id="688" w:name="pg20337_261704"/>
    </w:p>
    <w:p>
      <w:pPr>
        <w:pStyle w:val="BookText"/>
        <w:rPr/>
      </w:pPr>
      <w:bookmarkEnd w:id="688"/>
      <w:r>
        <w:rPr>
          <w:rFonts w:ascii="Amiri" w:hAnsi="Amiri" w:eastAsia="Amiri" w:cs="Amiri"/>
          <w:color w:val="111111"/>
          <w:sz w:val="28"/>
          <w:sz w:val="28"/>
          <w:szCs w:val="28"/>
          <w:rtl w:val="true"/>
          <w:lang w:bidi="ar-SA"/>
        </w:rPr>
        <w:t>رواه الكلينيُّ قدس سره</w:t>
      </w:r>
      <w:r>
        <w:rPr>
          <w:rStyle w:val="FootnoteAnchor"/>
          <w:rtl w:val="true"/>
        </w:rPr>
        <w:footnoteReference w:id="2109"/>
      </w:r>
      <w:r>
        <w:rPr>
          <w:rFonts w:ascii="Amiri" w:hAnsi="Amiri" w:eastAsia="Amiri" w:cs="Amiri"/>
          <w:color w:val="111111"/>
          <w:sz w:val="28"/>
          <w:sz w:val="28"/>
          <w:szCs w:val="28"/>
          <w:rtl w:val="true"/>
          <w:lang w:bidi="ar-SA"/>
        </w:rPr>
        <w:t>، والصَّدوق قدس سره</w:t>
      </w:r>
      <w:r>
        <w:rPr>
          <w:rStyle w:val="FootnoteAnchor"/>
          <w:rtl w:val="true"/>
        </w:rPr>
        <w:footnoteReference w:id="2110"/>
      </w:r>
      <w:r>
        <w:rPr>
          <w:rFonts w:ascii="Amiri" w:hAnsi="Amiri" w:eastAsia="Amiri" w:cs="Amiri"/>
          <w:color w:val="111111"/>
          <w:sz w:val="28"/>
          <w:sz w:val="28"/>
          <w:szCs w:val="28"/>
          <w:rtl w:val="true"/>
          <w:lang w:bidi="ar-SA"/>
        </w:rPr>
        <w:t>، والشَّيخ قدس سره</w:t>
      </w:r>
      <w:r>
        <w:rPr>
          <w:rStyle w:val="FootnoteAnchor"/>
          <w:rtl w:val="true"/>
        </w:rPr>
        <w:footnoteReference w:id="2111"/>
      </w:r>
      <w:r>
        <w:rPr>
          <w:rFonts w:ascii="Amiri" w:hAnsi="Amiri" w:eastAsia="Amiri" w:cs="Amiri"/>
          <w:color w:val="111111"/>
          <w:sz w:val="28"/>
          <w:sz w:val="28"/>
          <w:szCs w:val="28"/>
          <w:rtl w:val="true"/>
          <w:lang w:bidi="ar-SA"/>
        </w:rPr>
        <w:t>، والفيض قدس سره</w:t>
      </w:r>
      <w:r>
        <w:rPr>
          <w:rStyle w:val="FootnoteAnchor"/>
          <w:rtl w:val="true"/>
        </w:rPr>
        <w:footnoteReference w:id="2112"/>
      </w:r>
      <w:r>
        <w:rPr>
          <w:rFonts w:ascii="Amiri" w:hAnsi="Amiri" w:eastAsia="Amiri" w:cs="Amiri"/>
          <w:color w:val="111111"/>
          <w:sz w:val="28"/>
          <w:sz w:val="28"/>
          <w:szCs w:val="28"/>
          <w:rtl w:val="true"/>
          <w:lang w:bidi="ar-SA"/>
        </w:rPr>
        <w:t>، والحرُّ قدس سره</w:t>
      </w:r>
      <w:r>
        <w:rPr>
          <w:rStyle w:val="FootnoteAnchor"/>
          <w:rtl w:val="true"/>
        </w:rPr>
        <w:footnoteReference w:id="2113"/>
      </w:r>
      <w:r>
        <w:rPr>
          <w:rFonts w:ascii="Amiri" w:hAnsi="Amiri" w:eastAsia="Amiri" w:cs="Amiri"/>
          <w:color w:val="111111"/>
          <w:sz w:val="28"/>
          <w:sz w:val="28"/>
          <w:szCs w:val="28"/>
          <w:rtl w:val="true"/>
          <w:lang w:bidi="ar-SA"/>
        </w:rPr>
        <w:t>وقد صحَّحه المجلسيُّ قدس سره في مرآته</w:t>
      </w:r>
      <w:r>
        <w:rPr>
          <w:rStyle w:val="FootnoteAnchor"/>
          <w:rtl w:val="true"/>
        </w:rPr>
        <w:footnoteReference w:id="2114"/>
      </w:r>
      <w:r>
        <w:rPr>
          <w:rFonts w:ascii="IRNazanin" w:hAnsi="IRNazanin" w:eastAsia="IRNazanin"/>
          <w:color w:val="111111"/>
          <w:sz w:val="28"/>
          <w:sz w:val="28"/>
          <w:szCs w:val="28"/>
          <w:rtl w:val="true"/>
          <w:lang w:bidi="fa-IR"/>
        </w:rPr>
        <w:t>، وملاذه</w:t>
      </w:r>
      <w:r>
        <w:rPr>
          <w:rStyle w:val="FootnoteAnchor"/>
          <w:rtl w:val="true"/>
        </w:rPr>
        <w:footnoteReference w:id="2115"/>
      </w:r>
      <w:r>
        <w:rPr>
          <w:rFonts w:ascii="Amiri" w:hAnsi="Amiri" w:eastAsia="Amiri" w:cs="Amiri"/>
          <w:color w:val="111111"/>
          <w:sz w:val="28"/>
          <w:sz w:val="28"/>
          <w:szCs w:val="28"/>
          <w:rtl w:val="true"/>
          <w:lang w:bidi="ar-SA"/>
        </w:rPr>
        <w:t>، وأوَّلُهُما قدس سرهما</w:t>
      </w:r>
      <w:r>
        <w:rPr>
          <w:rStyle w:val="FootnoteAnchor"/>
          <w:rtl w:val="true"/>
        </w:rPr>
        <w:footnoteReference w:id="2116"/>
      </w:r>
      <w:r>
        <w:rPr>
          <w:rFonts w:ascii="Amiri" w:hAnsi="Amiri" w:eastAsia="Amiri" w:cs="Amiri"/>
          <w:color w:val="111111"/>
          <w:sz w:val="28"/>
          <w:sz w:val="28"/>
          <w:szCs w:val="28"/>
          <w:rtl w:val="true"/>
          <w:lang w:bidi="ar-SA"/>
        </w:rPr>
        <w:t>، والبحرانيُّ قدس سره</w:t>
      </w:r>
      <w:r>
        <w:rPr>
          <w:rStyle w:val="FootnoteAnchor"/>
          <w:rtl w:val="true"/>
        </w:rPr>
        <w:footnoteReference w:id="2117"/>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فيعارض الآيةَ والرِّوايات؛</w:t>
      </w:r>
    </w:p>
    <w:p>
      <w:pPr>
        <w:pStyle w:val="BookText"/>
        <w:rPr/>
      </w:pPr>
      <w:r>
        <w:rPr>
          <w:rFonts w:ascii="Amiri" w:hAnsi="Amiri" w:eastAsia="Amiri" w:cs="Amiri"/>
          <w:color w:val="111111"/>
          <w:sz w:val="28"/>
          <w:sz w:val="28"/>
          <w:szCs w:val="28"/>
          <w:rtl w:val="true"/>
          <w:lang w:bidi="ar-SA"/>
        </w:rPr>
        <w:t>فيجب طرحُه، لإعراض الأصحاب عنه</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1945404_1280447820"/>
      <w:bookmarkStart w:id="690" w:name="_Toc254"/>
      <w:bookmarkEnd w:id="689"/>
      <w:r>
        <w:rPr>
          <w:rtl w:val="true"/>
        </w:rPr>
        <w:t>التَّنبيه العاشر</w:t>
      </w:r>
      <w:r>
        <w:rPr>
          <w:rtl w:val="true"/>
        </w:rPr>
        <w:t>:</w:t>
      </w:r>
      <w:bookmarkEnd w:id="690"/>
    </w:p>
    <w:p>
      <w:pPr>
        <w:pStyle w:val="BookText"/>
        <w:rPr/>
      </w:pPr>
      <w:r>
        <w:rPr>
          <w:rFonts w:ascii="Amiri" w:hAnsi="Amiri" w:eastAsia="Amiri" w:cs="Amiri"/>
          <w:color w:val="111111"/>
          <w:sz w:val="28"/>
          <w:sz w:val="28"/>
          <w:szCs w:val="28"/>
          <w:rtl w:val="true"/>
          <w:lang w:bidi="ar-SA"/>
        </w:rPr>
        <w:t>المشهور بين الأصحاب أنَّه لاربا</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الكافر والمسلم إذا أخذ المسلمُ من الكافر،</w:t>
      </w:r>
    </w:p>
    <w:p>
      <w:pPr>
        <w:pStyle w:val="BookText"/>
        <w:rPr/>
      </w:pPr>
      <w:r>
        <w:rPr>
          <w:rFonts w:ascii="Amiri" w:hAnsi="Amiri" w:eastAsia="Amiri" w:cs="Amiri"/>
          <w:color w:val="111111"/>
          <w:sz w:val="28"/>
          <w:sz w:val="28"/>
          <w:szCs w:val="28"/>
          <w:rtl w:val="true"/>
          <w:lang w:bidi="ar-SA"/>
        </w:rPr>
        <w:t>ولا بين الوالد وولده،</w:t>
      </w:r>
    </w:p>
    <w:p>
      <w:pPr>
        <w:pStyle w:val="BookText"/>
        <w:rPr/>
      </w:pPr>
      <w:r>
        <w:rPr>
          <w:rFonts w:ascii="Amiri" w:hAnsi="Amiri" w:eastAsia="Amiri" w:cs="Amiri"/>
          <w:color w:val="111111"/>
          <w:sz w:val="28"/>
          <w:sz w:val="28"/>
          <w:szCs w:val="28"/>
          <w:rtl w:val="true"/>
          <w:lang w:bidi="ar-SA"/>
        </w:rPr>
        <w:t>ولا بين الزَّوج وزوجته،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ولابين العبد ومولاه؛ كما ذكره ابنُجُنَيدٍ قدس سره</w:t>
      </w:r>
      <w:r>
        <w:rPr>
          <w:rStyle w:val="FootnoteAnchor"/>
          <w:rtl w:val="true"/>
        </w:rPr>
        <w:footnoteReference w:id="2119"/>
      </w:r>
      <w:r>
        <w:rPr>
          <w:rFonts w:ascii="IRNazanin" w:hAnsi="IRNazanin" w:eastAsia="IRNazanin"/>
          <w:color w:val="111111"/>
          <w:sz w:val="28"/>
          <w:sz w:val="28"/>
          <w:szCs w:val="28"/>
          <w:rtl w:val="true"/>
          <w:lang w:bidi="fa-IR"/>
        </w:rPr>
        <w:t>، والمرتضىٰ قدس سره</w:t>
      </w:r>
      <w:r>
        <w:rPr>
          <w:rStyle w:val="FootnoteAnchor"/>
          <w:rtl w:val="true"/>
        </w:rPr>
        <w:footnoteReference w:id="2120"/>
      </w:r>
      <w:r>
        <w:rPr>
          <w:rFonts w:ascii="Amiri" w:hAnsi="Amiri" w:eastAsia="Amiri" w:cs="Amiri"/>
          <w:color w:val="111111"/>
          <w:sz w:val="28"/>
          <w:sz w:val="28"/>
          <w:szCs w:val="28"/>
          <w:rtl w:val="true"/>
          <w:lang w:bidi="ar-SA"/>
        </w:rPr>
        <w:t xml:space="preserve">، وفي بعض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رسائله</w:t>
      </w:r>
      <w:r>
        <w:rPr>
          <w:rStyle w:val="FootnoteAnchor"/>
          <w:rtl w:val="true"/>
        </w:rPr>
        <w:footnoteReference w:id="2121"/>
      </w:r>
      <w:r>
        <w:rPr>
          <w:rFonts w:ascii="Amiri" w:hAnsi="Amiri" w:eastAsia="Amiri" w:cs="Amiri"/>
          <w:color w:val="111111"/>
          <w:sz w:val="28"/>
          <w:sz w:val="28"/>
          <w:szCs w:val="28"/>
          <w:rtl w:val="true"/>
          <w:lang w:bidi="ar-SA"/>
        </w:rPr>
        <w:t>، والشَّيخُ قدس سره</w:t>
      </w:r>
      <w:r>
        <w:rPr>
          <w:rStyle w:val="FootnoteAnchor"/>
          <w:rtl w:val="true"/>
        </w:rPr>
        <w:footnoteReference w:id="2122"/>
      </w:r>
      <w:r>
        <w:rPr>
          <w:rFonts w:ascii="Amiri" w:hAnsi="Amiri" w:eastAsia="Amiri" w:cs="Amiri"/>
          <w:color w:val="111111"/>
          <w:sz w:val="28"/>
          <w:sz w:val="28"/>
          <w:szCs w:val="28"/>
          <w:rtl w:val="true"/>
          <w:lang w:bidi="ar-SA"/>
        </w:rPr>
        <w:t>، وابنُحمزة قدس سره</w:t>
      </w:r>
      <w:r>
        <w:rPr>
          <w:rStyle w:val="FootnoteAnchor"/>
          <w:rtl w:val="true"/>
        </w:rPr>
        <w:footnoteReference w:id="2123"/>
      </w:r>
      <w:r>
        <w:rPr>
          <w:rFonts w:ascii="Amiri" w:hAnsi="Amiri" w:eastAsia="Amiri" w:cs="Amiri"/>
          <w:color w:val="111111"/>
          <w:sz w:val="28"/>
          <w:sz w:val="28"/>
          <w:szCs w:val="28"/>
          <w:rtl w:val="true"/>
          <w:lang w:bidi="ar-SA"/>
        </w:rPr>
        <w:t>، وابنُإدريس قدس سره</w:t>
      </w:r>
      <w:r>
        <w:rPr>
          <w:rStyle w:val="FootnoteAnchor"/>
          <w:rtl w:val="true"/>
        </w:rPr>
        <w:footnoteReference w:id="2124"/>
      </w:r>
      <w:r>
        <w:rPr>
          <w:rFonts w:ascii="Amiri" w:hAnsi="Amiri" w:eastAsia="Amiri" w:cs="Amiri"/>
          <w:color w:val="111111"/>
          <w:sz w:val="28"/>
          <w:sz w:val="28"/>
          <w:szCs w:val="28"/>
          <w:rtl w:val="true"/>
          <w:lang w:bidi="ar-SA"/>
        </w:rPr>
        <w:t>، والكَيدُريُّ قدس سره</w:t>
      </w:r>
      <w:r>
        <w:rPr>
          <w:rStyle w:val="FootnoteAnchor"/>
          <w:rtl w:val="true"/>
        </w:rPr>
        <w:footnoteReference w:id="2125"/>
      </w:r>
      <w:r>
        <w:rPr>
          <w:rFonts w:ascii="Amiri" w:hAnsi="Amiri" w:eastAsia="Amiri" w:cs="Amiri"/>
          <w:color w:val="111111"/>
          <w:sz w:val="28"/>
          <w:sz w:val="28"/>
          <w:szCs w:val="28"/>
          <w:rtl w:val="true"/>
          <w:lang w:bidi="ar-SA"/>
        </w:rPr>
        <w:t>، والمحقِّقُ قدس سره</w:t>
      </w:r>
      <w:r>
        <w:rPr>
          <w:rStyle w:val="FootnoteAnchor"/>
          <w:rtl w:val="true"/>
        </w:rPr>
        <w:footnoteReference w:id="2126"/>
      </w:r>
      <w:r>
        <w:rPr>
          <w:rFonts w:ascii="Amiri" w:hAnsi="Amiri" w:eastAsia="Amiri" w:cs="Amiri"/>
          <w:color w:val="111111"/>
          <w:sz w:val="28"/>
          <w:sz w:val="28"/>
          <w:szCs w:val="28"/>
          <w:rtl w:val="true"/>
          <w:lang w:bidi="ar-SA"/>
        </w:rPr>
        <w:t>، وفي نُكَته</w:t>
      </w:r>
      <w:r>
        <w:rPr>
          <w:rStyle w:val="FootnoteAnchor"/>
          <w:rtl w:val="true"/>
        </w:rPr>
        <w:footnoteReference w:id="2127"/>
      </w:r>
      <w:r>
        <w:rPr>
          <w:rFonts w:ascii="Amiri" w:hAnsi="Amiri" w:eastAsia="Amiri" w:cs="Amiri"/>
          <w:color w:val="111111"/>
          <w:sz w:val="28"/>
          <w:sz w:val="28"/>
          <w:szCs w:val="28"/>
          <w:rtl w:val="true"/>
          <w:lang w:bidi="ar-SA"/>
        </w:rPr>
        <w:t>، وابنُسعيدٍ قدس سره</w:t>
      </w:r>
      <w:r>
        <w:rPr>
          <w:rStyle w:val="FootnoteAnchor"/>
          <w:rtl w:val="true"/>
        </w:rPr>
        <w:footnoteReference w:id="2128"/>
      </w:r>
      <w:r>
        <w:rPr>
          <w:rFonts w:ascii="Amiri" w:hAnsi="Amiri" w:eastAsia="Amiri" w:cs="Amiri"/>
          <w:color w:val="111111"/>
          <w:sz w:val="28"/>
          <w:sz w:val="28"/>
          <w:szCs w:val="28"/>
          <w:rtl w:val="true"/>
          <w:lang w:bidi="ar-SA"/>
        </w:rPr>
        <w:t>، والعلَّامة قدس سره في إرشاده</w:t>
      </w:r>
      <w:r>
        <w:rPr>
          <w:rStyle w:val="FootnoteAnchor"/>
          <w:rtl w:val="true"/>
        </w:rPr>
        <w:footnoteReference w:id="2129"/>
      </w:r>
      <w:r>
        <w:rPr>
          <w:rFonts w:ascii="Amiri" w:hAnsi="Amiri" w:eastAsia="Amiri" w:cs="Amiri"/>
          <w:color w:val="111111"/>
          <w:sz w:val="28"/>
          <w:sz w:val="28"/>
          <w:szCs w:val="28"/>
          <w:rtl w:val="true"/>
          <w:lang w:bidi="ar-SA"/>
        </w:rPr>
        <w:t>، وتذكرته</w:t>
      </w:r>
      <w:r>
        <w:rPr>
          <w:rStyle w:val="FootnoteAnchor"/>
          <w:rtl w:val="true"/>
        </w:rPr>
        <w:footnoteReference w:id="2130"/>
      </w:r>
      <w:r>
        <w:rPr>
          <w:rFonts w:ascii="Amiri" w:hAnsi="Amiri" w:eastAsia="Amiri" w:cs="Amiri"/>
          <w:color w:val="111111"/>
          <w:sz w:val="28"/>
          <w:sz w:val="28"/>
          <w:szCs w:val="28"/>
          <w:rtl w:val="true"/>
          <w:lang w:bidi="ar-SA"/>
        </w:rPr>
        <w:t>، وتحريره</w:t>
      </w:r>
      <w:r>
        <w:rPr>
          <w:rStyle w:val="FootnoteAnchor"/>
          <w:rtl w:val="true"/>
        </w:rPr>
        <w:footnoteReference w:id="2131"/>
      </w:r>
      <w:r>
        <w:rPr>
          <w:rFonts w:ascii="Amiri" w:hAnsi="Amiri" w:eastAsia="Amiri" w:cs="Amiri"/>
          <w:color w:val="111111"/>
          <w:sz w:val="28"/>
          <w:sz w:val="28"/>
          <w:szCs w:val="28"/>
          <w:rtl w:val="true"/>
          <w:lang w:bidi="ar-SA"/>
        </w:rPr>
        <w:t>، وتلخيصه</w:t>
      </w:r>
      <w:r>
        <w:rPr>
          <w:rStyle w:val="FootnoteAnchor"/>
          <w:rtl w:val="true"/>
        </w:rPr>
        <w:footnoteReference w:id="2132"/>
      </w:r>
      <w:r>
        <w:rPr>
          <w:rFonts w:ascii="IRNazanin" w:hAnsi="IRNazanin" w:eastAsia="IRNazanin"/>
          <w:color w:val="111111"/>
          <w:sz w:val="28"/>
          <w:sz w:val="28"/>
          <w:szCs w:val="28"/>
          <w:rtl w:val="true"/>
          <w:lang w:bidi="fa-IR"/>
        </w:rPr>
        <w:t>، وقواعده</w:t>
      </w:r>
      <w:r>
        <w:rPr>
          <w:rStyle w:val="FootnoteAnchor"/>
          <w:rtl w:val="true"/>
        </w:rPr>
        <w:footnoteReference w:id="2133"/>
      </w:r>
      <w:r>
        <w:rPr>
          <w:rFonts w:ascii="IRNazanin" w:hAnsi="IRNazanin" w:eastAsia="IRNazanin"/>
          <w:color w:val="111111"/>
          <w:sz w:val="28"/>
          <w:sz w:val="28"/>
          <w:szCs w:val="28"/>
          <w:rtl w:val="true"/>
          <w:lang w:bidi="fa-IR"/>
        </w:rPr>
        <w:t>، ومختلفه</w:t>
      </w:r>
      <w:r>
        <w:rPr>
          <w:rStyle w:val="FootnoteAnchor"/>
          <w:rtl w:val="true"/>
        </w:rPr>
        <w:footnoteReference w:id="2134"/>
      </w:r>
      <w:r>
        <w:rPr>
          <w:rFonts w:ascii="Amiri" w:hAnsi="Amiri" w:eastAsia="Amiri" w:cs="Amiri"/>
          <w:color w:val="111111"/>
          <w:sz w:val="28"/>
          <w:sz w:val="28"/>
          <w:szCs w:val="28"/>
          <w:rtl w:val="true"/>
          <w:lang w:bidi="ar-SA"/>
        </w:rPr>
        <w:t>، ونهايته</w:t>
      </w:r>
      <w:r>
        <w:rPr>
          <w:rStyle w:val="FootnoteAnchor"/>
          <w:rtl w:val="true"/>
        </w:rPr>
        <w:footnoteReference w:id="2135"/>
      </w:r>
      <w:r>
        <w:rPr>
          <w:rFonts w:ascii="Amiri" w:hAnsi="Amiri" w:eastAsia="Amiri" w:cs="Amiri"/>
          <w:color w:val="111111"/>
          <w:sz w:val="28"/>
          <w:sz w:val="28"/>
          <w:szCs w:val="28"/>
          <w:rtl w:val="true"/>
          <w:lang w:bidi="ar-SA"/>
        </w:rPr>
        <w:t>، والشَّهيدُ قدس سره</w:t>
      </w:r>
      <w:r>
        <w:rPr>
          <w:rStyle w:val="FootnoteAnchor"/>
          <w:rtl w:val="true"/>
        </w:rPr>
        <w:footnoteReference w:id="2136"/>
      </w:r>
      <w:r>
        <w:rPr>
          <w:rFonts w:ascii="Amiri" w:hAnsi="Amiri" w:eastAsia="Amiri" w:cs="Amiri"/>
          <w:color w:val="111111"/>
          <w:sz w:val="28"/>
          <w:sz w:val="28"/>
          <w:szCs w:val="28"/>
          <w:rtl w:val="true"/>
          <w:lang w:bidi="ar-SA"/>
        </w:rPr>
        <w:t>، والمحقِّق الثَّاني قدس سرهما</w:t>
      </w:r>
      <w:r>
        <w:rPr>
          <w:rStyle w:val="FootnoteAnchor"/>
          <w:rtl w:val="true"/>
        </w:rPr>
        <w:footnoteReference w:id="2137"/>
      </w:r>
      <w:r>
        <w:rPr>
          <w:rFonts w:ascii="Amiri" w:hAnsi="Amiri" w:eastAsia="Amiri" w:cs="Amiri"/>
          <w:color w:val="111111"/>
          <w:sz w:val="28"/>
          <w:sz w:val="28"/>
          <w:szCs w:val="28"/>
          <w:rtl w:val="true"/>
          <w:lang w:bidi="ar-SA"/>
        </w:rPr>
        <w:t>، والشَّهيد الثَّاني قدس سرهما</w:t>
      </w:r>
      <w:r>
        <w:rPr>
          <w:rStyle w:val="FootnoteAnchor"/>
          <w:rtl w:val="true"/>
        </w:rPr>
        <w:footnoteReference w:id="2138"/>
      </w:r>
      <w:r>
        <w:rPr>
          <w:rFonts w:ascii="Amiri" w:hAnsi="Amiri" w:eastAsia="Amiri" w:cs="Amiri"/>
          <w:color w:val="111111"/>
          <w:sz w:val="28"/>
          <w:sz w:val="28"/>
          <w:szCs w:val="28"/>
          <w:rtl w:val="true"/>
          <w:lang w:bidi="ar-SA"/>
        </w:rPr>
        <w:t xml:space="preserve">وغيرهم </w:t>
      </w:r>
    </w:p>
    <w:p>
      <w:pPr>
        <w:pStyle w:val="BookText"/>
        <w:rPr/>
      </w:pPr>
      <w:r>
        <w:rPr>
          <w:rFonts w:ascii="Amiri" w:hAnsi="Amiri" w:eastAsia="Amiri" w:cs="Amiri"/>
          <w:color w:val="111111"/>
          <w:sz w:val="28"/>
          <w:sz w:val="28"/>
          <w:szCs w:val="28"/>
          <w:rtl w:val="true"/>
          <w:lang w:bidi="ar-SA"/>
        </w:rPr>
        <w:t>الكثيرين، بل إدَّعىٰ غيرُ واحدٍ من الأصحاب ثبوتَ الإجماع علىٰ هذه الجملة من الأحكام؛ كما ادَّعاه ابنُزهرة قدس سره</w:t>
      </w:r>
      <w:r>
        <w:rPr>
          <w:rStyle w:val="FootnoteAnchor"/>
          <w:rtl w:val="true"/>
        </w:rPr>
        <w:footnoteReference w:id="2139"/>
      </w:r>
      <w:r>
        <w:rPr>
          <w:rFonts w:ascii="IRNazanin" w:hAnsi="IRNazanin" w:eastAsia="IRNazanin"/>
          <w:color w:val="111111"/>
          <w:sz w:val="28"/>
          <w:sz w:val="28"/>
          <w:szCs w:val="28"/>
          <w:rtl w:val="true"/>
          <w:lang w:bidi="fa-IR"/>
        </w:rPr>
        <w:t>، والمقداد قدس سره</w:t>
      </w:r>
      <w:r>
        <w:rPr>
          <w:rStyle w:val="FootnoteAnchor"/>
          <w:rtl w:val="true"/>
        </w:rPr>
        <w:footnoteReference w:id="2140"/>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2141"/>
      </w:r>
      <w:r>
        <w:rPr>
          <w:rFonts w:ascii="Amiri" w:hAnsi="Amiri" w:eastAsia="Amiri" w:cs="Amiri"/>
          <w:color w:val="111111"/>
          <w:sz w:val="28"/>
          <w:sz w:val="28"/>
          <w:szCs w:val="28"/>
          <w:rtl w:val="true"/>
          <w:lang w:bidi="ar-SA"/>
        </w:rPr>
        <w:t>، والفيضُ قدس سره</w:t>
      </w:r>
      <w:r>
        <w:rPr>
          <w:rStyle w:val="FootnoteAnchor"/>
          <w:rtl w:val="true"/>
        </w:rPr>
        <w:footnoteReference w:id="2142"/>
      </w:r>
      <w:r>
        <w:rPr>
          <w:rFonts w:ascii="Amiri" w:hAnsi="Amiri" w:eastAsia="Amiri" w:cs="Amiri"/>
          <w:color w:val="111111"/>
          <w:sz w:val="28"/>
          <w:sz w:val="28"/>
          <w:szCs w:val="28"/>
          <w:rtl w:val="true"/>
          <w:lang w:bidi="ar-SA"/>
        </w:rPr>
        <w:t>وفي الجواهر بعد بيان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محكيًّا مستفيضًا إن لم يكن متواترًا، صريحًا وظاهرًا، بل يمكن تحصيلُه</w:t>
      </w:r>
      <w:r>
        <w:rPr>
          <w:rFonts w:eastAsia="Amiri" w:cs="Amiri" w:ascii="Amiri" w:hAnsi="Amiri"/>
          <w:color w:val="111111"/>
          <w:sz w:val="28"/>
          <w:szCs w:val="28"/>
          <w:rtl w:val="true"/>
          <w:lang w:bidi="ar-SA"/>
        </w:rPr>
        <w:t>»</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برواياتٍ ذكرها الشَّيخُ الحُرُّ قدس سره في الباب السَّابع من أبواب الرِّبا</w:t>
      </w:r>
      <w:r>
        <w:rPr>
          <w:rStyle w:val="FootnoteAnchor"/>
          <w:rtl w:val="true"/>
        </w:rPr>
        <w:footnoteReference w:id="2144"/>
      </w:r>
      <w:r>
        <w:rPr>
          <w:rFonts w:ascii="Amiri" w:hAnsi="Amiri" w:eastAsia="Amiri" w:cs="Amiri"/>
          <w:color w:val="111111"/>
          <w:sz w:val="28"/>
          <w:sz w:val="28"/>
          <w:szCs w:val="28"/>
          <w:rtl w:val="true"/>
          <w:lang w:bidi="ar-SA"/>
        </w:rPr>
        <w:t>والرِّوايات معتبرةٌ‌، ولا أقلَّ من جبر ضعف سند بعضها بعمل الأصحاب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لاأزال في ترديدٍ من هذه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تُعارِضُ الذِّكرَ الحكيم، لأنَّ عمومات الكتاب تأبىٰ التَّخصيص؛ خلافًا للمرتضىٰ حيث ذهب إلى تخصيص ظاهر القرآن العزيز بهذه الرِّوايات وهذا الإجماع</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يَحْيَى عَنْ مُحَمَّدِ بْنِ أَحْمَدَ عَنْ مُحَمَّدِ بْنِ عِيسَى عَنْ يس الضَّرِيرِ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الرَّجُلِ وَوَلَدِهِ وَبَيْنَهُ وَبَيْنَ عَبْدِهِ وَلا بَيْنَ أَهْلِهِ رِبًا، إِنَّمَا الرِّبَا فِيَما بَيْنَكَ‌ </w:t>
      </w:r>
      <w:bookmarkStart w:id="691" w:name="pg20337_261707"/>
    </w:p>
    <w:p>
      <w:pPr>
        <w:pStyle w:val="BookText"/>
        <w:rPr/>
      </w:pPr>
      <w:bookmarkEnd w:id="691"/>
      <w:r>
        <w:rPr>
          <w:rFonts w:ascii="Amiri" w:hAnsi="Amiri" w:eastAsia="Amiri" w:cs="Amiri"/>
          <w:color w:val="111111"/>
          <w:sz w:val="28"/>
          <w:sz w:val="28"/>
          <w:szCs w:val="28"/>
          <w:rtl w:val="true"/>
          <w:lang w:bidi="ar-SA"/>
        </w:rPr>
        <w:t>وَبَيْنَ مَا لا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فَالْمُشْرِكُونَ بَيْنِي وَبَيْنَهُمْ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تَمْلِكُهُمْ إِنَّمَا تَمْلِكُهُمْ مَعَ غَيْرِكَ أَنْتَ وَغَيْرُكَ فِيهِمْ سَوَاءٌ‌، فَالَّذِي بَيْنَكَ وَبَيْنَهُمْ لَيْسَ مِنْ ذَلِكَ‌، لأَنَّ عَبْدَكَ لَيْسَ مِثْلَ عَبْدِكَ وَعَبْدِ غَيْرِكَ‌</w:t>
      </w:r>
      <w:r>
        <w:rPr>
          <w:rFonts w:eastAsia="Amiri" w:cs="Amiri" w:ascii="Amiri" w:hAnsi="Amiri"/>
          <w:color w:val="111111"/>
          <w:sz w:val="28"/>
          <w:szCs w:val="28"/>
          <w:rtl w:val="true"/>
          <w:lang w:bidi="ar-SA"/>
        </w:rPr>
        <w:t>»</w:t>
      </w:r>
      <w:r>
        <w:rPr>
          <w:rStyle w:val="FootnoteAnchor"/>
          <w:rtl w:val="true"/>
        </w:rPr>
        <w:footnoteReference w:id="2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علَّةً توجب اختصاص الرِّوايات بما إذا كان الرِّبا بينهم صوريًّا، لا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بينك وبين ما لاتملِكُ‌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الإبن وأبيه ومال الزَّوج وزوجته ومال العبد ومولاه مشترَكٌ فيه في غالب الأحيان بين الهؤلاء من طوائف النَّاس، أمَّا لو لم يكن كذلك بحيث كان لكلٍّ منهم مالٌ يختصُّ به ولا شراكة لغيره فيه، فالرِّبا هيهنا آتٍ وحرمته باقيَةٌ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هذه المسائل إجماعٌ‌، فهو؛</w:t>
      </w:r>
    </w:p>
    <w:p>
      <w:pPr>
        <w:pStyle w:val="BookText"/>
        <w:rPr/>
      </w:pPr>
      <w:r>
        <w:rPr>
          <w:rFonts w:ascii="Amiri" w:hAnsi="Amiri" w:eastAsia="Amiri" w:cs="Amiri"/>
          <w:color w:val="111111"/>
          <w:sz w:val="28"/>
          <w:sz w:val="28"/>
          <w:szCs w:val="28"/>
          <w:rtl w:val="true"/>
          <w:lang w:bidi="ar-SA"/>
        </w:rPr>
        <w:t>وإلَّا فرفع اليد عن ظهور الآيات بهذه الرِّوايات مشكلٌ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لوقلنا بما اشتهر بين الأصحاب، فالقدر المُتَيَقَّن من الرِّوايات هو حلِّيَّة الرِّبا بين الأب والإبن فقط، وأمَّا تسريةُ الحكم إلى الأمِّ أو إلى ولد الولد أو إلى الزَّوجة بالنِّكاح المنقطع أو إلى الولد بالرِّضاع أو إلى الحاصل من الزِّنا بل إلى الوالد والبنت ونحو ذلك؛</w:t>
      </w:r>
    </w:p>
    <w:p>
      <w:pPr>
        <w:pStyle w:val="BookText"/>
        <w:rPr/>
      </w:pPr>
      <w:r>
        <w:rPr>
          <w:rFonts w:ascii="Amiri" w:hAnsi="Amiri" w:eastAsia="Amiri" w:cs="Amiri"/>
          <w:color w:val="111111"/>
          <w:sz w:val="28"/>
          <w:sz w:val="28"/>
          <w:szCs w:val="28"/>
          <w:rtl w:val="true"/>
          <w:lang w:bidi="ar-SA"/>
        </w:rPr>
        <w:t>فمشكلٌ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عمومات حرمة الرِّبا محكمةٌ لايمكن رفع اليد عنها إلَّابدليلٍ محكمٍ‌، وهو مفقودٌ في المقام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2" w:name="__RefHeading___Toc11945406_1280447820"/>
      <w:bookmarkStart w:id="693" w:name="_Toc255"/>
      <w:bookmarkEnd w:id="692"/>
      <w:r>
        <w:rPr>
          <w:rtl w:val="true"/>
        </w:rPr>
        <w:t>أمثلةٌ لاستعمال القاعدة في الفقه</w:t>
      </w:r>
      <w:r>
        <w:rPr>
          <w:rtl w:val="true"/>
        </w:rPr>
        <w:t>:</w:t>
      </w:r>
      <w:bookmarkEnd w:id="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قدس سره في زكاة الذَّهب والفضَّة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أواني الذَّهب والفضَّة محظورٌ استعمالُها، ولاقيمة للصَّنعة يتعلَّق الزَّكاة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أعطىٰ بقيمته فضَّةً لم يجز، لأنَّه ربًا</w:t>
      </w:r>
      <w:r>
        <w:rPr>
          <w:rFonts w:eastAsia="Amiri" w:cs="Amiri" w:ascii="Amiri" w:hAnsi="Amiri"/>
          <w:color w:val="111111"/>
          <w:sz w:val="28"/>
          <w:szCs w:val="28"/>
          <w:rtl w:val="true"/>
          <w:lang w:bidi="ar-SA"/>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الكَيدُريُّ قدس سره في باب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صالَحَ مِن الدراهم علىٰ بعضِها لم يجُز، لأنَّه ربًا، ولكن إن قبضَ بعضَها وابرأه من الباقي جاز</w:t>
      </w:r>
      <w:r>
        <w:rPr>
          <w:rFonts w:eastAsia="Amiri" w:cs="Amiri" w:ascii="Amiri" w:hAnsi="Amiri"/>
          <w:color w:val="111111"/>
          <w:sz w:val="28"/>
          <w:szCs w:val="28"/>
          <w:rtl w:val="true"/>
          <w:lang w:bidi="ar-SA"/>
        </w:rPr>
        <w:t>»</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المقدَّس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 لذلك ما ظهر الخلافُ في القرض</w:t>
      </w:r>
      <w:r>
        <w:rPr>
          <w:rFonts w:eastAsia="Amiri" w:cs="Amiri" w:ascii="Amiri" w:hAnsi="Amiri"/>
          <w:color w:val="111111"/>
          <w:sz w:val="28"/>
          <w:szCs w:val="28"/>
          <w:rtl w:val="true"/>
          <w:lang w:bidi="ar-SA"/>
        </w:rPr>
        <w:t>...»</w:t>
      </w:r>
      <w:r>
        <w:rPr>
          <w:rStyle w:val="FootnoteAnchor"/>
          <w:rtl w:val="true"/>
        </w:rPr>
        <w:footnoteReference w:id="2149"/>
      </w:r>
      <w:r>
        <w:rPr>
          <w:rFonts w:ascii="Amiri" w:hAnsi="Amiri" w:eastAsia="Amiri" w:cs="Amiri"/>
          <w:color w:val="111111"/>
          <w:sz w:val="28"/>
          <w:sz w:val="28"/>
          <w:szCs w:val="28"/>
          <w:rtl w:val="true"/>
          <w:lang w:bidi="ar-SA"/>
        </w:rPr>
        <w:t>فعلَّقَ عليه الوحيدُ الفريدُ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تأمُّلٌ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منفعةَ القرض حرامٌ قطعًا، سواءٌ قلنا بأنَّها ربًا أم لا، كما سيجيء، لا لأنَّه ربًا، فتأمَّلْ‌</w:t>
      </w:r>
      <w:r>
        <w:rPr>
          <w:rFonts w:eastAsia="Amiri" w:cs="Amiri" w:ascii="Amiri" w:hAnsi="Amiri"/>
          <w:color w:val="111111"/>
          <w:sz w:val="28"/>
          <w:szCs w:val="28"/>
          <w:rtl w:val="true"/>
          <w:lang w:bidi="ar-SA"/>
        </w:rPr>
        <w:t>!»</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20337_261710"/>
      <w:bookmarkStart w:id="695" w:name="pg20337_261710"/>
      <w:bookmarkEnd w:id="695"/>
    </w:p>
    <w:p>
      <w:pPr>
        <w:pStyle w:val="Heading2"/>
        <w:numPr>
          <w:ilvl w:val="1"/>
          <w:numId w:val="1"/>
        </w:numPr>
        <w:rPr/>
      </w:pPr>
      <w:bookmarkStart w:id="696" w:name="pg20337_261710"/>
      <w:bookmarkStart w:id="697" w:name="__RefHeading___Toc11945408_1280447820"/>
      <w:bookmarkStart w:id="698" w:name="_Toc256"/>
      <w:bookmarkEnd w:id="696"/>
      <w:bookmarkEnd w:id="697"/>
      <w:r>
        <w:rPr>
          <w:rtl w:val="true"/>
        </w:rPr>
        <w:t>[</w:t>
      </w:r>
      <w:r>
        <w:rPr/>
        <w:t>43</w:t>
      </w:r>
      <w:r>
        <w:rPr>
          <w:rtl w:val="true"/>
        </w:rPr>
        <w:t xml:space="preserve">:] </w:t>
      </w:r>
      <w:r>
        <w:rPr>
          <w:rtl w:val="true"/>
        </w:rPr>
        <w:t>قاعدة رجوع الإمام إلى المأموم في شكِّه وبالعكس</w:t>
      </w:r>
      <w:bookmarkEnd w:id="698"/>
    </w:p>
    <w:p>
      <w:pPr>
        <w:pStyle w:val="Heading3"/>
        <w:numPr>
          <w:ilvl w:val="2"/>
          <w:numId w:val="1"/>
        </w:numPr>
        <w:rPr/>
      </w:pPr>
      <w:bookmarkStart w:id="699" w:name="__RefHeading___Toc11945410_1280447820"/>
      <w:bookmarkStart w:id="700" w:name="_Toc257"/>
      <w:bookmarkEnd w:id="699"/>
      <w:r>
        <w:rPr>
          <w:rtl w:val="true"/>
        </w:rPr>
        <w:t>عناوين أُخرىٰ للقاعدة</w:t>
      </w:r>
      <w:bookmarkEnd w:id="700"/>
    </w:p>
    <w:p>
      <w:pPr>
        <w:pStyle w:val="BookText"/>
        <w:rPr/>
      </w:pPr>
      <w:r>
        <w:rPr>
          <w:rFonts w:ascii="Amiri" w:hAnsi="Amiri" w:eastAsia="Amiri" w:cs="Amiri"/>
          <w:color w:val="111111"/>
          <w:sz w:val="28"/>
          <w:sz w:val="28"/>
          <w:szCs w:val="28"/>
          <w:rtl w:val="true"/>
          <w:lang w:bidi="ar-SA"/>
        </w:rPr>
        <w:t>لاشكَّ للإمام والمأموم مع حفظ الآخر</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السَّيِّد المصطفويُّ‌؛</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قواعد فقهيَّة،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لاسهو علىٰ المأموم إذا حفظ عليه الإمام، وبالعكس</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لاحكم لشَّكِّ الإمام مع حفظ المأموم، وبالعكس</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 xml:space="preserve">. </w:t>
      </w:r>
      <w:bookmarkStart w:id="701" w:name="pg20337_261711"/>
    </w:p>
    <w:p>
      <w:pPr>
        <w:pStyle w:val="BookText"/>
        <w:rPr/>
      </w:pPr>
      <w:bookmarkEnd w:id="701"/>
      <w:r>
        <w:rPr>
          <w:rFonts w:ascii="Amiri" w:hAnsi="Amiri" w:eastAsia="Amiri" w:cs="Amiri"/>
          <w:color w:val="111111"/>
          <w:sz w:val="28"/>
          <w:sz w:val="28"/>
          <w:szCs w:val="28"/>
          <w:rtl w:val="true"/>
          <w:lang w:bidi="ar-SA"/>
        </w:rPr>
        <w:t>لوشكَّ المأموم رجع إلى يقين الإمام في جميع الصَّلاة</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1945412_1280447820"/>
      <w:bookmarkStart w:id="703" w:name="_Toc258"/>
      <w:bookmarkEnd w:id="702"/>
      <w:r>
        <w:rPr>
          <w:rtl w:val="true"/>
        </w:rPr>
        <w:t>توضيح مفاد القاعدة</w:t>
      </w:r>
      <w:bookmarkEnd w:id="70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الأصحاب علىٰ أنَّه لاشكَّ في الجماعة؛ فإذا شكَّ الإمامُ أو المأموم في الصَّلاة يرفع شكَّه بالآخر؛ كما عن الصَّدوق قدس سره</w:t>
      </w:r>
      <w:r>
        <w:rPr>
          <w:rStyle w:val="FootnoteAnchor"/>
          <w:rtl w:val="true"/>
        </w:rPr>
        <w:footnoteReference w:id="2155"/>
      </w:r>
      <w:r>
        <w:rPr>
          <w:rFonts w:ascii="Amiri" w:hAnsi="Amiri" w:eastAsia="Amiri" w:cs="Amiri"/>
          <w:color w:val="111111"/>
          <w:sz w:val="28"/>
          <w:sz w:val="28"/>
          <w:szCs w:val="28"/>
          <w:rtl w:val="true"/>
          <w:lang w:bidi="ar-SA"/>
        </w:rPr>
        <w:t>، والشَّيخ قدس سره في اقتصاده</w:t>
      </w:r>
      <w:r>
        <w:rPr>
          <w:rStyle w:val="FootnoteAnchor"/>
          <w:rtl w:val="true"/>
        </w:rPr>
        <w:footnoteReference w:id="2156"/>
      </w:r>
      <w:r>
        <w:rPr>
          <w:rFonts w:ascii="IRNazanin" w:hAnsi="IRNazanin" w:eastAsia="IRNazanin"/>
          <w:color w:val="111111"/>
          <w:sz w:val="28"/>
          <w:sz w:val="28"/>
          <w:szCs w:val="28"/>
          <w:rtl w:val="true"/>
          <w:lang w:bidi="fa-IR"/>
        </w:rPr>
        <w:t>، ومبسوطه</w:t>
      </w:r>
      <w:r>
        <w:rPr>
          <w:rStyle w:val="FootnoteAnchor"/>
          <w:rtl w:val="true"/>
        </w:rPr>
        <w:footnoteReference w:id="2157"/>
      </w:r>
      <w:r>
        <w:rPr>
          <w:rFonts w:ascii="Amiri" w:hAnsi="Amiri" w:eastAsia="Amiri" w:cs="Amiri"/>
          <w:color w:val="111111"/>
          <w:sz w:val="28"/>
          <w:sz w:val="28"/>
          <w:szCs w:val="28"/>
          <w:rtl w:val="true"/>
          <w:lang w:bidi="ar-SA"/>
        </w:rPr>
        <w:t>، ونهايته</w:t>
      </w:r>
      <w:r>
        <w:rPr>
          <w:rStyle w:val="FootnoteAnchor"/>
          <w:rtl w:val="true"/>
        </w:rPr>
        <w:footnoteReference w:id="2158"/>
      </w:r>
      <w:r>
        <w:rPr>
          <w:rFonts w:ascii="Amiri" w:hAnsi="Amiri" w:eastAsia="Amiri" w:cs="Amiri"/>
          <w:color w:val="111111"/>
          <w:sz w:val="28"/>
          <w:sz w:val="28"/>
          <w:szCs w:val="28"/>
          <w:rtl w:val="true"/>
          <w:lang w:bidi="ar-SA"/>
        </w:rPr>
        <w:t>، والكَيدُرِيِّ قدس سره</w:t>
      </w:r>
      <w:r>
        <w:rPr>
          <w:rStyle w:val="FootnoteAnchor"/>
          <w:rtl w:val="true"/>
        </w:rPr>
        <w:footnoteReference w:id="2159"/>
      </w:r>
      <w:r>
        <w:rPr>
          <w:rFonts w:ascii="Amiri" w:hAnsi="Amiri" w:eastAsia="Amiri" w:cs="Amiri"/>
          <w:color w:val="111111"/>
          <w:sz w:val="28"/>
          <w:sz w:val="28"/>
          <w:szCs w:val="28"/>
          <w:rtl w:val="true"/>
          <w:lang w:bidi="ar-SA"/>
        </w:rPr>
        <w:t>، والفاضل الآبي قدس سره</w:t>
      </w:r>
      <w:r>
        <w:rPr>
          <w:rStyle w:val="FootnoteAnchor"/>
          <w:rtl w:val="true"/>
        </w:rPr>
        <w:footnoteReference w:id="2160"/>
      </w:r>
      <w:r>
        <w:rPr>
          <w:rFonts w:ascii="IRNazanin" w:hAnsi="IRNazanin" w:eastAsia="IRNazanin"/>
          <w:color w:val="111111"/>
          <w:sz w:val="28"/>
          <w:sz w:val="28"/>
          <w:szCs w:val="28"/>
          <w:rtl w:val="true"/>
          <w:lang w:bidi="fa-IR"/>
        </w:rPr>
        <w:t>، وصاحب الشَّرائع قدس سره</w:t>
      </w:r>
      <w:r>
        <w:rPr>
          <w:rStyle w:val="FootnoteAnchor"/>
          <w:rtl w:val="true"/>
        </w:rPr>
        <w:footnoteReference w:id="2161"/>
      </w:r>
      <w:r>
        <w:rPr>
          <w:rFonts w:ascii="Amiri" w:hAnsi="Amiri" w:eastAsia="Amiri" w:cs="Amiri"/>
          <w:color w:val="111111"/>
          <w:sz w:val="28"/>
          <w:sz w:val="28"/>
          <w:szCs w:val="28"/>
          <w:rtl w:val="true"/>
          <w:lang w:bidi="ar-SA"/>
        </w:rPr>
        <w:t>، وفي مختصره</w:t>
      </w:r>
      <w:r>
        <w:rPr>
          <w:rStyle w:val="FootnoteAnchor"/>
          <w:rtl w:val="true"/>
        </w:rPr>
        <w:footnoteReference w:id="2162"/>
      </w:r>
      <w:r>
        <w:rPr>
          <w:rFonts w:ascii="Amiri" w:hAnsi="Amiri" w:eastAsia="Amiri" w:cs="Amiri"/>
          <w:color w:val="111111"/>
          <w:sz w:val="28"/>
          <w:sz w:val="28"/>
          <w:szCs w:val="28"/>
          <w:rtl w:val="true"/>
          <w:lang w:bidi="ar-SA"/>
        </w:rPr>
        <w:t>أيضًا، والعلَّامة قدس سره في إرشاده</w:t>
      </w:r>
      <w:r>
        <w:rPr>
          <w:rStyle w:val="FootnoteAnchor"/>
          <w:rtl w:val="true"/>
        </w:rPr>
        <w:footnoteReference w:id="2163"/>
      </w:r>
      <w:r>
        <w:rPr>
          <w:rFonts w:ascii="IRNazanin" w:hAnsi="IRNazanin" w:eastAsia="IRNazanin"/>
          <w:color w:val="111111"/>
          <w:sz w:val="28"/>
          <w:sz w:val="28"/>
          <w:szCs w:val="28"/>
          <w:rtl w:val="true"/>
          <w:lang w:bidi="fa-IR"/>
        </w:rPr>
        <w:t>، وتبصرته</w:t>
      </w:r>
      <w:r>
        <w:rPr>
          <w:rStyle w:val="FootnoteAnchor"/>
          <w:rtl w:val="true"/>
        </w:rPr>
        <w:footnoteReference w:id="2164"/>
      </w:r>
      <w:r>
        <w:rPr>
          <w:rFonts w:ascii="Amiri" w:hAnsi="Amiri" w:eastAsia="Amiri" w:cs="Amiri"/>
          <w:color w:val="111111"/>
          <w:sz w:val="28"/>
          <w:sz w:val="28"/>
          <w:szCs w:val="28"/>
          <w:rtl w:val="true"/>
          <w:lang w:bidi="ar-SA"/>
        </w:rPr>
        <w:t>، وتحريره</w:t>
      </w:r>
      <w:r>
        <w:rPr>
          <w:rStyle w:val="FootnoteAnchor"/>
          <w:rtl w:val="true"/>
        </w:rPr>
        <w:footnoteReference w:id="2165"/>
      </w:r>
      <w:r>
        <w:rPr>
          <w:rFonts w:ascii="Amiri" w:hAnsi="Amiri" w:eastAsia="Amiri" w:cs="Amiri"/>
          <w:color w:val="111111"/>
          <w:sz w:val="28"/>
          <w:sz w:val="28"/>
          <w:szCs w:val="28"/>
          <w:rtl w:val="true"/>
          <w:lang w:bidi="ar-SA"/>
        </w:rPr>
        <w:t>، وتذكرته</w:t>
      </w:r>
      <w:r>
        <w:rPr>
          <w:rStyle w:val="FootnoteAnchor"/>
          <w:rtl w:val="true"/>
        </w:rPr>
        <w:footnoteReference w:id="2166"/>
      </w:r>
      <w:r>
        <w:rPr>
          <w:rFonts w:ascii="Amiri" w:hAnsi="Amiri" w:eastAsia="Amiri" w:cs="Amiri"/>
          <w:color w:val="111111"/>
          <w:sz w:val="28"/>
          <w:sz w:val="28"/>
          <w:szCs w:val="28"/>
          <w:rtl w:val="true"/>
          <w:lang w:bidi="ar-SA"/>
        </w:rPr>
        <w:t>، وغيرهم الكثيرين</w:t>
      </w:r>
      <w:r>
        <w:rPr>
          <w:rFonts w:eastAsia="Amiri" w:cs="Amiri" w:ascii="Amiri" w:hAnsi="Amiri"/>
          <w:color w:val="111111"/>
          <w:sz w:val="28"/>
          <w:szCs w:val="28"/>
          <w:rtl w:val="true"/>
          <w:lang w:bidi="ar-SA"/>
        </w:rPr>
        <w:t xml:space="preserve">. </w:t>
      </w:r>
      <w:bookmarkStart w:id="704" w:name="pg20337_261712"/>
    </w:p>
    <w:p>
      <w:pPr>
        <w:pStyle w:val="BookText"/>
        <w:rPr/>
      </w:pPr>
      <w:bookmarkEnd w:id="704"/>
      <w:r>
        <w:rPr>
          <w:rFonts w:ascii="Amiri" w:hAnsi="Amiri" w:eastAsia="Amiri" w:cs="Amiri"/>
          <w:color w:val="111111"/>
          <w:sz w:val="28"/>
          <w:sz w:val="28"/>
          <w:szCs w:val="28"/>
          <w:rtl w:val="true"/>
          <w:lang w:bidi="ar-SA"/>
        </w:rPr>
        <w:t>وعن العلَّامة قدس سره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أجمع عليه العِصابةُ من أنَّه لاسهو علىٰ المأموم إذا حفظ عليه الإمام</w:t>
      </w:r>
      <w:r>
        <w:rPr>
          <w:rFonts w:eastAsia="Amiri" w:cs="Amiri" w:ascii="Amiri" w:hAnsi="Amiri"/>
          <w:color w:val="111111"/>
          <w:sz w:val="28"/>
          <w:szCs w:val="28"/>
          <w:rtl w:val="true"/>
          <w:lang w:bidi="ar-SA"/>
        </w:rPr>
        <w:t>»</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11945414_1280447820"/>
      <w:bookmarkStart w:id="706" w:name="_Toc259"/>
      <w:bookmarkEnd w:id="705"/>
      <w:r>
        <w:rPr>
          <w:rtl w:val="true"/>
        </w:rPr>
        <w:t>مدركُ القاعدة</w:t>
      </w:r>
      <w:bookmarkEnd w:id="706"/>
    </w:p>
    <w:p>
      <w:pPr>
        <w:pStyle w:val="Heading4"/>
        <w:numPr>
          <w:ilvl w:val="3"/>
          <w:numId w:val="1"/>
        </w:numPr>
        <w:rPr/>
      </w:pPr>
      <w:bookmarkStart w:id="707" w:name="__RefHeading___Toc11945416_1280447820"/>
      <w:bookmarkStart w:id="708" w:name="_Toc260"/>
      <w:bookmarkEnd w:id="707"/>
      <w:r>
        <w:rPr>
          <w:rtl w:val="true"/>
        </w:rPr>
        <w:t>أوَّلًا</w:t>
      </w:r>
      <w:r>
        <w:rPr>
          <w:rtl w:val="true"/>
        </w:rPr>
        <w:t xml:space="preserve">: </w:t>
      </w:r>
      <w:r>
        <w:rPr>
          <w:rtl w:val="true"/>
        </w:rPr>
        <w:t>روايات الباب</w:t>
      </w:r>
      <w:bookmarkEnd w:id="708"/>
    </w:p>
    <w:p>
      <w:pPr>
        <w:pStyle w:val="BookText"/>
        <w:rPr/>
      </w:pPr>
      <w:r>
        <w:rPr>
          <w:rFonts w:ascii="Amiri" w:hAnsi="Amiri" w:eastAsia="Amiri" w:cs="Amiri"/>
          <w:color w:val="111111"/>
          <w:sz w:val="28"/>
          <w:sz w:val="28"/>
          <w:szCs w:val="28"/>
          <w:rtl w:val="true"/>
          <w:lang w:bidi="ar-SA"/>
        </w:rPr>
        <w:t>تدلُّ علىٰ القاعدة رواياتٌ‌؛</w:t>
      </w:r>
    </w:p>
    <w:p>
      <w:pPr>
        <w:pStyle w:val="BookText"/>
        <w:rPr/>
      </w:pPr>
      <w:r>
        <w:rPr>
          <w:rFonts w:ascii="Amiri" w:hAnsi="Amiri" w:eastAsia="Amiri" w:cs="Amiri"/>
          <w:color w:val="111111"/>
          <w:sz w:val="28"/>
          <w:sz w:val="28"/>
          <w:szCs w:val="28"/>
          <w:rtl w:val="true"/>
          <w:lang w:bidi="ar-SA"/>
        </w:rPr>
        <w:t>منها ما أُفيض منهم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ولا علىٰ مَن خلفَ الإمام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2168"/>
      </w:r>
      <w:r>
        <w:rPr>
          <w:rFonts w:ascii="Amiri" w:hAnsi="Amiri" w:eastAsia="Amiri" w:cs="Amiri"/>
          <w:color w:val="111111"/>
          <w:sz w:val="28"/>
          <w:sz w:val="28"/>
          <w:szCs w:val="28"/>
          <w:rtl w:val="true"/>
          <w:lang w:bidi="ar-SA"/>
        </w:rPr>
        <w:t>، والشَّيخ قدس سره</w:t>
      </w:r>
      <w:r>
        <w:rPr>
          <w:rStyle w:val="FootnoteAnchor"/>
          <w:rtl w:val="true"/>
        </w:rPr>
        <w:footnoteReference w:id="2169"/>
      </w:r>
      <w:r>
        <w:rPr>
          <w:rFonts w:ascii="Amiri" w:hAnsi="Amiri" w:eastAsia="Amiri" w:cs="Amiri"/>
          <w:color w:val="111111"/>
          <w:sz w:val="28"/>
          <w:sz w:val="28"/>
          <w:szCs w:val="28"/>
          <w:rtl w:val="true"/>
          <w:lang w:bidi="ar-SA"/>
        </w:rPr>
        <w:t>، والحرُّ قدس سره</w:t>
      </w:r>
      <w:r>
        <w:rPr>
          <w:rStyle w:val="FootnoteAnchor"/>
          <w:rtl w:val="true"/>
        </w:rPr>
        <w:footnoteReference w:id="2170"/>
      </w:r>
      <w:r>
        <w:rPr>
          <w:rFonts w:ascii="Amiri" w:hAnsi="Amiri" w:eastAsia="Amiri" w:cs="Amiri"/>
          <w:color w:val="111111"/>
          <w:sz w:val="28"/>
          <w:sz w:val="28"/>
          <w:szCs w:val="28"/>
          <w:rtl w:val="true"/>
          <w:lang w:bidi="ar-SA"/>
        </w:rPr>
        <w:t>وقد صحَّحه أوَّل المجلسيَّين قدس سرهما</w:t>
      </w:r>
      <w:r>
        <w:rPr>
          <w:rStyle w:val="FootnoteAnchor"/>
          <w:rtl w:val="true"/>
        </w:rPr>
        <w:footnoteReference w:id="2171"/>
      </w:r>
      <w:r>
        <w:rPr>
          <w:rFonts w:ascii="Amiri" w:hAnsi="Amiri" w:eastAsia="Amiri" w:cs="Amiri"/>
          <w:color w:val="111111"/>
          <w:sz w:val="28"/>
          <w:sz w:val="28"/>
          <w:szCs w:val="28"/>
          <w:rtl w:val="true"/>
          <w:lang w:bidi="ar-SA"/>
        </w:rPr>
        <w:t>، والبحرانيُّ قدس سره</w:t>
      </w:r>
      <w:r>
        <w:rPr>
          <w:rStyle w:val="FootnoteAnchor"/>
          <w:rtl w:val="true"/>
        </w:rPr>
        <w:footnoteReference w:id="2172"/>
      </w:r>
      <w:r>
        <w:rPr>
          <w:rFonts w:ascii="Amiri" w:hAnsi="Amiri" w:eastAsia="Amiri" w:cs="Amiri"/>
          <w:color w:val="111111"/>
          <w:sz w:val="28"/>
          <w:sz w:val="28"/>
          <w:szCs w:val="28"/>
          <w:rtl w:val="true"/>
          <w:lang w:bidi="ar-SA"/>
        </w:rPr>
        <w:t>، والحكيم الفقيه العامِليُّ قدس سره</w:t>
      </w:r>
      <w:r>
        <w:rPr>
          <w:rStyle w:val="FootnoteAnchor"/>
          <w:rtl w:val="true"/>
        </w:rPr>
        <w:footnoteReference w:id="217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هذا القول</w:t>
      </w:r>
      <w:r>
        <w:rPr>
          <w:rStyle w:val="FootnoteAnchor"/>
          <w:rtl w:val="true"/>
        </w:rPr>
        <w:footnoteReference w:id="2174"/>
      </w:r>
      <w:r>
        <w:rPr>
          <w:rFonts w:ascii="Amiri" w:hAnsi="Amiri" w:eastAsia="Amiri" w:cs="Amiri"/>
          <w:color w:val="111111"/>
          <w:sz w:val="28"/>
          <w:sz w:val="28"/>
          <w:szCs w:val="28"/>
          <w:rtl w:val="true"/>
          <w:lang w:bidi="ar-SA"/>
        </w:rPr>
        <w:t>في جملةٍ من أحاديث الباب؛ منها قوله عليه 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سهوٌ إذا حفِظ عليه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مَن خلف الإمام </w:t>
      </w:r>
      <w:bookmarkStart w:id="709" w:name="pg20337_261713"/>
    </w:p>
    <w:p>
      <w:pPr>
        <w:pStyle w:val="BookText"/>
        <w:rPr/>
      </w:pPr>
      <w:bookmarkEnd w:id="709"/>
      <w:r>
        <w:rPr>
          <w:rFonts w:ascii="Amiri" w:hAnsi="Amiri" w:eastAsia="Amiri" w:cs="Amiri"/>
          <w:color w:val="111111"/>
          <w:sz w:val="28"/>
          <w:sz w:val="28"/>
          <w:szCs w:val="28"/>
          <w:rtl w:val="true"/>
          <w:lang w:bidi="ar-SA"/>
        </w:rPr>
        <w:t>سهوٌ إذا لم يَسْهُ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2175"/>
      </w:r>
      <w:r>
        <w:rPr>
          <w:rFonts w:ascii="Amiri" w:hAnsi="Amiri" w:eastAsia="Amiri" w:cs="Amiri"/>
          <w:color w:val="111111"/>
          <w:sz w:val="28"/>
          <w:sz w:val="28"/>
          <w:szCs w:val="28"/>
          <w:rtl w:val="true"/>
          <w:lang w:bidi="ar-SA"/>
        </w:rPr>
        <w:t>، والشَّيخ قدس سره</w:t>
      </w:r>
      <w:r>
        <w:rPr>
          <w:rStyle w:val="FootnoteAnchor"/>
          <w:rtl w:val="true"/>
        </w:rPr>
        <w:footnoteReference w:id="2176"/>
      </w:r>
      <w:r>
        <w:rPr>
          <w:rFonts w:ascii="Amiri" w:hAnsi="Amiri" w:eastAsia="Amiri" w:cs="Amiri"/>
          <w:color w:val="111111"/>
          <w:sz w:val="28"/>
          <w:sz w:val="28"/>
          <w:szCs w:val="28"/>
          <w:rtl w:val="true"/>
          <w:lang w:bidi="ar-SA"/>
        </w:rPr>
        <w:t>، والحرُّ قدس سره</w:t>
      </w:r>
      <w:r>
        <w:rPr>
          <w:rStyle w:val="FootnoteAnchor"/>
          <w:rtl w:val="true"/>
        </w:rPr>
        <w:footnoteReference w:id="2177"/>
      </w:r>
      <w:r>
        <w:rPr>
          <w:rFonts w:ascii="Amiri" w:hAnsi="Amiri" w:eastAsia="Amiri" w:cs="Amiri"/>
          <w:color w:val="111111"/>
          <w:sz w:val="28"/>
          <w:sz w:val="28"/>
          <w:szCs w:val="28"/>
          <w:rtl w:val="true"/>
          <w:lang w:bidi="ar-SA"/>
        </w:rPr>
        <w:t>، والصَّدوق قدس سره</w:t>
      </w:r>
      <w:r>
        <w:rPr>
          <w:rStyle w:val="FootnoteAnchor"/>
          <w:rtl w:val="true"/>
        </w:rPr>
        <w:footnoteReference w:id="217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تنبيهاتٌ‌</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1945418_1280447820"/>
      <w:bookmarkStart w:id="711" w:name="_Toc261"/>
      <w:bookmarkEnd w:id="710"/>
      <w:r>
        <w:rPr>
          <w:rtl w:val="true"/>
        </w:rPr>
        <w:t>تنبيهاتٌ‌</w:t>
      </w:r>
      <w:r>
        <w:rPr>
          <w:rtl w:val="true"/>
        </w:rPr>
        <w:t>:</w:t>
      </w:r>
      <w:bookmarkEnd w:id="711"/>
    </w:p>
    <w:p>
      <w:pPr>
        <w:pStyle w:val="Heading4"/>
        <w:numPr>
          <w:ilvl w:val="3"/>
          <w:numId w:val="1"/>
        </w:numPr>
        <w:rPr/>
      </w:pPr>
      <w:bookmarkStart w:id="712" w:name="__RefHeading___Toc11945420_1280447820"/>
      <w:bookmarkStart w:id="713" w:name="_Toc262"/>
      <w:bookmarkEnd w:id="712"/>
      <w:r>
        <w:rPr>
          <w:rtl w:val="true"/>
        </w:rPr>
        <w:t>التَّنبيه الأوَّل</w:t>
      </w:r>
      <w:r>
        <w:rPr>
          <w:rtl w:val="true"/>
        </w:rPr>
        <w:t>:</w:t>
      </w:r>
      <w:bookmarkEnd w:id="713"/>
    </w:p>
    <w:p>
      <w:pPr>
        <w:pStyle w:val="BookText"/>
        <w:rPr/>
      </w:pPr>
      <w:r>
        <w:rPr>
          <w:rFonts w:ascii="Amiri" w:hAnsi="Amiri" w:eastAsia="Amiri" w:cs="Amiri"/>
          <w:color w:val="111111"/>
          <w:sz w:val="28"/>
          <w:sz w:val="28"/>
          <w:szCs w:val="28"/>
          <w:rtl w:val="true"/>
          <w:lang w:bidi="ar-SA"/>
        </w:rPr>
        <w:t>هل هذا حكمٌ تعبُّديٌّ؟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ليس بتعبُّديٍّ‌، بل هو من باب الرُّجوع إلى الخبر المُعتَمَد عليه؛ فهو حجَّةٌ وأمارةٌ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ولانحتاج إلى كون الخبر هذا ثقةً حتَّى يجبَ أن يُبحَثَ عن وثوقه؛ بل كون خبر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كان أو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الواقع كافٍ لتقبُّله؛</w:t>
      </w:r>
    </w:p>
    <w:p>
      <w:pPr>
        <w:pStyle w:val="BookText"/>
        <w:rPr/>
      </w:pPr>
      <w:r>
        <w:rPr>
          <w:rFonts w:ascii="Amiri" w:hAnsi="Amiri" w:eastAsia="Amiri" w:cs="Amiri"/>
          <w:color w:val="111111"/>
          <w:sz w:val="28"/>
          <w:sz w:val="28"/>
          <w:szCs w:val="28"/>
          <w:rtl w:val="true"/>
          <w:lang w:bidi="ar-SA"/>
        </w:rPr>
        <w:t xml:space="preserve">كما أنَّ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بحجِّيَّة الخبر المُعتَمَد عليه، والمراد منه ما هو طريقٌ إلى الواقع في كلِّ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تقسيمَ الخبر إلى أقسامه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والحسَن، والصَّحيح،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مُبدَعات العلَّامة قدس سره</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الحدائق النَّاضرة،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خبر</w:t>
      </w:r>
      <w:bookmarkStart w:id="714" w:name="pg20337_261714"/>
    </w:p>
    <w:p>
      <w:pPr>
        <w:pStyle w:val="BookText"/>
        <w:rPr/>
      </w:pPr>
      <w:bookmarkEnd w:id="714"/>
      <w:r>
        <w:rPr>
          <w:rFonts w:ascii="Amiri" w:hAnsi="Amiri" w:eastAsia="Amiri" w:cs="Amiri"/>
          <w:color w:val="111111"/>
          <w:sz w:val="28"/>
          <w:sz w:val="28"/>
          <w:szCs w:val="28"/>
          <w:rtl w:val="true"/>
          <w:lang w:bidi="ar-SA"/>
        </w:rPr>
        <w:t>عن هذا التَّقسيم قبلَه قدس سره في التُّراث الشِّيعيِّ‌</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الإمام والمأموم أرادا أن يأتيا بما وُظِّف عليهما من الصَّلوة الصَّحيحة واقعًا، فقولُهما حجَّةٌ في المقام، عادلين كانا أو لا؛ ثقتين كانا أو لا؛ رجلين كانا أو لا؛ بالغين كانا أو لا؛ بل جميع هذه الفروض في المقام في عرضٍ واحدٍ</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فيجوز الرُّجوع إلى خبرهم المعتَمَد عليه</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11945422_1280447820"/>
      <w:bookmarkStart w:id="716" w:name="_Toc263"/>
      <w:bookmarkEnd w:id="715"/>
      <w:r>
        <w:rPr>
          <w:rtl w:val="true"/>
        </w:rPr>
        <w:t>التَّنبيه الثَّاني</w:t>
      </w:r>
      <w:r>
        <w:rPr>
          <w:rtl w:val="true"/>
        </w:rPr>
        <w:t>:</w:t>
      </w:r>
      <w:bookmarkEnd w:id="716"/>
    </w:p>
    <w:p>
      <w:pPr>
        <w:pStyle w:val="BookText"/>
        <w:rPr/>
      </w:pPr>
      <w:r>
        <w:rPr>
          <w:rFonts w:ascii="Amiri" w:hAnsi="Amiri" w:eastAsia="Amiri" w:cs="Amiri"/>
          <w:color w:val="111111"/>
          <w:sz w:val="28"/>
          <w:sz w:val="28"/>
          <w:szCs w:val="28"/>
          <w:rtl w:val="true"/>
          <w:lang w:bidi="ar-SA"/>
        </w:rPr>
        <w:t xml:space="preserve">إذا ظنَّ الإمام أو المأموم، فهل يجوز لهما العمل به، حيث إنَّ الظَّنَّ في الصَّلوة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قاعدة حجِّيَّة الظَّنِّ في الصَّلوة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لحجِّيَّته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للأعلام، كأوَّل المجلسيَّين قدس سرهما</w:t>
      </w:r>
      <w:r>
        <w:rPr>
          <w:rStyle w:val="FootnoteAnchor"/>
          <w:rtl w:val="true"/>
        </w:rPr>
        <w:footnoteReference w:id="2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استَيقَن أحدُهما بخلافه، فحينئذٍ يقينُه حجَّةٌ علىٰ نفسه وعلىٰ الآخر أيضًا؛ فيجب رجوعُ كلِّ واحدٍ منهما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الفقيه الحسن آل كاشف الغطاء قدس سره أنَّ هذا القول هو الَّذي نُسِب إلى الأصحاب</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 xml:space="preserve">. </w:t>
      </w:r>
      <w:bookmarkStart w:id="717" w:name="pg20337_261715"/>
    </w:p>
    <w:p>
      <w:pPr>
        <w:pStyle w:val="BookText"/>
        <w:rPr/>
      </w:pPr>
      <w:bookmarkEnd w:id="717"/>
      <w:r>
        <w:rPr>
          <w:rFonts w:ascii="Amiri" w:hAnsi="Amiri" w:eastAsia="Amiri" w:cs="Amiri"/>
          <w:color w:val="111111"/>
          <w:sz w:val="28"/>
          <w:sz w:val="28"/>
          <w:szCs w:val="28"/>
          <w:rtl w:val="true"/>
          <w:lang w:bidi="ar-SA"/>
        </w:rPr>
        <w:t>وكذلك في فرض ظنِّ أحدهما مع شكِّ الآخر؛ كما عن العلَّامة المجلسي قدس سره</w:t>
      </w:r>
      <w:r>
        <w:rPr>
          <w:rStyle w:val="FootnoteAnchor"/>
          <w:rtl w:val="true"/>
        </w:rPr>
        <w:footnoteReference w:id="2185"/>
      </w:r>
      <w:r>
        <w:rPr>
          <w:rFonts w:ascii="Amiri" w:hAnsi="Amiri" w:eastAsia="Amiri" w:cs="Amiri"/>
          <w:color w:val="111111"/>
          <w:sz w:val="28"/>
          <w:sz w:val="28"/>
          <w:szCs w:val="28"/>
          <w:rtl w:val="true"/>
          <w:lang w:bidi="ar-SA"/>
        </w:rPr>
        <w:t>، والمحقِّق البحراني قدس سره</w:t>
      </w:r>
      <w:r>
        <w:rPr>
          <w:rStyle w:val="FootnoteAnchor"/>
          <w:rtl w:val="true"/>
        </w:rPr>
        <w:footnoteReference w:id="2186"/>
      </w:r>
      <w:r>
        <w:rPr>
          <w:rFonts w:ascii="Amiri" w:hAnsi="Amiri" w:eastAsia="Amiri" w:cs="Amiri"/>
          <w:color w:val="111111"/>
          <w:sz w:val="28"/>
          <w:sz w:val="28"/>
          <w:szCs w:val="28"/>
          <w:rtl w:val="true"/>
          <w:lang w:bidi="ar-SA"/>
        </w:rPr>
        <w:t>وقد ناقش فيه الفقيه النَّجفيُّ قدس سره</w:t>
      </w:r>
      <w:r>
        <w:rPr>
          <w:rStyle w:val="FootnoteAnchor"/>
          <w:rtl w:val="true"/>
        </w:rPr>
        <w:footnoteReference w:id="2187"/>
      </w:r>
      <w:r>
        <w:rPr>
          <w:rFonts w:ascii="IRNazanin" w:hAnsi="IRNazanin" w:eastAsia="IRNazanin"/>
          <w:color w:val="111111"/>
          <w:sz w:val="28"/>
          <w:sz w:val="28"/>
          <w:szCs w:val="28"/>
          <w:rtl w:val="true"/>
          <w:lang w:bidi="fa-IR"/>
        </w:rPr>
        <w:t>، 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فرض ثبوت الظَّنِّ لأحدهما، فبما أنَّ هذا الظَّنَّ حجَّةٌ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حجَّةٌ لغيره أيضًا، فيرجع إليه من باب رجوع اللَّاحجَّة إلى الحجَّة</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1945424_1280447820"/>
      <w:bookmarkStart w:id="719" w:name="_Toc264"/>
      <w:bookmarkEnd w:id="718"/>
      <w:r>
        <w:rPr>
          <w:rtl w:val="true"/>
        </w:rPr>
        <w:t>التَّنبيه الثَّالث</w:t>
      </w:r>
      <w:r>
        <w:rPr>
          <w:rtl w:val="true"/>
        </w:rPr>
        <w:t>:</w:t>
      </w:r>
      <w:bookmarkEnd w:id="719"/>
    </w:p>
    <w:p>
      <w:pPr>
        <w:pStyle w:val="BookText"/>
        <w:rPr/>
      </w:pPr>
      <w:r>
        <w:rPr>
          <w:rFonts w:ascii="Amiri" w:hAnsi="Amiri" w:eastAsia="Amiri" w:cs="Amiri"/>
          <w:color w:val="111111"/>
          <w:sz w:val="28"/>
          <w:sz w:val="28"/>
          <w:szCs w:val="28"/>
          <w:rtl w:val="true"/>
          <w:lang w:bidi="ar-SA"/>
        </w:rPr>
        <w:t>هل الرُّجوع هذا يختصُّ بالرَّكعات فقط؟ أم لا؟، بل يشمل الأفعال أيضًا؟؛</w:t>
      </w:r>
    </w:p>
    <w:p>
      <w:pPr>
        <w:pStyle w:val="BookText"/>
        <w:rPr/>
      </w:pPr>
      <w:r>
        <w:rPr>
          <w:rFonts w:ascii="Amiri" w:hAnsi="Amiri" w:eastAsia="Amiri" w:cs="Amiri"/>
          <w:color w:val="111111"/>
          <w:sz w:val="28"/>
          <w:sz w:val="28"/>
          <w:szCs w:val="28"/>
          <w:rtl w:val="true"/>
          <w:lang w:bidi="ar-SA"/>
        </w:rPr>
        <w:t>وهل يختصُّ بالرَّكعات الأُخرَيَين‌؟ أم لا؟، بل يشمل الرَّكعتين الأولَيَين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صاحبُ المدارك قدس سره إلى الثَّاني</w:t>
      </w:r>
      <w:r>
        <w:rPr>
          <w:rStyle w:val="FootnoteAnchor"/>
          <w:rtl w:val="true"/>
        </w:rPr>
        <w:footnoteReference w:id="2188"/>
      </w:r>
      <w:r>
        <w:rPr>
          <w:rFonts w:ascii="Amiri" w:hAnsi="Amiri" w:eastAsia="Amiri" w:cs="Amiri"/>
          <w:color w:val="111111"/>
          <w:sz w:val="28"/>
          <w:sz w:val="28"/>
          <w:szCs w:val="28"/>
          <w:rtl w:val="true"/>
          <w:lang w:bidi="ar-SA"/>
        </w:rPr>
        <w:t>قائلًا بالشُّمول، وادَّعىٰ ثبوتَ الإجماع عليه</w:t>
      </w:r>
      <w:r>
        <w:rPr>
          <w:rStyle w:val="FootnoteAnchor"/>
          <w:rtl w:val="true"/>
        </w:rPr>
        <w:footnoteReference w:id="2189"/>
      </w:r>
      <w:r>
        <w:rPr>
          <w:rFonts w:ascii="Amiri" w:hAnsi="Amiri" w:eastAsia="Amiri" w:cs="Amiri"/>
          <w:color w:val="111111"/>
          <w:sz w:val="28"/>
          <w:sz w:val="28"/>
          <w:szCs w:val="28"/>
          <w:rtl w:val="true"/>
          <w:lang w:bidi="ar-SA"/>
        </w:rPr>
        <w:t>وقد تابع في هذا القول ثاني الشَّهيدَين قدس سرهما</w:t>
      </w:r>
      <w:r>
        <w:rPr>
          <w:rStyle w:val="FootnoteAnchor"/>
          <w:rtl w:val="true"/>
        </w:rPr>
        <w:footnoteReference w:id="2190"/>
      </w:r>
      <w:r>
        <w:rPr>
          <w:rFonts w:ascii="Amiri" w:hAnsi="Amiri" w:eastAsia="Amiri" w:cs="Amiri"/>
          <w:color w:val="111111"/>
          <w:sz w:val="28"/>
          <w:sz w:val="28"/>
          <w:szCs w:val="28"/>
          <w:rtl w:val="true"/>
          <w:lang w:bidi="ar-SA"/>
        </w:rPr>
        <w:t>، ووافقهما البحرانيُّ قدس سره</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صاحبُ الجواهر قدس سره عليه</w:t>
      </w:r>
      <w:r>
        <w:rPr>
          <w:rStyle w:val="FootnoteAnchor"/>
          <w:rtl w:val="true"/>
        </w:rPr>
        <w:footnoteReference w:id="2192"/>
      </w:r>
      <w:r>
        <w:rPr>
          <w:rFonts w:ascii="Amiri" w:hAnsi="Amiri" w:eastAsia="Amiri" w:cs="Amiri"/>
          <w:color w:val="111111"/>
          <w:sz w:val="28"/>
          <w:sz w:val="28"/>
          <w:szCs w:val="28"/>
          <w:rtl w:val="true"/>
          <w:lang w:bidi="ar-SA"/>
        </w:rPr>
        <w:t xml:space="preserve">، معلِّلًا بأنَّ الدَّليل يختصُّ بالرَّكعات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مذكورةٌ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فشموله لغيرها من الأفعال مشكلٌ جدًّا؛ وقد وافَقَه فيه كثيرٌ من الأصحاب، كالسَّيِّد الحكيم قدس سره</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 xml:space="preserve">. </w:t>
      </w:r>
      <w:bookmarkStart w:id="720" w:name="pg20337_261716"/>
    </w:p>
    <w:p>
      <w:pPr>
        <w:pStyle w:val="BookText"/>
        <w:rPr/>
      </w:pPr>
      <w:bookmarkEnd w:id="720"/>
      <w:r>
        <w:rPr>
          <w:rFonts w:ascii="Amiri" w:hAnsi="Amiri" w:eastAsia="Amiri" w:cs="Amiri"/>
          <w:color w:val="111111"/>
          <w:sz w:val="28"/>
          <w:sz w:val="28"/>
          <w:szCs w:val="28"/>
          <w:rtl w:val="true"/>
          <w:lang w:bidi="ar-SA"/>
        </w:rPr>
        <w:t xml:space="preserve">والحقُّ مع صاحب الجواهر قدس سره إن ذهبنا إلى أنَّ مدركَ المسألة هو الرِّوايات، إلَّا أن يُقال بإلغاء الخصوصيَّة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عليها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مَن لا خبر له إلى الخبر المعتَمَد عليه، وهو في عِداد الأمارات؛ والعقلاء لايفرِّقون بين الشَّكِّ في الرَّكعات وبين الشَّكِّ في الأفعال،</w:t>
      </w:r>
    </w:p>
    <w:p>
      <w:pPr>
        <w:pStyle w:val="BookText"/>
        <w:rPr/>
      </w:pPr>
      <w:r>
        <w:rPr>
          <w:rFonts w:ascii="Amiri" w:hAnsi="Amiri" w:eastAsia="Amiri" w:cs="Amiri"/>
          <w:color w:val="111111"/>
          <w:sz w:val="28"/>
          <w:sz w:val="28"/>
          <w:szCs w:val="28"/>
          <w:rtl w:val="true"/>
          <w:lang w:bidi="ar-SA"/>
        </w:rPr>
        <w:t>فإذن الشُّمول هو المختار، تبعًا للفقيه صاحب المدارك قدس سره</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1945426_1280447820"/>
      <w:bookmarkStart w:id="722" w:name="_Toc265"/>
      <w:bookmarkEnd w:id="721"/>
      <w:r>
        <w:rPr>
          <w:rtl w:val="true"/>
        </w:rPr>
        <w:t>التَّنبيه الرَّابع</w:t>
      </w:r>
      <w:r>
        <w:rPr>
          <w:rtl w:val="true"/>
        </w:rPr>
        <w:t>:</w:t>
      </w:r>
      <w:bookmarkEnd w:id="722"/>
    </w:p>
    <w:p>
      <w:pPr>
        <w:pStyle w:val="BookText"/>
        <w:rPr/>
      </w:pPr>
      <w:r>
        <w:rPr>
          <w:rFonts w:ascii="Amiri" w:hAnsi="Amiri" w:eastAsia="Amiri" w:cs="Amiri"/>
          <w:color w:val="111111"/>
          <w:sz w:val="28"/>
          <w:sz w:val="28"/>
          <w:szCs w:val="28"/>
          <w:rtl w:val="true"/>
          <w:lang w:bidi="ar-SA"/>
        </w:rPr>
        <w:t>لوكانا ظانَّين وكان ظنُّ كلٍّ منهما يُخالِف ظنَّ الآخر</w:t>
      </w:r>
      <w:r>
        <w:rPr>
          <w:rStyle w:val="FootnoteAnchor"/>
          <w:rtl w:val="true"/>
        </w:rPr>
        <w:footnoteReference w:id="2194"/>
      </w:r>
      <w:r>
        <w:rPr>
          <w:rFonts w:ascii="Amiri" w:hAnsi="Amiri" w:eastAsia="Amiri" w:cs="Amiri"/>
          <w:color w:val="111111"/>
          <w:sz w:val="28"/>
          <w:sz w:val="28"/>
          <w:szCs w:val="28"/>
          <w:rtl w:val="true"/>
          <w:lang w:bidi="ar-SA"/>
        </w:rPr>
        <w:t>، أو شاكَّين كذلك، فلادليل لرجوع كلٍّ منهما إلى الآخر؛ بل يعمل كلٌّ بما هو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لوكانا في ظنِّهما أو شكِّهما موافِقَين للآخر، فالعمل بالوظيفة أيضًا لايحتاج إلى الرُّجوع، بل يعملان بهذا الظَّنِّ‌، أو الشَّكِّ‌؛</w:t>
      </w:r>
    </w:p>
    <w:p>
      <w:pPr>
        <w:pStyle w:val="BookText"/>
        <w:rPr/>
      </w:pPr>
      <w:r>
        <w:rPr>
          <w:rFonts w:ascii="Amiri" w:hAnsi="Amiri" w:eastAsia="Amiri" w:cs="Amiri"/>
          <w:color w:val="111111"/>
          <w:sz w:val="28"/>
          <w:sz w:val="28"/>
          <w:szCs w:val="28"/>
          <w:rtl w:val="true"/>
          <w:lang w:bidi="ar-SA"/>
        </w:rPr>
        <w:t xml:space="preserve">فصورة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عنها في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في ما إذا لم يكن لأحدهما شكٌّ أو ظنٌّ‌، وكان الآخر ظانًّا؛ فحينئذٍ يرجع من لا ظنَّ له إلى من استَقرَّ له الظَّنُّ‌</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1945428_1280447820"/>
      <w:bookmarkStart w:id="724" w:name="_Toc266"/>
      <w:bookmarkEnd w:id="723"/>
      <w:r>
        <w:rPr>
          <w:rtl w:val="true"/>
        </w:rPr>
        <w:t>التَّنبيه الخامس</w:t>
      </w:r>
      <w:r>
        <w:rPr>
          <w:rtl w:val="true"/>
        </w:rPr>
        <w:t>:</w:t>
      </w:r>
      <w:bookmarkEnd w:id="724"/>
    </w:p>
    <w:p>
      <w:pPr>
        <w:pStyle w:val="BookText"/>
        <w:rPr/>
      </w:pPr>
      <w:r>
        <w:rPr>
          <w:rFonts w:ascii="Amiri" w:hAnsi="Amiri" w:eastAsia="Amiri" w:cs="Amiri"/>
          <w:color w:val="111111"/>
          <w:sz w:val="28"/>
          <w:sz w:val="28"/>
          <w:szCs w:val="28"/>
          <w:rtl w:val="true"/>
          <w:lang w:bidi="ar-SA"/>
        </w:rPr>
        <w:t>لاإشكال في أنَّ الإمام لوسهىٰ فعليه جبرانُ سهوه</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بدلَ أن يقعد،</w:t>
      </w:r>
    </w:p>
    <w:p>
      <w:pPr>
        <w:pStyle w:val="BookText"/>
        <w:rPr/>
      </w:pPr>
      <w:r>
        <w:rPr>
          <w:rFonts w:ascii="Amiri" w:hAnsi="Amiri" w:eastAsia="Amiri" w:cs="Amiri"/>
          <w:color w:val="111111"/>
          <w:sz w:val="28"/>
          <w:sz w:val="28"/>
          <w:szCs w:val="28"/>
          <w:rtl w:val="true"/>
          <w:lang w:bidi="ar-SA"/>
        </w:rPr>
        <w:t>أو بالعكس، أو سهىٰ فنسي التَّشهُّد أو السَّجدة فيجبر الفائت بعد الصَّلوة</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وكذلك المأموم بعينه، بلافرقٍ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بأنَّ الإمام هو الضَّامن في الصَّلوة، وليس علىٰ المأموم أن يتدارَكَ ما سهىٰ به فيها</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وبين المطلَبين بونٌ بعيدٌ، كما لايخفىٰ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بينهما من هذه الجهة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لبعضهم</w:t>
      </w:r>
      <w:r>
        <w:rPr>
          <w:rStyle w:val="FootnoteAnchor"/>
          <w:rtl w:val="true"/>
        </w:rPr>
        <w:footnoteReference w:id="2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والموافقُ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رواياتٌ كثيرةٌ‌؛ منها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عبدالرَّحمن بن الحجَّاج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يتكلَّم ناسيًا في الصَّلوة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رواه الكلينيُّ قدس سره</w:t>
      </w:r>
      <w:r>
        <w:rPr>
          <w:rStyle w:val="FootnoteAnchor"/>
          <w:rtl w:val="true"/>
        </w:rPr>
        <w:footnoteReference w:id="2199"/>
      </w:r>
      <w:r>
        <w:rPr>
          <w:rFonts w:ascii="Amiri" w:hAnsi="Amiri" w:eastAsia="Amiri" w:cs="Amiri"/>
          <w:color w:val="111111"/>
          <w:sz w:val="28"/>
          <w:sz w:val="28"/>
          <w:szCs w:val="28"/>
          <w:rtl w:val="true"/>
          <w:lang w:bidi="ar-SA"/>
        </w:rPr>
        <w:t>، والشَّيخ قدس سره</w:t>
      </w:r>
      <w:r>
        <w:rPr>
          <w:rStyle w:val="FootnoteAnchor"/>
          <w:rtl w:val="true"/>
        </w:rPr>
        <w:footnoteReference w:id="2200"/>
      </w:r>
      <w:r>
        <w:rPr>
          <w:rFonts w:ascii="Amiri" w:hAnsi="Amiri" w:eastAsia="Amiri" w:cs="Amiri"/>
          <w:color w:val="111111"/>
          <w:sz w:val="28"/>
          <w:sz w:val="28"/>
          <w:szCs w:val="28"/>
          <w:rtl w:val="true"/>
          <w:lang w:bidi="ar-SA"/>
        </w:rPr>
        <w:t>، والحرُّ قدس سره</w:t>
      </w:r>
      <w:r>
        <w:rPr>
          <w:rStyle w:val="FootnoteAnchor"/>
          <w:rtl w:val="true"/>
        </w:rPr>
        <w:footnoteReference w:id="2201"/>
      </w:r>
      <w:r>
        <w:rPr>
          <w:rFonts w:ascii="Amiri" w:hAnsi="Amiri" w:eastAsia="Amiri" w:cs="Amiri"/>
          <w:color w:val="111111"/>
          <w:sz w:val="28"/>
          <w:sz w:val="28"/>
          <w:szCs w:val="28"/>
          <w:rtl w:val="true"/>
          <w:lang w:bidi="ar-SA"/>
        </w:rPr>
        <w:t>، والفيض</w:t>
      </w:r>
      <w:r>
        <w:rPr>
          <w:rStyle w:val="FootnoteAnchor"/>
          <w:rtl w:val="true"/>
        </w:rPr>
        <w:footnoteReference w:id="2202"/>
      </w:r>
      <w:r>
        <w:rPr>
          <w:rFonts w:ascii="IRNazanin" w:hAnsi="IRNazanin" w:eastAsia="IRNazanin"/>
          <w:color w:val="111111"/>
          <w:sz w:val="28"/>
          <w:sz w:val="28"/>
          <w:szCs w:val="28"/>
          <w:rtl w:val="true"/>
          <w:lang w:bidi="fa-IR"/>
        </w:rPr>
        <w:t xml:space="preserve">قدس سره؛ </w:t>
      </w:r>
    </w:p>
    <w:p>
      <w:pPr>
        <w:pStyle w:val="BookText"/>
        <w:rPr/>
      </w:pPr>
      <w:r>
        <w:rPr>
          <w:rFonts w:ascii="Amiri" w:hAnsi="Amiri" w:eastAsia="Amiri" w:cs="Amiri"/>
          <w:color w:val="111111"/>
          <w:sz w:val="28"/>
          <w:sz w:val="28"/>
          <w:szCs w:val="28"/>
          <w:rtl w:val="true"/>
          <w:lang w:bidi="ar-SA"/>
        </w:rPr>
        <w:t>وسنده صحيحٌ بلاريبٍ‌، كما صحَّحه ثاني المحقِّقَين قدس سرهما</w:t>
      </w:r>
      <w:r>
        <w:rPr>
          <w:rStyle w:val="FootnoteAnchor"/>
          <w:rtl w:val="true"/>
        </w:rPr>
        <w:footnoteReference w:id="2203"/>
      </w:r>
      <w:r>
        <w:rPr>
          <w:rFonts w:ascii="Amiri" w:hAnsi="Amiri" w:eastAsia="Amiri" w:cs="Amiri"/>
          <w:color w:val="111111"/>
          <w:sz w:val="28"/>
          <w:sz w:val="28"/>
          <w:szCs w:val="28"/>
          <w:rtl w:val="true"/>
          <w:lang w:bidi="ar-SA"/>
        </w:rPr>
        <w:t>، وثاني الشَّهيدَين قدس سرهما</w:t>
      </w:r>
      <w:r>
        <w:rPr>
          <w:rStyle w:val="FootnoteAnchor"/>
          <w:rtl w:val="true"/>
        </w:rPr>
        <w:footnoteReference w:id="2204"/>
      </w:r>
      <w:r>
        <w:rPr>
          <w:rFonts w:ascii="Amiri" w:hAnsi="Amiri" w:eastAsia="Amiri" w:cs="Amiri"/>
          <w:color w:val="111111"/>
          <w:sz w:val="28"/>
          <w:sz w:val="28"/>
          <w:szCs w:val="28"/>
          <w:rtl w:val="true"/>
          <w:lang w:bidi="ar-SA"/>
        </w:rPr>
        <w:t>، والمحقِّق الأردبيليُّ قدس سره</w:t>
      </w:r>
      <w:r>
        <w:rPr>
          <w:rStyle w:val="FootnoteAnchor"/>
          <w:rtl w:val="true"/>
        </w:rPr>
        <w:footnoteReference w:id="2205"/>
      </w:r>
      <w:r>
        <w:rPr>
          <w:rFonts w:ascii="Amiri" w:hAnsi="Amiri" w:eastAsia="Amiri" w:cs="Amiri"/>
          <w:color w:val="111111"/>
          <w:sz w:val="28"/>
          <w:sz w:val="28"/>
          <w:szCs w:val="28"/>
          <w:rtl w:val="true"/>
          <w:lang w:bidi="ar-SA"/>
        </w:rPr>
        <w:t>، وصاحب المدارك قدس سره</w:t>
      </w:r>
      <w:r>
        <w:rPr>
          <w:rStyle w:val="FootnoteAnchor"/>
          <w:rtl w:val="true"/>
        </w:rPr>
        <w:footnoteReference w:id="2206"/>
      </w:r>
      <w:r>
        <w:rPr>
          <w:rFonts w:ascii="Amiri" w:hAnsi="Amiri" w:eastAsia="Amiri" w:cs="Amiri"/>
          <w:color w:val="111111"/>
          <w:sz w:val="28"/>
          <w:sz w:val="28"/>
          <w:szCs w:val="28"/>
          <w:rtl w:val="true"/>
          <w:lang w:bidi="ar-SA"/>
        </w:rPr>
        <w:t>، والفيض قدس سره</w:t>
      </w:r>
      <w:r>
        <w:rPr>
          <w:rStyle w:val="FootnoteAnchor"/>
          <w:rtl w:val="true"/>
        </w:rPr>
        <w:footnoteReference w:id="220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رواياتٌ أُخَر تدلُّ علىٰ أنَّ الإمام ضامنٌ لجميع ما صدَرَ عن المأموم، ولايجب علىٰ المأموم شيءٌ إذا سهىٰ‌، من سجدَتَي السَّهو أو غيرهما؛ وقد أشار الشَّيخ صاحبُ الوسائل قدس سره إلى طائفةٍ من تلك الرِّوايات في أبواب الخلل الواقع في الصَّلوة</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الرِّوايات كلَّها تُحمَل علىٰ التَّقيَّة، لتوافُقِها مع آراء العامَّة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هذا الحمل رواياتٌ كثيرةٌ أيضًا؛ منها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يضمنُ الإمامُ صلوةَ الفريضة‌؟، فإنَّ هؤلاء يزعمون أنَّه يَضْمَنُ‌،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لايضمن، أيَّ شيءٍ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رواها الشَّيخ قدس سره</w:t>
      </w:r>
      <w:r>
        <w:rPr>
          <w:rStyle w:val="FootnoteAnchor"/>
          <w:rtl w:val="true"/>
        </w:rPr>
        <w:footnoteReference w:id="2209"/>
      </w:r>
      <w:r>
        <w:rPr>
          <w:rFonts w:ascii="Amiri" w:hAnsi="Amiri" w:eastAsia="Amiri" w:cs="Amiri"/>
          <w:color w:val="111111"/>
          <w:sz w:val="28"/>
          <w:sz w:val="28"/>
          <w:szCs w:val="28"/>
          <w:rtl w:val="true"/>
          <w:lang w:bidi="ar-SA"/>
        </w:rPr>
        <w:t>، والفيض قدس سره</w:t>
      </w:r>
      <w:r>
        <w:rPr>
          <w:rStyle w:val="FootnoteAnchor"/>
          <w:rtl w:val="true"/>
        </w:rPr>
        <w:footnoteReference w:id="2210"/>
      </w:r>
      <w:r>
        <w:rPr>
          <w:rFonts w:ascii="Amiri" w:hAnsi="Amiri" w:eastAsia="Amiri" w:cs="Amiri"/>
          <w:color w:val="111111"/>
          <w:sz w:val="28"/>
          <w:sz w:val="28"/>
          <w:szCs w:val="28"/>
          <w:rtl w:val="true"/>
          <w:lang w:bidi="ar-SA"/>
        </w:rPr>
        <w:t>، والحرُّ قدس سره</w:t>
      </w:r>
      <w:r>
        <w:rPr>
          <w:rStyle w:val="FootnoteAnchor"/>
          <w:rtl w:val="true"/>
        </w:rPr>
        <w:footnoteReference w:id="2211"/>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 عنها </w:t>
      </w:r>
      <w:bookmarkStart w:id="725" w:name="pg20337_261719"/>
    </w:p>
    <w:p>
      <w:pPr>
        <w:pStyle w:val="BookText"/>
        <w:rPr/>
      </w:pPr>
      <w:bookmarkEnd w:id="725"/>
      <w:r>
        <w:rPr>
          <w:rFonts w:ascii="Amiri" w:hAnsi="Amiri" w:eastAsia="Amiri" w:cs="Amiri"/>
          <w:color w:val="111111"/>
          <w:sz w:val="28"/>
          <w:sz w:val="28"/>
          <w:szCs w:val="28"/>
          <w:rtl w:val="true"/>
          <w:lang w:bidi="ar-SA"/>
        </w:rPr>
        <w:t>العلَّامة قدس سره</w:t>
      </w:r>
      <w:r>
        <w:rPr>
          <w:rStyle w:val="FootnoteAnchor"/>
          <w:rtl w:val="true"/>
        </w:rPr>
        <w:footnoteReference w:id="2212"/>
      </w:r>
      <w:r>
        <w:rPr>
          <w:rFonts w:ascii="Amiri" w:hAnsi="Amiri" w:eastAsia="Amiri" w:cs="Amiri"/>
          <w:color w:val="111111"/>
          <w:sz w:val="28"/>
          <w:sz w:val="28"/>
          <w:szCs w:val="28"/>
          <w:rtl w:val="true"/>
          <w:lang w:bidi="ar-SA"/>
        </w:rPr>
        <w:t>، والبحرانيُّ قدس سره</w:t>
      </w:r>
      <w:r>
        <w:rPr>
          <w:rStyle w:val="FootnoteAnchor"/>
          <w:rtl w:val="true"/>
        </w:rPr>
        <w:footnoteReference w:id="2213"/>
      </w:r>
      <w:r>
        <w:rPr>
          <w:rFonts w:ascii="Amiri" w:hAnsi="Amiri" w:eastAsia="Amiri" w:cs="Amiri"/>
          <w:color w:val="111111"/>
          <w:sz w:val="28"/>
          <w:sz w:val="28"/>
          <w:szCs w:val="28"/>
          <w:rtl w:val="true"/>
          <w:lang w:bidi="ar-SA"/>
        </w:rPr>
        <w:t>، والوحيد الفريد قدس سره</w:t>
      </w:r>
      <w:r>
        <w:rPr>
          <w:rStyle w:val="FootnoteAnchor"/>
          <w:rtl w:val="true"/>
        </w:rPr>
        <w:footnoteReference w:id="2214"/>
      </w:r>
      <w:r>
        <w:rPr>
          <w:rFonts w:ascii="Amiri" w:hAnsi="Amiri" w:eastAsia="Amiri" w:cs="Amiri"/>
          <w:color w:val="111111"/>
          <w:sz w:val="28"/>
          <w:sz w:val="28"/>
          <w:szCs w:val="28"/>
          <w:rtl w:val="true"/>
          <w:lang w:bidi="ar-SA"/>
        </w:rPr>
        <w:t>، والمحقِّق القمِّي قدس سره</w:t>
      </w:r>
      <w:r>
        <w:rPr>
          <w:rStyle w:val="FootnoteAnchor"/>
          <w:rtl w:val="true"/>
        </w:rPr>
        <w:footnoteReference w:id="221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أوضح من أن يحتاج إلى البحث أزيد من هذا؛ فلنختم الكلام هيهنا</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1945430_1280447820"/>
      <w:bookmarkStart w:id="727" w:name="_Toc267"/>
      <w:bookmarkEnd w:id="726"/>
      <w:r>
        <w:rPr>
          <w:rtl w:val="true"/>
        </w:rPr>
        <w:t>أمثلةٌ لاستعمال القاعدة في الفقه</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الأوَّل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لاحكم لشكِّ الإمام مع حفظ المأموم، وبالعكس، لوجوب رجوع الشَّاكِّ إلى المتيقِّن</w:t>
      </w:r>
      <w:r>
        <w:rPr>
          <w:rFonts w:eastAsia="Amiri" w:cs="Amiri" w:ascii="Amiri" w:hAnsi="Amiri"/>
          <w:color w:val="111111"/>
          <w:sz w:val="28"/>
          <w:szCs w:val="28"/>
          <w:rtl w:val="true"/>
          <w:lang w:bidi="ar-SA"/>
        </w:rPr>
        <w:t>»</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ولاسهو علىٰ المأموم إذا حفظ عليه الإمام، وبالعكس، عملًا بأصالة البراءة</w:t>
      </w:r>
      <w:r>
        <w:rPr>
          <w:rFonts w:eastAsia="Amiri" w:cs="Amiri" w:ascii="Amiri" w:hAnsi="Amiri"/>
          <w:color w:val="111111"/>
          <w:sz w:val="28"/>
          <w:szCs w:val="28"/>
          <w:rtl w:val="true"/>
          <w:lang w:bidi="ar-SA"/>
        </w:rPr>
        <w:t>»</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ثاني المحقِّقَين 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لاحكم لشكِّ المأموم إذا حفظ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الإمام إذا نبَّهه المأمومُ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العمل بإشارة المأموم كالأمارة المفيدة لغلبة الظَّنِّ‌</w:t>
      </w:r>
      <w:r>
        <w:rPr>
          <w:rFonts w:eastAsia="Amiri" w:cs="Amiri" w:ascii="Amiri" w:hAnsi="Amiri"/>
          <w:color w:val="111111"/>
          <w:sz w:val="28"/>
          <w:szCs w:val="28"/>
          <w:rtl w:val="true"/>
          <w:lang w:bidi="ar-SA"/>
        </w:rPr>
        <w:t>»</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 xml:space="preserve">. </w:t>
      </w:r>
      <w:bookmarkStart w:id="728" w:name="pg20337_261720"/>
    </w:p>
    <w:p>
      <w:pPr>
        <w:pStyle w:val="Heading2"/>
        <w:numPr>
          <w:ilvl w:val="1"/>
          <w:numId w:val="1"/>
        </w:numPr>
        <w:rPr/>
      </w:pPr>
      <w:bookmarkStart w:id="729" w:name="__RefHeading___Toc11945432_1280447820"/>
      <w:bookmarkStart w:id="730" w:name="_Toc268"/>
      <w:bookmarkEnd w:id="728"/>
      <w:bookmarkEnd w:id="729"/>
      <w:r>
        <w:rPr>
          <w:rtl w:val="true"/>
        </w:rPr>
        <w:t>الفهرس التَّفصيلي</w:t>
      </w:r>
      <w:bookmarkEnd w:id="730"/>
    </w:p>
    <w:p>
      <w:pPr>
        <w:pStyle w:val="BookText"/>
        <w:rPr/>
      </w:pP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المقرَّر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لكلِّ أمرٍ مشكلٍ‌</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المؤمنونَ عند شروطِهم</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العزيز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الباب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65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الوصيَّة حقٌّ علىٰ كلِّ مسلمٍ‌</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lang w:bidi="ar-SA"/>
        </w:rPr>
        <w:t>102</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الوقوف علىٰ حسْبِ ما يُوقِفُها أهلُها</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lang w:bidi="ar-SA"/>
        </w:rPr>
        <w:t>145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الحادي عشر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العقلاء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المطهَّرة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إنَّ الإجارةَ أحدُ معايش العبادِ</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169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العزيز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المطهَّرة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إنحلال العُقود إلى عقودٍ أُخَر</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190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العقل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أخذ الأُجرة علىٰ الواجبات</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الأدلَّة الاِصطياديَّة القائلة بعدم جواز أخذ الاجرة علىٰ الواجبات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العمل عن قدرة العامل تشريعًا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 أخذ الأجرة مع الإخلاص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الأُجرة يساوي أكل المال بالباطل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الأدلَّة الاِصطياديَّة القائلة بجواز أخذ الاجرة علىٰ الواجبات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لايعمل إلَّالنفسه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لايحتاج إلى قصد القربة أصلًا </w:t>
      </w:r>
      <w:r>
        <w:rPr>
          <w:rFonts w:eastAsia="Amiri" w:cs="Amiri" w:ascii="Amiri" w:hAnsi="Amiri"/>
          <w:color w:val="111111"/>
          <w:sz w:val="28"/>
          <w:szCs w:val="28"/>
          <w:lang w:bidi="ar-SA"/>
        </w:rPr>
        <w:t>210</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هذا القصد عن المؤجر له، ولا حاجة إلى قصد الأجير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قصد القربة ممَّن هو أقوىٰ من الآخر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بين الواجب والمندوب هيهنا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أصالة الصِّحَّة</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236</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أصالة اللُّزوم في العُقُود</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العقليَّة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أمثلةٌ لاستعمال القاعدة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بطلان كلِّ عقدٍ بتعذُّر الوفاءِ به</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الأدلَّةُ العقليَّة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254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تلف المبيع قبل القبض </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ثبوت الأحكام الوَضعيَّة علىٰ غير البالغِ المُكلَّف</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279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حجِّيَّة البيِّنة </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خبر الثِّقة حجَّةً في الموضوعات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حجِّيَّة الظَّنِّ في الصَّلاة</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الاِصطياديَّة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301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حرمة إبطال الواجبات </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العقليَّة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حرمة الإهانة بالمقدَّسات</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320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حُرمة الرِّبا</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العقليَّة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lang w:bidi="ar-SA"/>
        </w:rPr>
        <w:t>356</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رجوع الإمام إلى المأموم في شكِّه وبالعكس</w:t>
      </w:r>
    </w:p>
    <w:p>
      <w:pPr>
        <w:pStyle w:val="BookText"/>
        <w:rPr/>
      </w:pPr>
      <w:r>
        <w:rPr>
          <w:rFonts w:ascii="Amiri" w:hAnsi="Amiri" w:eastAsia="Amiri" w:cs="Amiri"/>
          <w:color w:val="111111"/>
          <w:sz w:val="28"/>
          <w:sz w:val="28"/>
          <w:szCs w:val="28"/>
          <w:rtl w:val="true"/>
          <w:lang w:bidi="ar-SA"/>
        </w:rPr>
        <w:t xml:space="preserve">عناوين أُخرىٰ للقاعدة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توضيح مفاد القاعدة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الباب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أمثلةٌ لاستعمال القاعدة في الفقه </w:t>
      </w:r>
      <w:r>
        <w:rPr>
          <w:rFonts w:eastAsia="Amiri" w:cs="Amiri" w:ascii="Amiri" w:hAnsi="Amiri"/>
          <w:color w:val="111111"/>
          <w:sz w:val="28"/>
          <w:szCs w:val="28"/>
          <w:lang w:bidi="ar-SA"/>
        </w:rPr>
        <w:t>378</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استعمله امين الإسلام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 له استعمالُهم إيَّاها بكثيرٍ في الموارد المشتبَهة، وسنأتي بذكر نصوصهم في انعقاد إجماع الخاصَّة على حجِّيَّة الإقتراع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الفقه الفعِّال،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الاِرسال في السَّند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33721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من أصحاب الإجماع،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الحسن بن عليِّ بن فضَّالٍ أيضًا يُعدُّ من أصحاب الإجماع؛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25250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45440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33722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توثيق الكشِّيِّ إيَّاه، كما أنَّ العلَّامة عند ذكره اقتصر علىٰ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رويٰالكشِّيُّ أنَّ أباالحسن عليه السلام كان يرضىٰ كلامه عند ذكر أصحاب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ولم يزد علىٰ هذا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قال حدَّثني يونس بن عبدالرَّحمن عن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أبوالحسن عليه السلام يأمر محمَّد بن حكيمٍ أن يُجالس أهل المدينة في مسجد رسول اللَّه صلى الله عليه و آله وأن يُكلِّمهم ويخاصمهم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صدرَها غير 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 يذكر المسؤول عنه في النَّقل، فلعلَّ السُّؤال كان علىٰ نحوٍ كان قرينةً علىٰ صرف الجواب إلى مجهولٍ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المُدوَّنة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للسرخسيِّ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الشَّرح الكبير على 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عوائد الأيَّام،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موارد 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الميرزا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المقالات،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القرعة أن يكتب علىٰ سهمٍ أو في 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المُقرِع وهو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المراد من العبارة، إذ توثيق يونس بن عبدالرَّحمن بل جلالة قدره يظهرممَّا ذكره الكشِّي، أمَّا التَّنصيص بتوثيقه فلم أجده في رجاله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باستحباب الدُّعاء عند القرعة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عند كثيرٍ منهم، كثاني الشَّهيدين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طبعة كلانتر،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حسين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في شرح مفاتيح الشَّرائع،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الحكم بن مسكين الثَّقفي الأعمىٰ لم يرد فيه مدحٌ‌؛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كثير الرِّواية ومقبولها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علىٰ منهج المقال المنقول في منتهىٰ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الحكم بن مسكينٍ فلم يوثَّقوه، ويمكن استفادة وثاقته من 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33718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الميرزا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من دون رقمٍ‌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الميرزا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عاشورٍ بعد ذكر القرعة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وهي طريقةٌ اقناعيَّةٌ كان البشر يصيرون إليها لفصل التَّنازع، يزعمون أنَّها دالَّةٌ علىٰ إرادة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الكتاب طبعةً أنيقةً من قِبَل مؤسَّسة آل البيت عليهم السلام بقم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بالقُرعة في القضايا المشكلة وجملةٌ من مواقعها وكيفيَّتها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18993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كلانتر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فخر المحقِّقين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العنوان المشهور للقاعدة، وقد ذكره كثيرٌ من الأصحاب، فلاحاجة إلى سرد أسمائهم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المحمَّديَّة،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 المنافع،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الأبقىٰ‌،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أبي حنيفة،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بعضُهم إلى النَّبيِّ الكريم صلى الله عليه و آله، أو غيره من المعصومين عليهم السلام؛ 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ولم أجِده في المصادر؛</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الأصول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آنفًا كلامًا حول هذا القول، فراجعه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الجنيد،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ورسائل،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المقال،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السِّتَّة عشر،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إرشاد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السُّبكي،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32480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السِّتَّة عشر،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آنفًا في تبيين المراد من القاعدة إلى جملةٍ من هذه النُّصوص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رأينا آنفًا تمسُّكَهم بالقاعدة في كثيرٍ من أبواب الفقه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الخيارات،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الوقف،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يُبتَدَأُ بها بعد العقد، لا الّزتي كان العقد مشروطًا بها حينه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رياض المسائل،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الكلام،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المقال،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الشَّيخ جعفر علىٰ القواعد،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ثمَّ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الرَّوحانيِّ في فقه الصادق،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والشَّيخ السُّبحانيِّ في الحجُّ في الشَّريعة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منهاج الفقاهة،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للفقيه الشَّيخ الأراكي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شرح منتخب المسائل،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إرشاد الطَّالب،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الخمينيِّ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الفرق بين هذا الشَّرط وما مضىٰ في الشَّرط الثَّالث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الفشاركيَّة،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الخيارات،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الفقيه الرَّوحاني؛</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الثَّانيَة علىٰ المكاسب،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مصطفىٰ الخميني قدس سره، والسَّيِّد عبدالمجيد الخوئي قدس سره؛</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ثمَّ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الميرزا القمِّي قدس سره،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الفقهيَّة،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الخيارات،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كسماحة السَّيِّد الفقيه الخامنه 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والفقيه الرَّوحانيِّ‌؛</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مضتْ الإشارة إليه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الميرزا القمِّي قدس سره،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القمِّي،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دراساتُنا من الفقه الجعفريِّ‌،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عنه السَّيِّد الأستاذ الإمام الخمينيُّ قدس سره بالشُّهرة المعتبرة؛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الآشتيانيِّ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لتفصيل بيان الأحاديث الواردة في المقام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الرَّوضة البَهيَّة،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الاصطلاح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بلغة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23720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بابويه،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بابويه،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24580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بابويه،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التَّذييل علىٰ الحديث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الأصليَّة،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الأصليَّة،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23796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أيضًا،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24883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التَّذييل علىٰ الحديث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التَّذييل علىٰ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انتساب القول إليه أنَّه قدس سره عقَد بابًا عنونه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المال أحقُّ بماله مادام حيًّا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واقتصر فيه علىٰ نقل الرِّوايات الدَّالَّة علىٰ هذا القول فقط؛ من غير أن يُشير فيه إلى الرِّوايات الدَّالَّة علىٰ القول الآخر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العلَّامة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علىٰ الإطلاق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المناهل،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نظم التَّبصرة،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روايتين منها آنفًا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اشتراط الصَّدقة بالقصد والقُربة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الفقهيَّة،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نظم التَّبصرة،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أجلَّاء معاصرينا؛</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الحيريَّة،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الغمام،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آنفًا إلى مصادر هذه العبارة الَّتي أوردها اميرالمؤمنين عليه السلام فيما كتب عمَّا وقفه علىٰ خالاته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سلطان العلماء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الغمام،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الثَّانيَة علىٰ المكاسب،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نظم التَّبصرة،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سلطان العلماء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علَّقناه علىٰ قاعدة الغَرر في ما مضىٰ من الرِّسالة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انعقدنا للبحث عن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شرطٍ خالف كتابَ اللَّه وسنَّةَ نبيِّه فهو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قاعدةًمن هذا الكتاب، فراجع إليها إن شئت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المناهل،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المناهل،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المحقِّق النَّجم آبادي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المناهل،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المناهل،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المناهل،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24450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24449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شرائع الإسلام،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الوقف،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برهان الأشراف في المَنع من بيع الأوقاف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جنيد،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الوقف،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بعض أكابر المعاصرين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ولايُشتَرط في غير الواقف إذا أراد أن يجعله وليًّا أو ناظرًا علىٰ الوقف أن يكون عدلًا، ويُعتَبر فيه علىٰ الأحوط الأمانة والكِفاءَة لما يُعيِّنه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الجعفريَّة،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شرائع الإسلام،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الغمام،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الغمام،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المتَّقين،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الميرزا الشِّيرازي الثَّاني قدس سره علىٰ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الخميني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22603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32857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الميرزا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16860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مقامع الفضل،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الايَّام،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32321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45487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الخيارات،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السَّيِّد الفقيه الگلپايگاني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قال الفقيه السَّبزواريُّ المعاصر قدس سره بعد الإشارة إلى التَّعريف وقيوده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هذا فمعنىٰ الإجارة من المعاني المرتَكَزة عند النَّاس في جميع الأزمان والأديان، ولايحتاج إلى إتعاب الفقيه نفسَه في بيان هذا المعنىٰ العامِّ الإبتلائيِّ‌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محشَّىٰ سلطان العلماء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18782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الرَّشتي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النَّائينيِّ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بُلغة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استُؤجِر لحفظ متاعٍ فسُرِق لم يضمن، إلَّامع التَّقصير في الحفظ ولولغلبة النَّوم عليه، أو مع اشتراط 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18627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24292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18625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24295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بحثنا عن هذه القاعدة فيما مضىٰ من هذا الكتاب؛ فراجع إليه إن شئتَ‌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بحثنا عن هذه القاعدة أيضًا في السَّالف من الكتاب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18553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24317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18572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24330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الرَّوضة البَهيَّة،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18570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وكبعض أعاظم معاصرينا الأجلَّاء، كالشَّيخ المدنيِّ الكاشانيِّ قدس سره؛</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المراغيُّ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هيهنا عند القائلين بالقاعدة أعمُّ من العقد والإيقاع؛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سلطان العلماء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الغمام،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كالفقيه المحقِّق التُّستري قدس سره؛</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لنقد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32213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وجوابٌ‌،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أجلَّاء المعاصرين؛</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لموارد من مصاديق هذا النَّوع من الإنحلال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جامع المدارك،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مباني تكملة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الإمام الخوئي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الشُّروط أو الإلتزامات التَّبعيَّة في العقود،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لموارد من مصاديق هذا النَّوع من الإنحلال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اللِّباس المشكوك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العراقي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المعالم الزُّلفىٰ‌،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شريفةٌ علىٰ بحث الخيارات والشُّروط،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البحرانيُّ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حكاه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فيها وذكر قائليها خارجٌ عن موضوع هذه الرِّسالة؛ فانظر إلى ما ذكره الشَّيخ الأعظم قدس سره حول حرمة التَّكسُّب بالواجبات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الأصل هو نفس القاعدة الَّتي أشار إليها الشَّيخ الأعظم قدس 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مقتضيٰالقاعدة في كلِّ عملٍ له منفعةٌ محلَّلةٌ مقصودةٌ جوازُ أخذ الأجرة والجعل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حيث 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لامانع من ذلك، ضرورة توقُّف النِّظام عليه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مطلبٌ هامٌّ يجب الانتباه إليه في الفقه لئلَّا يختلط بعضُ العلوم ببعضٍ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قال بعض أعاظم العصر قدس سره آخذًا علىٰ الشَّيخ الأعظم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قياس التَّشريع بالتَّكوين وبالعكس أمرٌ شططٌ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لكلِّ واحدٍ منهما اتِّجاهه وقوانينه الَّتي لايُشبه بها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الجعفريَّة،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ككريمتين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وغيرهما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كثيرٌ من أصحاب علوم المعرفة والأخلاق إلى مراتب الإخلاص ودرجاته؛ 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آداب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دراساتٌ في الأخلاق وشؤون الحكمة العمليَّة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الأستاذ البارع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أميرالمؤمنين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طوبىٰ لمن أخلَص للَّه عمَلَه وعلمه وحبَّه وبغضه وأخذَه وتركَه وكلامه وصُمته وفعله وقوله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الجعفريَّة،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آنفًا في هذه التَّعليقات أنَّ أوَّل من أشار إلى هذا الدَّليل وذكَرَه، هو الشَّيخ الأعظم قدس سره؛ ويمكن أن يكون كلام شيخنا الأستاذ إشارةً إلى كلام أستاذه الجليل السَّيِّد الإمام الخميني قدس سره، حيث قال عند ذكره هذا الدَّليل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أفاده العلَّامة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نقله المحقِّق الكبير النَّائيني قدس سره عن بعض الأعاظم، وجاء في حاشيَة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العلَّامة المدقِّق الميرزا محمَّدتقي الشِّيرازي 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للميرزا النَّائيني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الأفكار،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صاحب الجواهر قدس سره جعل عدمَ القربة في العبادة معلوم الفساد عقلًا ونقلًا، بل ادَّعىٰ كون فساده ضروريًّا؛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والقاعدة هيهنا هي ما ذكره المحقِّق الفقيه الخوئيُّ قدس 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لابدَّ للمصلِّي من رعاية حال نفسه من حيث شرائط الصَّلاة، دون المنوب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الرَّجل يتعيَّن عليه الجهر في الجهريَّة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ناب عن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إليه آنفًا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الشَّيخ جعفر علىٰ قواعد العلَّامة ابن المطهَّر،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ذكره المحقِّق النَّراقيُّ الأوَّل قدس سره للقاعدة؛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الأصول،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إليه بعضُ أعلام المعاصرين؛</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الأصول،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إشارةٌ إلى أنَّ نصَّ الآية وصريحَها لايدلُّ علىٰ المطلوب؛</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إليه بعض أعلام المعاصرين؛</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بعض الأعلام؛</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تفسير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الفقه الفعَّال،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 الأجلَّاء؛</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في أصول الفقه،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بعض معاصرينا؛</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بعض أجلَّاء المعاصرين؛</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تمسَّك بها بعض أكابر العصر؛</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أكابر المعاصرين؛</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 الاجلَّاء؛</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كبار معاصرينا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أصالة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الرَّاجعة إلى عدم الاِعتناء باِحتمال الفَساد في فعل الغير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تنقيح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للآية الكبير الشَّيخ حسين الحلِّي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تصرُّفه في المُثمَن محلُّ نظرٍ جدًّا، لأنَّ جريان الأصل في البيع وإن كان له أثرٌ لكنَّه لايدلُّ علىٰ وقوعه في الخمر والخنزير وأشباههما، لأنَّ الجريان هذا غير صحيحٍ قطعًا بنظر العُرف؛ فتفطَّن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الأصول،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بعض معاصرينا؛</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والمسألة محلُّ إشكالٍ‌، من إطلاق الأصحاب، ومن عدم مساعدة أدلَّتهم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عن ذلك ما ذكره المحقِّق البجنورديُّ قدس سره رادًّا عليه، وكلامه لايخلو عن مناقشةٍ‌؛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تنقيح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أُديمَتْ ظلالُه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لايذهب هيهنا إلى التَّفصيل بين الصِّحَّة التَّأهُّليَّة والصِّحَّة القابليَّة، وذلك تمسُّكًا بما يدلُّ عليه السِّيرة المستمرَّة بين العُقلاء</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السَّيِّد العَميديُّ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الشَّهيد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الفاضل المقداد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والصَّيمريُّ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مع حواشي سلطان العلماء قدس سره،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الشَّيخ الثَّاني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الشَّهيد الثَّاني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رساول الميرزا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السَّيِّد الخلخاليُّ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السَّيِّد المجاهد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النَّراقي الثَّاني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حسن آل كاشف الغطاء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المحقِّق القزويني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البجنورديُّ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المراغيُّ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هدىٰ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21692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17729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الأقطاب الفقهيَّة،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سلطان العلماء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الأصول،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الأصول،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القاعدة عند الشَّيخ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القاعدة عند العلَّامة قدس سره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القاعدة عند البحراني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القاعدة عند 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القاعدة عند الفقيه السَّبزواري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اللَّالىء،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وحكاه عنه النُّوري قدس سره في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تردُّدات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ابنُقولويه عن محمَّد بن عبداللَّه في موضعين من كتابه،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ابنُقولويه عن عقبة بن خالد في موضعين من كتابه أيضًا،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آنفًا إلى أنَّ مضمون الرِّواية مشهورةٌ بين الأصحاب، بل اُدُّعي ثبوت الإجماع عليه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احتمالاتٌ ثلاث في المراد من الحكم بأنَّ التَّلف من مال البائع، وقد بحث عنها 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مأخذه؛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نظم التَّبصرة،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حيث حكىٰ الشَّيخ قدس سره انعقاد الإجماع علىٰ هذاالحكم بين الأصحاب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مصادر هذا القول بين مصادر الأصحاب آنفًا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الأنام،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الأعظم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 من بعض مواضع التَّذكرة عموم الحكم لجميع المعاوَضات علىٰ وجهٍ يظهر كونه من المسلَّمات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ثبوت الإجماع في المسألة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طبقًا لمذهب أهل البيت عليهم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وسنفصِّل الكلامَ حول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بإذن اللَّه وعونه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فرغنا عن البحث عن هذه القاعدة وأشرنا إلى مصادر أدلَّتها والأقوال فيها، فلانعيدها في هذا التَّنبيه حذرًا عن التَّكرار؛ فراجع إليها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الفقيه الكاشانيُّ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المسالك،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الفقيه الفاضل اللَّنكرانيُّ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المراغيُّ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العَويص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الغُمام،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عنها المحقِّق المراغيُّ قدس سره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الأدلَّة وعدم وجود 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الرَّوحانيِّ قدس سره؛</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الفاضل المقداد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قد جعل بعضُ معاصرينا شهادةَ العدلين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بموضوعٍ 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تعريف البيِّنة؛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سماحة الشَّيخ المنتظري،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31377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خصَّ بعضُهم هذا الإجماع بما إذا تعلَّق الظَّنُّ بعدد الرَّكعتين الأخيرتين من الرُّباعيَّة فقط؛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القديمة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للسَّيِّد صاحب العروة قدس سره وجملةٍ من شرَّاحه والمعلِّقين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إلى المصادر الَّتي ذكرناها في التَّعليقة السَّالفة أعلاه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قدس سره،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حكم الظَّنِّ في الصَّلاة،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كمناقشةٍ للعلَّامة شيخ الشَّريعة الأصفهاني قدس سره في المراد من قوله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يأتي بعد سطورٍ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فليَتَحَرَّ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اختار ما هو بعيدٌ عن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القديمة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بعض الأقوال في هذا المطلب في صدر المبحث، فراجعه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مع حواشي الإمام الخميني قدس سره،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زبدة الأحكام،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الشُّهرة في جانب هذا القول واضحٌ‌، وقد نصَّ عليه المحقِّق الفقيه الخوئيُّ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7541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للمحقِّق الفقيه السَّيِّد الخوئي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الثَّانيَة علىٰ الألفيَّة،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الرِّسالة الصَّلاتيَّة،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البجنورديِّ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الأحمديَّة،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خلل الصَّلاة وأحكامه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الفقيه الحائريِّ ابن الشَّيخ المؤسِّس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الصَّلاة،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هذه النُّصوص آنفًا، فراجع إليها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خلل الصَّلاة وأحكامه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الفقيه الحائريِّ ابن الشَّيخ المؤسِّس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 هذه الرِّوايات المحدِّث الحرُّ قدس سره في كتابه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بابويه، في رسالتان مجموعتان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 پنج رسالۀ فارسى،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السَّيِّد الطباطبائيُّ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الفقيه الكاشانيُّ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 المنافع،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المحقِّق البجنورديُّ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ومؤلِّفوا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طبقًا لمذهب أهل البيت عليهم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المحقِّق البحرانيُّ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المراغيُّ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الخوانساريُّ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عنوانٌ للقاعدة ذكره المحقِّق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النَّراقي الثَّاني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الفقيه الكاشانيُّ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المسالك،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أحوبة المسائل المُهنَّائيَّة،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أنَّ مفتاح الصَّلاة الطَّهور،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آنفًا إلى عبارَتَي الفقيهين السَّبزواريِّ والفيض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المضمار، فراجعه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المراغيُّ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بعض أكابر المعاصرين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بعضُ معاصرينا؛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الفقه الفعَّال،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لقائمةٍ من المقدَّسات المذكورة في الشَّريعة وبيانٍ إجماليٍّ لأحكامها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الدِّين القيِّم،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10350</w:t>
      </w:r>
      <w:r>
        <w:rPr>
          <w:rFonts w:ascii="IRNazanin" w:hAnsi="IRNazanin" w:eastAsia="IRNazanin"/>
          <w:b w:val="false"/>
          <w:b w:val="false"/>
          <w:bCs w:val="false"/>
          <w:i w:val="false"/>
          <w:i w:val="false"/>
          <w:iCs w:val="false"/>
          <w:color w:val="333333"/>
          <w:sz w:val="20"/>
          <w:sz w:val="20"/>
          <w:szCs w:val="20"/>
          <w:rtl w:val="true"/>
        </w:rPr>
        <w:t xml:space="preserve">، نقلًا عن 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للقطب الرَّاوندي قدس سره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أيضًا،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ومستدركاتُها،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20860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11542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17775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تعزير من أحدَثَ في المسجد الحرام متعمِّدًا وقتلِ من أحدَثَ في الكعبة متعمِّدًا</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سبِّ المؤمن وعِرضِه ومالِه ودمِه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سبِّ المؤمن وعِرضِه ومالِه ودمِه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مصدر الحديث آنفًا أعلاه، فراجع إليه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الأحكام،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عن الضَّرورة هذه السَّيِّدُ المحقِّق البُّجنورديُّ قدس سره بارتكاز ذهن المتشرِّعة؛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الأبقىٰ‌،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عزَّه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الكلامَ عن هذا في مباحثه الأصوليَّة؛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الأصول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سماحة السَّيِّد الطَّاهري الخُرَّم آبادي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معاصرينا، كالشَّيخ الإشتهارديِّ‌؛</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الفقه الفعَّال،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العناوينُ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المختصر النَّافع،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الأبقىٰ‌،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العُروة الوثقىٰ‌،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الشَّيخ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الشَّيخ قدس سره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مقائيس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ممع الفائدة والبرهان،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أيضًا،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للفقيه الشَّيخ حسين الحلِّي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البنك اللَّاربوي،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سداد العِباد،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23270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17467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23274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الرِّبا</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الكبيرة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الأحكام،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17885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23334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33443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وحكاه عنه في فقه الإمام الصَّادق عليه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ومثله ما في هداية العِباد،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17879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23326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سِداد العباد،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34389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نسبَه البحرانيُّ إلى صريحِ الأصحاب،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عوالىء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ومستدركاتُها،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23353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23372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ابنِ أبي طيٍّ‌،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قدس سره،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23270</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سداد العِباد،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أشرنا إلى عموم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وَحَرَّمَ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17889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سلطان العلماء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23431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23432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23433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البيعَ الَّذي لاربا فيه، وحرَّم البيعَ الَّذي فيه الرِّبا</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مختصر النَّافع،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17480</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23307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17463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23302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جنيد،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البجنورديِّ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العلَّامة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الشَّهيد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عنوانٌ للقاعدة ذكره المحقِّق الشَّيخ حسن آل كاشف الغطاء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10535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الأخيار،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الَّذي جاء به المحقِّق الفيض قدس سره في 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التَّذييل علىٰ الحديث </w:t>
      </w:r>
      <w:r>
        <w:rPr>
          <w:rFonts w:eastAsia="IRNazanin" w:cs="IRNazanin"/>
          <w:b w:val="false"/>
          <w:bCs w:val="false"/>
          <w:i w:val="false"/>
          <w:iCs w:val="false"/>
          <w:color w:val="333333"/>
          <w:sz w:val="20"/>
          <w:szCs w:val="20"/>
        </w:rPr>
        <w:t>7591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قد أخذ عليه المحدِّث محمَّد أمين الأسترآبادي، واجاب عنه السَّيِّد نورالدِّين العاملي؛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وبذيله الشَّواهد المكِّيَّة،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التَّفصيل عن ذلك في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وبذور تكوُّن مدرسة السَّند في الفكر الإماميِّ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حَيدَر حبُّ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مجلَّة فقه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بالعربيَّة،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المجلسي قدس سره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وصريح قوله نسبتُه إلى الأصحاب،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نفىٰ الخلاف عنه بعض أعلام المعاصرين؛</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الشَّيخ في فرعٍ ذكره في صلاة الخوف؛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هذا القول ناظرٌ إلى ما حكاه الشَّيخ عن مفيد الأمَّة في تهذيبه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سها المأموم عن الرُّكوع حتَّى دخل الإمام في الرَّكعة الثَّانيَة فليركع وليلحق الإمام، وليس عليه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حكاه المحقِّق قدس سره عن الشَّيخ قدس سره والمرتضىٰ قدس سره؛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ترتيب قضاء الصَّلاة الفائتة في رسائل المحقِّق الكركي،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45682</Words>
  <Characters>208983</Characters>
  <CharactersWithSpaces>252076</CharactersWithSpaces>
  <Paragraphs>2887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2026-08-25T16:28:39Z</dcterms:created>
  <dc:creator>ghaemiyeh.com</dc:creator>
  <dc:description/>
  <dc:language>en-US</dc:language>
  <cp:lastModifiedBy/>
  <dcterms:modified xsi:type="dcterms:W3CDTF">2026-08-25T19:59:00Z</dcterms:modified>
  <cp:revision>1</cp:revision>
  <dc:subject/>
  <dc:title>عوائد القواعد الفقهیّة جلد 2</dc:title>
</cp:coreProperties>
</file>

<file path=docProps/custom.xml><?xml version="1.0" encoding="utf-8"?>
<Properties xmlns="http://schemas.openxmlformats.org/officeDocument/2006/custom-properties" xmlns:vt="http://schemas.openxmlformats.org/officeDocument/2006/docPropsVTypes"/>
</file>