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اللمعتین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2526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322528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322530_2870459653">
            <w:r>
              <w:rPr>
                <w:webHidden/>
                <w:rStyle w:val="IndexLink"/>
                <w:rtl w:val="true"/>
              </w:rPr>
              <w:t>مقدّمة المرکز</w:t>
            </w:r>
            <w:r>
              <w:rPr>
                <w:rStyle w:val="IndexLink"/>
                <w:rtl w:val="true"/>
              </w:rPr>
              <w:tab/>
            </w:r>
            <w:r>
              <w:rPr>
                <w:rStyle w:val="IndexLink"/>
              </w:rPr>
              <w:t>10</w:t>
            </w:r>
          </w:hyperlink>
        </w:p>
        <w:p>
          <w:pPr>
            <w:pStyle w:val="Contents2"/>
            <w:tabs>
              <w:tab w:val="clear" w:pos="8743"/>
              <w:tab w:val="right" w:pos="9026" w:leader="dot"/>
            </w:tabs>
            <w:rPr/>
          </w:pPr>
          <w:hyperlink w:anchor="__RefHeading___Toc3322532_2870459653">
            <w:r>
              <w:rPr>
                <w:webHidden/>
                <w:rStyle w:val="IndexLink"/>
                <w:rtl w:val="true"/>
              </w:rPr>
              <w:t>مقدمة التحقیق</w:t>
            </w:r>
            <w:r>
              <w:rPr>
                <w:rStyle w:val="IndexLink"/>
                <w:rtl w:val="true"/>
              </w:rPr>
              <w:tab/>
            </w:r>
            <w:r>
              <w:rPr>
                <w:rStyle w:val="IndexLink"/>
              </w:rPr>
              <w:t>18</w:t>
            </w:r>
          </w:hyperlink>
        </w:p>
        <w:p>
          <w:pPr>
            <w:pStyle w:val="Contents2"/>
            <w:tabs>
              <w:tab w:val="clear" w:pos="8743"/>
              <w:tab w:val="right" w:pos="9026" w:leader="dot"/>
            </w:tabs>
            <w:rPr/>
          </w:pPr>
          <w:hyperlink w:anchor="__RefHeading___Toc3322534_2870459653">
            <w:r>
              <w:rPr>
                <w:webHidden/>
                <w:rStyle w:val="IndexLink"/>
                <w:rtl w:val="true"/>
              </w:rPr>
              <w:t>مقدمة المصنف</w:t>
            </w:r>
            <w:r>
              <w:rPr>
                <w:rStyle w:val="IndexLink"/>
                <w:rtl w:val="true"/>
              </w:rPr>
              <w:tab/>
            </w:r>
            <w:r>
              <w:rPr>
                <w:rStyle w:val="IndexLink"/>
              </w:rPr>
              <w:t>32</w:t>
            </w:r>
          </w:hyperlink>
        </w:p>
        <w:p>
          <w:pPr>
            <w:pStyle w:val="Contents2"/>
            <w:tabs>
              <w:tab w:val="clear" w:pos="8743"/>
              <w:tab w:val="right" w:pos="9026" w:leader="dot"/>
            </w:tabs>
            <w:rPr/>
          </w:pPr>
          <w:hyperlink w:anchor="__RefHeading___Toc3322536_2870459653">
            <w:r>
              <w:rPr>
                <w:webHidden/>
                <w:rStyle w:val="IndexLink"/>
                <w:rtl w:val="true"/>
              </w:rPr>
              <w:t>كتاب الطهارة</w:t>
            </w:r>
            <w:r>
              <w:rPr>
                <w:rStyle w:val="IndexLink"/>
                <w:rtl w:val="true"/>
              </w:rPr>
              <w:tab/>
            </w:r>
            <w:r>
              <w:rPr>
                <w:rStyle w:val="IndexLink"/>
              </w:rPr>
              <w:t>36</w:t>
            </w:r>
          </w:hyperlink>
        </w:p>
        <w:p>
          <w:pPr>
            <w:pStyle w:val="Contents3"/>
            <w:tabs>
              <w:tab w:val="clear" w:pos="8459"/>
              <w:tab w:val="right" w:pos="9026" w:leader="dot"/>
            </w:tabs>
            <w:rPr/>
          </w:pPr>
          <w:hyperlink w:anchor="__RefHeading___Toc3322538_2870459653">
            <w:r>
              <w:rPr>
                <w:webHidden/>
                <w:rStyle w:val="IndexLink"/>
                <w:rtl w:val="true"/>
              </w:rPr>
              <w:t>(</w:t>
            </w:r>
            <w:r>
              <w:rPr>
                <w:rStyle w:val="IndexLink"/>
                <w:rtl w:val="true"/>
              </w:rPr>
              <w:t>جديد</w:t>
            </w:r>
            <w:r>
              <w:rPr>
                <w:rStyle w:val="IndexLink"/>
                <w:rtl w:val="true"/>
              </w:rPr>
              <w:t>)</w:t>
              <w:tab/>
            </w:r>
            <w:r>
              <w:rPr>
                <w:rStyle w:val="IndexLink"/>
              </w:rPr>
              <w:t>91</w:t>
            </w:r>
          </w:hyperlink>
        </w:p>
        <w:p>
          <w:pPr>
            <w:pStyle w:val="Contents2"/>
            <w:tabs>
              <w:tab w:val="clear" w:pos="8743"/>
              <w:tab w:val="right" w:pos="9026" w:leader="dot"/>
            </w:tabs>
            <w:rPr/>
          </w:pPr>
          <w:hyperlink w:anchor="__RefHeading___Toc3322540_2870459653">
            <w:r>
              <w:rPr>
                <w:webHidden/>
                <w:rStyle w:val="IndexLink"/>
                <w:rtl w:val="true"/>
              </w:rPr>
              <w:t>[</w:t>
            </w:r>
            <w:r>
              <w:rPr>
                <w:rStyle w:val="IndexLink"/>
                <w:rtl w:val="true"/>
              </w:rPr>
              <w:t>كيفية تطهير الماء المتغير بالنجاسة</w:t>
            </w:r>
            <w:r>
              <w:rPr>
                <w:rStyle w:val="IndexLink"/>
                <w:rtl w:val="true"/>
              </w:rPr>
              <w:t>]</w:t>
              <w:tab/>
            </w:r>
            <w:r>
              <w:rPr>
                <w:rStyle w:val="IndexLink"/>
              </w:rPr>
              <w:t>91</w:t>
            </w:r>
          </w:hyperlink>
        </w:p>
        <w:p>
          <w:pPr>
            <w:pStyle w:val="Contents2"/>
            <w:tabs>
              <w:tab w:val="clear" w:pos="8743"/>
              <w:tab w:val="right" w:pos="9026" w:leader="dot"/>
            </w:tabs>
            <w:rPr/>
          </w:pPr>
          <w:hyperlink w:anchor="__RefHeading___Toc3322542_2870459653">
            <w:r>
              <w:rPr>
                <w:webHidden/>
                <w:rStyle w:val="IndexLink"/>
                <w:rtl w:val="true"/>
              </w:rPr>
              <w:t>[</w:t>
            </w:r>
            <w:r>
              <w:rPr>
                <w:rStyle w:val="IndexLink"/>
                <w:rtl w:val="true"/>
              </w:rPr>
              <w:t xml:space="preserve">اللمعة </w:t>
            </w:r>
            <w:r>
              <w:rPr>
                <w:rStyle w:val="IndexLink"/>
                <w:rtl w:val="true"/>
              </w:rPr>
              <w:t xml:space="preserve">] </w:t>
            </w:r>
            <w:r>
              <w:rPr>
                <w:rStyle w:val="IndexLink"/>
                <w:rtl w:val="true"/>
              </w:rPr>
              <w:t>الأولى</w:t>
            </w:r>
            <w:r>
              <w:rPr>
                <w:rStyle w:val="IndexLink"/>
                <w:rtl w:val="true"/>
              </w:rPr>
              <w:t>:</w:t>
              <w:tab/>
            </w:r>
            <w:r>
              <w:rPr>
                <w:rStyle w:val="IndexLink"/>
              </w:rPr>
              <w:t>94</w:t>
            </w:r>
          </w:hyperlink>
        </w:p>
        <w:p>
          <w:pPr>
            <w:pStyle w:val="Contents2"/>
            <w:tabs>
              <w:tab w:val="clear" w:pos="8743"/>
              <w:tab w:val="right" w:pos="9026" w:leader="dot"/>
            </w:tabs>
            <w:rPr/>
          </w:pPr>
          <w:hyperlink w:anchor="__RefHeading___Toc3322544_2870459653">
            <w:r>
              <w:rPr>
                <w:webHidden/>
                <w:rStyle w:val="IndexLink"/>
                <w:rtl w:val="true"/>
              </w:rPr>
              <w:t>اللمعة الثانية</w:t>
            </w:r>
            <w:r>
              <w:rPr>
                <w:rStyle w:val="IndexLink"/>
                <w:rtl w:val="true"/>
              </w:rPr>
              <w:tab/>
            </w:r>
            <w:r>
              <w:rPr>
                <w:rStyle w:val="IndexLink"/>
              </w:rPr>
              <w:t>104</w:t>
            </w:r>
          </w:hyperlink>
        </w:p>
        <w:p>
          <w:pPr>
            <w:pStyle w:val="Contents2"/>
            <w:tabs>
              <w:tab w:val="clear" w:pos="8743"/>
              <w:tab w:val="right" w:pos="9026" w:leader="dot"/>
            </w:tabs>
            <w:rPr/>
          </w:pPr>
          <w:hyperlink w:anchor="__RefHeading___Toc3322546_2870459653">
            <w:r>
              <w:rPr>
                <w:webHidden/>
                <w:rStyle w:val="IndexLink"/>
                <w:rtl w:val="true"/>
              </w:rPr>
              <w:t>اللمعة الثالثة</w:t>
            </w:r>
            <w:r>
              <w:rPr>
                <w:rStyle w:val="IndexLink"/>
                <w:rtl w:val="true"/>
              </w:rPr>
              <w:tab/>
            </w:r>
            <w:r>
              <w:rPr>
                <w:rStyle w:val="IndexLink"/>
              </w:rPr>
              <w:t>106</w:t>
            </w:r>
          </w:hyperlink>
        </w:p>
        <w:p>
          <w:pPr>
            <w:pStyle w:val="Contents2"/>
            <w:tabs>
              <w:tab w:val="clear" w:pos="8743"/>
              <w:tab w:val="right" w:pos="9026" w:leader="dot"/>
            </w:tabs>
            <w:rPr/>
          </w:pPr>
          <w:hyperlink w:anchor="__RefHeading___Toc3322548_2870459653">
            <w:r>
              <w:rPr>
                <w:webHidden/>
                <w:rStyle w:val="IndexLink"/>
                <w:rtl w:val="true"/>
              </w:rPr>
              <w:t>[</w:t>
            </w:r>
            <w:r>
              <w:rPr>
                <w:rStyle w:val="IndexLink"/>
                <w:rtl w:val="true"/>
              </w:rPr>
              <w:t>تقدير الكر بالوزن</w:t>
            </w:r>
            <w:r>
              <w:rPr>
                <w:rStyle w:val="IndexLink"/>
                <w:rtl w:val="true"/>
              </w:rPr>
              <w:t>]</w:t>
              <w:tab/>
            </w:r>
            <w:r>
              <w:rPr>
                <w:rStyle w:val="IndexLink"/>
              </w:rPr>
              <w:t>133</w:t>
            </w:r>
          </w:hyperlink>
        </w:p>
        <w:p>
          <w:pPr>
            <w:pStyle w:val="Contents2"/>
            <w:tabs>
              <w:tab w:val="clear" w:pos="8743"/>
              <w:tab w:val="right" w:pos="9026" w:leader="dot"/>
            </w:tabs>
            <w:rPr/>
          </w:pPr>
          <w:hyperlink w:anchor="__RefHeading___Toc3322550_2870459653">
            <w:r>
              <w:rPr>
                <w:webHidden/>
                <w:rStyle w:val="IndexLink"/>
                <w:rtl w:val="true"/>
              </w:rPr>
              <w:t>[</w:t>
            </w:r>
            <w:r>
              <w:rPr>
                <w:rStyle w:val="IndexLink"/>
                <w:rtl w:val="true"/>
              </w:rPr>
              <w:t>تقدير الكر بالمساحة</w:t>
            </w:r>
            <w:r>
              <w:rPr>
                <w:rStyle w:val="IndexLink"/>
                <w:rtl w:val="true"/>
              </w:rPr>
              <w:t>]</w:t>
              <w:tab/>
            </w:r>
            <w:r>
              <w:rPr>
                <w:rStyle w:val="IndexLink"/>
              </w:rPr>
              <w:t>138</w:t>
            </w:r>
          </w:hyperlink>
        </w:p>
        <w:p>
          <w:pPr>
            <w:pStyle w:val="Contents2"/>
            <w:tabs>
              <w:tab w:val="clear" w:pos="8743"/>
              <w:tab w:val="right" w:pos="9026" w:leader="dot"/>
            </w:tabs>
            <w:rPr/>
          </w:pPr>
          <w:hyperlink w:anchor="__RefHeading___Toc3322552_2870459653">
            <w:r>
              <w:rPr>
                <w:webHidden/>
                <w:rStyle w:val="IndexLink"/>
                <w:rtl w:val="true"/>
              </w:rPr>
              <w:t>[</w:t>
            </w:r>
            <w:r>
              <w:rPr>
                <w:rStyle w:val="IndexLink"/>
                <w:rtl w:val="true"/>
              </w:rPr>
              <w:t>ماء البئر</w:t>
            </w:r>
            <w:r>
              <w:rPr>
                <w:rStyle w:val="IndexLink"/>
                <w:rtl w:val="true"/>
              </w:rPr>
              <w:t>]</w:t>
              <w:tab/>
            </w:r>
            <w:r>
              <w:rPr>
                <w:rStyle w:val="IndexLink"/>
              </w:rPr>
              <w:t>152</w:t>
            </w:r>
          </w:hyperlink>
        </w:p>
        <w:p>
          <w:pPr>
            <w:pStyle w:val="Contents2"/>
            <w:tabs>
              <w:tab w:val="clear" w:pos="8743"/>
              <w:tab w:val="right" w:pos="9026" w:leader="dot"/>
            </w:tabs>
            <w:rPr/>
          </w:pPr>
          <w:hyperlink w:anchor="__RefHeading___Toc3322554_2870459653">
            <w:r>
              <w:rPr>
                <w:webHidden/>
                <w:rStyle w:val="IndexLink"/>
                <w:rtl w:val="true"/>
              </w:rPr>
              <w:t>[</w:t>
            </w:r>
            <w:r>
              <w:rPr>
                <w:rStyle w:val="IndexLink"/>
                <w:rtl w:val="true"/>
              </w:rPr>
              <w:t>كيفية تطهير البئر</w:t>
            </w:r>
            <w:r>
              <w:rPr>
                <w:rStyle w:val="IndexLink"/>
                <w:rtl w:val="true"/>
              </w:rPr>
              <w:t>]</w:t>
              <w:tab/>
            </w:r>
            <w:r>
              <w:rPr>
                <w:rStyle w:val="IndexLink"/>
              </w:rPr>
              <w:t>194</w:t>
            </w:r>
          </w:hyperlink>
        </w:p>
        <w:p>
          <w:pPr>
            <w:pStyle w:val="Contents2"/>
            <w:tabs>
              <w:tab w:val="clear" w:pos="8743"/>
              <w:tab w:val="right" w:pos="9026" w:leader="dot"/>
            </w:tabs>
            <w:rPr/>
          </w:pPr>
          <w:hyperlink w:anchor="__RefHeading___Toc3322556_2870459653">
            <w:r>
              <w:rPr>
                <w:webHidden/>
                <w:rStyle w:val="IndexLink"/>
                <w:rtl w:val="true"/>
              </w:rPr>
              <w:t>[</w:t>
            </w:r>
            <w:r>
              <w:rPr>
                <w:rStyle w:val="IndexLink"/>
                <w:rtl w:val="true"/>
              </w:rPr>
              <w:t>موت البعير</w:t>
            </w:r>
            <w:r>
              <w:rPr>
                <w:rStyle w:val="IndexLink"/>
                <w:rtl w:val="true"/>
              </w:rPr>
              <w:t>]</w:t>
              <w:tab/>
            </w:r>
            <w:r>
              <w:rPr>
                <w:rStyle w:val="IndexLink"/>
              </w:rPr>
              <w:t>199</w:t>
            </w:r>
          </w:hyperlink>
        </w:p>
        <w:p>
          <w:pPr>
            <w:pStyle w:val="Contents2"/>
            <w:tabs>
              <w:tab w:val="clear" w:pos="8743"/>
              <w:tab w:val="right" w:pos="9026" w:leader="dot"/>
            </w:tabs>
            <w:rPr/>
          </w:pPr>
          <w:hyperlink w:anchor="__RefHeading___Toc3322558_2870459653">
            <w:r>
              <w:rPr>
                <w:webHidden/>
                <w:rStyle w:val="IndexLink"/>
                <w:rtl w:val="true"/>
              </w:rPr>
              <w:t>[</w:t>
            </w:r>
            <w:r>
              <w:rPr>
                <w:rStyle w:val="IndexLink"/>
                <w:rtl w:val="true"/>
              </w:rPr>
              <w:t>موت الثور</w:t>
            </w:r>
            <w:r>
              <w:rPr>
                <w:rStyle w:val="IndexLink"/>
                <w:rtl w:val="true"/>
              </w:rPr>
              <w:t>]</w:t>
              <w:tab/>
            </w:r>
            <w:r>
              <w:rPr>
                <w:rStyle w:val="IndexLink"/>
              </w:rPr>
              <w:t>200</w:t>
            </w:r>
          </w:hyperlink>
        </w:p>
        <w:p>
          <w:pPr>
            <w:pStyle w:val="Contents2"/>
            <w:tabs>
              <w:tab w:val="clear" w:pos="8743"/>
              <w:tab w:val="right" w:pos="9026" w:leader="dot"/>
            </w:tabs>
            <w:rPr/>
          </w:pPr>
          <w:hyperlink w:anchor="__RefHeading___Toc3322560_2870459653">
            <w:r>
              <w:rPr>
                <w:webHidden/>
                <w:rStyle w:val="IndexLink"/>
                <w:rtl w:val="true"/>
              </w:rPr>
              <w:t>[</w:t>
            </w:r>
            <w:r>
              <w:rPr>
                <w:rStyle w:val="IndexLink"/>
                <w:rtl w:val="true"/>
              </w:rPr>
              <w:t>الخمر</w:t>
            </w:r>
            <w:r>
              <w:rPr>
                <w:rStyle w:val="IndexLink"/>
                <w:rtl w:val="true"/>
              </w:rPr>
              <w:t>]</w:t>
              <w:tab/>
            </w:r>
            <w:r>
              <w:rPr>
                <w:rStyle w:val="IndexLink"/>
              </w:rPr>
              <w:t>201</w:t>
            </w:r>
          </w:hyperlink>
        </w:p>
        <w:p>
          <w:pPr>
            <w:pStyle w:val="Contents2"/>
            <w:tabs>
              <w:tab w:val="clear" w:pos="8743"/>
              <w:tab w:val="right" w:pos="9026" w:leader="dot"/>
            </w:tabs>
            <w:rPr/>
          </w:pPr>
          <w:hyperlink w:anchor="__RefHeading___Toc3322562_2870459653">
            <w:r>
              <w:rPr>
                <w:webHidden/>
                <w:rStyle w:val="IndexLink"/>
                <w:rtl w:val="true"/>
              </w:rPr>
              <w:t>[</w:t>
            </w:r>
            <w:r>
              <w:rPr>
                <w:rStyle w:val="IndexLink"/>
                <w:rtl w:val="true"/>
              </w:rPr>
              <w:t>المُسكِر المائع</w:t>
            </w:r>
            <w:r>
              <w:rPr>
                <w:rStyle w:val="IndexLink"/>
                <w:rtl w:val="true"/>
              </w:rPr>
              <w:t>]</w:t>
              <w:tab/>
            </w:r>
            <w:r>
              <w:rPr>
                <w:rStyle w:val="IndexLink"/>
              </w:rPr>
              <w:t>201</w:t>
            </w:r>
          </w:hyperlink>
        </w:p>
        <w:p>
          <w:pPr>
            <w:pStyle w:val="Contents2"/>
            <w:tabs>
              <w:tab w:val="clear" w:pos="8743"/>
              <w:tab w:val="right" w:pos="9026" w:leader="dot"/>
            </w:tabs>
            <w:rPr/>
          </w:pPr>
          <w:hyperlink w:anchor="__RefHeading___Toc3322564_2870459653">
            <w:r>
              <w:rPr>
                <w:webHidden/>
                <w:rStyle w:val="IndexLink"/>
                <w:rtl w:val="true"/>
              </w:rPr>
              <w:t>[</w:t>
            </w:r>
            <w:r>
              <w:rPr>
                <w:rStyle w:val="IndexLink"/>
                <w:rtl w:val="true"/>
              </w:rPr>
              <w:t>دم الحَدث</w:t>
            </w:r>
            <w:r>
              <w:rPr>
                <w:rStyle w:val="IndexLink"/>
                <w:rtl w:val="true"/>
              </w:rPr>
              <w:t>]</w:t>
              <w:tab/>
            </w:r>
            <w:r>
              <w:rPr>
                <w:rStyle w:val="IndexLink"/>
              </w:rPr>
              <w:t>201</w:t>
            </w:r>
          </w:hyperlink>
        </w:p>
        <w:p>
          <w:pPr>
            <w:pStyle w:val="Contents2"/>
            <w:tabs>
              <w:tab w:val="clear" w:pos="8743"/>
              <w:tab w:val="right" w:pos="9026" w:leader="dot"/>
            </w:tabs>
            <w:rPr/>
          </w:pPr>
          <w:hyperlink w:anchor="__RefHeading___Toc3322566_2870459653">
            <w:r>
              <w:rPr>
                <w:webHidden/>
                <w:rStyle w:val="IndexLink"/>
                <w:rtl w:val="true"/>
              </w:rPr>
              <w:t>[</w:t>
            </w:r>
            <w:r>
              <w:rPr>
                <w:rStyle w:val="IndexLink"/>
                <w:rtl w:val="true"/>
              </w:rPr>
              <w:t>الفُقاع</w:t>
            </w:r>
            <w:r>
              <w:rPr>
                <w:rStyle w:val="IndexLink"/>
                <w:rtl w:val="true"/>
              </w:rPr>
              <w:t>]</w:t>
              <w:tab/>
            </w:r>
            <w:r>
              <w:rPr>
                <w:rStyle w:val="IndexLink"/>
              </w:rPr>
              <w:t>202</w:t>
            </w:r>
          </w:hyperlink>
        </w:p>
        <w:p>
          <w:pPr>
            <w:pStyle w:val="Contents2"/>
            <w:tabs>
              <w:tab w:val="clear" w:pos="8743"/>
              <w:tab w:val="right" w:pos="9026" w:leader="dot"/>
            </w:tabs>
            <w:rPr/>
          </w:pPr>
          <w:hyperlink w:anchor="__RefHeading___Toc3322568_2870459653">
            <w:r>
              <w:rPr>
                <w:webHidden/>
                <w:rStyle w:val="IndexLink"/>
                <w:rtl w:val="true"/>
              </w:rPr>
              <w:t>[</w:t>
            </w:r>
            <w:r>
              <w:rPr>
                <w:rStyle w:val="IndexLink"/>
                <w:rtl w:val="true"/>
              </w:rPr>
              <w:t>العصير العنبي</w:t>
            </w:r>
            <w:r>
              <w:rPr>
                <w:rStyle w:val="IndexLink"/>
                <w:rtl w:val="true"/>
              </w:rPr>
              <w:t>]</w:t>
              <w:tab/>
            </w:r>
            <w:r>
              <w:rPr>
                <w:rStyle w:val="IndexLink"/>
              </w:rPr>
              <w:t>202</w:t>
            </w:r>
          </w:hyperlink>
        </w:p>
        <w:p>
          <w:pPr>
            <w:pStyle w:val="Contents2"/>
            <w:tabs>
              <w:tab w:val="clear" w:pos="8743"/>
              <w:tab w:val="right" w:pos="9026" w:leader="dot"/>
            </w:tabs>
            <w:rPr/>
          </w:pPr>
          <w:hyperlink w:anchor="__RefHeading___Toc3322570_2870459653">
            <w:r>
              <w:rPr>
                <w:webHidden/>
                <w:rStyle w:val="IndexLink"/>
                <w:rtl w:val="true"/>
              </w:rPr>
              <w:t>[</w:t>
            </w:r>
            <w:r>
              <w:rPr>
                <w:rStyle w:val="IndexLink"/>
                <w:rtl w:val="true"/>
              </w:rPr>
              <w:t>مقدار النزح</w:t>
            </w:r>
            <w:r>
              <w:rPr>
                <w:rStyle w:val="IndexLink"/>
                <w:rtl w:val="true"/>
              </w:rPr>
              <w:t>]</w:t>
              <w:tab/>
            </w:r>
            <w:r>
              <w:rPr>
                <w:rStyle w:val="IndexLink"/>
              </w:rPr>
              <w:t>203</w:t>
            </w:r>
          </w:hyperlink>
        </w:p>
        <w:p>
          <w:pPr>
            <w:pStyle w:val="Contents2"/>
            <w:tabs>
              <w:tab w:val="clear" w:pos="8743"/>
              <w:tab w:val="right" w:pos="9026" w:leader="dot"/>
            </w:tabs>
            <w:rPr/>
          </w:pPr>
          <w:hyperlink w:anchor="__RefHeading___Toc3322572_2870459653">
            <w:r>
              <w:rPr>
                <w:webHidden/>
                <w:rStyle w:val="IndexLink"/>
                <w:rtl w:val="true"/>
              </w:rPr>
              <w:t>[</w:t>
            </w:r>
            <w:r>
              <w:rPr>
                <w:rStyle w:val="IndexLink"/>
                <w:rtl w:val="true"/>
              </w:rPr>
              <w:t>العذرة الرّطبة</w:t>
            </w:r>
            <w:r>
              <w:rPr>
                <w:rStyle w:val="IndexLink"/>
                <w:rtl w:val="true"/>
              </w:rPr>
              <w:t>]</w:t>
              <w:tab/>
            </w:r>
            <w:r>
              <w:rPr>
                <w:rStyle w:val="IndexLink"/>
              </w:rPr>
              <w:t>208</w:t>
            </w:r>
          </w:hyperlink>
        </w:p>
        <w:p>
          <w:pPr>
            <w:pStyle w:val="Contents2"/>
            <w:tabs>
              <w:tab w:val="clear" w:pos="8743"/>
              <w:tab w:val="right" w:pos="9026" w:leader="dot"/>
            </w:tabs>
            <w:rPr/>
          </w:pPr>
          <w:hyperlink w:anchor="__RefHeading___Toc3322574_2870459653">
            <w:r>
              <w:rPr>
                <w:webHidden/>
                <w:rStyle w:val="IndexLink"/>
                <w:rtl w:val="true"/>
              </w:rPr>
              <w:t>[</w:t>
            </w:r>
            <w:r>
              <w:rPr>
                <w:rStyle w:val="IndexLink"/>
                <w:rtl w:val="true"/>
              </w:rPr>
              <w:t>التراوح و كيفيته</w:t>
            </w:r>
            <w:r>
              <w:rPr>
                <w:rStyle w:val="IndexLink"/>
                <w:rtl w:val="true"/>
              </w:rPr>
              <w:t>]</w:t>
              <w:tab/>
            </w:r>
            <w:r>
              <w:rPr>
                <w:rStyle w:val="IndexLink"/>
              </w:rPr>
              <w:t>224</w:t>
            </w:r>
          </w:hyperlink>
        </w:p>
        <w:p>
          <w:pPr>
            <w:pStyle w:val="Contents2"/>
            <w:tabs>
              <w:tab w:val="clear" w:pos="8743"/>
              <w:tab w:val="right" w:pos="9026" w:leader="dot"/>
            </w:tabs>
            <w:rPr/>
          </w:pPr>
          <w:hyperlink w:anchor="__RefHeading___Toc3322576_2870459653">
            <w:r>
              <w:rPr>
                <w:webHidden/>
                <w:rStyle w:val="IndexLink"/>
                <w:rtl w:val="true"/>
              </w:rPr>
              <w:t>[</w:t>
            </w:r>
            <w:r>
              <w:rPr>
                <w:rStyle w:val="IndexLink"/>
                <w:rtl w:val="true"/>
              </w:rPr>
              <w:t>مبحث الماء المضاف</w:t>
            </w:r>
            <w:r>
              <w:rPr>
                <w:rStyle w:val="IndexLink"/>
                <w:rtl w:val="true"/>
              </w:rPr>
              <w:t>]</w:t>
              <w:tab/>
            </w:r>
            <w:r>
              <w:rPr>
                <w:rStyle w:val="IndexLink"/>
              </w:rPr>
              <w:t>232</w:t>
            </w:r>
          </w:hyperlink>
        </w:p>
        <w:p>
          <w:pPr>
            <w:pStyle w:val="Contents2"/>
            <w:tabs>
              <w:tab w:val="clear" w:pos="8743"/>
              <w:tab w:val="right" w:pos="9026" w:leader="dot"/>
            </w:tabs>
            <w:rPr/>
          </w:pPr>
          <w:hyperlink w:anchor="__RefHeading___Toc3322578_2870459653">
            <w:r>
              <w:rPr>
                <w:webHidden/>
                <w:rStyle w:val="IndexLink"/>
                <w:rtl w:val="true"/>
              </w:rPr>
              <w:t>[</w:t>
            </w:r>
            <w:r>
              <w:rPr>
                <w:rStyle w:val="IndexLink"/>
                <w:rtl w:val="true"/>
              </w:rPr>
              <w:t>تعريف الماء المضاف</w:t>
            </w:r>
            <w:r>
              <w:rPr>
                <w:rStyle w:val="IndexLink"/>
                <w:rtl w:val="true"/>
              </w:rPr>
              <w:t>]</w:t>
              <w:tab/>
            </w:r>
            <w:r>
              <w:rPr>
                <w:rStyle w:val="IndexLink"/>
              </w:rPr>
              <w:t>232</w:t>
            </w:r>
          </w:hyperlink>
        </w:p>
        <w:p>
          <w:pPr>
            <w:pStyle w:val="Contents2"/>
            <w:tabs>
              <w:tab w:val="clear" w:pos="8743"/>
              <w:tab w:val="right" w:pos="9026" w:leader="dot"/>
            </w:tabs>
            <w:rPr/>
          </w:pPr>
          <w:hyperlink w:anchor="__RefHeading___Toc3322580_2870459653">
            <w:r>
              <w:rPr>
                <w:webHidden/>
                <w:rStyle w:val="IndexLink"/>
                <w:rtl w:val="true"/>
              </w:rPr>
              <w:t>[</w:t>
            </w:r>
            <w:r>
              <w:rPr>
                <w:rStyle w:val="IndexLink"/>
                <w:rtl w:val="true"/>
              </w:rPr>
              <w:t>خلاصة الأقوال</w:t>
            </w:r>
            <w:r>
              <w:rPr>
                <w:rStyle w:val="IndexLink"/>
                <w:rtl w:val="true"/>
              </w:rPr>
              <w:t>]</w:t>
              <w:tab/>
            </w:r>
            <w:r>
              <w:rPr>
                <w:rStyle w:val="IndexLink"/>
              </w:rPr>
              <w:t>255</w:t>
            </w:r>
          </w:hyperlink>
        </w:p>
        <w:p>
          <w:pPr>
            <w:pStyle w:val="Contents2"/>
            <w:tabs>
              <w:tab w:val="clear" w:pos="8743"/>
              <w:tab w:val="right" w:pos="9026" w:leader="dot"/>
            </w:tabs>
            <w:rPr/>
          </w:pPr>
          <w:hyperlink w:anchor="__RefHeading___Toc3322582_2870459653">
            <w:r>
              <w:rPr>
                <w:webHidden/>
                <w:rStyle w:val="IndexLink"/>
                <w:rtl w:val="true"/>
              </w:rPr>
              <w:t>القول في الأسآر</w:t>
            </w:r>
            <w:r>
              <w:rPr>
                <w:rStyle w:val="IndexLink"/>
                <w:rtl w:val="true"/>
              </w:rPr>
              <w:tab/>
            </w:r>
            <w:r>
              <w:rPr>
                <w:rStyle w:val="IndexLink"/>
              </w:rPr>
              <w:t>260</w:t>
            </w:r>
          </w:hyperlink>
        </w:p>
        <w:p>
          <w:pPr>
            <w:pStyle w:val="Contents2"/>
            <w:tabs>
              <w:tab w:val="clear" w:pos="8743"/>
              <w:tab w:val="right" w:pos="9026" w:leader="dot"/>
            </w:tabs>
            <w:rPr/>
          </w:pPr>
          <w:hyperlink w:anchor="__RefHeading___Toc3322584_2870459653">
            <w:r>
              <w:rPr>
                <w:webHidden/>
                <w:rStyle w:val="IndexLink"/>
                <w:rtl w:val="true"/>
              </w:rPr>
              <w:t>[</w:t>
            </w:r>
            <w:r>
              <w:rPr>
                <w:rStyle w:val="IndexLink"/>
                <w:rtl w:val="true"/>
              </w:rPr>
              <w:t>الأسآر المكروهة</w:t>
            </w:r>
            <w:r>
              <w:rPr>
                <w:rStyle w:val="IndexLink"/>
                <w:rtl w:val="true"/>
              </w:rPr>
              <w:t>]</w:t>
              <w:tab/>
            </w:r>
            <w:r>
              <w:rPr>
                <w:rStyle w:val="IndexLink"/>
              </w:rPr>
              <w:t>266</w:t>
            </w:r>
          </w:hyperlink>
        </w:p>
        <w:p>
          <w:pPr>
            <w:pStyle w:val="Contents2"/>
            <w:tabs>
              <w:tab w:val="clear" w:pos="8743"/>
              <w:tab w:val="right" w:pos="9026" w:leader="dot"/>
            </w:tabs>
            <w:rPr/>
          </w:pPr>
          <w:hyperlink w:anchor="__RefHeading___Toc3322586_2870459653">
            <w:r>
              <w:rPr>
                <w:webHidden/>
                <w:rStyle w:val="IndexLink"/>
                <w:rtl w:val="true"/>
              </w:rPr>
              <w:t>[</w:t>
            </w:r>
            <w:r>
              <w:rPr>
                <w:rStyle w:val="IndexLink"/>
                <w:rtl w:val="true"/>
              </w:rPr>
              <w:t>التباعد بين البئر و البالوعة</w:t>
            </w:r>
            <w:r>
              <w:rPr>
                <w:rStyle w:val="IndexLink"/>
                <w:rtl w:val="true"/>
              </w:rPr>
              <w:t>]</w:t>
              <w:tab/>
            </w:r>
            <w:r>
              <w:rPr>
                <w:rStyle w:val="IndexLink"/>
              </w:rPr>
              <w:t>275</w:t>
            </w:r>
          </w:hyperlink>
        </w:p>
        <w:p>
          <w:pPr>
            <w:pStyle w:val="Contents2"/>
            <w:tabs>
              <w:tab w:val="clear" w:pos="8743"/>
              <w:tab w:val="right" w:pos="9026" w:leader="dot"/>
            </w:tabs>
            <w:rPr/>
          </w:pPr>
          <w:hyperlink w:anchor="__RefHeading___Toc3322588_2870459653">
            <w:r>
              <w:rPr>
                <w:webHidden/>
                <w:rStyle w:val="IndexLink"/>
                <w:rtl w:val="true"/>
              </w:rPr>
              <w:t>[</w:t>
            </w:r>
            <w:r>
              <w:rPr>
                <w:rStyle w:val="IndexLink"/>
                <w:rtl w:val="true"/>
              </w:rPr>
              <w:t>صور التباعد بين البئر والبالوعة</w:t>
            </w:r>
            <w:r>
              <w:rPr>
                <w:rStyle w:val="IndexLink"/>
                <w:rtl w:val="true"/>
              </w:rPr>
              <w:t>]</w:t>
              <w:tab/>
            </w:r>
            <w:r>
              <w:rPr>
                <w:rStyle w:val="IndexLink"/>
              </w:rPr>
              <w:t>276</w:t>
            </w:r>
          </w:hyperlink>
        </w:p>
        <w:p>
          <w:pPr>
            <w:pStyle w:val="Contents2"/>
            <w:tabs>
              <w:tab w:val="clear" w:pos="8743"/>
              <w:tab w:val="right" w:pos="9026" w:leader="dot"/>
            </w:tabs>
            <w:rPr/>
          </w:pPr>
          <w:hyperlink w:anchor="__RefHeading___Toc3322590_2870459653">
            <w:r>
              <w:rPr>
                <w:webHidden/>
                <w:rStyle w:val="IndexLink"/>
                <w:rtl w:val="true"/>
              </w:rPr>
              <w:t>[</w:t>
            </w:r>
            <w:r>
              <w:rPr>
                <w:rStyle w:val="IndexLink"/>
                <w:rtl w:val="true"/>
              </w:rPr>
              <w:t>أنواع النجاسات</w:t>
            </w:r>
            <w:r>
              <w:rPr>
                <w:rStyle w:val="IndexLink"/>
                <w:rtl w:val="true"/>
              </w:rPr>
              <w:t>]</w:t>
              <w:tab/>
            </w:r>
            <w:r>
              <w:rPr>
                <w:rStyle w:val="IndexLink"/>
              </w:rPr>
              <w:t>280</w:t>
            </w:r>
          </w:hyperlink>
        </w:p>
        <w:p>
          <w:pPr>
            <w:pStyle w:val="Contents2"/>
            <w:tabs>
              <w:tab w:val="clear" w:pos="8743"/>
              <w:tab w:val="right" w:pos="9026" w:leader="dot"/>
            </w:tabs>
            <w:rPr/>
          </w:pPr>
          <w:hyperlink w:anchor="__RefHeading___Toc3322592_2870459653">
            <w:r>
              <w:rPr>
                <w:webHidden/>
                <w:rStyle w:val="IndexLink"/>
                <w:rtl w:val="true"/>
              </w:rPr>
              <w:t>[</w:t>
            </w:r>
            <w:r>
              <w:rPr>
                <w:rStyle w:val="IndexLink"/>
                <w:rtl w:val="true"/>
              </w:rPr>
              <w:t>حكم مكروه اللحم</w:t>
            </w:r>
            <w:r>
              <w:rPr>
                <w:rStyle w:val="IndexLink"/>
                <w:rtl w:val="true"/>
              </w:rPr>
              <w:t>]</w:t>
              <w:tab/>
            </w:r>
            <w:r>
              <w:rPr>
                <w:rStyle w:val="IndexLink"/>
              </w:rPr>
              <w:t>287</w:t>
            </w:r>
          </w:hyperlink>
        </w:p>
        <w:p>
          <w:pPr>
            <w:pStyle w:val="Contents2"/>
            <w:tabs>
              <w:tab w:val="clear" w:pos="8743"/>
              <w:tab w:val="right" w:pos="9026" w:leader="dot"/>
            </w:tabs>
            <w:rPr/>
          </w:pPr>
          <w:hyperlink w:anchor="__RefHeading___Toc3322594_2870459653">
            <w:r>
              <w:rPr>
                <w:webHidden/>
                <w:rStyle w:val="IndexLink"/>
                <w:rtl w:val="true"/>
              </w:rPr>
              <w:t>[</w:t>
            </w:r>
            <w:r>
              <w:rPr>
                <w:rStyle w:val="IndexLink"/>
                <w:rtl w:val="true"/>
              </w:rPr>
              <w:t>حكم ما لا نفس له</w:t>
            </w:r>
            <w:r>
              <w:rPr>
                <w:rStyle w:val="IndexLink"/>
                <w:rtl w:val="true"/>
              </w:rPr>
              <w:t>]</w:t>
              <w:tab/>
            </w:r>
            <w:r>
              <w:rPr>
                <w:rStyle w:val="IndexLink"/>
              </w:rPr>
              <w:t>289</w:t>
            </w:r>
          </w:hyperlink>
        </w:p>
        <w:p>
          <w:pPr>
            <w:pStyle w:val="Contents2"/>
            <w:tabs>
              <w:tab w:val="clear" w:pos="8743"/>
              <w:tab w:val="right" w:pos="9026" w:leader="dot"/>
            </w:tabs>
            <w:rPr/>
          </w:pPr>
          <w:hyperlink w:anchor="__RefHeading___Toc3322596_2870459653">
            <w:r>
              <w:rPr>
                <w:webHidden/>
                <w:rStyle w:val="IndexLink"/>
                <w:rtl w:val="true"/>
              </w:rPr>
              <w:t>[</w:t>
            </w:r>
            <w:r>
              <w:rPr>
                <w:rStyle w:val="IndexLink"/>
                <w:rtl w:val="true"/>
              </w:rPr>
              <w:t>طهارة دم النَّبي صلّی الله علیه و آله و الأئمة السلام</w:t>
            </w:r>
            <w:r>
              <w:rPr>
                <w:rStyle w:val="IndexLink"/>
                <w:rtl w:val="true"/>
              </w:rPr>
              <w:t>]</w:t>
              <w:tab/>
            </w:r>
            <w:r>
              <w:rPr>
                <w:rStyle w:val="IndexLink"/>
              </w:rPr>
              <w:t>290</w:t>
            </w:r>
          </w:hyperlink>
        </w:p>
        <w:p>
          <w:pPr>
            <w:pStyle w:val="Contents2"/>
            <w:tabs>
              <w:tab w:val="clear" w:pos="8743"/>
              <w:tab w:val="right" w:pos="9026" w:leader="dot"/>
            </w:tabs>
            <w:rPr/>
          </w:pPr>
          <w:hyperlink w:anchor="__RefHeading___Toc3322598_2870459653">
            <w:r>
              <w:rPr>
                <w:webHidden/>
                <w:rStyle w:val="IndexLink"/>
                <w:rtl w:val="true"/>
              </w:rPr>
              <w:t>[</w:t>
            </w:r>
            <w:r>
              <w:rPr>
                <w:rStyle w:val="IndexLink"/>
                <w:rtl w:val="true"/>
              </w:rPr>
              <w:t>حكم مني ما لا نفس له</w:t>
            </w:r>
            <w:r>
              <w:rPr>
                <w:rStyle w:val="IndexLink"/>
                <w:rtl w:val="true"/>
              </w:rPr>
              <w:t>] ...</w:t>
              <w:tab/>
            </w:r>
            <w:r>
              <w:rPr>
                <w:rStyle w:val="IndexLink"/>
              </w:rPr>
              <w:t>292</w:t>
            </w:r>
          </w:hyperlink>
        </w:p>
        <w:p>
          <w:pPr>
            <w:pStyle w:val="Contents2"/>
            <w:tabs>
              <w:tab w:val="clear" w:pos="8743"/>
              <w:tab w:val="right" w:pos="9026" w:leader="dot"/>
            </w:tabs>
            <w:rPr/>
          </w:pPr>
          <w:hyperlink w:anchor="__RefHeading___Toc3322600_2870459653">
            <w:r>
              <w:rPr>
                <w:webHidden/>
                <w:rStyle w:val="IndexLink"/>
                <w:rtl w:val="true"/>
              </w:rPr>
              <w:t>[</w:t>
            </w:r>
            <w:r>
              <w:rPr>
                <w:rStyle w:val="IndexLink"/>
                <w:rtl w:val="true"/>
              </w:rPr>
              <w:t>حكم الدم المسفوح</w:t>
            </w:r>
            <w:r>
              <w:rPr>
                <w:rStyle w:val="IndexLink"/>
                <w:rtl w:val="true"/>
              </w:rPr>
              <w:t>]</w:t>
              <w:tab/>
            </w:r>
            <w:r>
              <w:rPr>
                <w:rStyle w:val="IndexLink"/>
              </w:rPr>
              <w:t>293</w:t>
            </w:r>
          </w:hyperlink>
        </w:p>
        <w:p>
          <w:pPr>
            <w:pStyle w:val="Contents2"/>
            <w:tabs>
              <w:tab w:val="clear" w:pos="8743"/>
              <w:tab w:val="right" w:pos="9026" w:leader="dot"/>
            </w:tabs>
            <w:rPr/>
          </w:pPr>
          <w:hyperlink w:anchor="__RefHeading___Toc3322602_2870459653">
            <w:r>
              <w:rPr>
                <w:webHidden/>
                <w:rStyle w:val="IndexLink"/>
                <w:rtl w:val="true"/>
              </w:rPr>
              <w:t>[</w:t>
            </w:r>
            <w:r>
              <w:rPr>
                <w:rStyle w:val="IndexLink"/>
                <w:rtl w:val="true"/>
              </w:rPr>
              <w:t>المستثنيات من أصل نجاسة مطلق الدم</w:t>
            </w:r>
            <w:r>
              <w:rPr>
                <w:rStyle w:val="IndexLink"/>
                <w:rtl w:val="true"/>
              </w:rPr>
              <w:t>]</w:t>
              <w:tab/>
            </w:r>
            <w:r>
              <w:rPr>
                <w:rStyle w:val="IndexLink"/>
              </w:rPr>
              <w:t>295</w:t>
            </w:r>
          </w:hyperlink>
        </w:p>
        <w:p>
          <w:pPr>
            <w:pStyle w:val="Contents2"/>
            <w:tabs>
              <w:tab w:val="clear" w:pos="8743"/>
              <w:tab w:val="right" w:pos="9026" w:leader="dot"/>
            </w:tabs>
            <w:rPr/>
          </w:pPr>
          <w:hyperlink w:anchor="__RefHeading___Toc3322604_2870459653">
            <w:r>
              <w:rPr>
                <w:webHidden/>
                <w:rStyle w:val="IndexLink"/>
                <w:rtl w:val="true"/>
              </w:rPr>
              <w:t>[</w:t>
            </w:r>
            <w:r>
              <w:rPr>
                <w:rStyle w:val="IndexLink"/>
                <w:rtl w:val="true"/>
              </w:rPr>
              <w:t>أقسام ذي النفس</w:t>
            </w:r>
            <w:r>
              <w:rPr>
                <w:rStyle w:val="IndexLink"/>
                <w:rtl w:val="true"/>
              </w:rPr>
              <w:t>]</w:t>
              <w:tab/>
            </w:r>
            <w:r>
              <w:rPr>
                <w:rStyle w:val="IndexLink"/>
              </w:rPr>
              <w:t>309</w:t>
            </w:r>
          </w:hyperlink>
        </w:p>
        <w:p>
          <w:pPr>
            <w:pStyle w:val="Contents2"/>
            <w:tabs>
              <w:tab w:val="clear" w:pos="8743"/>
              <w:tab w:val="right" w:pos="9026" w:leader="dot"/>
            </w:tabs>
            <w:rPr/>
          </w:pPr>
          <w:hyperlink w:anchor="__RefHeading___Toc3322606_2870459653">
            <w:r>
              <w:rPr>
                <w:webHidden/>
                <w:rStyle w:val="IndexLink"/>
                <w:rtl w:val="true"/>
              </w:rPr>
              <w:t>[</w:t>
            </w:r>
            <w:r>
              <w:rPr>
                <w:rStyle w:val="IndexLink"/>
                <w:rtl w:val="true"/>
              </w:rPr>
              <w:t>الانتفاع بالميتة</w:t>
            </w:r>
            <w:r>
              <w:rPr>
                <w:rStyle w:val="IndexLink"/>
                <w:rtl w:val="true"/>
              </w:rPr>
              <w:t>]</w:t>
              <w:tab/>
            </w:r>
            <w:r>
              <w:rPr>
                <w:rStyle w:val="IndexLink"/>
              </w:rPr>
              <w:t>310</w:t>
            </w:r>
          </w:hyperlink>
        </w:p>
        <w:p>
          <w:pPr>
            <w:pStyle w:val="Contents2"/>
            <w:tabs>
              <w:tab w:val="clear" w:pos="8743"/>
              <w:tab w:val="right" w:pos="9026" w:leader="dot"/>
            </w:tabs>
            <w:rPr/>
          </w:pPr>
          <w:hyperlink w:anchor="__RefHeading___Toc3322608_2870459653">
            <w:r>
              <w:rPr>
                <w:webHidden/>
                <w:rStyle w:val="IndexLink"/>
                <w:rtl w:val="true"/>
              </w:rPr>
              <w:t>[</w:t>
            </w:r>
            <w:r>
              <w:rPr>
                <w:rStyle w:val="IndexLink"/>
                <w:rtl w:val="true"/>
              </w:rPr>
              <w:t>استثناء جسد النبي و الأئمة و البتول</w:t>
            </w:r>
            <w:r>
              <w:rPr>
                <w:rStyle w:val="IndexLink"/>
                <w:rtl w:val="true"/>
              </w:rPr>
              <w:t>]</w:t>
              <w:tab/>
            </w:r>
            <w:r>
              <w:rPr>
                <w:rStyle w:val="IndexLink"/>
              </w:rPr>
              <w:t>318</w:t>
            </w:r>
          </w:hyperlink>
        </w:p>
        <w:p>
          <w:pPr>
            <w:pStyle w:val="Contents2"/>
            <w:tabs>
              <w:tab w:val="clear" w:pos="8743"/>
              <w:tab w:val="right" w:pos="9026" w:leader="dot"/>
            </w:tabs>
            <w:rPr/>
          </w:pPr>
          <w:hyperlink w:anchor="__RefHeading___Toc3322610_2870459653">
            <w:r>
              <w:rPr>
                <w:webHidden/>
                <w:rStyle w:val="IndexLink"/>
                <w:rtl w:val="true"/>
              </w:rPr>
              <w:t>[</w:t>
            </w:r>
            <w:r>
              <w:rPr>
                <w:rStyle w:val="IndexLink"/>
                <w:rtl w:val="true"/>
              </w:rPr>
              <w:t>طهارة الإنفحة</w:t>
            </w:r>
            <w:r>
              <w:rPr>
                <w:rStyle w:val="IndexLink"/>
                <w:rtl w:val="true"/>
              </w:rPr>
              <w:t>]</w:t>
              <w:tab/>
            </w:r>
            <w:r>
              <w:rPr>
                <w:rStyle w:val="IndexLink"/>
              </w:rPr>
              <w:t>325</w:t>
            </w:r>
          </w:hyperlink>
        </w:p>
        <w:p>
          <w:pPr>
            <w:pStyle w:val="Contents2"/>
            <w:tabs>
              <w:tab w:val="clear" w:pos="8743"/>
              <w:tab w:val="right" w:pos="9026" w:leader="dot"/>
            </w:tabs>
            <w:rPr/>
          </w:pPr>
          <w:hyperlink w:anchor="__RefHeading___Toc3322612_2870459653">
            <w:r>
              <w:rPr>
                <w:webHidden/>
                <w:rStyle w:val="IndexLink"/>
                <w:rtl w:val="true"/>
              </w:rPr>
              <w:t>[</w:t>
            </w:r>
            <w:r>
              <w:rPr>
                <w:rStyle w:val="IndexLink"/>
                <w:rtl w:val="true"/>
              </w:rPr>
              <w:t>نجاسة الجنين</w:t>
            </w:r>
            <w:r>
              <w:rPr>
                <w:rStyle w:val="IndexLink"/>
                <w:rtl w:val="true"/>
              </w:rPr>
              <w:t>]</w:t>
              <w:tab/>
            </w:r>
            <w:r>
              <w:rPr>
                <w:rStyle w:val="IndexLink"/>
              </w:rPr>
              <w:t>328</w:t>
            </w:r>
          </w:hyperlink>
        </w:p>
        <w:p>
          <w:pPr>
            <w:pStyle w:val="Contents2"/>
            <w:tabs>
              <w:tab w:val="clear" w:pos="8743"/>
              <w:tab w:val="right" w:pos="9026" w:leader="dot"/>
            </w:tabs>
            <w:rPr/>
          </w:pPr>
          <w:hyperlink w:anchor="__RefHeading___Toc3322614_2870459653">
            <w:r>
              <w:rPr>
                <w:webHidden/>
                <w:rStyle w:val="IndexLink"/>
                <w:rtl w:val="true"/>
              </w:rPr>
              <w:t>[</w:t>
            </w:r>
            <w:r>
              <w:rPr>
                <w:rStyle w:val="IndexLink"/>
                <w:rtl w:val="true"/>
              </w:rPr>
              <w:t xml:space="preserve">ما تولد من الكلب و الخنزير </w:t>
            </w:r>
            <w:r>
              <w:rPr>
                <w:rStyle w:val="IndexLink"/>
                <w:rtl w:val="true"/>
              </w:rPr>
              <w:t>]</w:t>
              <w:tab/>
            </w:r>
            <w:r>
              <w:rPr>
                <w:rStyle w:val="IndexLink"/>
              </w:rPr>
              <w:t>331</w:t>
            </w:r>
          </w:hyperlink>
        </w:p>
        <w:p>
          <w:pPr>
            <w:pStyle w:val="Contents2"/>
            <w:tabs>
              <w:tab w:val="clear" w:pos="8743"/>
              <w:tab w:val="right" w:pos="9026" w:leader="dot"/>
            </w:tabs>
            <w:rPr/>
          </w:pPr>
          <w:hyperlink w:anchor="__RefHeading___Toc3322616_2870459653">
            <w:r>
              <w:rPr>
                <w:webHidden/>
                <w:rStyle w:val="IndexLink"/>
                <w:rtl w:val="true"/>
              </w:rPr>
              <w:t>[</w:t>
            </w:r>
            <w:r>
              <w:rPr>
                <w:rStyle w:val="IndexLink"/>
                <w:rtl w:val="true"/>
              </w:rPr>
              <w:t>ضابط الكفر</w:t>
            </w:r>
            <w:r>
              <w:rPr>
                <w:rStyle w:val="IndexLink"/>
                <w:rtl w:val="true"/>
              </w:rPr>
              <w:t>]</w:t>
              <w:tab/>
            </w:r>
            <w:r>
              <w:rPr>
                <w:rStyle w:val="IndexLink"/>
              </w:rPr>
              <w:t>335</w:t>
            </w:r>
          </w:hyperlink>
        </w:p>
        <w:p>
          <w:pPr>
            <w:pStyle w:val="Contents2"/>
            <w:tabs>
              <w:tab w:val="clear" w:pos="8743"/>
              <w:tab w:val="right" w:pos="9026" w:leader="dot"/>
            </w:tabs>
            <w:rPr/>
          </w:pPr>
          <w:hyperlink w:anchor="__RefHeading___Toc3322618_2870459653">
            <w:r>
              <w:rPr>
                <w:webHidden/>
                <w:rStyle w:val="IndexLink"/>
                <w:rtl w:val="true"/>
              </w:rPr>
              <w:t>[</w:t>
            </w:r>
            <w:r>
              <w:rPr>
                <w:rStyle w:val="IndexLink"/>
                <w:rtl w:val="true"/>
              </w:rPr>
              <w:t>نجاسة أولاد الكفار</w:t>
            </w:r>
            <w:r>
              <w:rPr>
                <w:rStyle w:val="IndexLink"/>
                <w:rtl w:val="true"/>
              </w:rPr>
              <w:t>]</w:t>
              <w:tab/>
            </w:r>
            <w:r>
              <w:rPr>
                <w:rStyle w:val="IndexLink"/>
              </w:rPr>
              <w:t>339</w:t>
            </w:r>
          </w:hyperlink>
        </w:p>
        <w:p>
          <w:pPr>
            <w:pStyle w:val="Contents2"/>
            <w:tabs>
              <w:tab w:val="clear" w:pos="8743"/>
              <w:tab w:val="right" w:pos="9026" w:leader="dot"/>
            </w:tabs>
            <w:rPr/>
          </w:pPr>
          <w:hyperlink w:anchor="__RefHeading___Toc3322620_2870459653">
            <w:r>
              <w:rPr>
                <w:webHidden/>
                <w:rStyle w:val="IndexLink"/>
                <w:rtl w:val="true"/>
              </w:rPr>
              <w:t>[</w:t>
            </w:r>
            <w:r>
              <w:rPr>
                <w:rStyle w:val="IndexLink"/>
                <w:rtl w:val="true"/>
              </w:rPr>
              <w:t>النواصب و الخوارج</w:t>
            </w:r>
            <w:r>
              <w:rPr>
                <w:rStyle w:val="IndexLink"/>
                <w:rtl w:val="true"/>
              </w:rPr>
              <w:t>]</w:t>
              <w:tab/>
            </w:r>
            <w:r>
              <w:rPr>
                <w:rStyle w:val="IndexLink"/>
              </w:rPr>
              <w:t>349</w:t>
            </w:r>
          </w:hyperlink>
        </w:p>
        <w:p>
          <w:pPr>
            <w:pStyle w:val="Contents2"/>
            <w:tabs>
              <w:tab w:val="clear" w:pos="8743"/>
              <w:tab w:val="right" w:pos="9026" w:leader="dot"/>
            </w:tabs>
            <w:rPr/>
          </w:pPr>
          <w:hyperlink w:anchor="__RefHeading___Toc3322622_2870459653">
            <w:r>
              <w:rPr>
                <w:webHidden/>
                <w:rStyle w:val="IndexLink"/>
                <w:rtl w:val="true"/>
              </w:rPr>
              <w:t>[</w:t>
            </w:r>
            <w:r>
              <w:rPr>
                <w:rStyle w:val="IndexLink"/>
                <w:rtl w:val="true"/>
              </w:rPr>
              <w:t>المجسّمة و المجبّرة</w:t>
            </w:r>
            <w:r>
              <w:rPr>
                <w:rStyle w:val="IndexLink"/>
                <w:rtl w:val="true"/>
              </w:rPr>
              <w:t>]</w:t>
              <w:tab/>
            </w:r>
            <w:r>
              <w:rPr>
                <w:rStyle w:val="IndexLink"/>
              </w:rPr>
              <w:t>350</w:t>
            </w:r>
          </w:hyperlink>
        </w:p>
        <w:p>
          <w:pPr>
            <w:pStyle w:val="Contents2"/>
            <w:tabs>
              <w:tab w:val="clear" w:pos="8743"/>
              <w:tab w:val="right" w:pos="9026" w:leader="dot"/>
            </w:tabs>
            <w:rPr/>
          </w:pPr>
          <w:hyperlink w:anchor="__RefHeading___Toc3322624_2870459653">
            <w:r>
              <w:rPr>
                <w:webHidden/>
                <w:rStyle w:val="IndexLink"/>
                <w:rtl w:val="true"/>
              </w:rPr>
              <w:t>[</w:t>
            </w:r>
            <w:r>
              <w:rPr>
                <w:rStyle w:val="IndexLink"/>
                <w:rtl w:val="true"/>
              </w:rPr>
              <w:t>العصير العنبي</w:t>
            </w:r>
            <w:r>
              <w:rPr>
                <w:rStyle w:val="IndexLink"/>
                <w:rtl w:val="true"/>
              </w:rPr>
              <w:t>]</w:t>
              <w:tab/>
            </w:r>
            <w:r>
              <w:rPr>
                <w:rStyle w:val="IndexLink"/>
              </w:rPr>
              <w:t>356</w:t>
            </w:r>
          </w:hyperlink>
        </w:p>
        <w:p>
          <w:pPr>
            <w:pStyle w:val="Contents2"/>
            <w:tabs>
              <w:tab w:val="clear" w:pos="8743"/>
              <w:tab w:val="right" w:pos="9026" w:leader="dot"/>
            </w:tabs>
            <w:rPr/>
          </w:pPr>
          <w:hyperlink w:anchor="__RefHeading___Toc3322626_2870459653">
            <w:r>
              <w:rPr>
                <w:webHidden/>
                <w:rStyle w:val="IndexLink"/>
                <w:rtl w:val="true"/>
              </w:rPr>
              <w:t>[</w:t>
            </w:r>
            <w:r>
              <w:rPr>
                <w:rStyle w:val="IndexLink"/>
                <w:rtl w:val="true"/>
              </w:rPr>
              <w:t>طهارة عصير الزبيب و التمر</w:t>
            </w:r>
            <w:r>
              <w:rPr>
                <w:rStyle w:val="IndexLink"/>
                <w:rtl w:val="true"/>
              </w:rPr>
              <w:t>]</w:t>
              <w:tab/>
            </w:r>
            <w:r>
              <w:rPr>
                <w:rStyle w:val="IndexLink"/>
              </w:rPr>
              <w:t>363</w:t>
            </w:r>
          </w:hyperlink>
        </w:p>
        <w:p>
          <w:pPr>
            <w:pStyle w:val="Contents2"/>
            <w:tabs>
              <w:tab w:val="clear" w:pos="8743"/>
              <w:tab w:val="right" w:pos="9026" w:leader="dot"/>
            </w:tabs>
            <w:rPr/>
          </w:pPr>
          <w:hyperlink w:anchor="__RefHeading___Toc3322628_2870459653">
            <w:r>
              <w:rPr>
                <w:webHidden/>
                <w:rStyle w:val="IndexLink"/>
                <w:rtl w:val="true"/>
              </w:rPr>
              <w:t>[</w:t>
            </w:r>
            <w:r>
              <w:rPr>
                <w:rStyle w:val="IndexLink"/>
                <w:rtl w:val="true"/>
              </w:rPr>
              <w:t>وجوب إزالة النجاسة</w:t>
            </w:r>
            <w:r>
              <w:rPr>
                <w:rStyle w:val="IndexLink"/>
                <w:rtl w:val="true"/>
              </w:rPr>
              <w:t>]</w:t>
              <w:tab/>
            </w:r>
            <w:r>
              <w:rPr>
                <w:rStyle w:val="IndexLink"/>
              </w:rPr>
              <w:t>364</w:t>
            </w:r>
          </w:hyperlink>
        </w:p>
        <w:p>
          <w:pPr>
            <w:pStyle w:val="Contents2"/>
            <w:tabs>
              <w:tab w:val="clear" w:pos="8743"/>
              <w:tab w:val="right" w:pos="9026" w:leader="dot"/>
            </w:tabs>
            <w:rPr/>
          </w:pPr>
          <w:hyperlink w:anchor="__RefHeading___Toc3322630_2870459653">
            <w:r>
              <w:rPr>
                <w:webHidden/>
                <w:rStyle w:val="IndexLink"/>
                <w:rtl w:val="true"/>
              </w:rPr>
              <w:t>[</w:t>
            </w:r>
            <w:r>
              <w:rPr>
                <w:rStyle w:val="IndexLink"/>
                <w:rtl w:val="true"/>
              </w:rPr>
              <w:t>المعفو عنه من النجاسات</w:t>
            </w:r>
            <w:r>
              <w:rPr>
                <w:rStyle w:val="IndexLink"/>
                <w:rtl w:val="true"/>
              </w:rPr>
              <w:t xml:space="preserve">: </w:t>
            </w:r>
            <w:r>
              <w:rPr>
                <w:rStyle w:val="IndexLink"/>
                <w:rtl w:val="true"/>
              </w:rPr>
              <w:t>الدم</w:t>
            </w:r>
            <w:r>
              <w:rPr>
                <w:rStyle w:val="IndexLink"/>
                <w:rtl w:val="true"/>
              </w:rPr>
              <w:t>]</w:t>
              <w:tab/>
            </w:r>
            <w:r>
              <w:rPr>
                <w:rStyle w:val="IndexLink"/>
              </w:rPr>
              <w:t>372</w:t>
            </w:r>
          </w:hyperlink>
        </w:p>
        <w:p>
          <w:pPr>
            <w:pStyle w:val="Contents2"/>
            <w:tabs>
              <w:tab w:val="clear" w:pos="8743"/>
              <w:tab w:val="right" w:pos="9026" w:leader="dot"/>
            </w:tabs>
            <w:rPr/>
          </w:pPr>
          <w:hyperlink w:anchor="__RefHeading___Toc3322632_2870459653">
            <w:r>
              <w:rPr>
                <w:webHidden/>
                <w:rStyle w:val="IndexLink"/>
                <w:rtl w:val="true"/>
              </w:rPr>
              <w:t>[</w:t>
            </w:r>
            <w:r>
              <w:rPr>
                <w:rStyle w:val="IndexLink"/>
                <w:rtl w:val="true"/>
              </w:rPr>
              <w:t>مقدار الدم المعفو عنه</w:t>
            </w:r>
            <w:r>
              <w:rPr>
                <w:rStyle w:val="IndexLink"/>
                <w:rtl w:val="true"/>
              </w:rPr>
              <w:t>]</w:t>
              <w:tab/>
            </w:r>
            <w:r>
              <w:rPr>
                <w:rStyle w:val="IndexLink"/>
              </w:rPr>
              <w:t>378</w:t>
            </w:r>
          </w:hyperlink>
        </w:p>
        <w:p>
          <w:pPr>
            <w:pStyle w:val="Contents2"/>
            <w:tabs>
              <w:tab w:val="clear" w:pos="8743"/>
              <w:tab w:val="right" w:pos="9026" w:leader="dot"/>
            </w:tabs>
            <w:rPr/>
          </w:pPr>
          <w:hyperlink w:anchor="__RefHeading___Toc3322634_2870459653">
            <w:r>
              <w:rPr>
                <w:webHidden/>
                <w:rStyle w:val="IndexLink"/>
                <w:rtl w:val="true"/>
              </w:rPr>
              <w:t>[</w:t>
            </w:r>
            <w:r>
              <w:rPr>
                <w:rStyle w:val="IndexLink"/>
                <w:rtl w:val="true"/>
              </w:rPr>
              <w:t>عدم استثناء الدماء الثلاثة</w:t>
            </w:r>
            <w:r>
              <w:rPr>
                <w:rStyle w:val="IndexLink"/>
                <w:rtl w:val="true"/>
              </w:rPr>
              <w:t>]</w:t>
              <w:tab/>
            </w:r>
            <w:r>
              <w:rPr>
                <w:rStyle w:val="IndexLink"/>
              </w:rPr>
              <w:t>380</w:t>
            </w:r>
          </w:hyperlink>
        </w:p>
        <w:p>
          <w:pPr>
            <w:pStyle w:val="Contents2"/>
            <w:tabs>
              <w:tab w:val="clear" w:pos="8743"/>
              <w:tab w:val="right" w:pos="9026" w:leader="dot"/>
            </w:tabs>
            <w:rPr/>
          </w:pPr>
          <w:hyperlink w:anchor="__RefHeading___Toc3322636_2870459653">
            <w:r>
              <w:rPr>
                <w:webHidden/>
                <w:rStyle w:val="IndexLink"/>
                <w:rtl w:val="true"/>
              </w:rPr>
              <w:t>[</w:t>
            </w:r>
            <w:r>
              <w:rPr>
                <w:rStyle w:val="IndexLink"/>
                <w:rtl w:val="true"/>
              </w:rPr>
              <w:t>إلحاق دم نجس العين بالدماء الثلاثة</w:t>
            </w:r>
            <w:r>
              <w:rPr>
                <w:rStyle w:val="IndexLink"/>
                <w:rtl w:val="true"/>
              </w:rPr>
              <w:t>]</w:t>
              <w:tab/>
            </w:r>
            <w:r>
              <w:rPr>
                <w:rStyle w:val="IndexLink"/>
              </w:rPr>
              <w:t>382</w:t>
            </w:r>
          </w:hyperlink>
        </w:p>
        <w:p>
          <w:pPr>
            <w:pStyle w:val="Contents2"/>
            <w:tabs>
              <w:tab w:val="clear" w:pos="8743"/>
              <w:tab w:val="right" w:pos="9026" w:leader="dot"/>
            </w:tabs>
            <w:rPr/>
          </w:pPr>
          <w:hyperlink w:anchor="__RefHeading___Toc3322638_2870459653">
            <w:r>
              <w:rPr>
                <w:webHidden/>
                <w:rStyle w:val="IndexLink"/>
                <w:rtl w:val="true"/>
              </w:rPr>
              <w:t>[</w:t>
            </w:r>
            <w:r>
              <w:rPr>
                <w:rStyle w:val="IndexLink"/>
                <w:rtl w:val="true"/>
              </w:rPr>
              <w:t>كيفية غسل الثوب</w:t>
            </w:r>
            <w:r>
              <w:rPr>
                <w:rStyle w:val="IndexLink"/>
                <w:rtl w:val="true"/>
              </w:rPr>
              <w:t>]</w:t>
              <w:tab/>
            </w:r>
            <w:r>
              <w:rPr>
                <w:rStyle w:val="IndexLink"/>
              </w:rPr>
              <w:t>398</w:t>
            </w:r>
          </w:hyperlink>
        </w:p>
        <w:p>
          <w:pPr>
            <w:pStyle w:val="Contents2"/>
            <w:tabs>
              <w:tab w:val="clear" w:pos="8743"/>
              <w:tab w:val="right" w:pos="9026" w:leader="dot"/>
            </w:tabs>
            <w:rPr/>
          </w:pPr>
          <w:hyperlink w:anchor="__RefHeading___Toc3322640_2870459653">
            <w:r>
              <w:rPr>
                <w:webHidden/>
                <w:rStyle w:val="IndexLink"/>
                <w:rtl w:val="true"/>
              </w:rPr>
              <w:t>[</w:t>
            </w:r>
            <w:r>
              <w:rPr>
                <w:rStyle w:val="IndexLink"/>
                <w:rtl w:val="true"/>
              </w:rPr>
              <w:t>بول الرضيع</w:t>
            </w:r>
            <w:r>
              <w:rPr>
                <w:rStyle w:val="IndexLink"/>
                <w:rtl w:val="true"/>
              </w:rPr>
              <w:t>]</w:t>
              <w:tab/>
            </w:r>
            <w:r>
              <w:rPr>
                <w:rStyle w:val="IndexLink"/>
              </w:rPr>
              <w:t>407</w:t>
            </w:r>
          </w:hyperlink>
        </w:p>
        <w:p>
          <w:pPr>
            <w:pStyle w:val="Contents2"/>
            <w:tabs>
              <w:tab w:val="clear" w:pos="8743"/>
              <w:tab w:val="right" w:pos="9026" w:leader="dot"/>
            </w:tabs>
            <w:rPr/>
          </w:pPr>
          <w:hyperlink w:anchor="__RefHeading___Toc3322642_2870459653">
            <w:r>
              <w:rPr>
                <w:webHidden/>
                <w:rStyle w:val="IndexLink"/>
                <w:rtl w:val="true"/>
              </w:rPr>
              <w:t>[</w:t>
            </w:r>
            <w:r>
              <w:rPr>
                <w:rStyle w:val="IndexLink"/>
                <w:rtl w:val="true"/>
              </w:rPr>
              <w:t>طرق ثبوت النجاسة</w:t>
            </w:r>
            <w:r>
              <w:rPr>
                <w:rStyle w:val="IndexLink"/>
                <w:rtl w:val="true"/>
              </w:rPr>
              <w:t>]</w:t>
              <w:tab/>
            </w:r>
            <w:r>
              <w:rPr>
                <w:rStyle w:val="IndexLink"/>
              </w:rPr>
              <w:t>423</w:t>
            </w:r>
          </w:hyperlink>
        </w:p>
        <w:p>
          <w:pPr>
            <w:pStyle w:val="Contents2"/>
            <w:tabs>
              <w:tab w:val="clear" w:pos="8743"/>
              <w:tab w:val="right" w:pos="9026" w:leader="dot"/>
            </w:tabs>
            <w:rPr/>
          </w:pPr>
          <w:hyperlink w:anchor="__RefHeading___Toc3322644_2870459653">
            <w:r>
              <w:rPr>
                <w:webHidden/>
                <w:rStyle w:val="IndexLink"/>
                <w:rtl w:val="true"/>
              </w:rPr>
              <w:t>[</w:t>
            </w:r>
            <w:r>
              <w:rPr>
                <w:rStyle w:val="IndexLink"/>
                <w:rtl w:val="true"/>
              </w:rPr>
              <w:t>ماء الغسالة</w:t>
            </w:r>
            <w:r>
              <w:rPr>
                <w:rStyle w:val="IndexLink"/>
                <w:rtl w:val="true"/>
              </w:rPr>
              <w:t>]</w:t>
              <w:tab/>
            </w:r>
            <w:r>
              <w:rPr>
                <w:rStyle w:val="IndexLink"/>
              </w:rPr>
              <w:t>424</w:t>
            </w:r>
          </w:hyperlink>
        </w:p>
        <w:p>
          <w:pPr>
            <w:pStyle w:val="Contents2"/>
            <w:tabs>
              <w:tab w:val="clear" w:pos="8743"/>
              <w:tab w:val="right" w:pos="9026" w:leader="dot"/>
            </w:tabs>
            <w:rPr/>
          </w:pPr>
          <w:hyperlink w:anchor="__RefHeading___Toc3322646_2870459653">
            <w:r>
              <w:rPr>
                <w:webHidden/>
                <w:rStyle w:val="IndexLink"/>
                <w:rtl w:val="true"/>
              </w:rPr>
              <w:t>[</w:t>
            </w:r>
            <w:r>
              <w:rPr>
                <w:rStyle w:val="IndexLink"/>
                <w:rtl w:val="true"/>
              </w:rPr>
              <w:t>ماء الاستنجاء</w:t>
            </w:r>
            <w:r>
              <w:rPr>
                <w:rStyle w:val="IndexLink"/>
                <w:rtl w:val="true"/>
              </w:rPr>
              <w:t>]</w:t>
              <w:tab/>
            </w:r>
            <w:r>
              <w:rPr>
                <w:rStyle w:val="IndexLink"/>
              </w:rPr>
              <w:t>446</w:t>
            </w:r>
          </w:hyperlink>
        </w:p>
        <w:p>
          <w:pPr>
            <w:pStyle w:val="Contents2"/>
            <w:tabs>
              <w:tab w:val="clear" w:pos="8743"/>
              <w:tab w:val="right" w:pos="9026" w:leader="dot"/>
            </w:tabs>
            <w:rPr/>
          </w:pPr>
          <w:hyperlink w:anchor="__RefHeading___Toc3322648_2870459653">
            <w:r>
              <w:rPr>
                <w:webHidden/>
                <w:rStyle w:val="IndexLink"/>
                <w:rtl w:val="true"/>
              </w:rPr>
              <w:t>[</w:t>
            </w:r>
            <w:r>
              <w:rPr>
                <w:rStyle w:val="IndexLink"/>
                <w:rtl w:val="true"/>
              </w:rPr>
              <w:t>المطهّرات</w:t>
            </w:r>
            <w:r>
              <w:rPr>
                <w:rStyle w:val="IndexLink"/>
                <w:rtl w:val="true"/>
              </w:rPr>
              <w:t>]</w:t>
              <w:tab/>
            </w:r>
            <w:r>
              <w:rPr>
                <w:rStyle w:val="IndexLink"/>
              </w:rPr>
              <w:t>453</w:t>
            </w:r>
          </w:hyperlink>
        </w:p>
        <w:p>
          <w:pPr>
            <w:pStyle w:val="Contents2"/>
            <w:tabs>
              <w:tab w:val="clear" w:pos="8743"/>
              <w:tab w:val="right" w:pos="9026" w:leader="dot"/>
            </w:tabs>
            <w:rPr/>
          </w:pPr>
          <w:hyperlink w:anchor="__RefHeading___Toc3322650_2870459653">
            <w:r>
              <w:rPr>
                <w:webHidden/>
                <w:rStyle w:val="IndexLink"/>
                <w:rtl w:val="true"/>
              </w:rPr>
              <w:t>[</w:t>
            </w:r>
            <w:r>
              <w:rPr>
                <w:rStyle w:val="IndexLink"/>
                <w:rtl w:val="true"/>
              </w:rPr>
              <w:t>فصول الطهّارة</w:t>
            </w:r>
            <w:r>
              <w:rPr>
                <w:rStyle w:val="IndexLink"/>
                <w:rtl w:val="true"/>
              </w:rPr>
              <w:t>]</w:t>
              <w:tab/>
            </w:r>
            <w:r>
              <w:rPr>
                <w:rStyle w:val="IndexLink"/>
              </w:rPr>
              <w:t>486</w:t>
            </w:r>
          </w:hyperlink>
        </w:p>
        <w:p>
          <w:pPr>
            <w:pStyle w:val="Contents2"/>
            <w:tabs>
              <w:tab w:val="clear" w:pos="8743"/>
              <w:tab w:val="right" w:pos="9026" w:leader="dot"/>
            </w:tabs>
            <w:rPr/>
          </w:pPr>
          <w:hyperlink w:anchor="__RefHeading___Toc3322652_2870459653">
            <w:r>
              <w:rPr>
                <w:webHidden/>
                <w:rStyle w:val="IndexLink"/>
                <w:rtl w:val="true"/>
              </w:rPr>
              <w:t>[</w:t>
            </w:r>
            <w:r>
              <w:rPr>
                <w:rStyle w:val="IndexLink"/>
                <w:rtl w:val="true"/>
              </w:rPr>
              <w:t>الفصل</w:t>
            </w:r>
            <w:r>
              <w:rPr>
                <w:rStyle w:val="IndexLink"/>
                <w:rtl w:val="true"/>
              </w:rPr>
              <w:t xml:space="preserve">] </w:t>
            </w:r>
            <w:r>
              <w:rPr>
                <w:rStyle w:val="IndexLink"/>
                <w:rtl w:val="true"/>
              </w:rPr>
              <w:t>الأوّل</w:t>
            </w:r>
            <w:r>
              <w:rPr>
                <w:rStyle w:val="IndexLink"/>
                <w:rtl w:val="true"/>
              </w:rPr>
              <w:tab/>
            </w:r>
            <w:r>
              <w:rPr>
                <w:rStyle w:val="IndexLink"/>
              </w:rPr>
              <w:t>486</w:t>
            </w:r>
          </w:hyperlink>
        </w:p>
        <w:p>
          <w:pPr>
            <w:pStyle w:val="Contents2"/>
            <w:tabs>
              <w:tab w:val="clear" w:pos="8743"/>
              <w:tab w:val="right" w:pos="9026" w:leader="dot"/>
            </w:tabs>
            <w:rPr/>
          </w:pPr>
          <w:hyperlink w:anchor="__RefHeading___Toc3322654_2870459653">
            <w:r>
              <w:rPr>
                <w:webHidden/>
                <w:rStyle w:val="IndexLink"/>
                <w:rtl w:val="true"/>
              </w:rPr>
              <w:t>[</w:t>
            </w:r>
            <w:r>
              <w:rPr>
                <w:rStyle w:val="IndexLink"/>
                <w:rtl w:val="true"/>
              </w:rPr>
              <w:t>موجبات الوضوء</w:t>
            </w:r>
            <w:r>
              <w:rPr>
                <w:rStyle w:val="IndexLink"/>
                <w:rtl w:val="true"/>
              </w:rPr>
              <w:t>]</w:t>
              <w:tab/>
            </w:r>
            <w:r>
              <w:rPr>
                <w:rStyle w:val="IndexLink"/>
              </w:rPr>
              <w:t>487</w:t>
            </w:r>
          </w:hyperlink>
        </w:p>
        <w:p>
          <w:pPr>
            <w:pStyle w:val="Contents2"/>
            <w:tabs>
              <w:tab w:val="clear" w:pos="8743"/>
              <w:tab w:val="right" w:pos="9026" w:leader="dot"/>
            </w:tabs>
            <w:rPr/>
          </w:pPr>
          <w:hyperlink w:anchor="__RefHeading___Toc3322656_2870459653">
            <w:r>
              <w:rPr>
                <w:webHidden/>
                <w:rStyle w:val="IndexLink"/>
                <w:rtl w:val="true"/>
              </w:rPr>
              <w:t>[</w:t>
            </w:r>
            <w:r>
              <w:rPr>
                <w:rStyle w:val="IndexLink"/>
                <w:rtl w:val="true"/>
              </w:rPr>
              <w:t>واجبات الوضوء</w:t>
            </w:r>
            <w:r>
              <w:rPr>
                <w:rStyle w:val="IndexLink"/>
                <w:rtl w:val="true"/>
              </w:rPr>
              <w:t>]</w:t>
              <w:tab/>
            </w:r>
            <w:r>
              <w:rPr>
                <w:rStyle w:val="IndexLink"/>
              </w:rPr>
              <w:t>492</w:t>
            </w:r>
          </w:hyperlink>
        </w:p>
        <w:p>
          <w:pPr>
            <w:pStyle w:val="Contents2"/>
            <w:tabs>
              <w:tab w:val="clear" w:pos="8743"/>
              <w:tab w:val="right" w:pos="9026" w:leader="dot"/>
            </w:tabs>
            <w:rPr/>
          </w:pPr>
          <w:hyperlink w:anchor="__RefHeading___Toc3322658_2870459653">
            <w:r>
              <w:rPr>
                <w:webHidden/>
                <w:rStyle w:val="IndexLink"/>
                <w:rtl w:val="true"/>
              </w:rPr>
              <w:t>[</w:t>
            </w:r>
            <w:r>
              <w:rPr>
                <w:rStyle w:val="IndexLink"/>
                <w:rtl w:val="true"/>
              </w:rPr>
              <w:t>أجزاء النّية</w:t>
            </w:r>
            <w:r>
              <w:rPr>
                <w:rStyle w:val="IndexLink"/>
                <w:rtl w:val="true"/>
              </w:rPr>
              <w:t>]</w:t>
              <w:tab/>
            </w:r>
            <w:r>
              <w:rPr>
                <w:rStyle w:val="IndexLink"/>
              </w:rPr>
              <w:t>497</w:t>
            </w:r>
          </w:hyperlink>
        </w:p>
        <w:p>
          <w:pPr>
            <w:pStyle w:val="Contents2"/>
            <w:tabs>
              <w:tab w:val="clear" w:pos="8743"/>
              <w:tab w:val="right" w:pos="9026" w:leader="dot"/>
            </w:tabs>
            <w:rPr/>
          </w:pPr>
          <w:hyperlink w:anchor="__RefHeading___Toc3322660_2870459653">
            <w:r>
              <w:rPr>
                <w:webHidden/>
                <w:rStyle w:val="IndexLink"/>
                <w:rtl w:val="true"/>
              </w:rPr>
              <w:t>[</w:t>
            </w:r>
            <w:r>
              <w:rPr>
                <w:rStyle w:val="IndexLink"/>
                <w:rtl w:val="true"/>
              </w:rPr>
              <w:t>الأوّل</w:t>
            </w:r>
            <w:r>
              <w:rPr>
                <w:rStyle w:val="IndexLink"/>
                <w:rtl w:val="true"/>
              </w:rPr>
              <w:t xml:space="preserve">: </w:t>
            </w:r>
            <w:r>
              <w:rPr>
                <w:rStyle w:val="IndexLink"/>
                <w:rtl w:val="true"/>
              </w:rPr>
              <w:t>قصد الوجوب</w:t>
            </w:r>
            <w:r>
              <w:rPr>
                <w:rStyle w:val="IndexLink"/>
                <w:rtl w:val="true"/>
              </w:rPr>
              <w:t>]</w:t>
              <w:tab/>
            </w:r>
            <w:r>
              <w:rPr>
                <w:rStyle w:val="IndexLink"/>
              </w:rPr>
              <w:t>497</w:t>
            </w:r>
          </w:hyperlink>
        </w:p>
        <w:p>
          <w:pPr>
            <w:pStyle w:val="Contents2"/>
            <w:tabs>
              <w:tab w:val="clear" w:pos="8743"/>
              <w:tab w:val="right" w:pos="9026" w:leader="dot"/>
            </w:tabs>
            <w:rPr/>
          </w:pPr>
          <w:hyperlink w:anchor="__RefHeading___Toc3322662_2870459653">
            <w:r>
              <w:rPr>
                <w:webHidden/>
                <w:rStyle w:val="IndexLink"/>
                <w:rtl w:val="true"/>
              </w:rPr>
              <w:t>[</w:t>
            </w:r>
            <w:r>
              <w:rPr>
                <w:rStyle w:val="IndexLink"/>
                <w:rtl w:val="true"/>
              </w:rPr>
              <w:t>الثاني</w:t>
            </w:r>
            <w:r>
              <w:rPr>
                <w:rStyle w:val="IndexLink"/>
                <w:rtl w:val="true"/>
              </w:rPr>
              <w:t xml:space="preserve">: </w:t>
            </w:r>
            <w:r>
              <w:rPr>
                <w:rStyle w:val="IndexLink"/>
                <w:rtl w:val="true"/>
              </w:rPr>
              <w:t>التّقرب</w:t>
            </w:r>
            <w:r>
              <w:rPr>
                <w:rStyle w:val="IndexLink"/>
                <w:rtl w:val="true"/>
              </w:rPr>
              <w:t>]</w:t>
              <w:tab/>
            </w:r>
            <w:r>
              <w:rPr>
                <w:rStyle w:val="IndexLink"/>
              </w:rPr>
              <w:t>498</w:t>
            </w:r>
          </w:hyperlink>
        </w:p>
        <w:p>
          <w:pPr>
            <w:pStyle w:val="Contents2"/>
            <w:tabs>
              <w:tab w:val="clear" w:pos="8743"/>
              <w:tab w:val="right" w:pos="9026" w:leader="dot"/>
            </w:tabs>
            <w:rPr/>
          </w:pPr>
          <w:hyperlink w:anchor="__RefHeading___Toc3322664_2870459653">
            <w:r>
              <w:rPr>
                <w:webHidden/>
                <w:rStyle w:val="IndexLink"/>
                <w:rtl w:val="true"/>
              </w:rPr>
              <w:t>[</w:t>
            </w:r>
            <w:r>
              <w:rPr>
                <w:rStyle w:val="IndexLink"/>
                <w:rtl w:val="true"/>
              </w:rPr>
              <w:t>الثّالث</w:t>
            </w:r>
            <w:r>
              <w:rPr>
                <w:rStyle w:val="IndexLink"/>
                <w:rtl w:val="true"/>
              </w:rPr>
              <w:t xml:space="preserve">: </w:t>
            </w:r>
            <w:r>
              <w:rPr>
                <w:rStyle w:val="IndexLink"/>
                <w:rtl w:val="true"/>
              </w:rPr>
              <w:t>الاستباحة</w:t>
            </w:r>
            <w:r>
              <w:rPr>
                <w:rStyle w:val="IndexLink"/>
                <w:rtl w:val="true"/>
              </w:rPr>
              <w:t>]</w:t>
              <w:tab/>
            </w:r>
            <w:r>
              <w:rPr>
                <w:rStyle w:val="IndexLink"/>
              </w:rPr>
              <w:t>499</w:t>
            </w:r>
          </w:hyperlink>
        </w:p>
        <w:p>
          <w:pPr>
            <w:pStyle w:val="Contents2"/>
            <w:tabs>
              <w:tab w:val="clear" w:pos="8743"/>
              <w:tab w:val="right" w:pos="9026" w:leader="dot"/>
            </w:tabs>
            <w:rPr/>
          </w:pPr>
          <w:hyperlink w:anchor="__RefHeading___Toc3322666_2870459653">
            <w:r>
              <w:rPr>
                <w:webHidden/>
                <w:rStyle w:val="IndexLink"/>
                <w:rtl w:val="true"/>
              </w:rPr>
              <w:t>[</w:t>
            </w:r>
            <w:r>
              <w:rPr>
                <w:rStyle w:val="IndexLink"/>
                <w:rtl w:val="true"/>
              </w:rPr>
              <w:t>الواجب الثّاني</w:t>
            </w:r>
            <w:r>
              <w:rPr>
                <w:rStyle w:val="IndexLink"/>
                <w:rtl w:val="true"/>
              </w:rPr>
              <w:t xml:space="preserve">: </w:t>
            </w:r>
            <w:r>
              <w:rPr>
                <w:rStyle w:val="IndexLink"/>
                <w:rtl w:val="true"/>
              </w:rPr>
              <w:t>جري الماء</w:t>
            </w:r>
            <w:r>
              <w:rPr>
                <w:rStyle w:val="IndexLink"/>
                <w:rtl w:val="true"/>
              </w:rPr>
              <w:t>]</w:t>
              <w:tab/>
            </w:r>
            <w:r>
              <w:rPr>
                <w:rStyle w:val="IndexLink"/>
              </w:rPr>
              <w:t>507</w:t>
            </w:r>
          </w:hyperlink>
        </w:p>
        <w:p>
          <w:pPr>
            <w:pStyle w:val="Contents2"/>
            <w:tabs>
              <w:tab w:val="clear" w:pos="8743"/>
              <w:tab w:val="right" w:pos="9026" w:leader="dot"/>
            </w:tabs>
            <w:rPr/>
          </w:pPr>
          <w:hyperlink w:anchor="__RefHeading___Toc3322668_2870459653">
            <w:r>
              <w:rPr>
                <w:webHidden/>
                <w:rStyle w:val="IndexLink"/>
                <w:rtl w:val="true"/>
              </w:rPr>
              <w:t>[</w:t>
            </w:r>
            <w:r>
              <w:rPr>
                <w:rStyle w:val="IndexLink"/>
                <w:rtl w:val="true"/>
              </w:rPr>
              <w:t>أفعال الوضوء</w:t>
            </w:r>
            <w:r>
              <w:rPr>
                <w:rStyle w:val="IndexLink"/>
                <w:rtl w:val="true"/>
              </w:rPr>
              <w:t>]</w:t>
              <w:tab/>
            </w:r>
            <w:r>
              <w:rPr>
                <w:rStyle w:val="IndexLink"/>
              </w:rPr>
              <w:t>509</w:t>
            </w:r>
          </w:hyperlink>
        </w:p>
        <w:p>
          <w:pPr>
            <w:pStyle w:val="Contents2"/>
            <w:tabs>
              <w:tab w:val="clear" w:pos="8743"/>
              <w:tab w:val="right" w:pos="9026" w:leader="dot"/>
            </w:tabs>
            <w:rPr/>
          </w:pPr>
          <w:hyperlink w:anchor="__RefHeading___Toc3322670_2870459653">
            <w:r>
              <w:rPr>
                <w:webHidden/>
                <w:rStyle w:val="IndexLink"/>
                <w:rtl w:val="true"/>
              </w:rPr>
              <w:t>[</w:t>
            </w:r>
            <w:r>
              <w:rPr>
                <w:rStyle w:val="IndexLink"/>
                <w:rtl w:val="true"/>
              </w:rPr>
              <w:t>الأوّل</w:t>
            </w:r>
            <w:r>
              <w:rPr>
                <w:rStyle w:val="IndexLink"/>
                <w:rtl w:val="true"/>
              </w:rPr>
              <w:t xml:space="preserve">: </w:t>
            </w:r>
            <w:r>
              <w:rPr>
                <w:rStyle w:val="IndexLink"/>
                <w:rtl w:val="true"/>
              </w:rPr>
              <w:t>غسل الوجه</w:t>
            </w:r>
            <w:r>
              <w:rPr>
                <w:rStyle w:val="IndexLink"/>
                <w:rtl w:val="true"/>
              </w:rPr>
              <w:t>]</w:t>
              <w:tab/>
            </w:r>
            <w:r>
              <w:rPr>
                <w:rStyle w:val="IndexLink"/>
              </w:rPr>
              <w:t>509</w:t>
            </w:r>
          </w:hyperlink>
        </w:p>
        <w:p>
          <w:pPr>
            <w:pStyle w:val="Contents2"/>
            <w:tabs>
              <w:tab w:val="clear" w:pos="8743"/>
              <w:tab w:val="right" w:pos="9026" w:leader="dot"/>
            </w:tabs>
            <w:rPr/>
          </w:pPr>
          <w:hyperlink w:anchor="__RefHeading___Toc3322672_2870459653">
            <w:r>
              <w:rPr>
                <w:webHidden/>
                <w:rStyle w:val="IndexLink"/>
                <w:rtl w:val="true"/>
              </w:rPr>
              <w:t>[</w:t>
            </w:r>
            <w:r>
              <w:rPr>
                <w:rStyle w:val="IndexLink"/>
                <w:rtl w:val="true"/>
              </w:rPr>
              <w:t>الثّاني</w:t>
            </w:r>
            <w:r>
              <w:rPr>
                <w:rStyle w:val="IndexLink"/>
                <w:rtl w:val="true"/>
              </w:rPr>
              <w:t xml:space="preserve">: </w:t>
            </w:r>
            <w:r>
              <w:rPr>
                <w:rStyle w:val="IndexLink"/>
                <w:rtl w:val="true"/>
              </w:rPr>
              <w:t>غسل اليدين</w:t>
            </w:r>
            <w:r>
              <w:rPr>
                <w:rStyle w:val="IndexLink"/>
                <w:rtl w:val="true"/>
              </w:rPr>
              <w:t>]</w:t>
              <w:tab/>
            </w:r>
            <w:r>
              <w:rPr>
                <w:rStyle w:val="IndexLink"/>
              </w:rPr>
              <w:t>515</w:t>
            </w:r>
          </w:hyperlink>
        </w:p>
        <w:p>
          <w:pPr>
            <w:pStyle w:val="Contents2"/>
            <w:tabs>
              <w:tab w:val="clear" w:pos="8743"/>
              <w:tab w:val="right" w:pos="9026" w:leader="dot"/>
            </w:tabs>
            <w:rPr/>
          </w:pPr>
          <w:hyperlink w:anchor="__RefHeading___Toc3322674_2870459653">
            <w:r>
              <w:rPr>
                <w:webHidden/>
                <w:rStyle w:val="IndexLink"/>
                <w:rtl w:val="true"/>
              </w:rPr>
              <w:t>[</w:t>
            </w:r>
            <w:r>
              <w:rPr>
                <w:rStyle w:val="IndexLink"/>
                <w:rtl w:val="true"/>
              </w:rPr>
              <w:t>الثّالث</w:t>
            </w:r>
            <w:r>
              <w:rPr>
                <w:rStyle w:val="IndexLink"/>
                <w:rtl w:val="true"/>
              </w:rPr>
              <w:t xml:space="preserve">: </w:t>
            </w:r>
            <w:r>
              <w:rPr>
                <w:rStyle w:val="IndexLink"/>
                <w:rtl w:val="true"/>
              </w:rPr>
              <w:t>مسح الرأس</w:t>
            </w:r>
            <w:r>
              <w:rPr>
                <w:rStyle w:val="IndexLink"/>
                <w:rtl w:val="true"/>
              </w:rPr>
              <w:t>]</w:t>
              <w:tab/>
            </w:r>
            <w:r>
              <w:rPr>
                <w:rStyle w:val="IndexLink"/>
              </w:rPr>
              <w:t>517</w:t>
            </w:r>
          </w:hyperlink>
        </w:p>
        <w:p>
          <w:pPr>
            <w:pStyle w:val="Contents2"/>
            <w:tabs>
              <w:tab w:val="clear" w:pos="8743"/>
              <w:tab w:val="right" w:pos="9026" w:leader="dot"/>
            </w:tabs>
            <w:rPr/>
          </w:pPr>
          <w:hyperlink w:anchor="__RefHeading___Toc3322676_2870459653">
            <w:r>
              <w:rPr>
                <w:webHidden/>
                <w:rStyle w:val="IndexLink"/>
                <w:rtl w:val="true"/>
              </w:rPr>
              <w:t>[</w:t>
            </w:r>
            <w:r>
              <w:rPr>
                <w:rStyle w:val="IndexLink"/>
                <w:rtl w:val="true"/>
              </w:rPr>
              <w:t>الرّابع</w:t>
            </w:r>
            <w:r>
              <w:rPr>
                <w:rStyle w:val="IndexLink"/>
                <w:rtl w:val="true"/>
              </w:rPr>
              <w:t xml:space="preserve">: </w:t>
            </w:r>
            <w:r>
              <w:rPr>
                <w:rStyle w:val="IndexLink"/>
                <w:rtl w:val="true"/>
              </w:rPr>
              <w:t>مسح القدمين</w:t>
            </w:r>
            <w:r>
              <w:rPr>
                <w:rStyle w:val="IndexLink"/>
                <w:rtl w:val="true"/>
              </w:rPr>
              <w:t>]</w:t>
              <w:tab/>
            </w:r>
            <w:r>
              <w:rPr>
                <w:rStyle w:val="IndexLink"/>
              </w:rPr>
              <w:t>525</w:t>
            </w:r>
          </w:hyperlink>
        </w:p>
        <w:p>
          <w:pPr>
            <w:pStyle w:val="Contents2"/>
            <w:tabs>
              <w:tab w:val="clear" w:pos="8743"/>
              <w:tab w:val="right" w:pos="9026" w:leader="dot"/>
            </w:tabs>
            <w:rPr/>
          </w:pPr>
          <w:hyperlink w:anchor="__RefHeading___Toc3322678_2870459653">
            <w:r>
              <w:rPr>
                <w:webHidden/>
                <w:rStyle w:val="IndexLink"/>
                <w:rtl w:val="true"/>
              </w:rPr>
              <w:t>[</w:t>
            </w:r>
            <w:r>
              <w:rPr>
                <w:rStyle w:val="IndexLink"/>
                <w:rtl w:val="true"/>
              </w:rPr>
              <w:t>الواجب الثالث</w:t>
            </w:r>
            <w:r>
              <w:rPr>
                <w:rStyle w:val="IndexLink"/>
                <w:rtl w:val="true"/>
              </w:rPr>
              <w:t xml:space="preserve">: </w:t>
            </w:r>
            <w:r>
              <w:rPr>
                <w:rStyle w:val="IndexLink"/>
                <w:rtl w:val="true"/>
              </w:rPr>
              <w:t>التّرتيب</w:t>
            </w:r>
            <w:r>
              <w:rPr>
                <w:rStyle w:val="IndexLink"/>
                <w:rtl w:val="true"/>
              </w:rPr>
              <w:t>]</w:t>
              <w:tab/>
            </w:r>
            <w:r>
              <w:rPr>
                <w:rStyle w:val="IndexLink"/>
              </w:rPr>
              <w:t>540</w:t>
            </w:r>
          </w:hyperlink>
        </w:p>
        <w:p>
          <w:pPr>
            <w:pStyle w:val="Contents2"/>
            <w:tabs>
              <w:tab w:val="clear" w:pos="8743"/>
              <w:tab w:val="right" w:pos="9026" w:leader="dot"/>
            </w:tabs>
            <w:rPr/>
          </w:pPr>
          <w:hyperlink w:anchor="__RefHeading___Toc3322680_2870459653">
            <w:r>
              <w:rPr>
                <w:webHidden/>
                <w:rStyle w:val="IndexLink"/>
                <w:rtl w:val="true"/>
              </w:rPr>
              <w:t>[</w:t>
            </w:r>
            <w:r>
              <w:rPr>
                <w:rStyle w:val="IndexLink"/>
                <w:rtl w:val="true"/>
              </w:rPr>
              <w:t>الواجب الرّابع</w:t>
            </w:r>
            <w:r>
              <w:rPr>
                <w:rStyle w:val="IndexLink"/>
                <w:rtl w:val="true"/>
              </w:rPr>
              <w:t xml:space="preserve">: </w:t>
            </w:r>
            <w:r>
              <w:rPr>
                <w:rStyle w:val="IndexLink"/>
                <w:rtl w:val="true"/>
              </w:rPr>
              <w:t>الموالاة</w:t>
            </w:r>
            <w:r>
              <w:rPr>
                <w:rStyle w:val="IndexLink"/>
                <w:rtl w:val="true"/>
              </w:rPr>
              <w:t>]</w:t>
              <w:tab/>
            </w:r>
            <w:r>
              <w:rPr>
                <w:rStyle w:val="IndexLink"/>
              </w:rPr>
              <w:t>542</w:t>
            </w:r>
          </w:hyperlink>
        </w:p>
        <w:p>
          <w:pPr>
            <w:pStyle w:val="Contents2"/>
            <w:tabs>
              <w:tab w:val="clear" w:pos="8743"/>
              <w:tab w:val="right" w:pos="9026" w:leader="dot"/>
            </w:tabs>
            <w:rPr/>
          </w:pPr>
          <w:hyperlink w:anchor="__RefHeading___Toc3322682_2870459653">
            <w:r>
              <w:rPr>
                <w:webHidden/>
                <w:rStyle w:val="IndexLink"/>
                <w:rtl w:val="true"/>
              </w:rPr>
              <w:t>[</w:t>
            </w:r>
            <w:r>
              <w:rPr>
                <w:rStyle w:val="IndexLink"/>
                <w:rtl w:val="true"/>
              </w:rPr>
              <w:t>سنن الوضوء</w:t>
            </w:r>
            <w:r>
              <w:rPr>
                <w:rStyle w:val="IndexLink"/>
                <w:rtl w:val="true"/>
              </w:rPr>
              <w:t>]</w:t>
              <w:tab/>
            </w:r>
            <w:r>
              <w:rPr>
                <w:rStyle w:val="IndexLink"/>
              </w:rPr>
              <w:t>546</w:t>
            </w:r>
          </w:hyperlink>
        </w:p>
        <w:p>
          <w:pPr>
            <w:pStyle w:val="Contents2"/>
            <w:tabs>
              <w:tab w:val="clear" w:pos="8743"/>
              <w:tab w:val="right" w:pos="9026" w:leader="dot"/>
            </w:tabs>
            <w:rPr/>
          </w:pPr>
          <w:hyperlink w:anchor="__RefHeading___Toc3322684_2870459653">
            <w:r>
              <w:rPr>
                <w:webHidden/>
                <w:rStyle w:val="IndexLink"/>
                <w:rtl w:val="true"/>
              </w:rPr>
              <w:t>[</w:t>
            </w:r>
            <w:r>
              <w:rPr>
                <w:rStyle w:val="IndexLink"/>
                <w:rtl w:val="true"/>
              </w:rPr>
              <w:t>مواضع استحباب السواك</w:t>
            </w:r>
            <w:r>
              <w:rPr>
                <w:rStyle w:val="IndexLink"/>
                <w:rtl w:val="true"/>
              </w:rPr>
              <w:t>]</w:t>
              <w:tab/>
            </w:r>
            <w:r>
              <w:rPr>
                <w:rStyle w:val="IndexLink"/>
              </w:rPr>
              <w:t>547</w:t>
            </w:r>
          </w:hyperlink>
        </w:p>
        <w:p>
          <w:pPr>
            <w:pStyle w:val="Contents2"/>
            <w:tabs>
              <w:tab w:val="clear" w:pos="8743"/>
              <w:tab w:val="right" w:pos="9026" w:leader="dot"/>
            </w:tabs>
            <w:rPr/>
          </w:pPr>
          <w:hyperlink w:anchor="__RefHeading___Toc3322686_2870459653">
            <w:r>
              <w:rPr>
                <w:webHidden/>
                <w:rStyle w:val="IndexLink"/>
                <w:rtl w:val="true"/>
              </w:rPr>
              <w:t>[</w:t>
            </w:r>
            <w:r>
              <w:rPr>
                <w:rStyle w:val="IndexLink"/>
                <w:rtl w:val="true"/>
              </w:rPr>
              <w:t>مكروهات الوضوء</w:t>
            </w:r>
            <w:r>
              <w:rPr>
                <w:rStyle w:val="IndexLink"/>
                <w:rtl w:val="true"/>
              </w:rPr>
              <w:t>]</w:t>
              <w:tab/>
            </w:r>
            <w:r>
              <w:rPr>
                <w:rStyle w:val="IndexLink"/>
              </w:rPr>
              <w:t>554</w:t>
            </w:r>
          </w:hyperlink>
        </w:p>
        <w:p>
          <w:pPr>
            <w:pStyle w:val="Contents2"/>
            <w:tabs>
              <w:tab w:val="clear" w:pos="8743"/>
              <w:tab w:val="right" w:pos="9026" w:leader="dot"/>
            </w:tabs>
            <w:rPr/>
          </w:pPr>
          <w:hyperlink w:anchor="__RefHeading___Toc3322688_2870459653">
            <w:r>
              <w:rPr>
                <w:webHidden/>
                <w:rStyle w:val="IndexLink"/>
                <w:rtl w:val="true"/>
              </w:rPr>
              <w:t>[</w:t>
            </w:r>
            <w:r>
              <w:rPr>
                <w:rStyle w:val="IndexLink"/>
                <w:rtl w:val="true"/>
              </w:rPr>
              <w:t>أحكام الوضوء</w:t>
            </w:r>
            <w:r>
              <w:rPr>
                <w:rStyle w:val="IndexLink"/>
                <w:rtl w:val="true"/>
              </w:rPr>
              <w:t>]</w:t>
              <w:tab/>
            </w:r>
            <w:r>
              <w:rPr>
                <w:rStyle w:val="IndexLink"/>
              </w:rPr>
              <w:t>554</w:t>
            </w:r>
          </w:hyperlink>
        </w:p>
        <w:p>
          <w:pPr>
            <w:pStyle w:val="Contents2"/>
            <w:tabs>
              <w:tab w:val="clear" w:pos="8743"/>
              <w:tab w:val="right" w:pos="9026" w:leader="dot"/>
            </w:tabs>
            <w:rPr/>
          </w:pPr>
          <w:hyperlink w:anchor="__RefHeading___Toc3322690_2870459653">
            <w:r>
              <w:rPr>
                <w:webHidden/>
                <w:rStyle w:val="IndexLink"/>
                <w:rtl w:val="true"/>
              </w:rPr>
              <w:t>[</w:t>
            </w:r>
            <w:r>
              <w:rPr>
                <w:rStyle w:val="IndexLink"/>
                <w:rtl w:val="true"/>
              </w:rPr>
              <w:t>الشّك في النّية</w:t>
            </w:r>
            <w:r>
              <w:rPr>
                <w:rStyle w:val="IndexLink"/>
                <w:rtl w:val="true"/>
              </w:rPr>
              <w:t>]</w:t>
              <w:tab/>
            </w:r>
            <w:r>
              <w:rPr>
                <w:rStyle w:val="IndexLink"/>
              </w:rPr>
              <w:t>554</w:t>
            </w:r>
          </w:hyperlink>
        </w:p>
        <w:p>
          <w:pPr>
            <w:pStyle w:val="Contents2"/>
            <w:tabs>
              <w:tab w:val="clear" w:pos="8743"/>
              <w:tab w:val="right" w:pos="9026" w:leader="dot"/>
            </w:tabs>
            <w:rPr/>
          </w:pPr>
          <w:hyperlink w:anchor="__RefHeading___Toc3322692_2870459653">
            <w:r>
              <w:rPr>
                <w:webHidden/>
                <w:rStyle w:val="IndexLink"/>
                <w:rtl w:val="true"/>
              </w:rPr>
              <w:t>[</w:t>
            </w:r>
            <w:r>
              <w:rPr>
                <w:rStyle w:val="IndexLink"/>
                <w:rtl w:val="true"/>
              </w:rPr>
              <w:t>الشّك في بعض أفعال الوضوء</w:t>
            </w:r>
            <w:r>
              <w:rPr>
                <w:rStyle w:val="IndexLink"/>
                <w:rtl w:val="true"/>
              </w:rPr>
              <w:t>]</w:t>
              <w:tab/>
            </w:r>
            <w:r>
              <w:rPr>
                <w:rStyle w:val="IndexLink"/>
              </w:rPr>
              <w:t>556</w:t>
            </w:r>
          </w:hyperlink>
        </w:p>
        <w:p>
          <w:pPr>
            <w:pStyle w:val="Contents2"/>
            <w:tabs>
              <w:tab w:val="clear" w:pos="8743"/>
              <w:tab w:val="right" w:pos="9026" w:leader="dot"/>
            </w:tabs>
            <w:rPr/>
          </w:pPr>
          <w:hyperlink w:anchor="__RefHeading___Toc3322694_2870459653">
            <w:r>
              <w:rPr>
                <w:webHidden/>
                <w:rStyle w:val="IndexLink"/>
                <w:rtl w:val="true"/>
              </w:rPr>
              <w:t>[</w:t>
            </w:r>
            <w:r>
              <w:rPr>
                <w:rStyle w:val="IndexLink"/>
                <w:rtl w:val="true"/>
              </w:rPr>
              <w:t>الشّك في الطّهارة</w:t>
            </w:r>
            <w:r>
              <w:rPr>
                <w:rStyle w:val="IndexLink"/>
                <w:rtl w:val="true"/>
              </w:rPr>
              <w:t>]</w:t>
              <w:tab/>
            </w:r>
            <w:r>
              <w:rPr>
                <w:rStyle w:val="IndexLink"/>
              </w:rPr>
              <w:t>561</w:t>
            </w:r>
          </w:hyperlink>
        </w:p>
        <w:p>
          <w:pPr>
            <w:pStyle w:val="Contents2"/>
            <w:tabs>
              <w:tab w:val="clear" w:pos="8743"/>
              <w:tab w:val="right" w:pos="9026" w:leader="dot"/>
            </w:tabs>
            <w:rPr/>
          </w:pPr>
          <w:hyperlink w:anchor="__RefHeading___Toc3322696_2870459653">
            <w:r>
              <w:rPr>
                <w:webHidden/>
                <w:rStyle w:val="IndexLink"/>
                <w:rtl w:val="true"/>
              </w:rPr>
              <w:t>[</w:t>
            </w:r>
            <w:r>
              <w:rPr>
                <w:rStyle w:val="IndexLink"/>
                <w:rtl w:val="true"/>
              </w:rPr>
              <w:t>واجبات التخلي</w:t>
            </w:r>
            <w:r>
              <w:rPr>
                <w:rStyle w:val="IndexLink"/>
                <w:rtl w:val="true"/>
              </w:rPr>
              <w:t>]</w:t>
              <w:tab/>
            </w:r>
            <w:r>
              <w:rPr>
                <w:rStyle w:val="IndexLink"/>
              </w:rPr>
              <w:t>567</w:t>
            </w:r>
          </w:hyperlink>
        </w:p>
        <w:p>
          <w:pPr>
            <w:pStyle w:val="Contents2"/>
            <w:tabs>
              <w:tab w:val="clear" w:pos="8743"/>
              <w:tab w:val="right" w:pos="9026" w:leader="dot"/>
            </w:tabs>
            <w:rPr/>
          </w:pPr>
          <w:hyperlink w:anchor="__RefHeading___Toc3322698_2870459653">
            <w:r>
              <w:rPr>
                <w:webHidden/>
                <w:rStyle w:val="IndexLink"/>
                <w:rtl w:val="true"/>
              </w:rPr>
              <w:t>[</w:t>
            </w:r>
            <w:r>
              <w:rPr>
                <w:rStyle w:val="IndexLink"/>
                <w:rtl w:val="true"/>
              </w:rPr>
              <w:t>مستحبات التّخلي</w:t>
            </w:r>
            <w:r>
              <w:rPr>
                <w:rStyle w:val="IndexLink"/>
                <w:rtl w:val="true"/>
              </w:rPr>
              <w:t>]</w:t>
              <w:tab/>
            </w:r>
            <w:r>
              <w:rPr>
                <w:rStyle w:val="IndexLink"/>
              </w:rPr>
              <w:t>579</w:t>
            </w:r>
          </w:hyperlink>
        </w:p>
        <w:p>
          <w:pPr>
            <w:pStyle w:val="Contents2"/>
            <w:tabs>
              <w:tab w:val="clear" w:pos="8743"/>
              <w:tab w:val="right" w:pos="9026" w:leader="dot"/>
            </w:tabs>
            <w:rPr/>
          </w:pPr>
          <w:hyperlink w:anchor="__RefHeading___Toc3322700_2870459653">
            <w:r>
              <w:rPr>
                <w:webHidden/>
                <w:rStyle w:val="IndexLink"/>
                <w:rtl w:val="true"/>
              </w:rPr>
              <w:t>[</w:t>
            </w:r>
            <w:r>
              <w:rPr>
                <w:rStyle w:val="IndexLink"/>
                <w:rtl w:val="true"/>
              </w:rPr>
              <w:t>مكروهات التخلي</w:t>
            </w:r>
            <w:r>
              <w:rPr>
                <w:rStyle w:val="IndexLink"/>
                <w:rtl w:val="true"/>
              </w:rPr>
              <w:t>]</w:t>
              <w:tab/>
            </w:r>
            <w:r>
              <w:rPr>
                <w:rStyle w:val="IndexLink"/>
              </w:rPr>
              <w:t>585</w:t>
            </w:r>
          </w:hyperlink>
        </w:p>
        <w:p>
          <w:pPr>
            <w:pStyle w:val="Contents2"/>
            <w:tabs>
              <w:tab w:val="clear" w:pos="8743"/>
              <w:tab w:val="right" w:pos="9026" w:leader="dot"/>
            </w:tabs>
            <w:rPr/>
          </w:pPr>
          <w:hyperlink w:anchor="__RefHeading___Toc3322702_2870459653">
            <w:r>
              <w:rPr>
                <w:webHidden/>
                <w:rStyle w:val="IndexLink"/>
                <w:rtl w:val="true"/>
              </w:rPr>
              <w:t>[</w:t>
            </w:r>
            <w:r>
              <w:rPr>
                <w:rStyle w:val="IndexLink"/>
                <w:rtl w:val="true"/>
              </w:rPr>
              <w:t>مباحات التّخلي</w:t>
            </w:r>
            <w:r>
              <w:rPr>
                <w:rStyle w:val="IndexLink"/>
                <w:rtl w:val="true"/>
              </w:rPr>
              <w:t>]</w:t>
              <w:tab/>
            </w:r>
            <w:r>
              <w:rPr>
                <w:rStyle w:val="IndexLink"/>
              </w:rPr>
              <w:t>588</w:t>
            </w:r>
          </w:hyperlink>
        </w:p>
        <w:p>
          <w:pPr>
            <w:pStyle w:val="Contents2"/>
            <w:tabs>
              <w:tab w:val="clear" w:pos="8743"/>
              <w:tab w:val="right" w:pos="9026" w:leader="dot"/>
            </w:tabs>
            <w:rPr/>
          </w:pPr>
          <w:hyperlink w:anchor="__RefHeading___Toc3322704_2870459653">
            <w:r>
              <w:rPr>
                <w:webHidden/>
                <w:rStyle w:val="IndexLink"/>
                <w:rtl w:val="true"/>
              </w:rPr>
              <w:t>[</w:t>
            </w:r>
            <w:r>
              <w:rPr>
                <w:rStyle w:val="IndexLink"/>
                <w:rtl w:val="true"/>
              </w:rPr>
              <w:t>وجوب ردّ السّلام على المتخلي</w:t>
            </w:r>
            <w:r>
              <w:rPr>
                <w:rStyle w:val="IndexLink"/>
                <w:rtl w:val="true"/>
              </w:rPr>
              <w:t>]</w:t>
              <w:tab/>
            </w:r>
            <w:r>
              <w:rPr>
                <w:rStyle w:val="IndexLink"/>
              </w:rPr>
              <w:t>589</w:t>
            </w:r>
          </w:hyperlink>
        </w:p>
        <w:p>
          <w:pPr>
            <w:pStyle w:val="Contents2"/>
            <w:tabs>
              <w:tab w:val="clear" w:pos="8743"/>
              <w:tab w:val="right" w:pos="9026" w:leader="dot"/>
            </w:tabs>
            <w:rPr/>
          </w:pPr>
          <w:hyperlink w:anchor="__RefHeading___Toc3322706_2870459653">
            <w:r>
              <w:rPr>
                <w:webHidden/>
                <w:rStyle w:val="IndexLink"/>
                <w:rtl w:val="true"/>
              </w:rPr>
              <w:t>(</w:t>
            </w:r>
            <w:r>
              <w:rPr>
                <w:rStyle w:val="IndexLink"/>
                <w:rtl w:val="true"/>
              </w:rPr>
              <w:t>الفصل الثاني في الغسل</w:t>
            </w:r>
            <w:r>
              <w:rPr>
                <w:rStyle w:val="IndexLink"/>
                <w:rtl w:val="true"/>
              </w:rPr>
              <w:t>)</w:t>
              <w:tab/>
            </w:r>
            <w:r>
              <w:rPr>
                <w:rStyle w:val="IndexLink"/>
              </w:rPr>
              <w:t>591</w:t>
            </w:r>
          </w:hyperlink>
        </w:p>
        <w:p>
          <w:pPr>
            <w:pStyle w:val="Contents2"/>
            <w:tabs>
              <w:tab w:val="clear" w:pos="8743"/>
              <w:tab w:val="right" w:pos="9026" w:leader="dot"/>
            </w:tabs>
            <w:rPr/>
          </w:pPr>
          <w:hyperlink w:anchor="__RefHeading___Toc3322708_2870459653">
            <w:r>
              <w:rPr>
                <w:webHidden/>
                <w:rStyle w:val="IndexLink"/>
                <w:rtl w:val="true"/>
              </w:rPr>
              <w:t>[</w:t>
            </w:r>
            <w:r>
              <w:rPr>
                <w:rStyle w:val="IndexLink"/>
                <w:rtl w:val="true"/>
              </w:rPr>
              <w:t>موجبات الغسل</w:t>
            </w:r>
            <w:r>
              <w:rPr>
                <w:rStyle w:val="IndexLink"/>
                <w:rtl w:val="true"/>
              </w:rPr>
              <w:t>]</w:t>
              <w:tab/>
            </w:r>
            <w:r>
              <w:rPr>
                <w:rStyle w:val="IndexLink"/>
              </w:rPr>
              <w:t>591</w:t>
            </w:r>
          </w:hyperlink>
        </w:p>
        <w:p>
          <w:pPr>
            <w:pStyle w:val="Contents2"/>
            <w:tabs>
              <w:tab w:val="clear" w:pos="8743"/>
              <w:tab w:val="right" w:pos="9026" w:leader="dot"/>
            </w:tabs>
            <w:rPr/>
          </w:pPr>
          <w:hyperlink w:anchor="__RefHeading___Toc3322710_2870459653">
            <w:r>
              <w:rPr>
                <w:webHidden/>
                <w:rStyle w:val="IndexLink"/>
                <w:rtl w:val="true"/>
              </w:rPr>
              <w:t>[</w:t>
            </w:r>
            <w:r>
              <w:rPr>
                <w:rStyle w:val="IndexLink"/>
                <w:rtl w:val="true"/>
              </w:rPr>
              <w:t>موجبات الجنابة</w:t>
            </w:r>
            <w:r>
              <w:rPr>
                <w:rStyle w:val="IndexLink"/>
                <w:rtl w:val="true"/>
              </w:rPr>
              <w:t>]</w:t>
              <w:tab/>
            </w:r>
            <w:r>
              <w:rPr>
                <w:rStyle w:val="IndexLink"/>
              </w:rPr>
              <w:t>593</w:t>
            </w:r>
          </w:hyperlink>
        </w:p>
        <w:p>
          <w:pPr>
            <w:pStyle w:val="Contents2"/>
            <w:tabs>
              <w:tab w:val="clear" w:pos="8743"/>
              <w:tab w:val="right" w:pos="9026" w:leader="dot"/>
            </w:tabs>
            <w:rPr/>
          </w:pPr>
          <w:hyperlink w:anchor="__RefHeading___Toc3322712_2870459653">
            <w:r>
              <w:rPr>
                <w:webHidden/>
                <w:rStyle w:val="IndexLink"/>
                <w:rtl w:val="true"/>
              </w:rPr>
              <w:t>[</w:t>
            </w:r>
            <w:r>
              <w:rPr>
                <w:rStyle w:val="IndexLink"/>
                <w:rtl w:val="true"/>
              </w:rPr>
              <w:t>المحرّمات على الجنب</w:t>
            </w:r>
            <w:r>
              <w:rPr>
                <w:rStyle w:val="IndexLink"/>
                <w:rtl w:val="true"/>
              </w:rPr>
              <w:t>]</w:t>
              <w:tab/>
            </w:r>
            <w:r>
              <w:rPr>
                <w:rStyle w:val="IndexLink"/>
              </w:rPr>
              <w:t>601</w:t>
            </w:r>
          </w:hyperlink>
        </w:p>
        <w:p>
          <w:pPr>
            <w:pStyle w:val="Contents2"/>
            <w:tabs>
              <w:tab w:val="clear" w:pos="8743"/>
              <w:tab w:val="right" w:pos="9026" w:leader="dot"/>
            </w:tabs>
            <w:rPr/>
          </w:pPr>
          <w:hyperlink w:anchor="__RefHeading___Toc3322714_2870459653">
            <w:r>
              <w:rPr>
                <w:webHidden/>
                <w:rStyle w:val="IndexLink"/>
                <w:rtl w:val="true"/>
              </w:rPr>
              <w:t>[</w:t>
            </w:r>
            <w:r>
              <w:rPr>
                <w:rStyle w:val="IndexLink"/>
                <w:rtl w:val="true"/>
              </w:rPr>
              <w:t>يكره للجنب أمور</w:t>
            </w:r>
            <w:r>
              <w:rPr>
                <w:rStyle w:val="IndexLink"/>
                <w:rtl w:val="true"/>
              </w:rPr>
              <w:t>:]</w:t>
              <w:tab/>
            </w:r>
            <w:r>
              <w:rPr>
                <w:rStyle w:val="IndexLink"/>
              </w:rPr>
              <w:t>608</w:t>
            </w:r>
          </w:hyperlink>
        </w:p>
        <w:p>
          <w:pPr>
            <w:pStyle w:val="Contents2"/>
            <w:tabs>
              <w:tab w:val="clear" w:pos="8743"/>
              <w:tab w:val="right" w:pos="9026" w:leader="dot"/>
            </w:tabs>
            <w:rPr/>
          </w:pPr>
          <w:hyperlink w:anchor="__RefHeading___Toc3322716_2870459653">
            <w:r>
              <w:rPr>
                <w:webHidden/>
                <w:rStyle w:val="IndexLink"/>
                <w:rtl w:val="true"/>
              </w:rPr>
              <w:t>[</w:t>
            </w:r>
            <w:r>
              <w:rPr>
                <w:rStyle w:val="IndexLink"/>
                <w:rtl w:val="true"/>
              </w:rPr>
              <w:t>واجبات الغسل</w:t>
            </w:r>
            <w:r>
              <w:rPr>
                <w:rStyle w:val="IndexLink"/>
                <w:rtl w:val="true"/>
              </w:rPr>
              <w:t>]</w:t>
              <w:tab/>
            </w:r>
            <w:r>
              <w:rPr>
                <w:rStyle w:val="IndexLink"/>
              </w:rPr>
              <w:t>615</w:t>
            </w:r>
          </w:hyperlink>
        </w:p>
        <w:p>
          <w:pPr>
            <w:pStyle w:val="Contents2"/>
            <w:tabs>
              <w:tab w:val="clear" w:pos="8743"/>
              <w:tab w:val="right" w:pos="9026" w:leader="dot"/>
            </w:tabs>
            <w:rPr/>
          </w:pPr>
          <w:hyperlink w:anchor="__RefHeading___Toc3322718_2870459653">
            <w:r>
              <w:rPr>
                <w:webHidden/>
                <w:rStyle w:val="IndexLink"/>
                <w:rtl w:val="true"/>
              </w:rPr>
              <w:t>[</w:t>
            </w:r>
            <w:r>
              <w:rPr>
                <w:rStyle w:val="IndexLink"/>
                <w:rtl w:val="true"/>
              </w:rPr>
              <w:t>وقت النّية</w:t>
            </w:r>
            <w:r>
              <w:rPr>
                <w:rStyle w:val="IndexLink"/>
                <w:rtl w:val="true"/>
              </w:rPr>
              <w:t>]</w:t>
              <w:tab/>
            </w:r>
            <w:r>
              <w:rPr>
                <w:rStyle w:val="IndexLink"/>
              </w:rPr>
              <w:t>616</w:t>
            </w:r>
          </w:hyperlink>
        </w:p>
        <w:p>
          <w:pPr>
            <w:pStyle w:val="Contents2"/>
            <w:tabs>
              <w:tab w:val="clear" w:pos="8743"/>
              <w:tab w:val="right" w:pos="9026" w:leader="dot"/>
            </w:tabs>
            <w:rPr/>
          </w:pPr>
          <w:hyperlink w:anchor="__RefHeading___Toc3322720_2870459653">
            <w:r>
              <w:rPr>
                <w:webHidden/>
                <w:rStyle w:val="IndexLink"/>
                <w:rtl w:val="true"/>
              </w:rPr>
              <w:t>[</w:t>
            </w:r>
            <w:r>
              <w:rPr>
                <w:rStyle w:val="IndexLink"/>
                <w:rtl w:val="true"/>
              </w:rPr>
              <w:t>مستحبات الغسل</w:t>
            </w:r>
            <w:r>
              <w:rPr>
                <w:rStyle w:val="IndexLink"/>
                <w:rtl w:val="true"/>
              </w:rPr>
              <w:t>]</w:t>
              <w:tab/>
            </w:r>
            <w:r>
              <w:rPr>
                <w:rStyle w:val="IndexLink"/>
              </w:rPr>
              <w:t>622</w:t>
            </w:r>
          </w:hyperlink>
        </w:p>
        <w:p>
          <w:pPr>
            <w:pStyle w:val="Contents2"/>
            <w:tabs>
              <w:tab w:val="clear" w:pos="8743"/>
              <w:tab w:val="right" w:pos="9026" w:leader="dot"/>
            </w:tabs>
            <w:rPr/>
          </w:pPr>
          <w:hyperlink w:anchor="__RefHeading___Toc3322722_2870459653">
            <w:r>
              <w:rPr>
                <w:webHidden/>
                <w:rStyle w:val="IndexLink"/>
                <w:rtl w:val="true"/>
              </w:rPr>
              <w:t>[</w:t>
            </w:r>
            <w:r>
              <w:rPr>
                <w:rStyle w:val="IndexLink"/>
                <w:rtl w:val="true"/>
              </w:rPr>
              <w:t>أحكام الجنابة</w:t>
            </w:r>
            <w:r>
              <w:rPr>
                <w:rStyle w:val="IndexLink"/>
                <w:rtl w:val="true"/>
              </w:rPr>
              <w:t>]</w:t>
              <w:tab/>
            </w:r>
            <w:r>
              <w:rPr>
                <w:rStyle w:val="IndexLink"/>
              </w:rPr>
              <w:t>627</w:t>
            </w:r>
          </w:hyperlink>
        </w:p>
        <w:p>
          <w:pPr>
            <w:pStyle w:val="Contents2"/>
            <w:tabs>
              <w:tab w:val="clear" w:pos="8743"/>
              <w:tab w:val="right" w:pos="9026" w:leader="dot"/>
            </w:tabs>
            <w:rPr/>
          </w:pPr>
          <w:hyperlink w:anchor="__RefHeading___Toc3322724_2870459653">
            <w:r>
              <w:rPr>
                <w:webHidden/>
                <w:rStyle w:val="IndexLink"/>
                <w:rtl w:val="true"/>
              </w:rPr>
              <w:t>[</w:t>
            </w:r>
            <w:r>
              <w:rPr>
                <w:rStyle w:val="IndexLink"/>
                <w:rtl w:val="true"/>
              </w:rPr>
              <w:t>مبحث الحيض</w:t>
            </w:r>
            <w:r>
              <w:rPr>
                <w:rStyle w:val="IndexLink"/>
                <w:rtl w:val="true"/>
              </w:rPr>
              <w:t>]</w:t>
              <w:tab/>
            </w:r>
            <w:r>
              <w:rPr>
                <w:rStyle w:val="IndexLink"/>
              </w:rPr>
              <w:t>637</w:t>
            </w:r>
          </w:hyperlink>
        </w:p>
        <w:p>
          <w:pPr>
            <w:pStyle w:val="Contents2"/>
            <w:tabs>
              <w:tab w:val="clear" w:pos="8743"/>
              <w:tab w:val="right" w:pos="9026" w:leader="dot"/>
            </w:tabs>
            <w:rPr/>
          </w:pPr>
          <w:hyperlink w:anchor="__RefHeading___Toc3322726_2870459653">
            <w:r>
              <w:rPr>
                <w:webHidden/>
                <w:rStyle w:val="IndexLink"/>
                <w:rtl w:val="true"/>
              </w:rPr>
              <w:t>[</w:t>
            </w:r>
            <w:r>
              <w:rPr>
                <w:rStyle w:val="IndexLink"/>
                <w:rtl w:val="true"/>
              </w:rPr>
              <w:t>تعريفه</w:t>
            </w:r>
            <w:r>
              <w:rPr>
                <w:rStyle w:val="IndexLink"/>
                <w:rtl w:val="true"/>
              </w:rPr>
              <w:t>]</w:t>
              <w:tab/>
            </w:r>
            <w:r>
              <w:rPr>
                <w:rStyle w:val="IndexLink"/>
              </w:rPr>
              <w:t>637</w:t>
            </w:r>
          </w:hyperlink>
        </w:p>
        <w:p>
          <w:pPr>
            <w:pStyle w:val="Contents2"/>
            <w:tabs>
              <w:tab w:val="clear" w:pos="8743"/>
              <w:tab w:val="right" w:pos="9026" w:leader="dot"/>
            </w:tabs>
            <w:rPr/>
          </w:pPr>
          <w:hyperlink w:anchor="__RefHeading___Toc3322728_2870459653">
            <w:r>
              <w:rPr>
                <w:webHidden/>
                <w:rStyle w:val="IndexLink"/>
                <w:rtl w:val="true"/>
              </w:rPr>
              <w:t>[</w:t>
            </w:r>
            <w:r>
              <w:rPr>
                <w:rStyle w:val="IndexLink"/>
                <w:rtl w:val="true"/>
              </w:rPr>
              <w:t>أقلّ الحيض</w:t>
            </w:r>
            <w:r>
              <w:rPr>
                <w:rStyle w:val="IndexLink"/>
                <w:rtl w:val="true"/>
              </w:rPr>
              <w:t>]</w:t>
              <w:tab/>
            </w:r>
            <w:r>
              <w:rPr>
                <w:rStyle w:val="IndexLink"/>
              </w:rPr>
              <w:t>641</w:t>
            </w:r>
          </w:hyperlink>
        </w:p>
        <w:p>
          <w:pPr>
            <w:pStyle w:val="Contents2"/>
            <w:tabs>
              <w:tab w:val="clear" w:pos="8743"/>
              <w:tab w:val="right" w:pos="9026" w:leader="dot"/>
            </w:tabs>
            <w:rPr/>
          </w:pPr>
          <w:hyperlink w:anchor="__RefHeading___Toc3322730_2870459653">
            <w:r>
              <w:rPr>
                <w:webHidden/>
                <w:rStyle w:val="IndexLink"/>
                <w:rtl w:val="true"/>
              </w:rPr>
              <w:t>[</w:t>
            </w:r>
            <w:r>
              <w:rPr>
                <w:rStyle w:val="IndexLink"/>
                <w:rtl w:val="true"/>
              </w:rPr>
              <w:t>أكثر الحيض</w:t>
            </w:r>
            <w:r>
              <w:rPr>
                <w:rStyle w:val="IndexLink"/>
                <w:rtl w:val="true"/>
              </w:rPr>
              <w:t>]</w:t>
              <w:tab/>
            </w:r>
            <w:r>
              <w:rPr>
                <w:rStyle w:val="IndexLink"/>
              </w:rPr>
              <w:t>647</w:t>
            </w:r>
          </w:hyperlink>
        </w:p>
        <w:p>
          <w:pPr>
            <w:pStyle w:val="Contents2"/>
            <w:tabs>
              <w:tab w:val="clear" w:pos="8743"/>
              <w:tab w:val="right" w:pos="9026" w:leader="dot"/>
            </w:tabs>
            <w:rPr/>
          </w:pPr>
          <w:hyperlink w:anchor="__RefHeading___Toc3322732_2870459653">
            <w:r>
              <w:rPr>
                <w:webHidden/>
                <w:rStyle w:val="IndexLink"/>
                <w:rtl w:val="true"/>
              </w:rPr>
              <w:t>[</w:t>
            </w:r>
            <w:r>
              <w:rPr>
                <w:rStyle w:val="IndexLink"/>
                <w:rtl w:val="true"/>
              </w:rPr>
              <w:t>صفات الحيض</w:t>
            </w:r>
            <w:r>
              <w:rPr>
                <w:rStyle w:val="IndexLink"/>
                <w:rtl w:val="true"/>
              </w:rPr>
              <w:t>]</w:t>
              <w:tab/>
            </w:r>
            <w:r>
              <w:rPr>
                <w:rStyle w:val="IndexLink"/>
              </w:rPr>
              <w:t>648</w:t>
            </w:r>
          </w:hyperlink>
        </w:p>
        <w:p>
          <w:pPr>
            <w:pStyle w:val="Contents2"/>
            <w:tabs>
              <w:tab w:val="clear" w:pos="8743"/>
              <w:tab w:val="right" w:pos="9026" w:leader="dot"/>
            </w:tabs>
            <w:rPr/>
          </w:pPr>
          <w:hyperlink w:anchor="__RefHeading___Toc3322734_2870459653">
            <w:r>
              <w:rPr>
                <w:webHidden/>
                <w:rStyle w:val="IndexLink"/>
                <w:rtl w:val="true"/>
              </w:rPr>
              <w:t>[</w:t>
            </w:r>
            <w:r>
              <w:rPr>
                <w:rStyle w:val="IndexLink"/>
                <w:rtl w:val="true"/>
              </w:rPr>
              <w:t>اعتبارات الحيض</w:t>
            </w:r>
            <w:r>
              <w:rPr>
                <w:rStyle w:val="IndexLink"/>
                <w:rtl w:val="true"/>
              </w:rPr>
              <w:t>]</w:t>
              <w:tab/>
            </w:r>
            <w:r>
              <w:rPr>
                <w:rStyle w:val="IndexLink"/>
              </w:rPr>
              <w:t>650</w:t>
            </w:r>
          </w:hyperlink>
        </w:p>
        <w:p>
          <w:pPr>
            <w:pStyle w:val="Contents2"/>
            <w:tabs>
              <w:tab w:val="clear" w:pos="8743"/>
              <w:tab w:val="right" w:pos="9026" w:leader="dot"/>
            </w:tabs>
            <w:rPr/>
          </w:pPr>
          <w:hyperlink w:anchor="__RefHeading___Toc3322736_2870459653">
            <w:r>
              <w:rPr>
                <w:webHidden/>
                <w:rStyle w:val="IndexLink"/>
                <w:rtl w:val="true"/>
              </w:rPr>
              <w:t>مصادر الكتاب</w:t>
            </w:r>
            <w:r>
              <w:rPr>
                <w:rStyle w:val="IndexLink"/>
                <w:rtl w:val="true"/>
              </w:rPr>
              <w:tab/>
            </w:r>
            <w:r>
              <w:rPr>
                <w:rStyle w:val="IndexLink"/>
              </w:rPr>
              <w:t>654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46_85615"/>
      <w:bookmarkStart w:id="1" w:name="pg9146_85615"/>
      <w:bookmarkEnd w:id="1"/>
    </w:p>
    <w:p>
      <w:pPr>
        <w:pStyle w:val="Heading2"/>
        <w:numPr>
          <w:ilvl w:val="1"/>
          <w:numId w:val="1"/>
        </w:numPr>
        <w:rPr/>
      </w:pPr>
      <w:bookmarkStart w:id="2" w:name="pg9146_85615"/>
      <w:bookmarkStart w:id="3" w:name="__RefHeading___Toc3322526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اللمعتين</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ابن الشيخ حسن آل كاشف الغطاء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 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مسلم شاكر المطوري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 الوثائق ببغداد لسنة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2528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اللمعتين</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ابن الشيخ حسن آل كاشف الغطاء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 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مسلم شاكر المطوري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 الوثائق ببغداد لسنة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ديوان الوقف الشیعی</w:t>
      </w:r>
    </w:p>
    <w:p>
      <w:pPr>
        <w:pStyle w:val="BookText"/>
        <w:rPr/>
      </w:pPr>
      <w:r>
        <w:rPr>
          <w:rFonts w:ascii="IRNazanin" w:hAnsi="IRNazanin" w:eastAsia="IRNazanin"/>
          <w:color w:val="111111"/>
          <w:sz w:val="28"/>
          <w:sz w:val="28"/>
          <w:szCs w:val="28"/>
          <w:rtl w:val="true"/>
          <w:lang w:bidi="fa-IR"/>
        </w:rPr>
        <w:t>العتبة العسکریة المقدسية</w:t>
      </w:r>
    </w:p>
    <w:p>
      <w:pPr>
        <w:pStyle w:val="BookText"/>
        <w:rPr/>
      </w:pPr>
      <w:r>
        <w:rPr>
          <w:rFonts w:ascii="Amiri" w:hAnsi="Amiri" w:eastAsia="Amiri" w:cs="Amiri"/>
          <w:color w:val="111111"/>
          <w:sz w:val="28"/>
          <w:sz w:val="28"/>
          <w:szCs w:val="28"/>
          <w:rtl w:val="true"/>
          <w:lang w:bidi="ar-SA"/>
        </w:rPr>
        <w:t>شرح اللمُعْتَين</w:t>
      </w:r>
    </w:p>
    <w:p>
      <w:pPr>
        <w:pStyle w:val="BookText"/>
        <w:rPr/>
      </w:pPr>
      <w:r>
        <w:rPr>
          <w:rFonts w:ascii="Amiri" w:hAnsi="Amiri" w:eastAsia="Amiri" w:cs="Amiri"/>
          <w:color w:val="111111"/>
          <w:sz w:val="28"/>
          <w:sz w:val="28"/>
          <w:szCs w:val="28"/>
          <w:rtl w:val="true"/>
          <w:lang w:bidi="ar-SA"/>
        </w:rPr>
        <w:t>مَبَاحِث من كتاب الطهارة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عباس ابن الشيخ حَسَن الكَاشفِ الغِطَاءَ</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مُحَمد جَلِيل الحسناوي</w:t>
      </w:r>
    </w:p>
    <w:p>
      <w:pPr>
        <w:pStyle w:val="BookText"/>
        <w:rPr/>
      </w:pPr>
      <w:r>
        <w:rPr>
          <w:rFonts w:ascii="Amiri" w:hAnsi="Amiri" w:eastAsia="Amiri" w:cs="Amiri"/>
          <w:color w:val="111111"/>
          <w:sz w:val="28"/>
          <w:sz w:val="28"/>
          <w:szCs w:val="28"/>
          <w:rtl w:val="true"/>
          <w:lang w:bidi="ar-SA"/>
        </w:rPr>
        <w:t>مُراجَعَة و تَدقِيق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تراث سامرّاء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46_85619"/>
      <w:bookmarkStart w:id="8" w:name="pg9146_85619"/>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9146_85619"/>
      <w:bookmarkStart w:id="10" w:name="__RefHeading___Toc3322530_2870459653"/>
      <w:bookmarkStart w:id="11" w:name="_Toc3"/>
      <w:bookmarkEnd w:id="9"/>
      <w:bookmarkEnd w:id="10"/>
      <w:r>
        <w:rPr>
          <w:rtl w:val="true"/>
        </w:rPr>
        <w:t>مقدّمة المرکز</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أولى السيّد محمّد حسن الشيرازي رضی الله عنه عناية فائقة و اهتماماً بالغاً بتلامذته، و كانت هذه إحدى الجوانب المشرقة من حياته المباركة، فقام بإرشادهم إلى ما يكتبون، و رعايتهم فيما يصنّفون، مظهراً بذلك حرصه الكبير على تنمية قابلياتهم، و تطوير قدراتهم، و حتّهم على ارتقاء درجات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كان يفيض عليهم العلم و يسبغ عليهم الفضيلة، و يمرّنهم على المثابرة، و یلزمهم بالمجاهدة، و يهذّب أخلاقهم، و ينشر فضلهم، و يُعطي كلَّ ذي حقّ حقّه، و يوقفهم على الطريقة المثلى، و يغمرهم بسيبه الهامر، و عطائه الشامل، و يؤدّبهم بأدبه الزاهي، و يكلأ عزّهم، و يحفظ شرفهم، و الرجل وحيدٌ في هذه الخصال</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قد حصلنا على شواهد عديدة تمثّل حنّه للنابهين منهم على الكتابة و التأليف، و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صدر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بنفسه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إبانة الصدور في موقوف ابن أذينة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تعارض الاستصحابين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القائيني البيرجندي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ألّف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أستاذه المجدّد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أبو الفضل كلانتر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w:t>
      </w:r>
    </w:p>
    <w:p>
      <w:pPr>
        <w:pStyle w:val="BookText"/>
        <w:rPr/>
      </w:pPr>
      <w:r>
        <w:rPr>
          <w:rFonts w:ascii="Amiri" w:hAnsi="Amiri" w:eastAsia="Amiri" w:cs="Amiri"/>
          <w:color w:val="111111"/>
          <w:sz w:val="28"/>
          <w:sz w:val="28"/>
          <w:szCs w:val="28"/>
          <w:rtl w:val="true"/>
          <w:lang w:bidi="ar-SA"/>
        </w:rPr>
        <w:t>الصدور في شرح زيارة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طلب السيّد المجدّد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شيخ الشريعة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كتب رسالتين بإشارة من السيّد المجدّد الشيرازيّ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بعض فروع الجنابة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تعيين العدول في الصلاة إلى سورة يحسنها من التي لا يحسنها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الميرزا محمّد رضا الهمدانيّ الخطيب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النملة إلى مرجع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لأمر السيّد المجدّد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في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 السيّد المجدّد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باقر الاصطهباناتي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السيّد المجدّد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أسد الله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المأخوذة من حواشي الرسائل العملية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و الجواب كلها من فتاوى السيد المجدّد الشيرازي، جمعها بأمره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بن محمود العصّار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عدّة رسائل في سامراء بتشجيع من السيّد المجدّد كما يظهر ذلك من مذكرات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النوري </w:t>
      </w:r>
      <w:r>
        <w:rPr>
          <w:rStyle w:val="FootnoteAnchor"/>
          <w:rtl w:val="true"/>
        </w:rPr>
        <w:footnoteReference w:id="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أجاب على عدّة إشكالات وجّهت إليه بأمر السيّد المجدّد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المشعشع في أحوال ذرية موسى المبرقع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بطلب السيّد المجدّد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ابن الشيخ حسن آل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مؤلّف كتابنا هذا، و قد صرّح في مطلعه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أمرني أُستاذي، و ذو المنن، الحاجّ ميرزا محمّد حسن الشهير بالشيرازيّ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أشرح اللّمعتين؛ مزجاً و مختصراً، مع بيان ما سمعته أذناي من بعض إفاداته، و ما أو دعنيه من فذلكاته، فامتثلت ما أمر، و استعنت الله على ذلك، و شرعتُ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ألّفه في سامراء؛ لأن الشيخ الطهراني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يظهر منه أنّه ألفه بأمر أستاذه المجدّد الشيرازي في حدود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المؤلّف أنّه كتبه حين قراءته على السيّد المجدّد و أنّه امتثل أمر أستاذه بالتأليف، و معلوم أنّه في تلك المدّة كان السيّد المجدّد في سامراء، فيكون هذا الشرح حينئذ من التراث السامرائي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 أعثر على شواهد مؤيّدة </w:t>
      </w:r>
      <w:r>
        <w:rPr>
          <w:rStyle w:val="FootnoteAnchor"/>
          <w:rtl w:val="true"/>
        </w:rPr>
        <w:footnoteReference w:id="14"/>
      </w:r>
      <w:r>
        <w:rPr>
          <w:rFonts w:ascii="Amiri" w:hAnsi="Amiri" w:eastAsia="Amiri" w:cs="Amiri"/>
          <w:color w:val="111111"/>
          <w:sz w:val="28"/>
          <w:sz w:val="28"/>
          <w:szCs w:val="28"/>
          <w:rtl w:val="true"/>
          <w:lang w:bidi="ar-SA"/>
        </w:rPr>
        <w:t xml:space="preserve">لهذه النتيجة من خلال متابعة سيرته المباركة في المصادر و خصوصاً </w:t>
      </w:r>
      <w:r>
        <w:rPr>
          <w:rStyle w:val="FootnoteAnchor"/>
          <w:rtl w:val="true"/>
        </w:rPr>
        <w:footnoteReference w:id="15"/>
      </w:r>
      <w:r>
        <w:rPr>
          <w:rFonts w:ascii="Amiri" w:hAnsi="Amiri" w:eastAsia="Amiri" w:cs="Amiri"/>
          <w:color w:val="111111"/>
          <w:sz w:val="28"/>
          <w:sz w:val="28"/>
          <w:szCs w:val="28"/>
          <w:rtl w:val="true"/>
          <w:lang w:bidi="ar-SA"/>
        </w:rPr>
        <w:t xml:space="preserve">ما سطره يراع العلّامة الكبير آية الله الشيخ محمد حسين آل كاشف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الغطاء في العبقات العنبريّة، و لذا يترجح في النظر حصول تصحيف في التاريخ المذكور و لعل الصحيح هو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أن السيد المجدّد كان يباحث كتاب الطهارة في النجف في تلك المدة كما بيّنا ذلك في كتاب مباحث من كتاب الطهارة </w:t>
      </w:r>
      <w:r>
        <w:rPr>
          <w:rStyle w:val="FootnoteAnchor"/>
          <w:rtl w:val="true"/>
        </w:rPr>
        <w:footnoteReference w:id="16"/>
      </w:r>
      <w:r>
        <w:rPr>
          <w:rFonts w:ascii="Amiri" w:hAnsi="Amiri" w:eastAsia="Amiri" w:cs="Amiri"/>
          <w:color w:val="111111"/>
          <w:sz w:val="28"/>
          <w:sz w:val="28"/>
          <w:szCs w:val="28"/>
          <w:rtl w:val="true"/>
          <w:lang w:bidi="ar-SA"/>
        </w:rPr>
        <w:t>و لا بأس بنقل بعض ما ذكر في العبقات؛ لأنّ هذا القسم من الكتاب لا يزال مخطوطاً، حيث قال في ترجمة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بقيّة السلف الماضين، و خليفة آبائه و أعمامه الأطيبين، ناصر الملّة و الدين، و كاسر ألوية المبتدعين، الطود الأشم، و البحر الخضم، و المنادى في الفضل بالمفرد العلم، الشيخ الأجل المؤتمن العلم، العبّاس نجل العلّامة الحسن ابن الشيخ الأكبر قدّس سر المطهرّ، و هذا العلم الهمام في هذه الأيّام هو الخلف عن أولئك السلف، و هو البقية من تلك النبعة الزكيّة، و هو الجذوة المقتبسة من أنوار تلك الصفوة، فلا أ فجعنا الله بفيض وجوده، و لا أراه مكروهاً إلّا في عدوه و حسوده، وُلِدَ سلّمه الله تعالى سنة الواحدة و الخمسين بعد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لأنّ عمره في وفاة والده إحدى عشرة سنة، فبمقتضى هذا يكون عمره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و ستّين سنة، فيا أطال الله عمره، و شدّ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أزره، و ولادة سميه المتقدّم </w:t>
      </w:r>
      <w:r>
        <w:rPr>
          <w:rStyle w:val="FootnoteAnchor"/>
          <w:rtl w:val="true"/>
        </w:rPr>
        <w:footnoteReference w:id="18"/>
      </w:r>
      <w:r>
        <w:rPr>
          <w:rFonts w:ascii="Amiri" w:hAnsi="Amiri" w:eastAsia="Amiri" w:cs="Amiri"/>
          <w:color w:val="111111"/>
          <w:sz w:val="28"/>
          <w:sz w:val="28"/>
          <w:szCs w:val="28"/>
          <w:rtl w:val="true"/>
          <w:lang w:bidi="ar-SA"/>
        </w:rPr>
        <w:t xml:space="preserve">قبل ولادته بأشهر و أيام يسيرة، و قد تربّى بعد وفاة أبيه في حجر ابني عمّه محمّد و المهدي المتقدّم ذكرهما، و كان القيم عليه و وصي أبيه الثاني منها </w:t>
      </w:r>
      <w:r>
        <w:rPr>
          <w:rStyle w:val="FootnoteAnchor"/>
          <w:rtl w:val="true"/>
        </w:rPr>
        <w:footnoteReference w:id="19"/>
      </w:r>
      <w:r>
        <w:rPr>
          <w:rFonts w:ascii="Amiri" w:hAnsi="Amiri" w:eastAsia="Amiri" w:cs="Amiri"/>
          <w:color w:val="111111"/>
          <w:sz w:val="28"/>
          <w:sz w:val="28"/>
          <w:szCs w:val="28"/>
          <w:rtl w:val="true"/>
          <w:lang w:bidi="ar-SA"/>
        </w:rPr>
        <w:t xml:space="preserve">، و قد حضر وقرأ عليهما و على معاصر هما علم الهدى الثاني الشيخ مرتضى الأنصاري تغمّدهم برحمته الباري، و بعدهم استقل بالحضور على حجّة الإسلام الميرزا حسن الشيرازي قدّس سرّه إلى أيّام هجرته، ثمَّ استغنى عن الحضور على أحدٍ، و كتب كثيراً من مباحث درس أستاذيه الشيخ مرتضى و الميرزا حسن، كتبه في مجموع كبير يشتمل على مسألة الضدّ، و مقدّمة الواجب، </w:t>
      </w:r>
    </w:p>
    <w:p>
      <w:pPr>
        <w:pStyle w:val="BookText"/>
        <w:rPr/>
      </w:pPr>
      <w:r>
        <w:rPr>
          <w:rFonts w:ascii="Amiri" w:hAnsi="Amiri" w:eastAsia="Amiri" w:cs="Amiri"/>
          <w:color w:val="111111"/>
          <w:sz w:val="28"/>
          <w:sz w:val="28"/>
          <w:szCs w:val="28"/>
          <w:rtl w:val="true"/>
          <w:lang w:bidi="ar-SA"/>
        </w:rPr>
        <w:t>و الواجبات التخييرية و الكفائية، و المفاهيم، و مباحث الاجتهاد و التقليد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الحديث عن الكتاب و أهميته فهو من أروع الشروح لكتابي اللمعة الدمشقية و الروضة البهية، فهو يحاكي أسلوب الشهيدين رضوان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مراعاة الاختصار من جهة، و الهيمنة على أمهات المطالب الشرعيّة و مهمّات المسائل الدينية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يمثْلُ طلبُ السيّد المجدّد من المصنّف التصدّي للشرح و بطريقة المزج والاختصار إشارة واضحة لأهمية هكذا شرح، و حاجة الوسط العلميّ آنذاك إليه بالرغم من كثرة شروح اللمعة و الروضة </w:t>
      </w:r>
      <w:r>
        <w:rPr>
          <w:rStyle w:val="FootnoteAnchor"/>
          <w:rtl w:val="true"/>
        </w:rPr>
        <w:footnoteReference w:id="21"/>
      </w:r>
      <w:r>
        <w:rPr>
          <w:rFonts w:ascii="Amiri" w:hAnsi="Amiri" w:eastAsia="Amiri" w:cs="Amiri"/>
          <w:color w:val="111111"/>
          <w:sz w:val="28"/>
          <w:sz w:val="28"/>
          <w:szCs w:val="28"/>
          <w:rtl w:val="true"/>
          <w:lang w:bidi="ar-SA"/>
        </w:rPr>
        <w:t>، و اشتهار بعضها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الأنوار الغروية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جواد ملّا كتاب في تلك الفترة، كما أنه يكشف عن ثقة السيّد المجدّد بقدرة المصنّف و أهليته لذلك، و قد توفّرت فيه مؤهّلات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خصّه الله بمنحة عجيبة و قوة غريبة في جزالة التحرير و حسن التحبير، و فصاحة ما تنفثه أقلامه، و بلاغة ما تحكيه أرقامه، و تشهد له بذلك تقريراته و تحريراته و إنشاءاته و مراسلاته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في الفقه و الأصول، كلّها تشتمل على فوائد تبهر الفحول، منها ما استخرجه بنور فطرته، ومنها ما استفاده من أفواه أساتذته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يكتمل، فقد خرج منه مجلدان من أوّل الطهارة إلى أواسط أحكام الحيض </w:t>
      </w:r>
      <w:r>
        <w:rPr>
          <w:rStyle w:val="FootnoteAnchor"/>
          <w:rtl w:val="true"/>
        </w:rPr>
        <w:footnoteReference w:id="23"/>
      </w:r>
      <w:r>
        <w:rPr>
          <w:rFonts w:ascii="Amiri" w:hAnsi="Amiri" w:eastAsia="Amiri" w:cs="Amiri"/>
          <w:color w:val="111111"/>
          <w:sz w:val="28"/>
          <w:sz w:val="28"/>
          <w:szCs w:val="28"/>
          <w:rtl w:val="true"/>
          <w:lang w:bidi="ar-SA"/>
        </w:rPr>
        <w:t>، و نسختنا هذه من أوّل الطهارة إلى بداية أحكام الحيض</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دأب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تسليط الضوء على حوزة سامراء المشرّفة و عميدها سيّد الطائفة المجدّد الشيرازيّ و أعيان تلامذته، و ذلك بالبحث و التنقيب عن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المؤلّفات القيّمة و النادرة، و جعلها في متناول أهل العلم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أتقدّم بالشكر و التقدير إلى الأخ المحقق محمّد الحسناوي الذي تصدى لتحقيق هذا الشرح، كما أتقدم بالشكر إلى جميع الأحبّة في المركز لما بذلوه من جهد و خصوصاً شعبة التحقيق، و لا سيّما الأخ العزيز الشيخ أياد حميد الطائي، لتجسّمه عناء مراجعة الكتاب من أوله إلى آخره مع ما أبداء من ملاحظات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يبقى الشكر موصولاً لمؤسسة كاشف ال ختاما، يبقى الشكر موصولا لمؤسسة كاشف الغطاء العامة و العاملين فيها؛ لتعاونهم الدائم، و نسأل الله تبارك و تعالى أن يتقبل من الجميع، و يجعل عملنا خالصاً لوجهه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الأقل</w:t>
      </w:r>
    </w:p>
    <w:p>
      <w:pPr>
        <w:pStyle w:val="BookText"/>
        <w:rPr/>
      </w:pPr>
      <w:r>
        <w:rPr>
          <w:rFonts w:ascii="Amiri" w:hAnsi="Amiri" w:eastAsia="Amiri" w:cs="Amiri"/>
          <w:color w:val="111111"/>
          <w:sz w:val="28"/>
          <w:sz w:val="28"/>
          <w:szCs w:val="28"/>
          <w:rtl w:val="true"/>
          <w:lang w:bidi="ar-SA"/>
        </w:rPr>
        <w:t>كريم مسير</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جمادى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ذكرى تفجير مئذنتي مرقد الإمامين العسكريين علیهما السلام </w:t>
      </w:r>
      <w:bookmarkStart w:id="12" w:name="pg9146_856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3322532_2870459653"/>
      <w:bookmarkStart w:id="14" w:name="_Toc4"/>
      <w:bookmarkEnd w:id="12"/>
      <w:bookmarkEnd w:id="13"/>
      <w:r>
        <w:rPr>
          <w:rtl w:val="true"/>
        </w:rPr>
        <w:t>مقدمة التحقیق</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أفضل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الفقه عصب الحياة و شريانها الذي يغذيها و يرفدها و ينير لها سُبلها، وقد جُعل بمعرفته و العمل به سعادة الدارين، فبه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الشريعة و تصحيح الأعمال، و إقامة الوظائف الشرعية، و الإرشاد إلى المصالح الدينية و الدنيوية، و الارتقاء عن حضيض الجهل و ربقة التقليد، و مرجعها إلى تكميل القوى النفسانية و استجلاب المراحم الربانية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نعمه سبحانه أن من علينا بالإسلام ديناً، و بمحمد صلّی الله علیه و آله نبياً و رسولاً، و هيّأ هذا الدين أئمة هداة مهديين يرشدون الأمة و يأخذون بيدها إلى سُبل النجاة، و أورث الفقهاء علومهم و معارفهم، فكانوا نِعمَ الخَلف لنعمَ السّلف، فتصدوا إلى بيان أحكام الشريعة و تفصيل مجملها، و إزالة ما يرد عليها من شبهات دخيلة، فتركوا لنا إرثاً عظيماً كان لزاماً علينا و عرفاناً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الباحثين و الدارسين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نتصدى لذلك الإرث الكبير لعلمائنا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 تحقيقاً، فكان نصيبي منها 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لمصنفه الشيخ عباس ابن الشيخ حسن آل كاشف الغطاء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ترجمة المؤلف</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الشيخ عباس ابن الشيخ حسن </w:t>
      </w:r>
      <w:r>
        <w:rPr>
          <w:rStyle w:val="FootnoteAnchor"/>
          <w:rtl w:val="true"/>
        </w:rPr>
        <w:footnoteReference w:id="25"/>
      </w:r>
      <w:r>
        <w:rPr>
          <w:rFonts w:ascii="Amiri" w:hAnsi="Amiri" w:eastAsia="Amiri" w:cs="Amiri"/>
          <w:color w:val="111111"/>
          <w:sz w:val="28"/>
          <w:sz w:val="28"/>
          <w:szCs w:val="28"/>
          <w:rtl w:val="true"/>
          <w:lang w:bidi="ar-SA"/>
        </w:rPr>
        <w:t xml:space="preserve">ابن الشيخ جعفر </w:t>
      </w:r>
      <w:r>
        <w:rPr>
          <w:rStyle w:val="FootnoteAnchor"/>
          <w:rtl w:val="true"/>
        </w:rPr>
        <w:footnoteReference w:id="26"/>
      </w:r>
      <w:r>
        <w:rPr>
          <w:rFonts w:ascii="Amiri" w:hAnsi="Amiri" w:eastAsia="Amiri" w:cs="Amiri"/>
          <w:color w:val="111111"/>
          <w:sz w:val="28"/>
          <w:sz w:val="28"/>
          <w:szCs w:val="28"/>
          <w:rtl w:val="true"/>
          <w:lang w:bidi="ar-SA"/>
        </w:rPr>
        <w:t xml:space="preserve">ابن الشيخ خضر ابن الشيخ محمد يحيى المالكي، النجفي، من آل كاشف الغطاء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 و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xml:space="preserve">م، في النجف الأشرف، و توفي في الثاني عشر </w:t>
      </w:r>
      <w:r>
        <w:rPr>
          <w:rStyle w:val="FootnoteAnchor"/>
          <w:rtl w:val="true"/>
        </w:rPr>
        <w:footnoteReference w:id="28"/>
      </w:r>
      <w:r>
        <w:rPr>
          <w:rFonts w:ascii="Amiri" w:hAnsi="Amiri" w:eastAsia="Amiri" w:cs="Amiri"/>
          <w:color w:val="111111"/>
          <w:sz w:val="28"/>
          <w:sz w:val="28"/>
          <w:szCs w:val="28"/>
          <w:rtl w:val="true"/>
          <w:lang w:bidi="ar-SA"/>
        </w:rPr>
        <w:t xml:space="preserve">، و قيل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من رجب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وشُيّع بكل تبجيل، و دُفن في النجف الأشرف في مقبرة آبائه، و أَرّخ وفاته ولده الشيخ مرتضى،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بسحابِ الرَّحمةِ الله بجِنانِ الخُلْدِ مَثواهُ يا له من مرقدِ خصه طابَ للعباسِ أرّخَه</w:t>
      </w:r>
    </w:p>
    <w:p>
      <w:pPr>
        <w:pStyle w:val="BookText"/>
        <w:rPr/>
      </w:pP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محسن الأمين الله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رأيناه في النجف، و كان بهی الطلعة، بشوش الوجه، سليم الصدر، لطيف العشرة، و توفي بعد خروجنا من النجف بخمس سنين، و كان يظن من يراه أنه أسن من ابن عمه الشيخ عباس ابن الشيخ علي؛ لأنه كان أبيض الرأس و اللحية ليس فيهما شعرة سوداء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بالسماوة فأنشده قاضيها بيتي القاضي أحمد المعروف بالأخفش، فشطرهما و هما مع التشطير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المرتضى للمصطفى نفسه و قل تعالوا فيه نص قوي</w:t>
      </w:r>
    </w:p>
    <w:p>
      <w:pPr>
        <w:pStyle w:val="BookText"/>
        <w:rPr/>
      </w:pPr>
      <w:r>
        <w:rPr>
          <w:rFonts w:ascii="Amiri" w:hAnsi="Amiri" w:eastAsia="Amiri" w:cs="Amiri"/>
          <w:color w:val="111111"/>
          <w:sz w:val="28"/>
          <w:sz w:val="28"/>
          <w:szCs w:val="28"/>
          <w:rtl w:val="true"/>
          <w:lang w:bidi="ar-SA"/>
        </w:rPr>
        <w:t>أما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اه في الهدى مثله يهدي البرايا للصراط السوي</w:t>
      </w:r>
    </w:p>
    <w:p>
      <w:pPr>
        <w:pStyle w:val="BookText"/>
        <w:rPr/>
      </w:pP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في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يتبعه في كل حكم روي</w:t>
      </w:r>
    </w:p>
    <w:p>
      <w:pPr>
        <w:pStyle w:val="BookText"/>
        <w:rPr/>
      </w:pPr>
      <w:r>
        <w:rPr>
          <w:rFonts w:ascii="Amiri" w:hAnsi="Amiri" w:eastAsia="Amiri" w:cs="Amiri"/>
          <w:color w:val="111111"/>
          <w:sz w:val="28"/>
          <w:sz w:val="28"/>
          <w:szCs w:val="28"/>
          <w:rtl w:val="true"/>
          <w:lang w:bidi="ar-SA"/>
        </w:rPr>
        <w:t>مستوجب للنصب من بعده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مكانته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فقيهاً أصولياً متقناً، أديباً، منشئاً، شاعراً، من كبار علماء الإمامية، حَسَن الذهن متوقد الذكاء قوي الحافظة، و كان سريع البديهة في النظم، و قد درس المقدمات، و هو ابن عشر سنين، و قد جدّ في درسه حتى نبغ فيها، و له في مدح أمير المؤمنين علیه السلام النصيب الأوفى، نال مكانة سامية في كثير من العلوم، و برع في الإنشاء و الكتابة، و الشعر و تصدّى للتدريس و التأليف، و صار من العلماء البارزين، و انتهت إليه زعامة أسرته بعد وفاة ابن عمه عباس بن علي كاشف الغطاء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شیوخه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على جماعة من علماء عصره و فقهاء مصره، حيث قرأ المبادئ من النحو و الصرف و المنطق و البيان و المعاني و الباب الحادي عشر على الشيخ إبراهيم قفطان، و قرأ المعالم و الشرائع على الشيخ محمد حسين الأعسم، و حضر البحث الخارج على ابن عمّه الشيخ مهدي الشيخ عليّ كاشف الغطاء، و على علم الهدى الثاني الشيخ مرتضى الأنصاري، و المجدّد السيد الميرزا محمد حسن الشيرازي، كما عاصر كثيراً من العلماء و استفاد منهم كالشيخ محمد الزريجي و الميرزا حبيب الله الرشتي و الحاج ملا علي الخليلي و السيد مهدي القزويني و غيرهم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تتلمذ عليه و روى عنه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الفقيه مرتضى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نجم الحسن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محمد حرز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هادي بن عباس بن علي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سلمان بن كاظم الهدابي الخفاجي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 الغمام في شرح شرائع الإسلام في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الصوم و الخمس و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الجعفرية، يحتوي على مئة فائدة في الأصول و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الرسالة اللاهورية لمفتي بغداد السيد محمود أفندي 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اللمعتين، و هو هذا الكتاب الذي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الاجتهاد و التقليد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النضيد في أحكام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مواليد الأئمة و وفيّاتهم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الأخلاق و المواعظ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المسائل الأصولية، أطنب فيه الكلام في مسألة الضد، و مقدمة الواجب و اجتماع الأمر و النهي،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الغري في ترجمة الحسن الجعفري والده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العباسية، في جملة من الفوائد الفقهية و الأصولية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و الوقف، و بیع الأراضي الخراجية، و بيع المغبون و غير ذلك، و جملة من مباحث الأوامر و الأداة الأصولية من 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نجاة العباد للفقيه الأعظم صاحب الجواهر، لم يتم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شرح منظومة سيدنا العلّامة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الجعفرية في حاشية الرياض الطباطبائية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علم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كشف الالتباس بين الحيض و الاستحاضة و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الزكاة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التأليف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المؤلف رحمه الله في مقدمة كتابه هذا سبب تأليفه مشيراً إلى منهجيته في الكتاب،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أَمَرَني أُستاذي، و ذو المنن، الحاجّ ميرزا محمّد حسن الشهير بالشيرازي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قراءتي عليه، أن أشرح اللُّمعتين؛ مزجاً و مختصراً، مع بيان ما سمعته أذناي من بعض إفاداته، و ما أودعنيه من فذلكاته، فامتثلت ما 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اعتمدت في تحقيق هذا الكتاب على النسخة الخطية الوحيدة المتوفرة، و هي مصورة من مؤسسة كاشف الغطاء قدّس سرّه و المحفوظة في المجلد المرقم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و عدد صفحاتها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طول الصفحة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عرضها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سم، و عدد الأسطر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قد زودني بها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مكتوبة بخط النسخ، و هي بخط ناسخ بقرينة وجود نسخة بدل، و التعبير في آخر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قلمه الشريف دام بقاه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كتبت بخط جيد، و قد اشتملت على بعض الأغلاط الإملائية و اللغوية، عولجت من خلال مقابلة النصوص المنقولة مع مصادرها الأصلية، و إثبات الصحيح في المتن، و الإشارة إلى ذلك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قمتُ به من عمل التحقيق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القرآنية المباركة، تشكيل الآيات القرآنية الكريمة، و بعض المفردات الواردة في الكتاب و تكميلها بحسب ما تقتضيه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الأحاديث الشريفة من مصادرها الأصلية أو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مقابلة متونها مع المصادر، و إثبات الاختلافات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أقوال الفقهاء و العلماء من مصادرها الأصلية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النصوص و تصحيحها و ضبطها لغوياً و إملائياً، فضلاً، عن التصحيح الصرفي و النحوي، مع الإشارة إلى ذلك بحسب بحسب ما تقتضيه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 السقطات الموجودة في الكتاب بحسب ما يناسبها مع الإشارة إلى ذلك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أسماء الأعلام و الرواة، و تصحيحها إن لزم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النص و تمييز عباراته باستعمال علامات الترقيم المناسبة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تبويب الكتاب، من خلال وضع عناوين رئيسة و ثانوية بحسب ما يقتضيه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تمييز النصوص الواردة في الكتاب، حيث قمتُ بوضع متن اللمعة بين قوسين بولد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وضعتُ متن الروضة بين قوسين عاديين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الشرح خارج الأقواس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أتقدم بالشكر و العرفان إلى كلّ العاملين في مركز تراث سامراء لما يبذلونه من جهود كبيرة في إحياء تراث أهل البيت علیهم السلام و تراث العلماء الماضين، فجزاهم الله تعالى عن ذلك جزاء المحسنين العاملين، إنه نعم المولى و نعم النصير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 xml:space="preserve">قد استعرته من مصنفه جناب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أنا الأقل عبد الهادي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المجلد الأول من شرح اللمعتين للشيخ عباس نجل المرحوم الحاج حسن بن الحاج الأكبر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استعرته من المستعير بإذن الفحوى من المعار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أنا الأقل أحمد</w:t>
      </w:r>
    </w:p>
    <w:p>
      <w:pPr>
        <w:pStyle w:val="BookText"/>
        <w:rPr/>
      </w:pPr>
      <w:r>
        <w:rPr>
          <w:rFonts w:ascii="Amiri" w:hAnsi="Amiri" w:eastAsia="Amiri" w:cs="Amiri"/>
          <w:color w:val="111111"/>
          <w:sz w:val="28"/>
          <w:sz w:val="28"/>
          <w:szCs w:val="28"/>
          <w:rtl w:val="true"/>
          <w:lang w:bidi="ar-SA"/>
        </w:rPr>
        <w:t>في حيازة الأحقر موسى المرتضى الكاشف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فيه الفقير إلى رحمة ربه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المخطوط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المخطوط </w:t>
      </w:r>
    </w:p>
    <w:p>
      <w:pPr>
        <w:pStyle w:val="BookText"/>
        <w:rPr/>
      </w:pPr>
      <w:r>
        <w:rPr>
          <w:rFonts w:ascii="IRNazanin" w:hAnsi="IRNazanin" w:eastAsia="IRNazanin"/>
          <w:color w:val="111111"/>
          <w:sz w:val="28"/>
          <w:sz w:val="28"/>
          <w:szCs w:val="28"/>
          <w:rtl w:val="true"/>
          <w:lang w:bidi="fa-IR"/>
        </w:rPr>
        <w:t>ديوان الوقف الشیعی</w:t>
      </w:r>
    </w:p>
    <w:p>
      <w:pPr>
        <w:pStyle w:val="BookText"/>
        <w:rPr/>
      </w:pPr>
      <w:r>
        <w:rPr>
          <w:rFonts w:ascii="IRNazanin" w:hAnsi="IRNazanin" w:eastAsia="IRNazanin"/>
          <w:color w:val="111111"/>
          <w:sz w:val="28"/>
          <w:sz w:val="28"/>
          <w:szCs w:val="28"/>
          <w:rtl w:val="true"/>
          <w:lang w:bidi="fa-IR"/>
        </w:rPr>
        <w:t>العتبة العسکریة المقدسية</w:t>
      </w:r>
    </w:p>
    <w:p>
      <w:pPr>
        <w:pStyle w:val="BookText"/>
        <w:rPr/>
      </w:pPr>
      <w:r>
        <w:rPr>
          <w:rFonts w:ascii="Amiri" w:hAnsi="Amiri" w:eastAsia="Amiri" w:cs="Amiri"/>
          <w:color w:val="111111"/>
          <w:sz w:val="28"/>
          <w:sz w:val="28"/>
          <w:szCs w:val="28"/>
          <w:rtl w:val="true"/>
          <w:lang w:bidi="ar-SA"/>
        </w:rPr>
        <w:t>شرح اللُمْعتين المشرفاوي</w:t>
      </w:r>
    </w:p>
    <w:p>
      <w:pPr>
        <w:pStyle w:val="BookText"/>
        <w:rPr/>
      </w:pPr>
      <w:r>
        <w:rPr>
          <w:rFonts w:ascii="Amiri" w:hAnsi="Amiri" w:eastAsia="Amiri" w:cs="Amiri"/>
          <w:color w:val="111111"/>
          <w:sz w:val="28"/>
          <w:sz w:val="28"/>
          <w:szCs w:val="28"/>
          <w:rtl w:val="true"/>
          <w:lang w:bidi="ar-SA"/>
        </w:rPr>
        <w:t>مَبَاحِث من كتاب الطّهارة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عبّاس ابن الشيخ حَسَن الكَاشفِ الغِطَاءَ</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مُحَمّد جَلِيل الحسناوي</w:t>
      </w:r>
    </w:p>
    <w:p>
      <w:pPr>
        <w:pStyle w:val="BookText"/>
        <w:rPr/>
      </w:pPr>
      <w:r>
        <w:rPr>
          <w:rFonts w:ascii="Amiri" w:hAnsi="Amiri" w:eastAsia="Amiri" w:cs="Amiri"/>
          <w:color w:val="111111"/>
          <w:sz w:val="28"/>
          <w:sz w:val="28"/>
          <w:szCs w:val="28"/>
          <w:rtl w:val="true"/>
          <w:lang w:bidi="ar-SA"/>
        </w:rPr>
        <w:t>مُراجَعَة و تَدقِيق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تراث سامرّاء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146_85641"/>
      <w:bookmarkStart w:id="16" w:name="pg9146_85641"/>
      <w:bookmarkEnd w:id="1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9146_85641"/>
      <w:bookmarkStart w:id="18" w:name="__RefHeading___Toc3322534_2870459653"/>
      <w:bookmarkStart w:id="19" w:name="_Toc5"/>
      <w:bookmarkEnd w:id="17"/>
      <w:bookmarkEnd w:id="18"/>
      <w:r>
        <w:rPr>
          <w:rtl w:val="true"/>
        </w:rPr>
        <w:t>مقدمة المصنف</w:t>
      </w:r>
      <w:bookmarkEnd w:id="1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رب يسّر و لا تعسّر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يقول العبد المذنب الأحقر عبّاس، نجل المرحوم المؤتمن الشيخ حسن، بن علّامة الدّهر كاشف الغطاء الشيخ جعفر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أمرني أستاذي، و ذو المنن، الحاجّ ميرزا محمّد حسن الشهير بالشيرازي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قراءتي عليه، أن أشرح اللّمعتين؛ مزجاً و مختصراً، مع بيان ما سمعته أذناي من بعض إفاداته، و ما أودعنيه من فذلكاته،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فامتثلت ما أمر، و استعنت الله على ذلك، و شرعتُ فيه، فجاء من منن الله علىّ ما يراد، فأقول و على الله أتّكل</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146_85645"/>
      <w:bookmarkStart w:id="21" w:name="pg9146_85645"/>
      <w:bookmarkEnd w:id="21"/>
    </w:p>
    <w:p>
      <w:pPr>
        <w:pStyle w:val="BookText"/>
        <w:rPr/>
      </w:pPr>
      <w:bookmarkStart w:id="22" w:name="pg9146_85645"/>
      <w:bookmarkEnd w:id="2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الله ربّ العالمين و صلّى الله على محمد صلّی الله علیه و آله الطيّبين الطاهرين علیهم السلام، و اللّعنة على أعدائهم و مخالفيهم إلى قيام يوم الدّين</w:t>
      </w:r>
      <w:r>
        <w:rPr>
          <w:rFonts w:eastAsia="IRNazanin" w:cs="IRNazanin"/>
          <w:color w:val="111111"/>
          <w:sz w:val="28"/>
          <w:szCs w:val="28"/>
          <w:rtl w:val="true"/>
          <w:lang w:bidi="fa-IR"/>
        </w:rPr>
        <w:t>.</w:t>
      </w:r>
    </w:p>
    <w:p>
      <w:pPr>
        <w:pStyle w:val="Heading2"/>
        <w:numPr>
          <w:ilvl w:val="1"/>
          <w:numId w:val="1"/>
        </w:numPr>
        <w:rPr/>
      </w:pPr>
      <w:bookmarkStart w:id="23" w:name="__RefHeading___Toc3322536_2870459653"/>
      <w:bookmarkStart w:id="24" w:name="_Toc6"/>
      <w:bookmarkEnd w:id="23"/>
      <w:r>
        <w:rPr>
          <w:rtl w:val="true"/>
        </w:rPr>
        <w:t>كتاب الطهارة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طَهُر بضمّ العين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و أقيس؛ لأنها خلاف طمثت </w:t>
      </w:r>
      <w:r>
        <w:rPr>
          <w:rStyle w:val="FootnoteAnchor"/>
          <w:rtl w:val="true"/>
        </w:rPr>
        <w:footnoteReference w:id="36"/>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مثل قائم و 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الاسم الطُهر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الحالة التي للطاهر ضدّ النجس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مشتركان لفظاً، و في الاسم أشيع، أو حقيقة في الثاني مجاز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 من الأدناس</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 الأوساخ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أو بدن، أو عِرض أو خُلق، كلّ بحسبه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السابقان هما الأصل في الدَّنَس في الثلاثة </w:t>
      </w:r>
      <w:r>
        <w:rPr>
          <w:rStyle w:val="FootnoteAnchor"/>
          <w:rtl w:val="true"/>
        </w:rPr>
        <w:footnoteReference w:id="39"/>
      </w:r>
      <w:r>
        <w:rPr>
          <w:rFonts w:ascii="Amiri" w:hAnsi="Amiri" w:eastAsia="Amiri" w:cs="Amiri"/>
          <w:color w:val="111111"/>
          <w:sz w:val="28"/>
          <w:sz w:val="28"/>
          <w:szCs w:val="28"/>
          <w:rtl w:val="true"/>
          <w:lang w:bidi="ar-SA"/>
        </w:rPr>
        <w:t>، و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بَيْتِي</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طَهَّرَكِ وَ اصْطَفَاكِ عَلَى نِسَاءِ</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يُطَهِّرَكُمْ تَطْهِيرًا</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 مُطَهَّرَةٌ</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أُنَاسٌ يَتَطَهَّرُونَ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مرجع الجميع الخلوّ من الدَّنَس المعنوي، و الرّجس الباطني على وجه الاشتراك بأحد قسميه، أو الحقيقة و المجاز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عن الأساس </w:t>
      </w:r>
      <w:r>
        <w:rPr>
          <w:rStyle w:val="FootnoteAnchor"/>
          <w:rtl w:val="true"/>
        </w:rPr>
        <w:footnoteReference w:id="45"/>
      </w:r>
      <w:r>
        <w:rPr>
          <w:rFonts w:ascii="IRNazanin" w:hAnsi="IRNazanin" w:eastAsia="IRNazanin"/>
          <w:color w:val="111111"/>
          <w:sz w:val="28"/>
          <w:sz w:val="28"/>
          <w:szCs w:val="28"/>
          <w:rtl w:val="true"/>
          <w:lang w:bidi="fa-IR"/>
        </w:rPr>
        <w:t xml:space="preserve">و الطراز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حقيقة في نقيض النجاسة، مجاز في غيره من النزاهة عن الإثم أو العيوب، أو مدانس الأخلاق، و كذا العصمة و الحفظ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مُطَهَّرُكَ مِنْ الَّذِينَ كَفَرُوا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عرف الشرع، أي أهله،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ثبوت الحقيقة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لظاهر النقل فيهما كما زعمه جمع </w:t>
      </w:r>
      <w:r>
        <w:rPr>
          <w:rStyle w:val="FootnoteAnchor"/>
          <w:rtl w:val="true"/>
        </w:rPr>
        <w:footnoteReference w:id="48"/>
      </w:r>
      <w:r>
        <w:rPr>
          <w:rFonts w:ascii="Amiri" w:hAnsi="Amiri" w:eastAsia="Amiri" w:cs="Amiri"/>
          <w:color w:val="111111"/>
          <w:sz w:val="28"/>
          <w:sz w:val="28"/>
          <w:szCs w:val="28"/>
          <w:rtl w:val="true"/>
          <w:lang w:bidi="ar-SA"/>
        </w:rPr>
        <w:t xml:space="preserve">، و منهم القميّ في غنائمه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الأكثر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يبيح العبادة من المطهّرات الثلاثة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الحالة الحاصلة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الاستعمالان، اصطلاحيّان، و الثمرة بين الأخيرين تظهر في الشكّ ببعض الأجزاء و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يمكن أن تجري البراءة في موارد وجوب الطهارة، دون الثاني؛ لأنه شكّ في المكلّف به، و الوسط أجود، غير أنّ الإطلاق على وجه الاشتراك المعنوي فيها بينها دون اللّفظي، و إن ظهر من آخرين، و عليه فليس لها معرّف يشمل مسمّياتها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المعنوي عرّفت بتعاريف، فببيان الماتن تطلق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من الأدناس، و على رفع الخَبَث، و على كلّ واحد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 الغُسل، و التيمم إذا أثّر في استباحة الصلاة، و هو المعنى الذي استقرّ عليه اصطلاح علماء الخاصّة </w:t>
      </w:r>
      <w:r>
        <w:rPr>
          <w:rStyle w:val="FootnoteAnchor"/>
          <w:rtl w:val="true"/>
        </w:rPr>
        <w:footnoteReference w:id="52"/>
      </w:r>
      <w:r>
        <w:rPr>
          <w:rFonts w:ascii="Amiri" w:hAnsi="Amiri" w:eastAsia="Amiri" w:cs="Amiri"/>
          <w:color w:val="111111"/>
          <w:sz w:val="28"/>
          <w:sz w:val="28"/>
          <w:szCs w:val="28"/>
          <w:rtl w:val="true"/>
          <w:lang w:bidi="ar-SA"/>
        </w:rPr>
        <w:t>، و بذكراه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الماء أو الصعيد لإباحة العبادة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بألفيته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لما يبيح الصلاة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 الغسل، و التيمّم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هي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استعمال طهور مشروط بالنيّة، و زاد لإباحة الصلاة بدروسه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فالاستعمال بمنزلة الجنس، و اللام جنسيّة، فإنّ مطلق الاستعمال جنس بعيد لها، أو للعهد، و المراد منه القريب بقرينة الإضافة المخصصة لمطلقه باستعمال الطهور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إنّ الاستعمال لم يكن جنساً حقيقياً؛ إمّا لاعتباريّة ماهيّاته، أو لعدم اختلاف ما تحته من أفراد الطهارة المزيلة للخبث أو الحَدَث إلَّا بالنية، وسّط رحمه الله المنزلة بينه و بين الجنس، فكأنّه جعل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الأفراد المقرونة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و مطلقها جنساً تنزيلاً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الطهور</w:t>
      </w:r>
      <w:r>
        <w:rPr>
          <w:rFonts w:ascii="Amiri" w:hAnsi="Amiri" w:eastAsia="Amiri" w:cs="Amiri"/>
          <w:color w:val="111111"/>
          <w:sz w:val="28"/>
          <w:sz w:val="28"/>
          <w:szCs w:val="28"/>
          <w:rtl w:val="true"/>
          <w:lang w:bidi="ar-SA"/>
        </w:rPr>
        <w:t xml:space="preserve"> ، بالضمّ مصدر كالشكور بمعنى التطهير، و بالفتح اسم، و عن سيبويه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مصدريّة المفتوح </w:t>
      </w:r>
      <w:r>
        <w:rPr>
          <w:rStyle w:val="FootnoteAnchor"/>
          <w:rtl w:val="true"/>
        </w:rPr>
        <w:footnoteReference w:id="56"/>
      </w:r>
      <w:r>
        <w:rPr>
          <w:rFonts w:ascii="Amiri" w:hAnsi="Amiri" w:eastAsia="Amiri" w:cs="Amiri"/>
          <w:color w:val="111111"/>
          <w:sz w:val="28"/>
          <w:sz w:val="28"/>
          <w:szCs w:val="28"/>
          <w:rtl w:val="true"/>
          <w:lang w:bidi="ar-SA"/>
        </w:rPr>
        <w:t>،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فإن كان اسماً كان لما يتطهّر به كالوضوء، و إن كان صفة فهو صيغة مبالغة في الطاهر، كالصبور في الصابر، و غيره في غيره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هنا</w:t>
      </w:r>
      <w:r>
        <w:rPr>
          <w:rFonts w:ascii="Amiri" w:hAnsi="Amiri" w:eastAsia="Amiri" w:cs="Amiri"/>
          <w:color w:val="111111"/>
          <w:sz w:val="28"/>
          <w:sz w:val="28"/>
          <w:szCs w:val="28"/>
          <w:rtl w:val="true"/>
          <w:lang w:bidi="ar-SA"/>
        </w:rPr>
        <w:t xml:space="preserve"> و في أضرابه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في نفسه المطهّر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خصّه بالأوّل قوم </w:t>
      </w:r>
      <w:r>
        <w:rPr>
          <w:rStyle w:val="FootnoteAnchor"/>
          <w:rtl w:val="true"/>
        </w:rPr>
        <w:footnoteReference w:id="58"/>
      </w:r>
      <w:r>
        <w:rPr>
          <w:rFonts w:ascii="Amiri" w:hAnsi="Amiri" w:eastAsia="Amiri" w:cs="Amiri"/>
          <w:color w:val="111111"/>
          <w:sz w:val="28"/>
          <w:sz w:val="28"/>
          <w:szCs w:val="28"/>
          <w:rtl w:val="true"/>
          <w:lang w:bidi="ar-SA"/>
        </w:rPr>
        <w:t>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طَهُورا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 أنّه من اللازم فهو لازم، و المعظم على التالي؛ لأنّ الزيادة في أمثلة المبالغة من تمام وضعها اصطلاحاً، و ليست هنا إلا المطهريّة للغير، و يصححه إطلاق الطهور لغةً على الماء و التراب، دون الثوب، فلولا زيادة التطهير لبطل الإطلاق، و لنصّ اللّغويّين به؛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الطاهر المطهّر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ما يتطهّر به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مؤوّلة، و القاعدة ممنوعة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تعيين حمل الطهور في المتن على الوصفية كما هو ظاهر الشرح، مع أنّه لم يقع صفة لشيء، كما ترى؛ إذ لو قصره على الاسميّة لما يتطهّر به أراح و استراح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الطهور في المتن إن أريد به الطهارة الشرعيّة توقّفت معرفته عليها كتوقّفها عليه، هذا خُلفٌ، أو اللّغويّة دخل في المحدود بعض ما تحصل به النظافة فقط كالتذكية فيما تقبلها، و السكّين في ذبح الأضحية و الهدي؛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تورث النظافة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البالغ في الطهارة مبالغة في النظافة ، فلا تشمل ما ذكر، ساقط؛ لكونه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تعريفاً بمجهول، أو حصراً بالماء، أو أنظفه؛ لأنه أشدّ في النظافة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ردّ بأنّ معناه ما يحصل به الطهارة المقابلة للنجاسة، أو محصّلها، و هو معنى شرعي مغاير لمعنى المعرّف، لكان أجدر في معناه حينئذ الموسوم بالطهور في الاستعمال الشرعي، و لعلّ التنكير تلميح لتعدّد الموسوم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بحسب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أو الاصطلاحي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بحسب الوضع كذلك، و اقتصاره على شرعيّ الاستعمال دون الباقي كأنّه لأصالة عدم نقل الشارع، أو المتشرّعة له، فعليه ردّ مدّعي تبادر المعنى المفروض منه، و كونه حقيقة شرعيّة كما حمل كلام الماتن عليه، و الحمل غير سديد منه؛ لعدم معلوميّة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به؛ إذ لا تأمل في أنّ إطلاق الطهارة على نفس الأفعال التي جعلها الشارع أسباباً لحصول تلك النزاهة اصطلاح من أصحابنا، و عليه ينزّل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تخيّل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فالتعدية فيه بالاستعمال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بحسب الوضع اللّغوي لازماً كالأكول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التعدية في معناهما، و اللّزوم فيهما سواء، غير أنّ التعدية المزبورة خلاف المعروف من معناها ، و هو التعدّي للمفعول به بلا واسطة، أو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الأكول كالطهور لا يتعدّيان،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الحَدَث أو منه، و لا أكول كذا، فوصفها به وصف معنوي من باب الإلحاق؛ إذ التعدية حقيقة للطهر، و ألحقا بهما، و ليسا كضروب من ضارب ليكون التعدّي لفظياً،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زيد، و في المعتبر </w:t>
      </w:r>
      <w:r>
        <w:rPr>
          <w:rStyle w:val="FootnoteAnchor"/>
          <w:rtl w:val="true"/>
        </w:rPr>
        <w:footnoteReference w:id="64"/>
      </w:r>
      <w:r>
        <w:rPr>
          <w:rFonts w:ascii="IRNazanin" w:hAnsi="IRNazanin" w:eastAsia="IRNazanin"/>
          <w:color w:val="111111"/>
          <w:sz w:val="28"/>
          <w:sz w:val="28"/>
          <w:szCs w:val="28"/>
          <w:rtl w:val="true"/>
          <w:lang w:bidi="fa-IR"/>
        </w:rPr>
        <w:t xml:space="preserve">النصّ بالمجرّد، و هذا اشبه وجوه الشبه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فيها أنَّه كما أنّ الأكول مع كون فعله متعدّياً جعل لازماً، و تعدّيه بالمعنى استعمالاً، فكذا الطهور و عكسه، و التناسب في تطابق الوزن، و جعل اللازم متعدّياً و بالعكس، و الاتّفاق في التعدية معنىّ، فالطهور للمتطهّر، و الأكول لكثرة الأكل، مع قطع النظر عن المأكول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مقالة الشارح في المراد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به إطلاق اسم الملزوم على اللازم؛ إذ المطهّر لا يكون غير طاهر، لا أنَّه يطلق على اللازم و المتعدّي؛ لمنافاته قصره على التعدية فيه استعمالاً، و إلّا فتعدّي الكلمة لا ينافي اشتمالها على معنى لازم، أو لبيان عدم صدق الطهور على الأرض النجسة المطهّرة للنعل، فالشركة حينئذٍ في أصل اللّزوم، الذي هو أصل في أحدهما عارض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التشبيه في مجرّد التعدّي بلا نظر إلى خصوصية أنّه بحسب المعنى دون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بالنيّة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كالفصل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الطهور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النجاسة عن الثوب، و البدن، و غيرهما، فإنّ النيّة ليست شرطاً في 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الضمير مذكّراً للاستعمال أو للإزالة، و لا عبرة بتأنيث المصدر المؤوّل بالمذكّر، و ههنا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اشترطت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كماله و ترتّب الثواب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قرن الضمير بعلى كان أوجز، و كأنه إشارة إلى لحوق الثواب للواجب التوصّلي بواسطة الأصلي المنويّ،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شمله، و هو خلاف المقصود، و هي مسألة أصولية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المختار فيها عدم اللّحوق، و إنّما الثواب و العقاب يتبع ذا المقدّمة، و لا يتعدّدان بتعدّدها تركاً أو فعلاً؛ و لذا أُلغيت هذه الثمرة في مقدّمة الواجب، و بني على عدم مخالفة من أوجد مقدّمات الزّني و لا زني، و عدم إطاعة من حصلت منه مقدّمات الصلاة مع تركها، فما فرَّ منه لا ثواب فيه، فالفعل 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المشروطة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مندرجة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أقسامها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واجبة و مندوبة، مبيحة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و نحوها مما هو شرط له، و بإباحة التجويز لا بالمصطلح فيها؛ لعدم جريانه في الصلاة الراجحة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كالمجدّد، و كغسل الجمعة أو الإحرام، أو في قضاء صلاة الكسوف، و التيمّم للنوم، أو لصلاة الجنازة، فلا تبيح حتى على رأي من أوجبه فيها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كذا المنذور في جميعها مطلقاً، و وضوء الحائض، و المسنون من الغسل و أخويه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التعميم للأخير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بالطهور مطلق الماء و الأرض،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الماتن؛ لتعقيبه إطلاقه عليهما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إعادة الاسم معرّفاً نصّ لا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بأنّهما ظاهران بالآية </w:t>
      </w:r>
      <w:r>
        <w:rPr>
          <w:rStyle w:val="FootnoteAnchor"/>
          <w:rtl w:val="true"/>
        </w:rPr>
        <w:footnoteReference w:id="68"/>
      </w:r>
      <w:r>
        <w:rPr>
          <w:rFonts w:ascii="Amiri" w:hAnsi="Amiri" w:eastAsia="Amiri" w:cs="Amiri"/>
          <w:color w:val="111111"/>
          <w:sz w:val="28"/>
          <w:sz w:val="28"/>
          <w:szCs w:val="28"/>
          <w:rtl w:val="true"/>
          <w:lang w:bidi="ar-SA"/>
        </w:rPr>
        <w:t xml:space="preserve">و الرواية في العموم </w:t>
      </w:r>
      <w:r>
        <w:rPr>
          <w:rStyle w:val="FootnoteAnchor"/>
          <w:rtl w:val="true"/>
        </w:rPr>
        <w:footnoteReference w:id="69"/>
      </w:r>
      <w:r>
        <w:rPr>
          <w:rFonts w:ascii="Amiri" w:hAnsi="Amiri" w:eastAsia="Amiri" w:cs="Amiri"/>
          <w:color w:val="111111"/>
          <w:sz w:val="28"/>
          <w:sz w:val="28"/>
          <w:szCs w:val="28"/>
          <w:rtl w:val="true"/>
          <w:lang w:bidi="ar-SA"/>
        </w:rPr>
        <w:t>، فلا يكون المقسم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بأنَّ الإعادة ليست في كلام واحد، و هو في نفس الأمر كذلك؛ كي لا يدور إذا ساوى المشتقّ المبدأ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أنّ المراد منها ما هو أعمّ من المبيح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خلاف اصطلاح الأكثرين </w:t>
      </w:r>
      <w:r>
        <w:rPr>
          <w:rStyle w:val="FootnoteAnchor"/>
          <w:rtl w:val="true"/>
        </w:rPr>
        <w:footnoteReference w:id="70"/>
      </w:r>
      <w:r>
        <w:rPr>
          <w:rFonts w:ascii="Amiri" w:hAnsi="Amiri" w:eastAsia="Amiri" w:cs="Amiri"/>
          <w:color w:val="111111"/>
          <w:sz w:val="28"/>
          <w:sz w:val="28"/>
          <w:szCs w:val="28"/>
          <w:rtl w:val="true"/>
          <w:lang w:bidi="ar-SA"/>
        </w:rPr>
        <w:t>، و منهم المصنّف في غير هذا الكتاب</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 تبع ابن إدريس، و المحقّق في السرائر </w:t>
      </w:r>
      <w:r>
        <w:rPr>
          <w:rStyle w:val="FootnoteAnchor"/>
          <w:rtl w:val="true"/>
        </w:rPr>
        <w:footnoteReference w:id="72"/>
      </w:r>
      <w:r>
        <w:rPr>
          <w:rFonts w:ascii="Amiri" w:hAnsi="Amiri" w:eastAsia="Amiri" w:cs="Amiri"/>
          <w:color w:val="111111"/>
          <w:sz w:val="28"/>
          <w:sz w:val="28"/>
          <w:szCs w:val="28"/>
          <w:rtl w:val="true"/>
          <w:lang w:bidi="ar-SA"/>
        </w:rPr>
        <w:t xml:space="preserve">و النهاية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أخرج وضوء الحائض، و أدخل التجديدي في مسائله المصريّة </w:t>
      </w:r>
      <w:r>
        <w:rPr>
          <w:rStyle w:val="FootnoteAnchor"/>
          <w:rtl w:val="true"/>
        </w:rPr>
        <w:footnoteReference w:id="74"/>
      </w:r>
      <w:r>
        <w:rPr>
          <w:rFonts w:ascii="Amiri" w:hAnsi="Amiri" w:eastAsia="Amiri" w:cs="Amiri"/>
          <w:color w:val="111111"/>
          <w:sz w:val="28"/>
          <w:sz w:val="28"/>
          <w:szCs w:val="28"/>
          <w:rtl w:val="true"/>
          <w:lang w:bidi="ar-SA"/>
        </w:rPr>
        <w:t>و لعلّه لأنّ الإباحة تقبل الشدَّة و الضعف، و إحراز الأكمل منها يكون بالتجديدي منه، كتوقّفه على الإسباغ، فلا مخالفة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حجّة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يختر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يكون مانعاً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بالغسل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الواجب المنوي فيه استباحة مندوب، و بالمنذور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غير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الضمير له باعتبار الفرديّة و الكليّة، و غير الرافع منه و هو منصوب على الحاليّة؛ لتنكير غير و إن أُضيفت، أو بالجرّ على الوصفيّة بالوضوء، فإنّ المعرّف باللّام التي للعهد الذهني بمنزلة المنكر، أو لأنها معرّفة؛ لإضافتها لأحد النقيضين، أعني الرافع و غيره،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بالسكون غير الحركة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يظهر أنّ كلّ رافع للحدث منه مبيح للصلاة، و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 بدلاً منهما إن قيل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بالتجديدي منه، و بالمندوب العاري عن البدليّة، و به للخروج من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النسبة إلى القيل في البدليّة مطلقاً تُؤذن بالميل لعدمها وفاقاً لجمع، و منهم الماتن في غيره </w:t>
      </w:r>
      <w:r>
        <w:rPr>
          <w:rStyle w:val="FootnoteAnchor"/>
          <w:rtl w:val="true"/>
        </w:rPr>
        <w:footnoteReference w:id="75"/>
      </w:r>
      <w:r>
        <w:rPr>
          <w:rFonts w:ascii="Amiri" w:hAnsi="Amiri" w:eastAsia="Amiri" w:cs="Amiri"/>
          <w:color w:val="111111"/>
          <w:sz w:val="28"/>
          <w:sz w:val="28"/>
          <w:szCs w:val="28"/>
          <w:rtl w:val="true"/>
          <w:lang w:bidi="ar-SA"/>
        </w:rPr>
        <w:t>، ولكن المعتمد خلافه بعد ثبوت أنَّه، أحدها، و رجحانه مطلقاً محقّق، فإيقاعه مطلقاً مطلوب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إن لم يكن صريحاً به يقتضيه بإطلاقه، وَ نَدْبُه مع عدم وجود المبدل في بعض الفروض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المندوب المشروط بالطهارة ليزيد على الواجب باختصاصه بأحد الطهورين، و لولاه لسقط ما وجب منه بمقتضيه عند فَقْد الماء، مع أنّ المنكر لا يزعمه هناك، و ليس له مستند إلّا عموم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قصد الشارع فيها إزالة الوسخ و النظافة، كإزالة النجاسة، و لا برهان لها، و اشتراط النيّة على عدمها، و التفصيل آت في بابه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الشارح معلوم لديه عدم إرادة المبيح منهما للماتن، فأعرض عن الاعتذار عنه به، و ما رآه حسن، و لو فرض عدم الشمول البيّن عدمه من العبارة بضرب من التأويل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ينتقض في طرده أيضاً بأبعاض كلّ واحد من الثلاثة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المبيح منها و غيره، </w:t>
      </w:r>
    </w:p>
    <w:p>
      <w:pPr>
        <w:pStyle w:val="BookText"/>
        <w:rPr/>
      </w:pPr>
      <w:r>
        <w:rPr>
          <w:rFonts w:ascii="Amiri" w:hAnsi="Amiri" w:eastAsia="Amiri" w:cs="Amiri"/>
          <w:color w:val="111111"/>
          <w:sz w:val="28"/>
          <w:sz w:val="28"/>
          <w:szCs w:val="28"/>
          <w:rtl w:val="true"/>
          <w:lang w:bidi="ar-SA"/>
        </w:rPr>
        <w:t xml:space="preserve">أو وجهه أنّ النقض على كلا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للأبعاض، و تذكيره للخبر، و إفراده لكونه مصدراً أو كُلاً من الأبعاض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للطهور مشروط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فيشمله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يسمّى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اعتذر للماتن رحمه الله بأنّ المشترط فيها استدامة حكم النيّة لا نفسها، فإنّها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نيّة الكلّ عين نيّة الأجزاء فتتمّ الشرطيّة فيها و لا يقبل العذر، ممنوع؛ بعدم لزوم تعلّق النيّة بالجميع، بمعنى إخطار كلّ جزء بالبال، بل الظاهر كفاية تصوّر جملة الوضوء إجمالاً، و نيّة الأبعاض ضمناً، أو بأنّ المعروف من اشتراط الشارع جعل الشرط للعبادات المقصودة بالذات، و الأبعاض إنّما قصدت تبعاً، فلا تكون مشروطة بالنيّة بالذات، و إن لزم من الاشتراط بها الشرطيّة لها، لكن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المتبادر من الاشتراط بالنيّة أن تتعلّق نيّة واحدة مستقلّة به، و لا 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ينتقض أيضاً بالتطهير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لو نذر تطهير الثوب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لتحقّق الامتثال بدونها و إن غفل عن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عبادة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منعقد لرجحانه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هنا للتعليل أو التوقيت، و المعنى إذا رجح ذلك، و الرجحان طوراً لنفسه كتطهير المساجد، أو لغيره كالمثال إذا كان الدخول فيما يشترط بالخلوّ عن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ضميره إمّا إلى المنذور، أو إلى جملة التطهير مع ما بعده أو إلى النيّة المفهومة من ناوياً، و صحّ تذكيره لعدم التلفّظ بها، و النقض حسن لولا أنّ المتبادر من الشرطيّة ما كانت بأصل الشرع، لا ما أوجبها فعل المكلّف، أو ما تعلّق بها خطاب وضعي خاصّ دون ما تعلّق به خطاب شرعي مستقلّ كالمنذور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ينتقض أيضاً بالوضوء الفاقد للنيّة، أو بعض شرائط الصحّة إذ يصدق عليه الحدّ، و إن لم يكن مقروناً بها، فإنّ الاشتراط غير الاقتران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برمي الجمار التي يصح بها التيمّم، و باستلام الأركان، و بالسجود على الأرض للشكر، أو السهو بلا نيّة، و بتناول التربة للشفاء، و بالشرب من زمزم، و بالمضمضة، </w:t>
      </w:r>
    </w:p>
    <w:p>
      <w:pPr>
        <w:pStyle w:val="BookText"/>
        <w:rPr/>
      </w:pPr>
      <w:r>
        <w:rPr>
          <w:rFonts w:ascii="IRNazanin" w:hAnsi="IRNazanin" w:eastAsia="IRNazanin"/>
          <w:color w:val="111111"/>
          <w:sz w:val="28"/>
          <w:sz w:val="28"/>
          <w:szCs w:val="28"/>
          <w:rtl w:val="true"/>
          <w:lang w:bidi="fa-IR"/>
        </w:rPr>
        <w:t>و الاستنشاق بالغسل و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قصر استعمال الطهور على مسمّاه، أو المزيل للنجاسة منه، سقطت بعض النقوض و جاء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فهو من أجود التعريفات؛ لكثرة ما يرد عليها من النقوض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الاعتراضات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بالأجود، و الأجود تقديمه على الكثرة، و التعرّضُ للتعاريف و ما يرد عليها طرداً و عكساً قضيّته التطويل، و 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في أنوار فقاهته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حدودهم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ناشئ عن اختلافهم في المعنى الشرعي الموضوع له اللّفظ شرعاً،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ناشي</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عن تباين اصطلاحاتهم في المنقول إليه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تحديد الطهارة المصطلحة عندي متعذّر؛ لأنها مشترك لفظاً بين الثلاث </w:t>
      </w:r>
      <w:r>
        <w:rPr>
          <w:rStyle w:val="FootnoteAnchor"/>
          <w:rtl w:val="true"/>
        </w:rPr>
        <w:footnoteReference w:id="79"/>
      </w:r>
      <w:r>
        <w:rPr>
          <w:rFonts w:ascii="Amiri" w:hAnsi="Amiri" w:eastAsia="Amiri" w:cs="Amiri"/>
          <w:color w:val="111111"/>
          <w:sz w:val="28"/>
          <w:sz w:val="28"/>
          <w:szCs w:val="28"/>
          <w:rtl w:val="true"/>
          <w:lang w:bidi="ar-SA"/>
        </w:rPr>
        <w:t>، أو الترابيّة و المائيّة، و رسوم البعض و إن قضت باختصاصها بالمبيح منها، لكنّها محمولة على الطهارة التي هي نوع من العبادة لا مطلقاً، و إلّا لم يتمّ استدلالهم على الأعمّ بلا قرينة، و لكان بحثهم عنها استطرادياً، و تأباه السليقة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الطهورين متباينان قطعاً، و لا جامع بينهما إلّا ما يتراءى من استعمال الطهور، و إحراز جامعيّته لو كان اشتراكه بينهما معنويّاً، و لم يكن متناولاً بمفهومه لغيرهما، و لا كذلك؛ إذ لو أريد المسمّى بالطهور فهو عين الاشتراك اللّفظي، أو أريد مزيل النجاسة تناول غيرهما من الشمس و النار، أو أُريد مزيل الحدث لم يشمل التراب، مضافاً إلى عدم الصدق فيهما بالنسبة إلى إزالة الحَدَث و لو أُريد بإزالته حكمه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قصر على المبيح للصلاة تناول غيرهما ممّا يتوقف عليه إباحتها، و لا يصدق على </w:t>
      </w:r>
    </w:p>
    <w:p>
      <w:pPr>
        <w:pStyle w:val="BookText"/>
        <w:rPr/>
      </w:pPr>
      <w:r>
        <w:rPr>
          <w:rFonts w:ascii="Amiri" w:hAnsi="Amiri" w:eastAsia="Amiri" w:cs="Amiri"/>
          <w:color w:val="111111"/>
          <w:sz w:val="28"/>
          <w:sz w:val="28"/>
          <w:szCs w:val="28"/>
          <w:rtl w:val="true"/>
          <w:lang w:bidi="ar-SA"/>
        </w:rPr>
        <w:t>شيء منهما إلا مجازاً ، و قصارى ما يجمعها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مزيل للنجاسة مشروط بالنيّة في أصل الشرع مبيح للصلاة في أصله، و هو كما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اخترناه نصّ المحقّق في ناصريّاته </w:t>
      </w:r>
      <w:r>
        <w:rPr>
          <w:rStyle w:val="FootnoteAnchor"/>
          <w:rtl w:val="true"/>
        </w:rPr>
        <w:footnoteReference w:id="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أنّ اللّفظ الواقع على المعاني المختلفة بالاشتراك اللّفظي لا يمكن إيضاحه بالتعريف الواحد، كلفظ العين مثلاً، فإنه لما وقع على الباصرة، و الماء، و الذهب </w:t>
      </w:r>
      <w:r>
        <w:rPr>
          <w:rStyle w:val="FootnoteAnchor"/>
          <w:rtl w:val="true"/>
        </w:rPr>
        <w:footnoteReference w:id="81"/>
      </w:r>
      <w:r>
        <w:rPr>
          <w:rFonts w:ascii="Amiri" w:hAnsi="Amiri" w:eastAsia="Amiri" w:cs="Amiri"/>
          <w:color w:val="111111"/>
          <w:sz w:val="28"/>
          <w:sz w:val="28"/>
          <w:szCs w:val="28"/>
          <w:rtl w:val="true"/>
          <w:lang w:bidi="ar-SA"/>
        </w:rPr>
        <w:t>، لم يمكن تعريفه إلّا بذكر موضوعاته، لكن إذا اتّفق اشتراك تلك الموضوعات في لازم خاصّ بها أمكن تعريفه بذلك اللّازم،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اسم لما يعلم بعينه بانفراده، فالموضوعات مختلفة بالحقائق، و وقوعه عليها بالشركة اللّفظية، لكنّها تشترك في ذلك اللازم، فأمكن أن يعرّف الاسم به، لكن إن جعل الاسم واقعاً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ذلك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الاسم عن كونه مشتركاً، و دخل في كونه متواطئاً؛ لأنه يعود كالموضوع لما له ذلك اللازم المشترك لها، و ليس كذلك </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الطهارة فإنها تقع على الوضوء تارةً مع إرادة الاستباحة، و تارةً لا بحسب ذلك الاعتبار، كتجديد الوضوء من غير حدث، و تارةً تقع على الغسل المراد به الاستباحة، و قد تقع عليه لا بحسب ذلك، كالغسل المندوب مع طهارة البدن من حكم الحدث، و تارةً على التيمّم لاستباحة الصلاة، و تارةً 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حقائق مختلفة لا يجمعها شيء مشترك، فكأنَّ تعريف اللّفظ الذي يصلح وقوعه على كلّ واحد منها بالتعريف الواحد الحاصر متعذّر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الاستباحة و عدمها وإن كانا قيدين خارجين لكن لهما دخل في انتفاء الجامع، و إلّا </w:t>
      </w:r>
    </w:p>
    <w:p>
      <w:pPr>
        <w:pStyle w:val="BookText"/>
        <w:rPr/>
      </w:pPr>
      <w:r>
        <w:rPr>
          <w:rFonts w:ascii="Amiri" w:hAnsi="Amiri" w:eastAsia="Amiri" w:cs="Amiri"/>
          <w:color w:val="111111"/>
          <w:sz w:val="28"/>
          <w:sz w:val="28"/>
          <w:szCs w:val="28"/>
          <w:rtl w:val="true"/>
          <w:lang w:bidi="ar-SA"/>
        </w:rPr>
        <w:t>لأمكن الجمع بين الوضوء و الغسل باستعمال الماء لرفع الحدث، و عطفه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w:t>
      </w:r>
      <w:r>
        <w:rPr>
          <w:rStyle w:val="FootnoteAnchor"/>
          <w:rtl w:val="true"/>
        </w:rPr>
        <w:footnoteReference w:id="85"/>
      </w:r>
      <w:r>
        <w:rPr>
          <w:rFonts w:ascii="Amiri" w:hAnsi="Amiri" w:eastAsia="Amiri" w:cs="Amiri"/>
          <w:color w:val="111111"/>
          <w:sz w:val="28"/>
          <w:sz w:val="28"/>
          <w:szCs w:val="28"/>
          <w:rtl w:val="true"/>
          <w:lang w:bidi="ar-SA"/>
        </w:rPr>
        <w:t>إقرار بما اخترناه؛ لعدم إمكان حملها على الترديد، و جواب المدارك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الترديد إشارة إلى أقسام مفهوم الحدّ، و هو مفهوم أحد هذه الأمور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أنَّه عدول عما اختاره من الاشتراك دون التواطؤ،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 من النجاسة؛ نصّ عليه العلّامة في المنتهى </w:t>
      </w:r>
      <w:r>
        <w:rPr>
          <w:rStyle w:val="FootnoteAnchor"/>
          <w:rtl w:val="true"/>
        </w:rPr>
        <w:footnoteReference w:id="87"/>
      </w:r>
      <w:r>
        <w:rPr>
          <w:rFonts w:ascii="Amiri" w:hAnsi="Amiri" w:eastAsia="Amiri" w:cs="Amiri"/>
          <w:color w:val="111111"/>
          <w:sz w:val="28"/>
          <w:sz w:val="28"/>
          <w:szCs w:val="28"/>
          <w:rtl w:val="true"/>
          <w:lang w:bidi="ar-SA"/>
        </w:rPr>
        <w:t xml:space="preserve">، و ابن الطوسي بشرح النهاية </w:t>
      </w:r>
      <w:r>
        <w:rPr>
          <w:rStyle w:val="FootnoteAnchor"/>
          <w:rtl w:val="true"/>
        </w:rPr>
        <w:footnoteReference w:id="88"/>
      </w:r>
      <w:r>
        <w:rPr>
          <w:rFonts w:ascii="Amiri" w:hAnsi="Amiri" w:eastAsia="Amiri" w:cs="Amiri"/>
          <w:color w:val="111111"/>
          <w:sz w:val="28"/>
          <w:sz w:val="28"/>
          <w:szCs w:val="28"/>
          <w:rtl w:val="true"/>
          <w:lang w:bidi="ar-SA"/>
        </w:rPr>
        <w:t xml:space="preserve">، و أبو المكارم في الغنية </w:t>
      </w:r>
      <w:r>
        <w:rPr>
          <w:rStyle w:val="FootnoteAnchor"/>
          <w:rtl w:val="true"/>
        </w:rPr>
        <w:footnoteReference w:id="89"/>
      </w:r>
      <w:r>
        <w:rPr>
          <w:rFonts w:ascii="Amiri" w:hAnsi="Amiri" w:eastAsia="Amiri" w:cs="Amiri"/>
          <w:color w:val="111111"/>
          <w:sz w:val="28"/>
          <w:sz w:val="28"/>
          <w:szCs w:val="28"/>
          <w:rtl w:val="true"/>
          <w:lang w:bidi="ar-SA"/>
        </w:rPr>
        <w:t xml:space="preserve">، و غيرهم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مفتاح الكرامة </w:t>
      </w:r>
      <w:r>
        <w:rPr>
          <w:rStyle w:val="FootnoteAnchor"/>
          <w:rtl w:val="true"/>
        </w:rPr>
        <w:footnoteReference w:id="91"/>
      </w:r>
      <w:r>
        <w:rPr>
          <w:rFonts w:ascii="Amiri" w:hAnsi="Amiri" w:eastAsia="Amiri" w:cs="Amiri"/>
          <w:color w:val="111111"/>
          <w:sz w:val="28"/>
          <w:sz w:val="28"/>
          <w:szCs w:val="28"/>
          <w:rtl w:val="true"/>
          <w:lang w:bidi="ar-SA"/>
        </w:rPr>
        <w:t>من عدم العثور عليه من أحد سوى شرح النهاية،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االجواهر </w:t>
      </w:r>
      <w:r>
        <w:rPr>
          <w:rStyle w:val="FootnoteAnchor"/>
          <w:rtl w:val="true"/>
        </w:rPr>
        <w:footnoteReference w:id="92"/>
      </w:r>
      <w:r>
        <w:rPr>
          <w:rFonts w:ascii="Amiri" w:hAnsi="Amiri" w:eastAsia="Amiri" w:cs="Amiri"/>
          <w:color w:val="111111"/>
          <w:sz w:val="28"/>
          <w:sz w:val="28"/>
          <w:szCs w:val="28"/>
          <w:rtl w:val="true"/>
          <w:lang w:bidi="ar-SA"/>
        </w:rPr>
        <w:t xml:space="preserve">الميل لعدمه و التزام بعض التمحّلات، كمنع التبادر الظاهر، و استناده في غير المقام إلى ما هو أخفى منه، و حمل الاستعمال في الكتاب و السّنّة على لغويّ المعنى، و جعل المعروف في لسان المتشرّعة خلاف ما قلنا؛ لمجرد قول الشهيد </w:t>
      </w:r>
      <w:r>
        <w:rPr>
          <w:rStyle w:val="FootnoteAnchor"/>
          <w:rtl w:val="true"/>
        </w:rPr>
        <w:footnoteReference w:id="93"/>
      </w:r>
      <w:r>
        <w:rPr>
          <w:rFonts w:ascii="Amiri" w:hAnsi="Amiri" w:eastAsia="Amiri" w:cs="Amiri"/>
          <w:color w:val="111111"/>
          <w:sz w:val="28"/>
          <w:sz w:val="28"/>
          <w:szCs w:val="28"/>
          <w:rtl w:val="true"/>
          <w:lang w:bidi="ar-SA"/>
        </w:rPr>
        <w:t>، و قد تلونا عليك مقالة غيره، و كون المقسم أعمّ من المعرّف، و لا وقفنا عليه في غير هذا التقسيم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يعارضه في كلامه، و خروج بعض أفراد الوضوء عنها بعد </w:t>
      </w:r>
    </w:p>
    <w:p>
      <w:pPr>
        <w:pStyle w:val="BookText"/>
        <w:rPr/>
      </w:pPr>
      <w:r>
        <w:rPr>
          <w:rFonts w:ascii="Amiri" w:hAnsi="Amiri" w:eastAsia="Amiri" w:cs="Amiri"/>
          <w:color w:val="111111"/>
          <w:sz w:val="28"/>
          <w:sz w:val="28"/>
          <w:szCs w:val="28"/>
          <w:rtl w:val="true"/>
          <w:lang w:bidi="ar-SA"/>
        </w:rPr>
        <w:t>إطلاقها على كليّه مصادرة مقلوبة، و إبداء الفرق بينها و بين سائر المشتقات بخيال أنَّه وجه للجمع، خبط مخالف للقواعد النحوية، بل قد ادّعي أن الشمول فيها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تقوله النحاة، و عسى أن يكون تأمله إشارة لما قلنا، فيا حبّذا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اخترنا من مغايرة معنى الطهارة عندنا للمعنى اللّغوي في الكتاب و غيره مفهوماً و مصداقاً يلزم إجمال كلّ خطاب متعلّق بالطهارة و ما يشتقّ منها، من غير فرق بين البناء فيه على الصحيحي أو الأعمّي؛ قضاءً لحقّها، و لخفاء معنى الشرعي و إن زعم وجودها لبعض الأبدال </w:t>
      </w:r>
      <w:r>
        <w:rPr>
          <w:rStyle w:val="FootnoteAnchor"/>
          <w:rtl w:val="true"/>
        </w:rPr>
        <w:footnoteReference w:id="94"/>
      </w:r>
      <w:r>
        <w:rPr>
          <w:rFonts w:ascii="Amiri" w:hAnsi="Amiri" w:eastAsia="Amiri" w:cs="Amiri"/>
          <w:color w:val="111111"/>
          <w:sz w:val="28"/>
          <w:sz w:val="28"/>
          <w:szCs w:val="28"/>
          <w:rtl w:val="true"/>
          <w:lang w:bidi="ar-SA"/>
        </w:rPr>
        <w:t xml:space="preserve">، إلَّا أن يبنى على أنّ المستعمل فيه في الأدلّة نفس الأسباب، فيمكن تحصيل خطاب يتعلّق بإطلاقه بناءً على مذهب الأعمّي؛ و لذا يقلّ الجدوى في البحث عن ثبوت الحقيقة الشرعيّة فيها؛ لعدم الثمرة المترتّبة ههنا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ثمرة الإجمال و عدم الحمل على المعنى العرفي، أعني الخلوص من الأقذار و الأوساخ المحسوسة، لا تعدّ ثمرة، و لا يتعلّق بالبحث عنهما كثير 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ضمّها صفة و مصدر، و بالأوّل اسم، و ذكره الفتح منفرداً لعلّه لاختيار الأخير، ففي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الطهور لما يتطهّر به باتفاق من وصل إليّ كلامه من أهل اللغة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بالفتح لا غير، بخلافه مصدراً، فإنّه بالفتح و الضمّ، فعليه يتهافت اختياره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الطبيعي عنه بالجسم السيّال البارد بالطبع،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أوضح المفاهيم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الفرقان و سورته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وهو دليل طهورية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صدق الطهور عليه في الشرع؛ لأنه مطهّر، و إن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لزمه بعمومه، و المطر؛ لأنه في مقام الامتنان، و للتنكير القاضي بالجنسيّة فيه، و لفهم محقّقي </w:t>
      </w:r>
      <w:r>
        <w:rPr>
          <w:rStyle w:val="FootnoteAnchor"/>
          <w:rtl w:val="true"/>
        </w:rPr>
        <w:footnoteReference w:id="97"/>
      </w:r>
      <w:r>
        <w:rPr>
          <w:rFonts w:ascii="Amiri" w:hAnsi="Amiri" w:eastAsia="Amiri" w:cs="Amiri"/>
          <w:color w:val="111111"/>
          <w:sz w:val="28"/>
          <w:sz w:val="28"/>
          <w:szCs w:val="28"/>
          <w:rtl w:val="true"/>
          <w:lang w:bidi="ar-SA"/>
        </w:rPr>
        <w:t>الأصحاب الطهوريّة منها، فلا يضرّ وقوع النكرة في الإثبات بالعموم، و لا ماء من غير السماء،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فَأَسْكَنَّاهُ فِي الْأَرْضِ</w:t>
      </w:r>
      <w:r>
        <w:rPr>
          <w:rStyle w:val="FootnoteAnchor"/>
          <w:rtl w:val="true"/>
        </w:rPr>
        <w:footnoteReference w:id="98"/>
      </w:r>
      <w:r>
        <w:rPr>
          <w:rFonts w:ascii="Amiri" w:hAnsi="Amiri" w:eastAsia="Amiri" w:cs="Amiri"/>
          <w:color w:val="111111"/>
          <w:sz w:val="28"/>
          <w:sz w:val="28"/>
          <w:szCs w:val="28"/>
          <w:rtl w:val="true"/>
          <w:lang w:bidi="ar-SA"/>
        </w:rPr>
        <w:t>كافٍ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بالسماء هنا جهة العلوّ، من السموّ، و هو كذلك، فإنَّ المقادير و الأقضية الإلهيّة كلّها منها، لكن هذه الطهوريّة والمطهريّة قضيّة مهملة تفيد ثبوت المطهّريّة في الجملة، فيتوقّف بيان كيفيتها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 علوّ ماء الغسالة و الاكتفاء بالاتصال أو عدمها كُلاً، و كذا تعدّد الصبّ و عدمه إلى دليل آخر غير إطلاق طهوريّته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قضيتها مطلقة بمنزلة العامّ فتفيد المطهريّة على أيّ نحو كان، و على أيّ طريق لابس المتنجّس، و بأيّ طريق كان إلّا ما قام الدليل فيه على الاحتياج إلى كيفيّة خاصّة، و الأوّل أقوى، و به حكم الوالد في أنوار فقاهته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علیه و آله برواية الخاصّة و العامّة في 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زيدَ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ترابها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 ضرب عنه مع أو فقيبته تنبيهاً على المساواة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دليل طهوريّة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إبداله بلفظ الأرض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صنعه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على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التيمّم مطلقاً بغير</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التراب من أصناف الأرض</w:t>
      </w:r>
      <w:r>
        <w:rPr>
          <w:rFonts w:ascii="Amiri" w:hAnsi="Amiri" w:eastAsia="Amiri" w:cs="Amiri"/>
          <w:color w:val="111111"/>
          <w:sz w:val="28"/>
          <w:sz w:val="28"/>
          <w:szCs w:val="28"/>
          <w:rtl w:val="true"/>
          <w:lang w:bidi="ar-SA"/>
        </w:rPr>
        <w:t xml:space="preserve">، من الحجر، و الرمل، كما سيجيء، و في الذكرى </w:t>
      </w:r>
      <w:r>
        <w:rPr>
          <w:rStyle w:val="FootnoteAnchor"/>
          <w:rtl w:val="true"/>
        </w:rPr>
        <w:footnoteReference w:id="102"/>
      </w:r>
      <w:r>
        <w:rPr>
          <w:rFonts w:ascii="Amiri" w:hAnsi="Amiri" w:eastAsia="Amiri" w:cs="Amiri"/>
          <w:color w:val="111111"/>
          <w:sz w:val="28"/>
          <w:sz w:val="28"/>
          <w:szCs w:val="28"/>
          <w:rtl w:val="true"/>
          <w:lang w:bidi="ar-SA"/>
        </w:rPr>
        <w:t xml:space="preserve">، و البيان </w:t>
      </w:r>
      <w:r>
        <w:rPr>
          <w:rStyle w:val="FootnoteAnchor"/>
          <w:rtl w:val="true"/>
        </w:rPr>
        <w:footnoteReference w:id="103"/>
      </w:r>
      <w:r>
        <w:rPr>
          <w:rFonts w:ascii="IRNazanin" w:hAnsi="IRNazanin" w:eastAsia="IRNazanin"/>
          <w:color w:val="111111"/>
          <w:sz w:val="28"/>
          <w:sz w:val="28"/>
          <w:szCs w:val="28"/>
          <w:rtl w:val="true"/>
          <w:lang w:bidi="fa-IR"/>
        </w:rPr>
        <w:t xml:space="preserve">، و الدروس </w:t>
      </w:r>
      <w:r>
        <w:rPr>
          <w:rStyle w:val="FootnoteAnchor"/>
          <w:rtl w:val="true"/>
        </w:rPr>
        <w:footnoteReference w:id="104"/>
      </w:r>
      <w:r>
        <w:rPr>
          <w:rFonts w:ascii="Amiri" w:hAnsi="Amiri" w:eastAsia="Amiri" w:cs="Amiri"/>
          <w:color w:val="111111"/>
          <w:sz w:val="28"/>
          <w:sz w:val="28"/>
          <w:szCs w:val="28"/>
          <w:rtl w:val="true"/>
          <w:lang w:bidi="ar-SA"/>
        </w:rPr>
        <w:t>،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لعمري إنّ العبارة في غاية اللّطافة؛ لاشتمالها على تماثل التراب و الأرض في الرخصة بجواز التيمّم، و أنّهما بمعنى، و بعض النصوص </w:t>
      </w:r>
      <w:r>
        <w:rPr>
          <w:rStyle w:val="FootnoteAnchor"/>
          <w:rtl w:val="true"/>
        </w:rPr>
        <w:footnoteReference w:id="105"/>
      </w:r>
      <w:r>
        <w:rPr>
          <w:rFonts w:ascii="Amiri" w:hAnsi="Amiri" w:eastAsia="Amiri" w:cs="Amiri"/>
          <w:color w:val="111111"/>
          <w:sz w:val="28"/>
          <w:sz w:val="28"/>
          <w:szCs w:val="28"/>
          <w:rtl w:val="true"/>
          <w:lang w:bidi="ar-SA"/>
        </w:rPr>
        <w:t>قاض به، و إبداء ما لا يجوز التيمّم به منهما، فكأنّه صححه بالحجر و الرمل ونحوهما مما يعمّه التراب المرادف للأرض، و منعه بمثل النورة، و الكحل، و الزرنيخ من المعادن التي يطلق عليها الأرض، و لا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ترابف فأعرض عن خبر التراب و جاء بالأرض، و الأولوية حينئذ مقلوبة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فالماء</w:t>
      </w:r>
      <w:r>
        <w:rPr>
          <w:rFonts w:ascii="Amiri" w:hAnsi="Amiri" w:eastAsia="Amiri" w:cs="Amiri"/>
          <w:color w:val="111111"/>
          <w:sz w:val="28"/>
          <w:sz w:val="28"/>
          <w:szCs w:val="28"/>
          <w:rtl w:val="true"/>
          <w:lang w:bidi="ar-SA"/>
        </w:rPr>
        <w:t xml:space="preserve">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تعلّق الموصوف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إطلاق التطهّر من الحَدَث و الخَبَث إليه، فيمتاز عن التراب الذي لا إطلاق في تطهيره منهما مطلقاً، بل عند تعذّر أخيه من الأوبل و بعض أفراد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الفرق هو السبب في إفراده له بالحكم هنا، أو للإشارة إلى مطهريبته في الجملة لا مطلقاً؛ لمسلوبيّة الحكم عن مضافه، و اختلاف مطهريّته للأشياء بالصبات في قليله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يقضي السرب في عدم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بعده فراراً من ظنّ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أنّ الحاليّة تنفي الإضافة، فما عبّر به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تعلّقه بالماء،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 يقال ماء قولاً مطلقاً، لا مضافاً كالمضاف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حينئذ تلويح إلى غناء الماتن عن تقييده بالإطلاق البيّن من إطلاقه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الحدث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من الحدث</w:t>
      </w:r>
      <w:r>
        <w:rPr>
          <w:rFonts w:ascii="Amiri" w:hAnsi="Amiri" w:eastAsia="Amiri" w:cs="Amiri"/>
          <w:color w:val="111111"/>
          <w:sz w:val="28"/>
          <w:sz w:val="28"/>
          <w:szCs w:val="28"/>
          <w:rtl w:val="true"/>
          <w:lang w:bidi="ar-SA"/>
        </w:rPr>
        <w:t>، و هو اصطلاحاً 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الأثر الحاصل للمكلّف و شبهه الذي لم تكن له فعليّة التكليف كالصبيّ، و النائم، و المغمى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عروض أحد أسباب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موجباته، أو نواقضه،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الأثر تقديراً، أو 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بعد المانع للأثر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على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جيّد لولا عموم المانع، المقتضي لبطلان صلاة المتيمّم على الأشهر في عدم رافعيّته للحدث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يلزم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فلو أثبتها فيه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 كان جيّداً؛ لأنّ الحدث الحاصل لغير المكلّف ممبن قدّمنا يصدق أنَّه مُحدِث أيضاً إذا انقلب للتكليف؛ إذ ليس المفهوم من الحصول ابتداءه، اللهمّ إلّا أن يكون القصد صدق المحدث عليه قبله، أو لإدخال عبادة المميّز المشروطة بالرفع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الأثر معنوي يكشف عنه المنع من الصلاة و نحوها، و إزالة النجاسة، و هو المسمّى بالنجاسة المعنويّة و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اختيار السبب دون الموجب و الناقض هنا لعمومه مطلقاً لهما، كما في الروض </w:t>
      </w:r>
      <w:r>
        <w:rPr>
          <w:rStyle w:val="FootnoteAnchor"/>
          <w:rtl w:val="true"/>
        </w:rPr>
        <w:footnoteReference w:id="106"/>
      </w:r>
      <w:r>
        <w:rPr>
          <w:rFonts w:ascii="Amiri" w:hAnsi="Amiri" w:eastAsia="Amiri" w:cs="Amiri"/>
          <w:color w:val="111111"/>
          <w:sz w:val="28"/>
          <w:sz w:val="28"/>
          <w:szCs w:val="28"/>
          <w:rtl w:val="true"/>
          <w:lang w:bidi="ar-SA"/>
        </w:rPr>
        <w:t>إذ التسمية بالنواقض لجهة النقض، و الحدث أعمّ، و بالموجبات باعتبار وجودها عند التكليف، و هو أعمّ أيضاً، فالثالث متعيّن للشمول، لكن الظاهر أنها بمعنىً بلحاظ الصلاحية فيهما فتساوي الأسباب؛ إذ المقصود الإيجاب الوضعي لا التكليفي، فالحدث المصادف لفراغ الذمة مقتض في ذلك الحال بشرط دخول الوقت، و كذا الحدث له صلاحية النقض لو وردَ على آخر</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على نفس تلك الأسباب، وربه صرّح الماتن في قواعده </w:t>
      </w:r>
      <w:r>
        <w:rPr>
          <w:rStyle w:val="FootnoteAnchor"/>
          <w:rtl w:val="true"/>
        </w:rPr>
        <w:footnoteReference w:id="107"/>
      </w:r>
      <w:r>
        <w:rPr>
          <w:rFonts w:ascii="Amiri" w:hAnsi="Amiri" w:eastAsia="Amiri" w:cs="Amiri"/>
          <w:color w:val="111111"/>
          <w:sz w:val="28"/>
          <w:sz w:val="28"/>
          <w:szCs w:val="28"/>
          <w:rtl w:val="true"/>
          <w:lang w:bidi="ar-SA"/>
        </w:rPr>
        <w:t>، و لعلّه الأصل في نقل الحدث من لغويّ المعنى، فإنّه الحادث فيه حقيقة أو تجوّزاً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فإطلاقه على الأثر اصطلاح منقول من آخر، أو يرتكب فيما يراد فيه الأثر حذف المضاف، أو التجوّز في الإسناد، أو الإيقاع، أو تجوّز في اللّفظ كي لا يلزم نقل ثانٍ، ففي العبارة يراد رفع حكمه أو أثره؛ لأنّ نفسه غير قابل للرفع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للمكلّف، تعلّق حكم الحدث به، فلا يتعلّق بالأعضاء،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ارتفاع الحَدَث عن العضو الواحد بغسله قبل تمام الباقي؛ لأنّ المنع من الصلاة لا يتعلّق به، فلو بقي لمعة من الأعضاء، فالمنع بحاله و الحدث موجود، و لا يجوز مس الكتاب بالعضو المغسول قبل الإتمام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متين، لكن يبقى الإشكال في رافعيّة وضوء الجنب للحدث الأعضاء التي جرى عليها الماء بالنسبة إلى النوم دون الباقي، فالكلّيّة 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رفعه عن الكلّ أوّلاً، و لا غضاضة في رفعه كذلك لتلك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رفع الحدث لحالة النوم، فمتى كان النوم عبادة أو مشروطاً بالطهارة ليكون الحدث مانعاً فيها منها؟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كالطواف المندوب و الزيارة، فإنّ الحَدَث غير مانع منهما، و الوضوء المنوي فيه الرفع مندوب لهما، و كذا صلاة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الوضوء غير رافع للحدث، بل هو تعبّد محض، أو لإيقاع النوم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الأكمل، و على الأمرين الظاهر أنَّه لا ينقضه الحدث الأصغر مطلقاً،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الحائض؛ لأنه رافع للأكبر، و لا يلزمه رفع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الحَدَث من أسباب الوضوء الموجبة له، و لا ينافيه شرطية الطهارة للصلاة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قطع النظر عنه، أو مع خلوّ المكلّف عنها، و منه بالغرض، أو كما قيل في آدم علیه السلام </w:t>
      </w:r>
      <w:r>
        <w:rPr>
          <w:rStyle w:val="FootnoteAnchor"/>
          <w:rtl w:val="true"/>
        </w:rPr>
        <w:footnoteReference w:id="110"/>
      </w:r>
      <w:r>
        <w:rPr>
          <w:rFonts w:ascii="Amiri" w:hAnsi="Amiri" w:eastAsia="Amiri" w:cs="Amiri"/>
          <w:color w:val="111111"/>
          <w:sz w:val="28"/>
          <w:sz w:val="28"/>
          <w:szCs w:val="28"/>
          <w:rtl w:val="true"/>
          <w:lang w:bidi="ar-SA"/>
        </w:rPr>
        <w:t>، فإنّ الوضوء واجب إذا ذاك و لا حدث؛ للإطلاق في آيته؛ إذ بعد الإذعان بلزوم اشتراط الوضوء للفرض المزبور لا شكّ في ناقضية الحدث، و بحصوله يعاد الوضوء، و هو كافٍ في السببيّة؛ لأنّ الأسباب الشرعيّة معرّفات، بمعنى أن حصولها يعرف وجوب الوضوء، و لو من جهة شرطيّته، فلا ضير من أنّ الطهارة كما أنّها شرط وجوديّ من حيث هي، لا من حيث رفع الحَدَث، فالحدث أيضاً مانع وجودي من حيث هو، و حصول كلّ منهما يستلزم رفع الآخر؛ لمكان التضادّ شرعاً، فالشرط كما يجب معه تحصيله المانع يلزم رفعه، و إحراز العلم بعدمه و لو بحكم الأصل، و قد حصر الشارع رفعه هنا بالوضوء، فلحالة الحَدَث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الإحراز و الرفع، و لحالة عدمه جهة واحدة و هي الشرطيّة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الخبث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الماء مطهّر لكلّ فرد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و 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الحديد و الفضة ممّا نقّاه الكير </w:t>
      </w:r>
      <w:r>
        <w:rPr>
          <w:rStyle w:val="FootnoteAnchor"/>
          <w:rtl w:val="true"/>
        </w:rPr>
        <w:footnoteReference w:id="111"/>
      </w:r>
      <w:r>
        <w:rPr>
          <w:rFonts w:ascii="IRNazanin" w:hAnsi="IRNazanin" w:eastAsia="IRNazanin"/>
          <w:color w:val="111111"/>
          <w:sz w:val="28"/>
          <w:sz w:val="28"/>
          <w:szCs w:val="28"/>
          <w:rtl w:val="true"/>
          <w:lang w:bidi="fa-IR"/>
        </w:rPr>
        <w:t xml:space="preserve">، و به أتى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سبكناه و نحسبه لجيناً فأبدى الكير عن خَبَث الحديد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خبث بالضمّ خلاف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ascii="Amiri" w:hAnsi="Amiri" w:eastAsia="Amiri" w:cs="Amiri"/>
          <w:color w:val="111111"/>
          <w:sz w:val="28"/>
          <w:sz w:val="28"/>
          <w:szCs w:val="28"/>
          <w:rtl w:val="true"/>
          <w:lang w:bidi="ar-SA"/>
        </w:rPr>
        <w:t xml:space="preserve"> في الاصطلاح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 بفتح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كعلم يعلم، و بالضمّ ككرم يكرم،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نجس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الفتح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 راكداً، قليلاً، كثيراً، آباراً، و غيرها، قليلة كانت النجاسة الواردة عليه أو كثيرة، مائعة أو جامدة، تحت الماء أو فوقه، أو ممزوجاً به</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بالتغيّر و بائه للمصاحبة،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التغيير نجس، سواء كان نجساً قبله أو لا، و لا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جعلناها 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المنساق إلى الذهن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أحد أسباب نجاسته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تنجّس بغيرها أو لا، فالمتنجّس بغيرها يمكن أن يتنجّس بالتغيير؛ قضاءً لحقّ العموم المستفاد من السببيّة، مع أنّ المتنجّس بالملاقاة لا يعقل تنجّسه بالتغيير في شيء من الفروض و الاحتمالات؛ لسبقها و لو في زمان غير 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بالتغيير الورود المغيّر لعين ما سبق، فهو حينئذ نجس إذا تغيّر بالنجاسة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 هي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القذارة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 الاصطلاح عرّفها الماتن بقواعده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معنى قائم بالجسم يوجب اجتنابه في الصلاة، و التناول لعينه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تنبيه على أنّ الجسم من حيث إنه جسم لا يكون نجساً، و إلّا لعمّت النجاسة الأجسام، بل لمعنى قائم 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قذارة، أو إبعاد عن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لعينه، احتراز عن الأعيان المغصوبة؛ فإنّه يجب اجتنابها في الصلاة لا لعينها، بل باعتبار تعلّق حقّ الغير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عطف التناول، لتخرج محرّمات الصلاة منها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 الاستدبار، و الحدث، و الفعل الكثير، فيطّرد الحدّ، فإنّها لا تحرم في التناول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رحمه الله نسبه إلى القيل، فعرّفها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استعماله في الصلاة، و الأغذية للاستقذار، أو للتوصل إلى القرار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بالاستقذار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 ، و الأغذية الممرضة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بالتوصّل إلى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العصير، و أدخل الطواف و نحوه بالصلاة، و الأشربة بالأغذية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مرجع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التحريم، و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الإباحة، و هما حكمان شرعيّان، و موضوع الحكم فيهما هو فعل المكلّف، فهما متعلّق الحكم من حيث الاستعمال، و ظاهر أن لا واسطة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شمولهما 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 أو غذاء ما لا يؤكل لحمه، و الكلّ بحكم الطهارة، فلا بدّ من التمحل فيه، و المقصود بيان إجمال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التغيير بالنجاسة إنّما يورثها إذا كان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أوصافه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الطعم و الرّيح، و لولا وجود الأوّل بالنصّ و سائر كتبهم لكان الحكم باستدراكه جيّداً؛ إذ السبر أنّ اللون لا يتغيّر منفرداً عنهما، بل هما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تأمّل فيه بعضُ </w:t>
      </w:r>
      <w:r>
        <w:rPr>
          <w:rStyle w:val="FootnoteAnchor"/>
          <w:rtl w:val="true"/>
        </w:rPr>
        <w:footnoteReference w:id="119"/>
      </w:r>
      <w:r>
        <w:rPr>
          <w:rFonts w:ascii="Amiri" w:hAnsi="Amiri" w:eastAsia="Amiri" w:cs="Amiri"/>
          <w:color w:val="111111"/>
          <w:sz w:val="28"/>
          <w:sz w:val="28"/>
          <w:szCs w:val="28"/>
          <w:rtl w:val="true"/>
          <w:lang w:bidi="ar-SA"/>
        </w:rPr>
        <w:t xml:space="preserve">معلّلاً له بخلوّ النصوص الصحيحة عنه، فيبقى ما تغيّر به مع فرض استقلاله بالتغيّر على أصل الطاهرة، و كأنّهم أعرضوا عنه، و حكموا </w:t>
      </w:r>
      <w:r>
        <w:rPr>
          <w:rStyle w:val="FootnoteAnchor"/>
          <w:rtl w:val="true"/>
        </w:rPr>
        <w:footnoteReference w:id="120"/>
      </w:r>
      <w:r>
        <w:rPr>
          <w:rFonts w:ascii="Amiri" w:hAnsi="Amiri" w:eastAsia="Amiri" w:cs="Amiri"/>
          <w:color w:val="111111"/>
          <w:sz w:val="28"/>
          <w:sz w:val="28"/>
          <w:szCs w:val="28"/>
          <w:rtl w:val="true"/>
          <w:lang w:bidi="ar-SA"/>
        </w:rPr>
        <w:t>بالمساواة،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الصحيح المنجبر بالفتوى و العمل يزيد على الصحيح، على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الفضيل </w:t>
      </w:r>
      <w:r>
        <w:rPr>
          <w:rStyle w:val="FootnoteAnchor"/>
          <w:rtl w:val="true"/>
        </w:rPr>
        <w:footnoteReference w:id="122"/>
      </w:r>
      <w:r>
        <w:rPr>
          <w:rFonts w:ascii="Amiri" w:hAnsi="Amiri" w:eastAsia="Amiri" w:cs="Amiri"/>
          <w:color w:val="111111"/>
          <w:sz w:val="28"/>
          <w:sz w:val="28"/>
          <w:szCs w:val="28"/>
          <w:rtl w:val="true"/>
          <w:lang w:bidi="ar-SA"/>
        </w:rPr>
        <w:t xml:space="preserve">ظاهرة بالانفعال به، و ما فيها غير محمّد بن سنان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رواية صفوان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يروي إلّا عن ثقة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الاعتماد على خبره، مضافاً إلى الانجبار بما قضى بنجاسة مطلق التغيير، و الجمّ الغفير عليه، و مع ذلك لي فيه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النجاسة تتحقّق بالثلاثة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غيرها من الأوصاف كالسخونة </w:t>
      </w:r>
      <w:r>
        <w:rPr>
          <w:rStyle w:val="FootnoteAnchor"/>
          <w:rtl w:val="true"/>
        </w:rPr>
        <w:footnoteReference w:id="125"/>
      </w:r>
      <w:r>
        <w:rPr>
          <w:rFonts w:ascii="Amiri" w:hAnsi="Amiri" w:eastAsia="Amiri" w:cs="Amiri"/>
          <w:color w:val="111111"/>
          <w:sz w:val="28"/>
          <w:sz w:val="28"/>
          <w:szCs w:val="28"/>
          <w:rtl w:val="true"/>
          <w:lang w:bidi="ar-SA"/>
        </w:rPr>
        <w:t>، و الوزانة، و الحرارة و البرودة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بالتنجيس فيها مطلقاً كأنّه لا شبهة فيه، و يشكل في الكثير المتغيّر خصوصاً بالأوّل؛ لخلوّ نصوص الخاصبة عنه، و لكن مخالفة المعظم ممّا تعظم ،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إجماع من يحفظ عنه العلم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أمّا إطلاق أخبار الباب فيمكن المناقشة فيها سنداً و دلالةً، كصحيحة حريز </w:t>
      </w:r>
      <w:r>
        <w:rPr>
          <w:rStyle w:val="FootnoteAnchor"/>
          <w:rtl w:val="true"/>
        </w:rPr>
        <w:footnoteReference w:id="127"/>
      </w:r>
      <w:r>
        <w:rPr>
          <w:rFonts w:ascii="Amiri" w:hAnsi="Amiri" w:eastAsia="Amiri" w:cs="Amiri"/>
          <w:color w:val="111111"/>
          <w:sz w:val="28"/>
          <w:sz w:val="28"/>
          <w:szCs w:val="28"/>
          <w:rtl w:val="true"/>
          <w:lang w:bidi="ar-SA"/>
        </w:rPr>
        <w:t xml:space="preserve">، و موثّقة سماعة </w:t>
      </w:r>
      <w:r>
        <w:rPr>
          <w:rStyle w:val="FootnoteAnchor"/>
          <w:rtl w:val="true"/>
        </w:rPr>
        <w:footnoteReference w:id="128"/>
      </w:r>
      <w:r>
        <w:rPr>
          <w:rFonts w:ascii="Amiri" w:hAnsi="Amiri" w:eastAsia="Amiri" w:cs="Amiri"/>
          <w:color w:val="111111"/>
          <w:sz w:val="28"/>
          <w:sz w:val="28"/>
          <w:szCs w:val="28"/>
          <w:rtl w:val="true"/>
          <w:lang w:bidi="ar-SA"/>
        </w:rPr>
        <w:t xml:space="preserve">، و رواية زرارة </w:t>
      </w:r>
      <w:r>
        <w:rPr>
          <w:rStyle w:val="FootnoteAnchor"/>
          <w:rtl w:val="true"/>
        </w:rPr>
        <w:footnoteReference w:id="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و خبر بصائر الدرجات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إن ثبت ما حكاه ابن أبي عقيل </w:t>
      </w:r>
      <w:r>
        <w:rPr>
          <w:rStyle w:val="FootnoteAnchor"/>
          <w:rtl w:val="true"/>
        </w:rPr>
        <w:footnoteReference w:id="1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عن الصادق علیه السلام أنّ الماء طاهر</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ينجسه شيء إلّا ما غيّر لونه، أو طعمه، أو ريحه، و ما صحّحه العلّامة في بعض كتبه </w:t>
      </w:r>
      <w:r>
        <w:rPr>
          <w:rStyle w:val="FootnoteAnchor"/>
          <w:rtl w:val="true"/>
        </w:rPr>
        <w:footnoteReference w:id="132"/>
      </w:r>
      <w:r>
        <w:rPr>
          <w:rFonts w:ascii="IRNazanin" w:hAnsi="IRNazanin" w:eastAsia="IRNazanin"/>
          <w:color w:val="111111"/>
          <w:sz w:val="28"/>
          <w:sz w:val="28"/>
          <w:szCs w:val="28"/>
          <w:rtl w:val="true"/>
          <w:lang w:bidi="fa-IR"/>
        </w:rPr>
        <w:t>من رواية الجمهور، عن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 ينجسه شيء إلّا ما غيّر لونه، أو طعمه، أو ريحه</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 فالظاهر كفايتهما في إثبات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المناط في التغيير المحكوم بالنجاسة به هو تغيير الماء بأثر النجاسة الواردة عليه، لا تغيير عين النجاسة للماء، فيتفرّع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حصل للماء لون باجتماع نجاسات متعدّدة لا يطابق لون أحدها، أو رائحته، أو طعمه، فالحكم فيه النجاسة؛ لصدق حصول التغيير في أحد الأوصاف بسبب غَلَبَة النجاسة، و عدم موافقة الاسم غير قادح؛ لأنّ الاعتبار بالصفات إنّما هو لأجل تحقق الغلبة و الاستيلاء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الجواهر </w:t>
      </w:r>
      <w:r>
        <w:rPr>
          <w:rStyle w:val="FootnoteAnchor"/>
          <w:rtl w:val="true"/>
        </w:rPr>
        <w:footnoteReference w:id="134"/>
      </w:r>
      <w:r>
        <w:rPr>
          <w:rFonts w:ascii="Amiri" w:hAnsi="Amiri" w:eastAsia="Amiri" w:cs="Amiri"/>
          <w:color w:val="111111"/>
          <w:sz w:val="28"/>
          <w:sz w:val="28"/>
          <w:szCs w:val="28"/>
          <w:rtl w:val="true"/>
          <w:lang w:bidi="ar-SA"/>
        </w:rPr>
        <w:t>اختار حينئذ القول بالطهارة؛ للاستصحاب، و الاقتصار على المتيقّن، للشك في اندراج الفرض فيما هو الميزان في حصول النجاسة، و ينتصر له أيضاً بسلب الاعتبار بسائر الأوصاف غير الثلاثة، و هذه الكيفية داخلة فيها إلَّا في أوصاف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حرّرنا يظهر ضعفه؛ إذ المراد بسائر الأوصاف ما كان منها خارجاً عن الثلاثة، لا الأوصاف التي من جنس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نظيره 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المتولّد من نجسين نجس، و إن لم يوافق أحدهما، بل و لو وافق اسم طاهر </w:t>
      </w:r>
      <w:r>
        <w:rPr>
          <w:rStyle w:val="FootnoteAnchor"/>
          <w:rtl w:val="true"/>
        </w:rPr>
        <w:footnoteReference w:id="135"/>
      </w:r>
      <w:r>
        <w:rPr>
          <w:rFonts w:ascii="Amiri" w:hAnsi="Amiri" w:eastAsia="Amiri" w:cs="Amiri"/>
          <w:color w:val="111111"/>
          <w:sz w:val="28"/>
          <w:sz w:val="28"/>
          <w:szCs w:val="28"/>
          <w:rtl w:val="true"/>
          <w:lang w:bidi="ar-SA"/>
        </w:rPr>
        <w:t>، و هو لا يدّعي الطهارة هناك قطعاً، على أنّ المدار صفة جنس النجاسة دون الشخص، و الكيفية الثالثة الحاصلة من المجموع موافقة لها في صفات النجاسة</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هنا من عدّها أنّ ظاهر المصنفين و صريح غيرهما </w:t>
      </w:r>
      <w:r>
        <w:rPr>
          <w:rStyle w:val="FootnoteAnchor"/>
          <w:rtl w:val="true"/>
        </w:rPr>
        <w:footnoteReference w:id="136"/>
      </w:r>
      <w:r>
        <w:rPr>
          <w:rFonts w:ascii="Amiri" w:hAnsi="Amiri" w:eastAsia="Amiri" w:cs="Amiri"/>
          <w:color w:val="111111"/>
          <w:sz w:val="28"/>
          <w:sz w:val="28"/>
          <w:szCs w:val="28"/>
          <w:rtl w:val="true"/>
          <w:lang w:bidi="ar-SA"/>
        </w:rPr>
        <w:t xml:space="preserve">، و هما في غيره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بسائر التغيّرات سواها، و كأنّ الشهرة محققة على ذلك إن لم يكن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حدث لبعض المعاصرين </w:t>
      </w:r>
      <w:r>
        <w:rPr>
          <w:rStyle w:val="FootnoteAnchor"/>
          <w:rtl w:val="true"/>
        </w:rPr>
        <w:footnoteReference w:id="138"/>
      </w:r>
      <w:r>
        <w:rPr>
          <w:rFonts w:ascii="Amiri" w:hAnsi="Amiri" w:eastAsia="Amiri" w:cs="Amiri"/>
          <w:color w:val="111111"/>
          <w:sz w:val="28"/>
          <w:sz w:val="28"/>
          <w:szCs w:val="28"/>
          <w:rtl w:val="true"/>
          <w:lang w:bidi="ar-SA"/>
        </w:rPr>
        <w:t xml:space="preserve">القول بإمكان تطرّق الخلاف فيها، بل وجوده؛ نظراً إلى إطلاقات بعض الكلمات؛ ففي الشرائع </w:t>
      </w:r>
      <w:r>
        <w:rPr>
          <w:rStyle w:val="FootnoteAnchor"/>
          <w:rtl w:val="true"/>
        </w:rPr>
        <w:footnoteReference w:id="139"/>
      </w:r>
      <w:r>
        <w:rPr>
          <w:rFonts w:ascii="Amiri" w:hAnsi="Amiri" w:eastAsia="Amiri" w:cs="Amiri"/>
          <w:color w:val="111111"/>
          <w:sz w:val="28"/>
          <w:sz w:val="28"/>
          <w:szCs w:val="28"/>
          <w:rtl w:val="true"/>
          <w:lang w:bidi="ar-SA"/>
        </w:rPr>
        <w:t xml:space="preserve">لم يصرّح بالثلاثة، بل جعل المدار على تغيير الأوصاف، و كذا الجُعفي </w:t>
      </w:r>
      <w:r>
        <w:rPr>
          <w:rStyle w:val="FootnoteAnchor"/>
          <w:rtl w:val="true"/>
        </w:rPr>
        <w:footnoteReference w:id="140"/>
      </w:r>
      <w:r>
        <w:rPr>
          <w:rFonts w:ascii="Amiri" w:hAnsi="Amiri" w:eastAsia="Amiri" w:cs="Amiri"/>
          <w:color w:val="111111"/>
          <w:sz w:val="28"/>
          <w:sz w:val="28"/>
          <w:szCs w:val="28"/>
          <w:rtl w:val="true"/>
          <w:lang w:bidi="ar-SA"/>
        </w:rPr>
        <w:t xml:space="preserve">، و ابنا بابويه </w:t>
      </w:r>
      <w:r>
        <w:rPr>
          <w:rStyle w:val="FootnoteAnchor"/>
          <w:rtl w:val="true"/>
        </w:rPr>
        <w:footnoteReference w:id="141"/>
      </w:r>
      <w:r>
        <w:rPr>
          <w:rFonts w:ascii="Amiri" w:hAnsi="Amiri" w:eastAsia="Amiri" w:cs="Amiri"/>
          <w:color w:val="111111"/>
          <w:sz w:val="28"/>
          <w:sz w:val="28"/>
          <w:szCs w:val="28"/>
          <w:rtl w:val="true"/>
          <w:lang w:bidi="ar-SA"/>
        </w:rPr>
        <w:t>لم يصرّحوا بها ، بل اعتبروا غلبة النجاسة، بل كلّ من أطلق الاستيلاء، أو التغيير، أو الغلبة، من دون قيد يستشمّ منه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لذهنه لعلّه ممنوع، فإنّ صيغة الجمع في الشرائع </w:t>
      </w:r>
      <w:r>
        <w:rPr>
          <w:rStyle w:val="FootnoteAnchor"/>
          <w:rtl w:val="true"/>
        </w:rPr>
        <w:footnoteReference w:id="142"/>
      </w:r>
      <w:r>
        <w:rPr>
          <w:rFonts w:ascii="Amiri" w:hAnsi="Amiri" w:eastAsia="Amiri" w:cs="Amiri"/>
          <w:color w:val="111111"/>
          <w:sz w:val="28"/>
          <w:sz w:val="28"/>
          <w:szCs w:val="28"/>
          <w:rtl w:val="true"/>
          <w:lang w:bidi="ar-SA"/>
        </w:rPr>
        <w:t xml:space="preserve">شاهد على إرادة المعهود من الأوصاف و هو الثلاثة، فاستغنى به عن التصريح، و في المعتبر </w:t>
      </w:r>
      <w:r>
        <w:rPr>
          <w:rStyle w:val="FootnoteAnchor"/>
          <w:rtl w:val="true"/>
        </w:rPr>
        <w:footnoteReference w:id="143"/>
      </w:r>
      <w:r>
        <w:rPr>
          <w:rFonts w:ascii="Amiri" w:hAnsi="Amiri" w:eastAsia="Amiri" w:cs="Amiri"/>
          <w:color w:val="111111"/>
          <w:sz w:val="28"/>
          <w:sz w:val="28"/>
          <w:szCs w:val="28"/>
          <w:rtl w:val="true"/>
          <w:lang w:bidi="ar-SA"/>
        </w:rPr>
        <w:t>صرّح بالثلاثة، فهو شاهد ثان على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غيره كمن ذكرنا فلم يظهر منها مخالفة، و مقالة الماتن بذكراه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يصرّحا بالأوصاف الثلاثة، بل اعتبرا الأغلبيّة، و هو موافقة في المعنى، لم يكن غرضه الذي احتمله المورد من مخالفة إطلاقهم لتقييد الأوصاف، بل الاعتبار التغيير في مقابلة من اكتفى بمجرّد</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الغلبة </w:t>
      </w:r>
      <w:r>
        <w:rPr>
          <w:rStyle w:val="FootnoteAnchor"/>
          <w:rtl w:val="true"/>
        </w:rPr>
        <w:footnoteReference w:id="145"/>
      </w:r>
      <w:r>
        <w:rPr>
          <w:rFonts w:ascii="Amiri" w:hAnsi="Amiri" w:eastAsia="Amiri" w:cs="Amiri"/>
          <w:color w:val="111111"/>
          <w:sz w:val="28"/>
          <w:sz w:val="28"/>
          <w:szCs w:val="28"/>
          <w:rtl w:val="true"/>
          <w:lang w:bidi="ar-SA"/>
        </w:rPr>
        <w:t>، و لذا نبه على الموافقة في المعنى؛ بناءً على عدم حصول الغلبة سابقة على التغيير؛ كي لا يتوهّم من أنّ مرادهم أنّ الغلبة منجسة و إن لم يحصل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ذكر بعد ذلك أنَّه لا عبرة بغير الأوصاف الثلاثة، فلو كان هناك مخالف لعيّنه و لو تلويحاً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الإطلاق، لكنّها مقيّدة بالنبويّ الحاصر بالثلاثة، و المسألة فيها غموض، خصوصاً بعد نفي الشيخ الخلاف فيه على حصول النجاسة بالتغيير بالأوصاف </w:t>
      </w:r>
      <w:r>
        <w:rPr>
          <w:rStyle w:val="FootnoteAnchor"/>
          <w:rtl w:val="true"/>
        </w:rPr>
        <w:footnoteReference w:id="146"/>
      </w:r>
      <w:r>
        <w:rPr>
          <w:rFonts w:ascii="Amiri" w:hAnsi="Amiri" w:eastAsia="Amiri" w:cs="Amiri"/>
          <w:color w:val="111111"/>
          <w:sz w:val="28"/>
          <w:sz w:val="28"/>
          <w:szCs w:val="28"/>
          <w:rtl w:val="true"/>
          <w:lang w:bidi="ar-SA"/>
        </w:rPr>
        <w:t>، و لم يقيّدها، فينبغي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ينبغي لمن يزعم كفاية مطلق التغيير في النجاسة أن يخصّه بما يحسّ منه، و إلّا يلزمه أن يكون مجرّد الملاقاة كافية فيها، فإنّها لا تخلو عن نوع تغيير و لو بزيادة ما غير محسوسة، و لا قائل به، و متى خصّه طالبناه بدليله، أو يرجع إلى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المنتهى </w:t>
      </w:r>
      <w:r>
        <w:rPr>
          <w:rStyle w:val="FootnoteAnchor"/>
          <w:rtl w:val="true"/>
        </w:rPr>
        <w:footnoteReference w:id="147"/>
      </w:r>
      <w:r>
        <w:rPr>
          <w:rFonts w:ascii="Amiri" w:hAnsi="Amiri" w:eastAsia="Amiri" w:cs="Amiri"/>
          <w:color w:val="111111"/>
          <w:sz w:val="28"/>
          <w:sz w:val="28"/>
          <w:szCs w:val="28"/>
          <w:rtl w:val="true"/>
          <w:lang w:bidi="ar-SA"/>
        </w:rPr>
        <w:t>أنّ غير الثلاث من الكيفيّات لا عبرة به؛ لأنه لا يحصل بها امتزاج، انتهى في المعنى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w:t>
      </w:r>
      <w:r>
        <w:rPr>
          <w:rFonts w:ascii="Amiri" w:hAnsi="Amiri" w:eastAsia="Amiri" w:cs="Amiri"/>
          <w:color w:val="111111"/>
          <w:sz w:val="28"/>
          <w:sz w:val="28"/>
          <w:szCs w:val="28"/>
          <w:rtl w:val="true"/>
          <w:lang w:bidi="ar-SA"/>
        </w:rPr>
        <w:t xml:space="preserve"> الماتن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بتغييره </w:t>
      </w:r>
      <w:r>
        <w:rPr>
          <w:rStyle w:val="FootnoteAnchor"/>
          <w:rtl w:val="true"/>
        </w:rPr>
        <w:footnoteReference w:id="148"/>
      </w:r>
      <w:r>
        <w:rPr>
          <w:rFonts w:ascii="Amiri" w:hAnsi="Amiri" w:eastAsia="Amiri" w:cs="Amiri"/>
          <w:color w:val="111111"/>
          <w:sz w:val="28"/>
          <w:sz w:val="28"/>
          <w:szCs w:val="28"/>
          <w:rtl w:val="true"/>
          <w:lang w:bidi="ar-SA"/>
        </w:rPr>
        <w:t>بالنجاسة عمّا لو تغيّر بالمتنجّس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بما له من الصفات الذاتيّة لا بالوصف العارض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ينجس بذلك، كما لو تغيّر طعمه بالدبس النجس </w:t>
      </w:r>
      <w:r>
        <w:rPr>
          <w:rStyle w:val="FootnoteAnchor"/>
          <w:rtl w:val="true"/>
        </w:rPr>
        <w:footnoteReference w:id="149"/>
      </w:r>
      <w:r>
        <w:rPr>
          <w:rFonts w:ascii="Amiri" w:hAnsi="Amiri" w:eastAsia="Amiri" w:cs="Amiri"/>
          <w:color w:val="111111"/>
          <w:sz w:val="28"/>
          <w:sz w:val="28"/>
          <w:szCs w:val="28"/>
          <w:rtl w:val="true"/>
          <w:lang w:bidi="ar-SA"/>
        </w:rPr>
        <w:t>من غير أن تؤثّر نجاسته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سراية نفس النجاسة التي هي من العوارض، فإنّ الماء المتغيّر بها ينجس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بالدبس قطرة بول فنجس، ثمّ تغيّر به الماء، بأن صار حلواً أو أحمر، لم ينجس الماء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أوصاف المتنجّس و انقلاب الملاقي إلى النجاسة فيه، و كان العدم مسلّم بينهم، و الخلاف منسوب إلى المبسوط </w:t>
      </w:r>
      <w:r>
        <w:rPr>
          <w:rStyle w:val="FootnoteAnchor"/>
          <w:rtl w:val="true"/>
        </w:rPr>
        <w:footnoteReference w:id="150"/>
      </w:r>
      <w:r>
        <w:rPr>
          <w:rFonts w:ascii="IRNazanin" w:hAnsi="IRNazanin" w:eastAsia="IRNazanin"/>
          <w:color w:val="111111"/>
          <w:sz w:val="28"/>
          <w:sz w:val="28"/>
          <w:szCs w:val="28"/>
          <w:rtl w:val="true"/>
          <w:lang w:bidi="fa-IR"/>
        </w:rPr>
        <w:t xml:space="preserve">، و الجواهر </w:t>
      </w:r>
      <w:r>
        <w:rPr>
          <w:rStyle w:val="FootnoteAnchor"/>
          <w:rtl w:val="true"/>
        </w:rPr>
        <w:footnoteReference w:id="151"/>
      </w:r>
      <w:r>
        <w:rPr>
          <w:rFonts w:ascii="Amiri" w:hAnsi="Amiri" w:eastAsia="Amiri" w:cs="Amiri"/>
          <w:color w:val="111111"/>
          <w:sz w:val="28"/>
          <w:sz w:val="28"/>
          <w:szCs w:val="28"/>
          <w:rtl w:val="true"/>
          <w:lang w:bidi="ar-SA"/>
        </w:rPr>
        <w:t>نسبته إلى السرائر، و عبارته غير صريحة في عدم التنجيس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المصابيح </w:t>
      </w:r>
      <w:r>
        <w:rPr>
          <w:rStyle w:val="FootnoteAnchor"/>
          <w:rtl w:val="true"/>
        </w:rPr>
        <w:footnoteReference w:id="152"/>
      </w:r>
      <w:r>
        <w:rPr>
          <w:rFonts w:ascii="Amiri" w:hAnsi="Amiri" w:eastAsia="Amiri" w:cs="Amiri"/>
          <w:color w:val="111111"/>
          <w:sz w:val="28"/>
          <w:sz w:val="28"/>
          <w:szCs w:val="28"/>
          <w:rtl w:val="true"/>
          <w:lang w:bidi="ar-SA"/>
        </w:rPr>
        <w:t xml:space="preserve">نسبة القول به إليه و نسبه في المناهل إلى السيّد في الجمل نقلا عن الكشف </w:t>
      </w:r>
      <w:r>
        <w:rPr>
          <w:rStyle w:val="FootnoteAnchor"/>
          <w:rtl w:val="true"/>
        </w:rPr>
        <w:footnoteReference w:id="153"/>
      </w:r>
      <w:r>
        <w:rPr>
          <w:rFonts w:ascii="Amiri" w:hAnsi="Amiri" w:eastAsia="Amiri" w:cs="Amiri"/>
          <w:color w:val="111111"/>
          <w:sz w:val="28"/>
          <w:sz w:val="28"/>
          <w:szCs w:val="28"/>
          <w:rtl w:val="true"/>
          <w:lang w:bidi="ar-SA"/>
        </w:rPr>
        <w:t>، و نسخته التي عندي مقتصر فيها على الشيخ، و لم أرَ في الجمل ما يفيد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أيضاً إلى التحرير و المعتبر، و لم نعثر عليه في الأوّل، و أضاف في المناهل له القول المشهور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نقل فيه عبارة المبسوط و سكت، فظنّوا أنّ سكوته علامة الرّضا، و إلّا لأنكر مع أنَّه أعمّ، و عليه فيتمحّض الخلاف للشيخ في ظاهر عبارته، قال في المبسوط بعد تقسيمه الماء، و تحديد المضاف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الضرب من المياه لا يجوز استعماله في رفع الأحداث بلا خلاف بين الطائفة، و لا في إزالة النجاسات على الصحيح من المذهب، و يجوز استعماله فيما عدا ذلك، مباح التصرّف فيه بسائر أنواع التصرّف ما لم يقع فيه نجاسة، فإذا وقعت فيه نجاسة لم يجز استعماله على حال، سواء كان قليلاً أو كثيراً، و سواء كانت النجاسة قليلة أو كثيرة، تغيّر أحد أوصافه أو يتغيّر، و لا طريق إلى تطهيره بحال إلّا أن يختلط بما زاد على الكرّ من المياه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ينظر فيه، فإن سلبه إطلاق اسم الماء لم يجز أيضاً استعماله بحال، و إن لم يسلبه إطلاق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الماء و غيّر أحد أوصافه إمّا لونه أو طعمه أو رائحته فلا يجوز أيضاً استعماله بحال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في الجواهر الحكم بعدم ظهور نجاسة الملاقي للمتنجّس منه، خلافاً لمن أسند ذلك للشيخ من المعتبرين، و على ما نقله من العبارة ظاهر مطلبه، حيث أسقط منها ما فيه الظهور على المراد،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عبارته دالّة على ما إذا بقي الاسم و تغيّرت الأوصاف </w:t>
      </w:r>
      <w:r>
        <w:rPr>
          <w:rStyle w:val="FootnoteAnchor"/>
          <w:rtl w:val="true"/>
        </w:rPr>
        <w:footnoteReference w:id="15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نصّ ألفاظ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محاملها عندي هو إرادة التغيير بأوصاف النجاسة لا المتنجّس، و يؤيده إطلاقه الأوصاف في صدر العبارة على أوصاف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الحمل بعد فهم العلّامة في المختلف </w:t>
      </w:r>
      <w:r>
        <w:rPr>
          <w:rStyle w:val="FootnoteAnchor"/>
          <w:rtl w:val="true"/>
        </w:rPr>
        <w:footnoteReference w:id="157"/>
      </w:r>
      <w:r>
        <w:rPr>
          <w:rFonts w:ascii="Amiri" w:hAnsi="Amiri" w:eastAsia="Amiri" w:cs="Amiri"/>
          <w:color w:val="111111"/>
          <w:sz w:val="28"/>
          <w:sz w:val="28"/>
          <w:szCs w:val="28"/>
          <w:rtl w:val="true"/>
          <w:lang w:bidi="ar-SA"/>
        </w:rPr>
        <w:t>من التغيير بأوصاف المتنجّس، فأورد عليه بلغويّة زيادة الكرّ، و بأنّ العبرة في التغيير حصول صفات النجس لا المتنجّس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على المبالغة، و الثاني يحتمل الأمرين، فحمله على أحدهما منه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الشيخ في نظري صريحة في المضاف إليه من التنجيس؛ و لذا لم يؤولها من وقف عليها من محقّقي أصحابنا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يقم إجماع على خلافه يشكل الأمر، فإنّ أقصى ما لهم في ردّه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النجاسة بعد أصالة الطهارة محتاجة إلى قاطع يقضي بها، و غايته الأخذ بإطلاق النبويّ </w:t>
      </w:r>
      <w:r>
        <w:rPr>
          <w:rStyle w:val="FootnoteAnchor"/>
          <w:rtl w:val="true"/>
        </w:rPr>
        <w:footnoteReference w:id="158"/>
      </w:r>
      <w:r>
        <w:rPr>
          <w:rFonts w:ascii="Amiri" w:hAnsi="Amiri" w:eastAsia="Amiri" w:cs="Amiri"/>
          <w:color w:val="111111"/>
          <w:sz w:val="28"/>
          <w:sz w:val="28"/>
          <w:szCs w:val="28"/>
          <w:rtl w:val="true"/>
          <w:lang w:bidi="ar-SA"/>
        </w:rPr>
        <w:t>المعمول عليه، المفيد للحصر، و لا دلالة فيه؛ لأنّ المغيّر هو الطاهر المتنجّس لا النجس، و قضيّته إلَّا ما غيّر،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النجس الذي غيّر، المفروض عدمه</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المغيّر الموجب للتنجيس ليس مذكوراً في الخبر، سواء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ascii="IRNazanin" w:hAnsi="IRNazanin" w:eastAsia="IRNazanin"/>
          <w:color w:val="111111"/>
          <w:sz w:val="28"/>
          <w:sz w:val="28"/>
          <w:szCs w:val="28"/>
          <w:rtl w:val="true"/>
          <w:lang w:bidi="fa-IR"/>
        </w:rPr>
        <w:t xml:space="preserve"> الواقعة بعد الاستثناء مبنية للفاعل أو المفعول، فيرجع فيه إلى دليل آخر، فإن حملناه على العموم تمّ الاستناد إليه، لكن يلزمه تخصيص الأكثر؛ إذ الكليّة ممنوعة بالبداهة، و إن حملناه على المعهود احتجنا إلى دلیل آخر غير الخبر يقضي بالنجاسة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الموصول بالعموم كافٍ، لا أقلّ من الإطلاق، و لزوم التخصيص المزبور ممنوع؛ لرجوعه إلى تقييد التغيير بالأكثر لا التخصيص به، و هو غير 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الشكّ في خصوصيّات المغيّر لا في خصوصيّات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يتفرّع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شكّ أنّ المدار في الطعم مثلاً هو طعم النجاسة، أو مطلقاً، صحّ التمسّك بإطلاق الطعم على النجاسة، لكن لا ريب أنّه مسبّب عن الشكّ في عموم في عموم المغيّر، المدلول عليه بالالتزام، فلو قصرناه سقط الإطلاق في الأوصاف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لا يكاد ينكر، و لأجله حكمنا بنجاسة المتغيّر بسبب ملاقاة ما علم كونه مغيّراً معتبراً، لو حصل للملاقي لون ثالث غير لون النجاسة و الماء،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صراحته في العموم لما أعرض في الرياض </w:t>
      </w:r>
      <w:r>
        <w:rPr>
          <w:rStyle w:val="FootnoteAnchor"/>
          <w:rtl w:val="true"/>
        </w:rPr>
        <w:footnoteReference w:id="159"/>
      </w:r>
      <w:r>
        <w:rPr>
          <w:rFonts w:ascii="Amiri" w:hAnsi="Amiri" w:eastAsia="Amiri" w:cs="Amiri"/>
          <w:color w:val="111111"/>
          <w:sz w:val="28"/>
          <w:sz w:val="28"/>
          <w:szCs w:val="28"/>
          <w:rtl w:val="true"/>
          <w:lang w:bidi="ar-SA"/>
        </w:rPr>
        <w:t xml:space="preserve">عن الدلالة، و ناقش في السند، و كذا غيره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التغيير بالنجاسة إنّما أثر لقوّة النجاسة و استيلائها عليه، و هنا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زيادة الفرع على الأصل، كما لو لاقَت النجاسة الماء، ثمّ تغيّر بالمضاف الطاهر، فإنَّه لا ينفعل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ردّهما ظاهر؛ لتساوي النجسين بالقذارة، و زيادة الفرع على الأصل بحكم الشرع لا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الفرق بين حالتي الاتّصال و الانفصال بيّن؛ لأنَّ الأوّل ملاقاة نجس قاهر، و الثاني ملاقاة نجس مقهور، و ينتصر له الظاهر بمعاقد بعض الإجماعات التي مصبّها كالنبوي، كمعقد إجماع الغنية </w:t>
      </w:r>
      <w:r>
        <w:rPr>
          <w:rStyle w:val="FootnoteAnchor"/>
          <w:rtl w:val="true"/>
        </w:rPr>
        <w:footnoteReference w:id="161"/>
      </w:r>
      <w:r>
        <w:rPr>
          <w:rFonts w:ascii="Amiri" w:hAnsi="Amiri" w:eastAsia="Amiri" w:cs="Amiri"/>
          <w:color w:val="111111"/>
          <w:sz w:val="28"/>
          <w:sz w:val="28"/>
          <w:szCs w:val="28"/>
          <w:rtl w:val="true"/>
          <w:lang w:bidi="ar-SA"/>
        </w:rPr>
        <w:t xml:space="preserve">و غيره، و ببعض إطلاق أخبار الباب </w:t>
      </w:r>
      <w:r>
        <w:rPr>
          <w:rStyle w:val="FootnoteAnchor"/>
          <w:rtl w:val="true"/>
        </w:rPr>
        <w:footnoteReference w:id="162"/>
      </w:r>
      <w:r>
        <w:rPr>
          <w:rFonts w:ascii="Amiri" w:hAnsi="Amiri" w:eastAsia="Amiri" w:cs="Amiri"/>
          <w:color w:val="111111"/>
          <w:sz w:val="28"/>
          <w:sz w:val="28"/>
          <w:szCs w:val="28"/>
          <w:rtl w:val="true"/>
          <w:lang w:bidi="ar-SA"/>
        </w:rPr>
        <w:t>، و انتفاء الفرق بين نجس العين و المائع الذي تنجّس، فإنّ النجاسة كما عرفت حكم شرعيّ مفاده حرمة الاستعمال في الصلاة، و التناول، و هو مشترك بين الأمرين، و عدم الافتراق بينهما في التطهير،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منوط بالتغيير، فلا عبرة بالمجاورة بلا شكّ، و لم أر متأمّلاً فيه، و هو الموافق للأصل، و ليس منه السطح العالي المتغيّر بوقوع النجاسة في أسفله؛ لصدق الماء على المجموع، و عدم انفصال العالي عن السافل الملاقي، و يحتمل قويّاً الطهارة، فكأنّه تنجّس بالمجاورة، لولا أنّ عمومات التغيير توجب النجاسة،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انفعال الماء في تغيير أوصاف النجاسة له بين حصوله بواسطة النجس أو المتنجّس على ما حقّقناه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عليه كلام الشيخ رحمه الله لعموم الأدلة السالفة، و ظهور عين النجاسة فيها غير ضارّ بعد وضوح المناط المصرّح به في المعتبر </w:t>
      </w:r>
      <w:r>
        <w:rPr>
          <w:rStyle w:val="FootnoteAnchor"/>
          <w:rtl w:val="true"/>
        </w:rPr>
        <w:footnoteReference w:id="163"/>
      </w:r>
      <w:r>
        <w:rPr>
          <w:rFonts w:ascii="Amiri" w:hAnsi="Amiri" w:eastAsia="Amiri" w:cs="Amiri"/>
          <w:color w:val="111111"/>
          <w:sz w:val="28"/>
          <w:sz w:val="28"/>
          <w:szCs w:val="28"/>
          <w:rtl w:val="true"/>
          <w:lang w:bidi="ar-SA"/>
        </w:rPr>
        <w:t xml:space="preserve">و غيره، حتّى الأخبار، أعني الاستيلاء و الغلبة الموجودين في المقام، و لقد أطنب في المسألة في المصابيح </w:t>
      </w:r>
      <w:r>
        <w:rPr>
          <w:rStyle w:val="FootnoteAnchor"/>
          <w:rtl w:val="true"/>
        </w:rPr>
        <w:footnoteReference w:id="16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لمبا كان التغيير سبباً للنجاسة و له فردان حكم الشارح رحمه الله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 من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يدور الحكم مداره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وفاقاً للماتن في غيره </w:t>
      </w:r>
      <w:r>
        <w:rPr>
          <w:rStyle w:val="FootnoteAnchor"/>
          <w:rtl w:val="true"/>
        </w:rPr>
        <w:footnoteReference w:id="165"/>
      </w:r>
      <w:r>
        <w:rPr>
          <w:rFonts w:ascii="Amiri" w:hAnsi="Amiri" w:eastAsia="Amiri" w:cs="Amiri"/>
          <w:color w:val="111111"/>
          <w:sz w:val="28"/>
          <w:sz w:val="28"/>
          <w:szCs w:val="28"/>
          <w:rtl w:val="true"/>
          <w:lang w:bidi="ar-SA"/>
        </w:rPr>
        <w:t>مطلقاً، إلا صورة واحدة، ننبّه عليها إن شاء الله تعالى، و تبعه أكثر من لحقه</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كانت النجاسة عديمة الصّفات أو بعضها، فعدم التغيير لنقصان المؤثّر كبول سلب الثلاث، أو موافقة للماء فيها؛ لجهة نقصانه و خروجه عن صفاته الأصليّة، و مثّل له بالمياه الزاجية، و الكبريتيّة، و المالحة الشديدة، لو حكمنا بعدم الإضافة فيهما، و الثالثة و اتّفق موافقة النجاسة لها، أو لوجود مانع من التأثير كالمطلق المصبوغ بطاهر إذا مازجه نجس أو متنجّس مثله في اللّون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يظهر الخلاف من العلّامة، و ابنه </w:t>
      </w:r>
      <w:r>
        <w:rPr>
          <w:rStyle w:val="FootnoteAnchor"/>
          <w:rtl w:val="true"/>
        </w:rPr>
        <w:footnoteReference w:id="167"/>
      </w:r>
      <w:r>
        <w:rPr>
          <w:rFonts w:ascii="Amiri" w:hAnsi="Amiri" w:eastAsia="Amiri" w:cs="Amiri"/>
          <w:color w:val="111111"/>
          <w:sz w:val="28"/>
          <w:sz w:val="28"/>
          <w:szCs w:val="28"/>
          <w:rtl w:val="true"/>
          <w:lang w:bidi="ar-SA"/>
        </w:rPr>
        <w:t xml:space="preserve">، و عميد الدين </w:t>
      </w:r>
      <w:r>
        <w:rPr>
          <w:rStyle w:val="FootnoteAnchor"/>
          <w:rtl w:val="true"/>
        </w:rPr>
        <w:footnoteReference w:id="168"/>
      </w:r>
      <w:r>
        <w:rPr>
          <w:rFonts w:ascii="Amiri" w:hAnsi="Amiri" w:eastAsia="Amiri" w:cs="Amiri"/>
          <w:color w:val="111111"/>
          <w:sz w:val="28"/>
          <w:sz w:val="28"/>
          <w:szCs w:val="28"/>
          <w:rtl w:val="true"/>
          <w:lang w:bidi="ar-SA"/>
        </w:rPr>
        <w:t xml:space="preserve">، و ابن فهد في الموجز </w:t>
      </w:r>
      <w:r>
        <w:rPr>
          <w:rStyle w:val="FootnoteAnchor"/>
          <w:rtl w:val="true"/>
        </w:rPr>
        <w:footnoteReference w:id="169"/>
      </w:r>
      <w:r>
        <w:rPr>
          <w:rFonts w:ascii="Amiri" w:hAnsi="Amiri" w:eastAsia="Amiri" w:cs="Amiri"/>
          <w:color w:val="111111"/>
          <w:sz w:val="28"/>
          <w:sz w:val="28"/>
          <w:szCs w:val="28"/>
          <w:rtl w:val="true"/>
          <w:lang w:bidi="ar-SA"/>
        </w:rPr>
        <w:t xml:space="preserve">مطلقاً؛ لفهم غير واحد من عدا ذلك، و منهم الماتن، و ثاني المحقّقين، و إن لم يستحسن التعبير في الجواهر </w:t>
      </w:r>
      <w:r>
        <w:rPr>
          <w:rStyle w:val="FootnoteAnchor"/>
          <w:rtl w:val="true"/>
        </w:rPr>
        <w:footnoteReference w:id="170"/>
      </w:r>
      <w:r>
        <w:rPr>
          <w:rFonts w:ascii="Amiri" w:hAnsi="Amiri" w:eastAsia="Amiri" w:cs="Amiri"/>
          <w:color w:val="111111"/>
          <w:sz w:val="28"/>
          <w:sz w:val="28"/>
          <w:szCs w:val="28"/>
          <w:rtl w:val="true"/>
          <w:lang w:bidi="ar-SA"/>
        </w:rPr>
        <w:t>حمل كلامه على آخر الصور؛ استناداً لما لا يسمن من إطلاق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الكركي في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 العبارة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نجاسة مسلوبة الصفات </w:t>
      </w:r>
      <w:r>
        <w:rPr>
          <w:rStyle w:val="FootnoteAnchor"/>
          <w:rtl w:val="true"/>
        </w:rPr>
        <w:footnoteReference w:id="171"/>
      </w:r>
      <w:r>
        <w:rPr>
          <w:rFonts w:ascii="Amiri" w:hAnsi="Amiri" w:eastAsia="Amiri" w:cs="Amiri"/>
          <w:color w:val="111111"/>
          <w:sz w:val="28"/>
          <w:sz w:val="28"/>
          <w:szCs w:val="28"/>
          <w:rtl w:val="true"/>
          <w:lang w:bidi="ar-SA"/>
        </w:rPr>
        <w:t>لصدقها على أخيرة الصور المفروض خروجها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بصراحتها، فإنّ سياقها يقضي قطعاً بشمولها للبول المسلوب الصفات الثلاث الموافق للماء، و ليس للحامل إنكاره فيأتي فيه ما ذكر من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الماتن على غزارة فهمه في الذكرى، لمّا حكم ببقاء طهارة الملاقي للنجس الموافق في الصفات، و نسبه إلى ظاهر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على أصله السابق </w:t>
      </w:r>
      <w:r>
        <w:rPr>
          <w:rStyle w:val="FootnoteAnchor"/>
          <w:rtl w:val="true"/>
        </w:rPr>
        <w:footnoteReference w:id="172"/>
      </w:r>
      <w:r>
        <w:rPr>
          <w:rFonts w:ascii="Amiri" w:hAnsi="Amiri" w:eastAsia="Amiri" w:cs="Amiri"/>
          <w:color w:val="111111"/>
          <w:sz w:val="28"/>
          <w:sz w:val="28"/>
          <w:szCs w:val="28"/>
          <w:rtl w:val="true"/>
          <w:lang w:bidi="ar-SA"/>
        </w:rPr>
        <w:t>، و أشار به إلى التقدير</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w:t>
      </w:r>
      <w:r>
        <w:rPr>
          <w:rStyle w:val="FootnoteAnchor"/>
          <w:rtl w:val="true"/>
        </w:rPr>
        <w:footnoteReference w:id="173"/>
      </w:r>
      <w:r>
        <w:rPr>
          <w:rFonts w:ascii="Amiri" w:hAnsi="Amiri" w:eastAsia="Amiri" w:cs="Amiri"/>
          <w:color w:val="111111"/>
          <w:sz w:val="28"/>
          <w:sz w:val="28"/>
          <w:szCs w:val="28"/>
          <w:rtl w:val="true"/>
          <w:lang w:bidi="ar-SA"/>
        </w:rPr>
        <w:t>في المضاف المسلوب الأوصاف الثلاثة،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الورد العريّ عن الرائحة، فبقرينة المثال لا ريب في صراحته في عموم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البيان </w:t>
      </w:r>
      <w:r>
        <w:rPr>
          <w:rStyle w:val="FootnoteAnchor"/>
          <w:rtl w:val="true"/>
        </w:rPr>
        <w:footnoteReference w:id="174"/>
      </w:r>
      <w:r>
        <w:rPr>
          <w:rFonts w:ascii="Amiri" w:hAnsi="Amiri" w:eastAsia="Amiri" w:cs="Amiri"/>
          <w:color w:val="111111"/>
          <w:sz w:val="28"/>
          <w:sz w:val="28"/>
          <w:szCs w:val="28"/>
          <w:rtl w:val="true"/>
          <w:lang w:bidi="ar-SA"/>
        </w:rPr>
        <w:t>حكم بالنجاسة في الصورة المحمول عليها كلام العلّامة، فكيف يلتئم مع نسبة الطهارة إلى ظاهر المذهب، فلا جرم من أنْ يكون مراد العلّامة فيما فهمه الصورة المخالفة لما نسب طهارته لظاهر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الشارح في محكي الروض </w:t>
      </w:r>
      <w:r>
        <w:rPr>
          <w:rStyle w:val="FootnoteAnchor"/>
          <w:rtl w:val="true"/>
        </w:rPr>
        <w:footnoteReference w:id="175"/>
      </w:r>
      <w:r>
        <w:rPr>
          <w:rFonts w:ascii="Amiri" w:hAnsi="Amiri" w:eastAsia="Amiri" w:cs="Amiri"/>
          <w:color w:val="111111"/>
          <w:sz w:val="28"/>
          <w:sz w:val="28"/>
          <w:szCs w:val="28"/>
          <w:rtl w:val="true"/>
          <w:lang w:bidi="ar-SA"/>
        </w:rPr>
        <w:t>فهم مثله، فلا ينبغي التأمّل في مخالفة العلّامة، و حكمه بالنجاسة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لكن لا يجديه في شيء؛ لفساد أصل المبنى؛ لظنّه أنَّه بالحمل المزبور وافق العلّامة المشهور في مقابلة الطهارة فيما يقدر فيه تأثير النجاسة من الصورتين، فالنسبة واهية، ولكنَّه واقع؛ لأنّ التنجيس لا يخلو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بالقهر و الغلبة التي ربّما يلغى فيها ظهور الأثر للمُنجس، أخذاً ببعض الإطلاقات، و أنّ التغيير المقيَّد بالثلاثة كاشف عنها، فلو حصل بغيرها حصل التنجيس؛ لتحقّق الكشف، وفاقاً لظاهر بعض </w:t>
      </w:r>
      <w:r>
        <w:rPr>
          <w:rStyle w:val="FootnoteAnchor"/>
          <w:rtl w:val="true"/>
        </w:rPr>
        <w:footnoteReference w:id="176"/>
      </w:r>
      <w:r>
        <w:rPr>
          <w:rFonts w:ascii="Amiri" w:hAnsi="Amiri" w:eastAsia="Amiri" w:cs="Amiri"/>
          <w:color w:val="111111"/>
          <w:sz w:val="28"/>
          <w:sz w:val="28"/>
          <w:szCs w:val="28"/>
          <w:rtl w:val="true"/>
          <w:lang w:bidi="ar-SA"/>
        </w:rPr>
        <w:t>، و الصورة المفروضة من الأخير، فهو كلام آخر خارج عن مفروض البحث، و المشهور، و هو منهم على خلافه، و عسى أنّ مدّعيه يزعمه في كلّ ما أمكن تقدير النجاسة فيه، فيعود النزاع إلى تحقّق القهر بالغلبة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لجهة أنّ التغيير في الصورة المفروضة محسوس منع منه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كالظلمة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بل صريحه تبعاً لغيره </w:t>
      </w:r>
      <w:r>
        <w:rPr>
          <w:rStyle w:val="FootnoteAnchor"/>
          <w:rtl w:val="true"/>
        </w:rPr>
        <w:footnoteReference w:id="177"/>
      </w:r>
      <w:r>
        <w:rPr>
          <w:rFonts w:ascii="Amiri" w:hAnsi="Amiri" w:eastAsia="Amiri" w:cs="Amiri"/>
          <w:color w:val="111111"/>
          <w:sz w:val="28"/>
          <w:sz w:val="28"/>
          <w:szCs w:val="28"/>
          <w:rtl w:val="true"/>
          <w:lang w:bidi="ar-SA"/>
        </w:rPr>
        <w:t>، فهو في حيز المنع، بل النجاسة فيها عين القول</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بالتقدير، و يتمّ في غيرها باتّحاد المناط، كيف و العقل القاطع يمنعه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المستفاد من الأخبار </w:t>
      </w:r>
      <w:r>
        <w:rPr>
          <w:rStyle w:val="FootnoteAnchor"/>
          <w:rtl w:val="true"/>
        </w:rPr>
        <w:footnoteReference w:id="179"/>
      </w:r>
      <w:r>
        <w:rPr>
          <w:rFonts w:ascii="Amiri" w:hAnsi="Amiri" w:eastAsia="Amiri" w:cs="Amiri"/>
          <w:color w:val="111111"/>
          <w:sz w:val="28"/>
          <w:sz w:val="28"/>
          <w:szCs w:val="28"/>
          <w:rtl w:val="true"/>
          <w:lang w:bidi="ar-SA"/>
        </w:rPr>
        <w:t>إناطة نجاسة الماء بظهور أثر النجاسة فيه الموجب للتغيير، و لو بإزالة صفاته العارضة، فإذا خالف الماء النجاسة في نوع اللّون، أو شخصه، فتلوّنه بلونها ليس بانتقال نفس العرض إليه منها، بل لانتشار أجزاء ذي اللّون في الماء، فتخال تلك الأجزاء كالمتّصل الواحد، فيحصل التأثير و التأثّر من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غلب لون أحدهما على الآخر يترتّب الحكم عليه من النجاسة و الطهارة، و لو استهلك اللّونان و تولّد لون ثالث تبع الحكم الوارد المغيّر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أمّا إذا ساواه في اللّون نوعاً و شخصاً كالمثال المزبور فلا يحصل تأثّر، و لا استهلاك أصلاً، فإنَّ ورود الماء على الماء لا يورث تفاوتاً في اللون قطعاً؛ لاستحالة الترجيح من غیر مرجّح، فلون كلّ جزء قائم بنفسه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محسوس لكنّه مستور، لم يفهم محصّله، و ليس بأولى من العكس </w:t>
      </w:r>
      <w:r>
        <w:rPr>
          <w:rStyle w:val="FootnoteAnchor"/>
          <w:rtl w:val="true"/>
        </w:rPr>
        <w:footnoteReference w:id="181"/>
      </w:r>
      <w:r>
        <w:rPr>
          <w:rFonts w:ascii="Amiri" w:hAnsi="Amiri" w:eastAsia="Amiri" w:cs="Amiri"/>
          <w:color w:val="111111"/>
          <w:sz w:val="28"/>
          <w:sz w:val="28"/>
          <w:szCs w:val="28"/>
          <w:rtl w:val="true"/>
          <w:lang w:bidi="ar-SA"/>
        </w:rPr>
        <w:t>، و كيف يعقل انفعال أحد الجسمين المتساويين في اللّون بلون الآخر، بل كلّ جزء من المجموع مركّب من جزئين، لون كلّ منهما قائم بنفسه غير مؤثّر في الآخر، فأيّ معنى لظهور وصف النجاسة، و تحقّق التأثير بالحسّ المستور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أما ما زعم </w:t>
      </w:r>
      <w:r>
        <w:rPr>
          <w:rStyle w:val="FootnoteAnchor"/>
          <w:rtl w:val="true"/>
        </w:rPr>
        <w:footnoteReference w:id="182"/>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الاشتداد المحسوس کاشف عن التأثير لا معنى له؛ ضرورة أنّ الاشتداد إن كشف عن التأثير بحيث صار معه قطعيّاً تمّ المطلوب، و انكشف الغطاء، فلا</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للستر، و إن كان مشكوكاً فما كان اللّون ليؤثّر في مشاكله، فزيادة الحبر عليه و اللبن عليه لا تؤثّر في بياضه و سواده قطعاً، و معه كيف يمكن بعد حمل كلام العلّامة و متابعيه على غير التغيير التقديري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مع هذا نسب الماتن القول بالطهارة إلى ظاهر المذهب، و غيره إلى الأكثر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الأوَّل انصراف التغيير في كلمات القدماء و ظاهر متون الأخبار إلى الحسّي، و قصد الأخير إلى من بعد العلامةرحمه الله، و هم بين مطلق و مخصّص بالأولى من الصور، أو مع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يقتضيه إطلاق الماتن في الذكرى، و السرائر </w:t>
      </w:r>
      <w:r>
        <w:rPr>
          <w:rStyle w:val="FootnoteAnchor"/>
          <w:rtl w:val="true"/>
        </w:rPr>
        <w:footnoteReference w:id="184"/>
      </w:r>
      <w:r>
        <w:rPr>
          <w:rFonts w:ascii="Amiri" w:hAnsi="Amiri" w:eastAsia="Amiri" w:cs="Amiri"/>
          <w:color w:val="111111"/>
          <w:sz w:val="28"/>
          <w:sz w:val="28"/>
          <w:szCs w:val="28"/>
          <w:rtl w:val="true"/>
          <w:lang w:bidi="ar-SA"/>
        </w:rPr>
        <w:t xml:space="preserve">، و الشارح، و استقربه في المفاتيح </w:t>
      </w:r>
      <w:r>
        <w:rPr>
          <w:rStyle w:val="FootnoteAnchor"/>
          <w:rtl w:val="true"/>
        </w:rPr>
        <w:footnoteReference w:id="185"/>
      </w:r>
      <w:r>
        <w:rPr>
          <w:rFonts w:ascii="Amiri" w:hAnsi="Amiri" w:eastAsia="Amiri" w:cs="Amiri"/>
          <w:color w:val="111111"/>
          <w:sz w:val="28"/>
          <w:sz w:val="28"/>
          <w:szCs w:val="28"/>
          <w:rtl w:val="true"/>
          <w:lang w:bidi="ar-SA"/>
        </w:rPr>
        <w:t xml:space="preserve">، و جزم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Style w:val="FootnoteAnchor"/>
          <w:rtl w:val="true"/>
        </w:rPr>
        <w:footnoteReference w:id="186"/>
      </w:r>
      <w:r>
        <w:rPr>
          <w:rFonts w:ascii="Amiri" w:hAnsi="Amiri" w:eastAsia="Amiri" w:cs="Amiri"/>
          <w:color w:val="111111"/>
          <w:sz w:val="28"/>
          <w:sz w:val="28"/>
          <w:szCs w:val="28"/>
          <w:rtl w:val="true"/>
          <w:lang w:bidi="ar-SA"/>
        </w:rPr>
        <w:t xml:space="preserve">على القول به في الصورة الأولى، و سيّد الرياض </w:t>
      </w:r>
      <w:r>
        <w:rPr>
          <w:rStyle w:val="FootnoteAnchor"/>
          <w:rtl w:val="true"/>
        </w:rPr>
        <w:footnoteReference w:id="187"/>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للطباطبائي </w:t>
      </w:r>
      <w:r>
        <w:rPr>
          <w:rStyle w:val="FootnoteAnchor"/>
          <w:rtl w:val="true"/>
        </w:rPr>
        <w:footnoteReference w:id="188"/>
      </w:r>
      <w:r>
        <w:rPr>
          <w:rFonts w:ascii="Amiri" w:hAnsi="Amiri" w:eastAsia="Amiri" w:cs="Amiri"/>
          <w:color w:val="111111"/>
          <w:sz w:val="28"/>
          <w:sz w:val="28"/>
          <w:szCs w:val="28"/>
          <w:rtl w:val="true"/>
          <w:lang w:bidi="ar-SA"/>
        </w:rPr>
        <w:t>، حيث ساوى في أخيرتي الصور في وجوب التقدير، و ذهب إلى الحسّي في أصل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المعتمد الطهارة مطلقاً؛ قضاءً لأصلها القاهر المؤثّر، و التغيير القاضي بالنجاسة في غير الأوصاف مطلقاً مشكوك يدفع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اقتصر فيه على الغلبة من ظهور خبر ابن أبي عقيل المدّعى تواتره، و من إطلاق بعض العبارات، يلزم حمله على خلاف المدّعى، و إلّا لاحتجنا في نجاسة القليل المغيّر الذي يقطع بعدم الغلبة فيه إلى دليل غير التغيير، أو الحكم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منفيّ قطعاً، و الآخر باطل بالضرورة، و لفزعنا إلى إخراج ما استولى و غلب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يغيّر ، أو غلب و غيّر بغير الثلاث إلى غير أصالة الطهارة، أو القول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التلازم لا محصّل لها، أو رجوع لاختيارنا بتغيير عبارة، و استحسان قولهم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تقدّر النجاسة أدّى إلى جواز الاستعمال و إن تضاعفت حتّى استهلك الماء، و هو باطل مجرّد استبعاد، كما ذكره الشارح في الروض </w:t>
      </w:r>
      <w:r>
        <w:rPr>
          <w:rStyle w:val="FootnoteAnchor"/>
          <w:rtl w:val="true"/>
        </w:rPr>
        <w:footnoteReference w:id="189"/>
      </w:r>
      <w:r>
        <w:rPr>
          <w:rFonts w:ascii="Amiri" w:hAnsi="Amiri" w:eastAsia="Amiri" w:cs="Amiri"/>
          <w:color w:val="111111"/>
          <w:sz w:val="28"/>
          <w:sz w:val="28"/>
          <w:szCs w:val="28"/>
          <w:rtl w:val="true"/>
          <w:lang w:bidi="ar-SA"/>
        </w:rPr>
        <w:t>، لا يبتنى عليه حكم، هَبْ أن ذلك كذلك، فقد صدر الإذن من المطاع بجوازه، و مثله غير عزيز في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فقد أجمعوا </w:t>
      </w:r>
      <w:r>
        <w:rPr>
          <w:rStyle w:val="FootnoteAnchor"/>
          <w:rtl w:val="true"/>
        </w:rPr>
        <w:footnoteReference w:id="190"/>
      </w:r>
      <w:r>
        <w:rPr>
          <w:rFonts w:ascii="Amiri" w:hAnsi="Amiri" w:eastAsia="Amiri" w:cs="Amiri"/>
          <w:color w:val="111111"/>
          <w:sz w:val="28"/>
          <w:sz w:val="28"/>
          <w:szCs w:val="28"/>
          <w:rtl w:val="true"/>
          <w:lang w:bidi="ar-SA"/>
        </w:rPr>
        <w:t>على حصول النجاسة و لو بلغ المغيّر مثقالاً في القلّة و الملاقي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اتّفقوا </w:t>
      </w:r>
      <w:r>
        <w:rPr>
          <w:rStyle w:val="FootnoteAnchor"/>
          <w:rtl w:val="true"/>
        </w:rPr>
        <w:footnoteReference w:id="191"/>
      </w:r>
      <w:r>
        <w:rPr>
          <w:rFonts w:ascii="Amiri" w:hAnsi="Amiri" w:eastAsia="Amiri" w:cs="Amiri"/>
          <w:color w:val="111111"/>
          <w:sz w:val="28"/>
          <w:sz w:val="28"/>
          <w:szCs w:val="28"/>
          <w:rtl w:val="true"/>
          <w:lang w:bidi="ar-SA"/>
        </w:rPr>
        <w:t>أيضاً على عدم الاعتناء بغير الثلاث، فبملاحظة الإجماعين يتمّ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فالتنجيس في المياه أمر واحد، و القاضي به أحد فردي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مطلقها، أو المقيّدة بالثلاث، و قاعدة الحمل يقضي بالأخير وإن كانا مثبتين؛ إذ العمل بهما غير ممكن؛ للزوم تعدّد المتنجّس، و لو قصرنا حصول النجاسة على أحدهما فقط ألغينا الآخر، و الجمع ممكن بالتقييد، على أنّ الغلبة المرادة لا بدّ و أن تكون من حيث الكيف؛ لعدم إمكانها هنا من حيث الكمّ أو الأعمّ منهما للإجماع </w:t>
      </w:r>
      <w:r>
        <w:rPr>
          <w:rStyle w:val="FootnoteAnchor"/>
          <w:rtl w:val="true"/>
        </w:rPr>
        <w:footnoteReference w:id="192"/>
      </w:r>
      <w:r>
        <w:rPr>
          <w:rFonts w:ascii="Amiri" w:hAnsi="Amiri" w:eastAsia="Amiri" w:cs="Amiri"/>
          <w:color w:val="111111"/>
          <w:sz w:val="28"/>
          <w:sz w:val="28"/>
          <w:szCs w:val="28"/>
          <w:rtl w:val="true"/>
          <w:lang w:bidi="ar-SA"/>
        </w:rPr>
        <w:t>، وعليه لا بدّ من تخصيصها بالأوصاف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فالمنجّس هو قهر النجس على الماء في إحدى الكيفيّات الثلاث، فحيثما لم يكن تأثير تنتفي الغلبة، و قضيّة ذلك الطهارة في الثلاث؛ لظاهر الإجماع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الغلبة المقيّدة المعتبرة هنا إمّا لكونها علّة، أو من جهة الاقتضاء؛ فإن كان الأوّل لزم الحكم بالطهارة في الثلاث، و إن كان الثاني اختصّ كالصورتين، و الثالثة بالنجاسة؛ لوجود المقتضي فيها لولا الحمرة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فيهما فلعدم قابليّة الفاعل للتأثير في الأُولى، و عدم قابلية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لطافته الأصليّة في الثانية، فالنجاسة الواقعة في الماء في الصورتين غير واجدة لشرط التأثير، إمّا النقصان في الفاعل كالبول المسلوب الصفة، أو النقصان في القابل؛ لخروج الماء عمّا تقتضيه طباع المياه بالثخونة، و الكدر،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تأثير المقتضي المعبّر عنه بالغلبة هو قابليّة القابل و الفاعل، و الثاني منتف في الأولى، و الأوَّل في الثانية، و هما موجودان في الثالثة، لولا عروض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يزعم من تساوي الأخيرتين في وجود المانع، فالماء من جهة صفائه و لطافته الذاتيّة في الثانية كان قابلاً للانفعال، لكن منع من تأثير المقتضي طول المكث، أو مروره على الأرض الزاجية ممّا أخرجه عن الصفاء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مردودٌ بأنّ إسناد الغلظة إلى أمر عارض لا ينافي عدم المقتضي، فإنّ قابلية المحلّ من شرائط الاقتضاء، و هو غير قابل، لا أنّ التأثير منع منه مانع كالثالثة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يزعم أيضاً من أنَّ المقتضي هو المقدار الذي يحصل به التأثير، أو أن من شأنه ذلك، و هو موجود في الثلاثة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مدفوع أيضاً؛ بأنّ اقتضاء النجاسة للقهر في الأوصاف الثلاثة إنّما هو بواسطة ما فيه منها، فبفرض انتفائها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هنا ما يقتضي القهر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أنّ الصفات الثلاث لا مدخليّة لها في تأثير الأعيان النجسة؛ لأنَّ التأثير من خواصّ أعيانها، ترجّمُ بالغيب؛ إذ النجاسة حكم توقيفي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إلّا بدلالة الشارع، و لم يظهر منه مساواة أفراد البول في التأثير، و إن علم نجاستها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يكون أفرادها مختلفة في القذارة، و يكون صدق النجس عليها من قبيل التشكيك دون التواطؤ، كاختلاف مراتب الدّماء باختلاف ألوانها في الجملة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لم يفد في تأسيس حكم شرعي، إلّا أنّه يكفي في دفع الاعتبار الذي عوّل عليه بالتقدير من عدم الفرق بعد التساوي في المقدار بين واجد الأوصاف و فاقدها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إن بنينا على اعتبار مطلق الغلبة أخذاً بلفظها الوارد في خبر ابن أبي عقيل، بل و لو لم يحصل التأثير صحّ القول بالنجاسة في الصور الثلاث، و احتمال حصول التغيير الفعلي في الأخيرة و إن لم يدرك بالحواس؛ لطريقيّة الحسّ إلى إدراك الأحكام الواقعيّة الثابتة للأشياء من حيث هي، فالمناط الوجود الواقعي، و الحسّ طريق لا عبرة به في تعلّق الحكم، وجد أو لم يوجد، ضعيف بما قدّمناه من الاستحالة، فالتغيير مفقود بالظاهر و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استظهرنا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أنطنا النجاسة بحصول التغيير الفعلي لولا المانع، خصّصنا التنجيس بصورتين، و تمّ كلام العلّامة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لكنّك عرفت أنّ الأدلّة لا تساعد عليه، و ظاهر توصيف المستثنى بالتغيير الفعلي منه، و إرادة المقتضي منه خلاف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و إن أطلقت الأوصاف على المقتضيات شرعاً و عرفاً، كحمل الإحراق على النار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محرقة في صورة قابليّة المحلّ و عدم الإحراق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السرّ الذي أدّى إلى الخلاف؛ لبُعد إناطة الحكم بالخلوّ عن أُمور خارجة، باعث وجودها على عدم التأثير بعد ثبوته للمغيّر، فينبغي ثبوته له مطلقاً من جهة الصلاحيّة، و إلّا لما علّق الحكم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قد يقال بوجود التأثير لكن المانع منع من ظهوره، فإنَّ مرجع النجاسة في الملاقي إلى تخلّل أجزاء النجس في الطاهر، و ليس هو كصبغ الحنّاء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التأثير هو حلول أجزاء الصبغ في المصبوغ، و التخلّل بالمعنى المفروض لا ينكر، لكنَّه يتمّ في التغيير اللّوني دون الطعم و الرائحة؛ لعدم الفرق في القابل فيهما بين جريانه على الأرض الكبريتيّة، فيكتسب الاثنين، أو لممازجته بماء اكتسبها بالمرور و 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كون المناط التغيير أو المقتضي له، الجامع الشرائط حالّاً و محلاً لا ينجس في الفرض</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المزبور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فظهر إلى هنا سقوط اختيار المصابيح </w:t>
      </w:r>
      <w:r>
        <w:rPr>
          <w:rStyle w:val="FootnoteAnchor"/>
          <w:rtl w:val="true"/>
        </w:rPr>
        <w:footnoteReference w:id="196"/>
      </w:r>
      <w:r>
        <w:rPr>
          <w:rFonts w:ascii="Amiri" w:hAnsi="Amiri" w:eastAsia="Amiri" w:cs="Amiri"/>
          <w:color w:val="111111"/>
          <w:sz w:val="28"/>
          <w:sz w:val="28"/>
          <w:szCs w:val="28"/>
          <w:rtl w:val="true"/>
          <w:lang w:bidi="ar-SA"/>
        </w:rPr>
        <w:t>، ككلام العلّامة، خصوصاً في أوّل الصور، فإنّه لا يكاد ينطبق على ظاهر الأدلّة و لا باطنها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تقريبه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التغيير الشأني كافٍ بالقهر الفعلي، فالماء في صورة التقدير مقهور للنجاسة؛ إذ كلّ ماء لم يكن مقهوراً لم يتغيّر على تقدير المخالفة، و ينعكس بعكس النقيض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تغيّر على تقدير المخالفة كان مقهوراً، فالمقهوريّة محقّقة بالتغيير التقديري، و لا يلزم من عدم أمارتها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 في المدارك </w:t>
      </w:r>
      <w:r>
        <w:rPr>
          <w:rStyle w:val="FootnoteAnchor"/>
          <w:rtl w:val="true"/>
        </w:rPr>
        <w:footnoteReference w:id="197"/>
      </w:r>
      <w:r>
        <w:rPr>
          <w:rFonts w:ascii="Amiri" w:hAnsi="Amiri" w:eastAsia="Amiri" w:cs="Amiri"/>
          <w:color w:val="111111"/>
          <w:sz w:val="28"/>
          <w:sz w:val="28"/>
          <w:szCs w:val="28"/>
          <w:rtl w:val="true"/>
          <w:lang w:bidi="ar-SA"/>
        </w:rPr>
        <w:t>الكبرى بمنع التلازم بين عدم المقهوريّة و عدم التغيير، فقد يتغيّر تقديراً و لا 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في المصابيح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المقصود من الثانية؛ لعدم تسليم عليّة القهر للتنجيس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بالقهر ما كان سبباً للنجاسة لا مطلقاً منعنا الكبرى؛ لأنّ المتغيّر تقديراً غير مقهور فعلا عند المشهور </w:t>
      </w:r>
      <w:r>
        <w:rPr>
          <w:rStyle w:val="FootnoteAnchor"/>
          <w:rtl w:val="true"/>
        </w:rPr>
        <w:footnoteReference w:id="199"/>
      </w:r>
      <w:r>
        <w:rPr>
          <w:rFonts w:ascii="Amiri" w:hAnsi="Amiri" w:eastAsia="Amiri" w:cs="Amiri"/>
          <w:color w:val="111111"/>
          <w:sz w:val="28"/>
          <w:sz w:val="28"/>
          <w:szCs w:val="28"/>
          <w:rtl w:val="true"/>
          <w:lang w:bidi="ar-SA"/>
        </w:rPr>
        <w:t>، و إن أريد مطلقه لا يفيد عكس النقيض؛ إذ غايته ثبوت القهر بالتغيير التقديري، و سببيّته للنجاسة مع وصف التقديريّة للتغيير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قهر النجاسة للماء حاصل، و هو مقتض للانفعال، و إن لم يحسّ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القهر كذلك ممنوع؛ إذ معنى قهره استيلاؤه عليه، إمّا كمّا أو كيفاً، و الأوّل قد مضى أنَّه غير معتبر إجماعاً، و الثاني هو التغيير في الأوصاف الموجب للقهر،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فيرجع النزاع إلى ادّعاء وجود التغيير واقعاً لا حسّاً، فيقهر و ينجس، و قد سلف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يوجه بإمكان حصول التنجيس من القهر الشأني؛ لوجود مقتضيه، دون الفعلي، و هو معنى قول الفاضل رحمه الله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و إن لم يحسّ به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فكأنّه ما أشرنا إليه سابقاً من إطلاق الوصف على المقتضي، و عليه لا يشمله دليل الصورة الأولى من صور التقدير؛ لعدم وجود القهر الشأني من جهة عرائها عن الأوصاف كما غَبَر، فلا يرد عليه تبادر القهر الحسّي دون غيره، و لا أنّ الحقيقي منه لم يعتبر، و الشرعي لم يوجد، و لا أنَّه لو كان مناط القهر الأوصاف لما اقتصر على الثلاثة، لاشتراك غيرها معها في الكشف؛ لمنع الأوَّل بإمكان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للقهر الشأني، و الثاني بوجوده كما عرفت، و الثالث بالإجماع على أنّ المدار الأوصاف الثلاثة فقط، لكن سبق منّا اختيار التغيير فعلاً بالأوصاف المعهودة؛ جموداً على ظاهر الأدلّة، و هو غير موجود في كلّها، فالرجوع للطهارة عار عن الأقذار المدّعاة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الماء بمسلوب الأوصاف من المضاف فتوافقا، أو اتّحد الوصف فيهما و امتزجا قدر مخالفاً في الوصف في قول، فإذا وجب اعتبار المضاف فالنجاسة أولى بالاعتبار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رُدّ بمنعها، و وضوح الفرق؛ إذ الإضافة و الإطلاق يقتضيان الاسم عرفاً، فعساه يسلب بتقدير الإضافة، و الاسم لا يتبع الأوصاف الظاهرة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أمّا النجاسة فهي حكم شرعيّ لا تثبت إلّا بما علّقها الشارع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تقدّر الإضافة إلّا عند استهلاك الإطلاق، و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الماء فيما نحن فيه على إطلاقه، و التردّد في وصفه، فالأصل طهارته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امتزاجه بالمضاف يتعارض الأصلان من بقاء الإضافة و الإطلاق فيتساقطان،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الشكّ في الدخول بما وجبت فيه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يتحقّق يقين الفراغ بالتطهير بالماء المزبور؛ و لذا حكم بالإضافة، و لا كذلك النجاسة؛ إذ ليس الأصل بقاءها مطلقاً، بل الأصل زوالها مع الملاقاة الموجبة للزوال، إلَّا أنْ تغلب، و الأصل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التعارض بقي جواز الاستعمال بحاله ممّا لا يكون المشروط بالطهارة، و هو موافق للطهارة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للقول المزبور وجه يعتمد، و على تقديره يجب معرفة ميزان التقدير الباعث على النجاسة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لزوم مراعاة ما عليه تلك النجاسة الشخصيّة من الصفات اللّازمة لطبيعتها لو خُلِّيت و نفسها، سواء كانت بأعلى درجات الشرط، أو أدنى مراتب الخفّة؛ لوجود المناط في الفرض الشخصي، فتقدّر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جهل الحال كما في زائلة الصفات لعارض، و لم يعلم ما تقتضيه تلك النجاسة من الثقل و الخفّة يجب مراعاة القدر المعلوم من صفاتها الطبيعيّة، و مقايسة التقدير إليه، و كأنّه لا إشكال فيه، إنّما الخلاف في فاقدة الأوصاف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فالموجز </w:t>
      </w:r>
      <w:r>
        <w:rPr>
          <w:rStyle w:val="FootnoteAnchor"/>
          <w:rtl w:val="true"/>
        </w:rPr>
        <w:footnoteReference w:id="203"/>
      </w:r>
      <w:r>
        <w:rPr>
          <w:rFonts w:ascii="Amiri" w:hAnsi="Amiri" w:eastAsia="Amiri" w:cs="Amiri"/>
          <w:color w:val="111111"/>
          <w:sz w:val="28"/>
          <w:sz w:val="28"/>
          <w:szCs w:val="28"/>
          <w:rtl w:val="true"/>
          <w:lang w:bidi="ar-SA"/>
        </w:rPr>
        <w:t xml:space="preserve">و الكركي </w:t>
      </w:r>
      <w:r>
        <w:rPr>
          <w:rStyle w:val="FootnoteAnchor"/>
          <w:rtl w:val="true"/>
        </w:rPr>
        <w:footnoteReference w:id="204"/>
      </w:r>
      <w:r>
        <w:rPr>
          <w:rFonts w:ascii="Amiri" w:hAnsi="Amiri" w:eastAsia="Amiri" w:cs="Amiri"/>
          <w:color w:val="111111"/>
          <w:sz w:val="28"/>
          <w:sz w:val="28"/>
          <w:szCs w:val="28"/>
          <w:rtl w:val="true"/>
          <w:lang w:bidi="ar-SA"/>
        </w:rPr>
        <w:t xml:space="preserve">على تقدير أوسط أوصاف النجاسة، و التذكرة </w:t>
      </w:r>
      <w:r>
        <w:rPr>
          <w:rStyle w:val="FootnoteAnchor"/>
          <w:rtl w:val="true"/>
        </w:rPr>
        <w:footnoteReference w:id="205"/>
      </w:r>
      <w:r>
        <w:rPr>
          <w:rFonts w:ascii="Amiri" w:hAnsi="Amiri" w:eastAsia="Amiri" w:cs="Amiri"/>
          <w:color w:val="111111"/>
          <w:sz w:val="28"/>
          <w:sz w:val="28"/>
          <w:szCs w:val="28"/>
          <w:rtl w:val="true"/>
          <w:lang w:bidi="ar-SA"/>
        </w:rPr>
        <w:t xml:space="preserve">على الأشدّ للاحتياط، و النهاية </w:t>
      </w:r>
      <w:r>
        <w:rPr>
          <w:rStyle w:val="FootnoteAnchor"/>
          <w:rtl w:val="true"/>
        </w:rPr>
        <w:footnoteReference w:id="206"/>
      </w:r>
      <w:r>
        <w:rPr>
          <w:rFonts w:ascii="Amiri" w:hAnsi="Amiri" w:eastAsia="Amiri" w:cs="Amiri"/>
          <w:color w:val="111111"/>
          <w:sz w:val="28"/>
          <w:sz w:val="28"/>
          <w:szCs w:val="28"/>
          <w:rtl w:val="true"/>
          <w:lang w:bidi="ar-SA"/>
        </w:rPr>
        <w:t>لم يرجّح أحدهما في احتمالهما، و المعتمد العلّامة؛ للأصل و الغلبة، و الخلاف منه في أصل الدعوى، فهو أعلم بموضوع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الماء فالكركي </w:t>
      </w:r>
      <w:r>
        <w:rPr>
          <w:rStyle w:val="FootnoteAnchor"/>
          <w:rtl w:val="true"/>
        </w:rPr>
        <w:footnoteReference w:id="207"/>
      </w:r>
      <w:r>
        <w:rPr>
          <w:rFonts w:ascii="Amiri" w:hAnsi="Amiri" w:eastAsia="Amiri" w:cs="Amiri"/>
          <w:color w:val="111111"/>
          <w:sz w:val="28"/>
          <w:sz w:val="28"/>
          <w:szCs w:val="28"/>
          <w:rtl w:val="true"/>
          <w:lang w:bidi="ar-SA"/>
        </w:rPr>
        <w:t>على تقدير الغالب فيه؛ لاختلاف أفراده في الصفاء و الخفّة</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مقابلهما، و اختلاف الانفعال فيه حسب ما يلاقيه من أصنافه، لكن التقدير في غير ما بقي فيه على صفته الأصليّة، أو على أقوى أوصافه؛ إذ لا وجه للإعراض عن الموجود و تقدير المفقود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مراعاة الغالب مقيّدة فيما إذا لم يكن المانع من القهر وصفاً كسبياً للماء، و إلّا يقدر عدمه، ثمّ مراعاة الماء بعده كالمصبوغ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الحقّ من عدم التقدير، فلو مازجت الماء نجاسة بحيث استهلك في جنبها فيحتمل القهر، و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ادّعاء الملازمة بين الطهارة و عدم التغيير، فإن لم يتغيّر رسم الماء كان طاهراً أو طهوراً، و إن تغيّر رسمه و ما استهلك جسمه فحصل رسم ثالث، فالاحتمالان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منعكس؛ لتعارض الاستصحابين، فيسلم الأصل عن المعارض، لكن فرض زوال الاسم مع تساوي الصفات فرضي ظهوره في الخارج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ينجس الماء مطلقاً بالتغيير المعهود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يطهر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زوال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يطهر معه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يكون بتبادل المياه، أو تصفيق الرّياح، أو دفع إنسان له، أو بتمويجه إيَّاه، أو بورود المطهّر عليه إن تصوّر في 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ألقي فيه أجسام أزالت تغييره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في المتن و الشرح تحتمل السببيّة أو المصاحبة فيهما، أو الأخيرة في الأوّل، و الأولى في الأخير، أو العكس، فتتربّع الصور؛ فإنَّ زوال التغيير قد يكون سبباً للطهر، و قد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في الجاري بنفسه عند تدافع المياه، و في غيره بملاقاته أو الكرّ، فإنّه ليس إلّا عبارة عن أثر المطهّر، و الثاني في غير الجاري بنفسه، أو بتصفيق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الأوَّل طول المكث، أو في الجاري، أو في غيره إذا كان بعلاج، فإنّ الزوال فيها غير سبب ألبتّة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معدّ للطهر بمجرّد الملاقاة، أو بها مع الامتزاج بلا توقّف على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إن حملنا الباء في المتن على السببيّة شمل صورة التسبيب، و خرج عنه ما إذا زال تغيير الجاري و غيره بعلاج، و ما إذا زال تغيير غيره بنفسه لطول مكثه، أو لغيره، أو بتصفيق الرِّياح أو غيره مما لا يسمّى علاجاً؛ لعدم كون الزوال مستنداً إلى الجريان بنفسه، و عدم زواله بملاقاة الكرّ في مفروض الأمثلة، و ظاهر السببيّة الاستناد إليهما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أوهم أيضاً أنَّ نفس التغيير سبب، إلَّا أن يجعل هو مع ملاقاة الكرّ، فيكون أحدهما جزء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حملناها على المصاحبة شمل الصور بأسرها؛ إذ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مع زوال التغيير مطلقاً في الجاري و غيره، بعلاج و غيره، و غيره بملاقاة الكرّ أو الجاري لا مطلقاً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أمّا النفس و العلاج </w:t>
      </w:r>
      <w:r>
        <w:rPr>
          <w:rStyle w:val="FootnoteAnchor"/>
          <w:rtl w:val="true"/>
        </w:rPr>
        <w:footnoteReference w:id="209"/>
      </w:r>
      <w:r>
        <w:rPr>
          <w:rFonts w:ascii="Amiri" w:hAnsi="Amiri" w:eastAsia="Amiri" w:cs="Amiri"/>
          <w:color w:val="111111"/>
          <w:sz w:val="28"/>
          <w:sz w:val="28"/>
          <w:szCs w:val="28"/>
          <w:rtl w:val="true"/>
          <w:lang w:bidi="ar-SA"/>
        </w:rPr>
        <w:t>المجرورين في الشرح فيصحّ أن يتعلّقا بالجاري فقط، و ينزّل العلاج منزلة السبب على الاحتمالين في باء زواله،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التدافع أو العلاج سببان لزوال تغيير الجاري، فتكون 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تعلّقهما بغير الجاري دفعاً لتوهّم أن تكون طهارته مشروطة بزوال تغييره بالكُرّ الملاقي له أو الجاري عليه، فهي للمصاحبة، و لو كانت سببيّة تعيّن أن يكون التوهم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تعلّقهما بالجاري و غيره، و باؤهما حينئذ للمصاحبة كالسابقة، و إن أمكنت السببيّة في الجاري لما قلنا من أنّ زوال تغييره بالعلاج مقروناً بالطهر من غير تخلّل شيء آخر، فإنّ لقاء الجاري و الطاهر الطارئ لازم له، فنزّل منزلة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هذه و ما قبلها يجب جعل باء زواله في المتن للمصاحبة أيضاً؛ لما عرفت من أنّ زوال تغيير غير الجاري بنفسه ليس سبباً للطهارة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أيضاً تعلّق بنفسه بغير الجاري، و بعلاج بالجميع، و باؤها في الجميع للمصاحبة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الشارح بقرينة مجيئه بالعلاج عالج سقم حملها على السببيّة في المتن بالمصاحبة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بغير الجاري، أو عمّه و الجاري، و أريد به ما يعمّ الزوال بالتدافع لم تكن فيه إشارة لشيء، و لو أريد به ما يقابل التدافع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إشارة إلى ردّ مَن خصّ زوال التغيير بالتدافع في الجاري، كما في الروض،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زوال التغيير في الجاري لا يتحقّق إلّا مع تدافع المياه، و لا شكّ أنّ له مَدْخَلاً عظيماً في زوال التغيير، بل لا يعلم له سبب إلّا ذلك إذا لم يكن هناك سبب خارج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الكركي في حاشية الشرائع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تعليق طهر الجاري بزوال التغيير لمكان المادّة و إن كان تجدّد الماء الطاهر عليه من اللّوازم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التحرير بعد ذكر تطهير كلّ من الجاري و الكثير و القليل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يطهر المتغيّر من هذه المياه بزوال التغيّر من نفسها، أو من طول المكث، أو من تصفيق الرّياح، أو من إلقاء أجسام طاهرة غير الماء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فيظهر منه المقابلة، و أنّ زوال التغيير بنفسه من دون تدافع متصوّر، إلّا أن تحمل على إرادة غير الجاري، و لا يتمّ في الأخير، فيكون قرينة على إرادة الجاري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الكركي </w:t>
      </w:r>
      <w:r>
        <w:rPr>
          <w:rStyle w:val="FootnoteAnchor"/>
          <w:rtl w:val="true"/>
        </w:rPr>
        <w:footnoteReference w:id="213"/>
      </w:r>
      <w:r>
        <w:rPr>
          <w:rFonts w:ascii="Amiri" w:hAnsi="Amiri" w:eastAsia="Amiri" w:cs="Amiri"/>
          <w:color w:val="111111"/>
          <w:sz w:val="28"/>
          <w:sz w:val="28"/>
          <w:szCs w:val="28"/>
          <w:rtl w:val="true"/>
          <w:lang w:bidi="ar-SA"/>
        </w:rPr>
        <w:t>أنّ بناء ذلك لعلّه لجهة أنّ النجس لا يطهر بمجرّد اتّصاله بالطاهر، بل لا بدّ من الامتزاج مع صلاحية الممتزج للتطهير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شرطيّة الامتزاج في الطهارة لا توجب أن يكون زوال التغيير منحصراً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حال لا تعقل الطهارة مع بقاء التغيير، و بزواله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الشرط هنا لا مفهوم له، و إن لم يقصد الحصر، و إلّا لكان مفهومه عدم الطهر بزوال التغيير إذا لم يكن جارياً، و لا لاقى كرّاً، فيصدق على عدم طهر غير الجاري الذي لاقى جارياً؛ إذ هو غير جار، و لا لاقى كرّاً</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الجاري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يستقرّ في قرار، تجدّد نبعه من الأرض شيئاً فشيئاً أم لا، و هو الجاری لا عن مادّة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أكثر كلماتهم خاليّة عن تحديده شرعاً، و كأنّه لوضوح معناه العرفي، و ليس للشارع تصرّف فيه، و لازمهم أن يعتبر فيه السيلان و النبع؛ لسلب اسم الماء الجاري عمّا خلا عن الوصفين، و إن صدق عليه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جماعة منهم عرّفوه، قال جدّي في كشف غطائه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السائل النابع من الأرض لتكوّنه فيها بالأصالة أو بالعروضيّة </w:t>
      </w:r>
      <w:r>
        <w:rPr>
          <w:rStyle w:val="FootnoteAnchor"/>
          <w:rtl w:val="true"/>
        </w:rPr>
        <w:footnoteReference w:id="215"/>
      </w:r>
      <w:r>
        <w:rPr>
          <w:rFonts w:ascii="Amiri" w:hAnsi="Amiri" w:eastAsia="Amiri" w:cs="Amiri"/>
          <w:color w:val="111111"/>
          <w:sz w:val="28"/>
          <w:sz w:val="28"/>
          <w:szCs w:val="28"/>
          <w:rtl w:val="true"/>
          <w:lang w:bidi="ar-SA"/>
        </w:rPr>
        <w:t xml:space="preserve">، و عمّي </w:t>
      </w:r>
      <w:r>
        <w:rPr>
          <w:rStyle w:val="FootnoteAnchor"/>
          <w:rtl w:val="true"/>
        </w:rPr>
        <w:footnoteReference w:id="216"/>
      </w:r>
      <w:r>
        <w:rPr>
          <w:rFonts w:ascii="IRNazanin" w:hAnsi="IRNazanin" w:eastAsia="IRNazanin"/>
          <w:color w:val="111111"/>
          <w:sz w:val="28"/>
          <w:sz w:val="28"/>
          <w:szCs w:val="28"/>
          <w:rtl w:val="true"/>
          <w:lang w:bidi="fa-IR"/>
        </w:rPr>
        <w:t>کذلک باختلاف لفظ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 الوالد بأنوار فقاهته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الأخبار و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يغاير المعنى اللغوي، فكأنّه حقيقة عرفيّة خاصّة فيه، و هو كلّ ماء اتّصل بمادّةٍ في الأرض غير معلوم حصرها عرفاً، و لا يصدق على محلّه عرفاً أنَّه بئر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في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النابع من الأرض مطلقاً كثر أم قلّ، دامَ النبع أم لا، جرى حقيقةً أم لا، و إطلاقه على الأخير تغليباً، و لولا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لأمكن القول بتمام التعريف قبل الإطلاق، و يكون الإطلاق للحكم الذي في المتن،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الجاري بزوال التغيير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على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البئر ليس من الحدّ، و إن فهم غير واحد </w:t>
      </w:r>
      <w:r>
        <w:rPr>
          <w:rStyle w:val="FootnoteAnchor"/>
          <w:rtl w:val="true"/>
        </w:rPr>
        <w:footnoteReference w:id="218"/>
      </w:r>
      <w:r>
        <w:rPr>
          <w:rFonts w:ascii="Amiri" w:hAnsi="Amiri" w:eastAsia="Amiri" w:cs="Amiri"/>
          <w:color w:val="111111"/>
          <w:sz w:val="28"/>
          <w:sz w:val="28"/>
          <w:szCs w:val="28"/>
          <w:rtl w:val="true"/>
          <w:lang w:bidi="ar-SA"/>
        </w:rPr>
        <w:t>ممّن بعد الشهيد أنّها مع الإطلاق من قيود التعريف، و على ما احتملنا يكون استثناء من الحكم في المتن،</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الجاري يطهر بزوال التغيير مطلقاً إلَّا البئر، فتدخل حينئذ في الجاري، لكنّه غير معهود، فالأحرى دخولهما في التعريف كما صنعه في شرح الدروس </w:t>
      </w:r>
      <w:r>
        <w:rPr>
          <w:rStyle w:val="FootnoteAnchor"/>
          <w:rtl w:val="true"/>
        </w:rPr>
        <w:footnoteReference w:id="219"/>
      </w:r>
      <w:r>
        <w:rPr>
          <w:rFonts w:ascii="Amiri" w:hAnsi="Amiri" w:eastAsia="Amiri" w:cs="Amiri"/>
          <w:color w:val="111111"/>
          <w:sz w:val="28"/>
          <w:sz w:val="28"/>
          <w:szCs w:val="28"/>
          <w:rtl w:val="true"/>
          <w:lang w:bidi="ar-SA"/>
        </w:rPr>
        <w:t xml:space="preserve">و غيره </w:t>
      </w:r>
      <w:r>
        <w:rPr>
          <w:rStyle w:val="FootnoteAnchor"/>
          <w:rtl w:val="true"/>
        </w:rPr>
        <w:footnoteReference w:id="220"/>
      </w:r>
      <w:r>
        <w:rPr>
          <w:rFonts w:ascii="Amiri" w:hAnsi="Amiri" w:eastAsia="Amiri" w:cs="Amiri"/>
          <w:color w:val="111111"/>
          <w:sz w:val="28"/>
          <w:sz w:val="28"/>
          <w:szCs w:val="28"/>
          <w:rtl w:val="true"/>
          <w:lang w:bidi="ar-SA"/>
        </w:rPr>
        <w:t xml:space="preserve">، غير أنّ الإطلاق على إطلاقه مشكل، لكن المعنى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متعلّق بالإطلاق، و يحتمل تعلّقه بغير البئر أيضاً، أي بهما معاً، فإنَّ من غير المشهور طهارة مائها، و كونه جارياً اسماً و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القيدان للحكم كان التعلّق بهما أظهر، و المخالف للمشهور في الحكمين جماعة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الجاري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المصنّف في الدروس </w:t>
      </w:r>
      <w:r>
        <w:rPr>
          <w:rStyle w:val="FootnoteAnchor"/>
          <w:rtl w:val="true"/>
        </w:rPr>
        <w:footnoteReference w:id="222"/>
      </w:r>
      <w:r>
        <w:rPr>
          <w:rFonts w:ascii="Amiri" w:hAnsi="Amiri" w:eastAsia="Amiri" w:cs="Amiri"/>
          <w:color w:val="111111"/>
          <w:sz w:val="28"/>
          <w:sz w:val="28"/>
          <w:szCs w:val="28"/>
          <w:rtl w:val="true"/>
          <w:lang w:bidi="ar-SA"/>
        </w:rPr>
        <w:t>فيه دوام نبعه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يرى أنّ النبع مطلقاً لا يغني في الحكم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استثناء المياه التي تجري في فصل دون فصل عن الحكم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جريانه إن كان بكلّ الأزمنة لا طريق لمعرفتها، مضافاً إلى عدم الدليل عليها، و إن خصّه بفصل خاصّ فهو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استمراره حال ملاقاته النجاسة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مرجعه إلى حصول المادّة و لا يزيد على اعتبار أصل النبع، و عليه فنسبة الشارح التي تشعر بالخلاف خلاف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الغنائم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عدم انقطاع الجريان؛ لاستمرار النبع، و للاحتراز عن الرشح</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ما يكون نبعه ضعيفاً كما في بعض العيون النزرة؛ لأنّ عدم انفعال الجاري من أجل أنّ له مادّة متّصلة به، و فتور النبع يقضي بضعف المادّة، أو عدم اتّصالها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 أراد به إخراج بعض العيون التي تظهر في حفر الأرض و لا تجري، فإذا أخذ منها َنبَعَ الماء، و إن تركت بقيت على حالها، فلو اكتفى بالنبع دخلت، و دوامه لازمه الجريان فتخرج لعدمه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تأمّل في الأخير بعضُ؛ لإعراضه عن اعتبار الجريان في الجاري،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أنَّه لا يظهر وجهه للاحتراز عنها إذا كان نبعه قويّا، و ليس على سبيل الرّشح </w:t>
      </w:r>
      <w:r>
        <w:rPr>
          <w:rStyle w:val="FootnoteAnchor"/>
          <w:rtl w:val="true"/>
        </w:rPr>
        <w:footnoteReference w:id="2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يظهر أنه أراد بدوام النبع هو اشتراط الجريان في النابع؛ للتلازم بينهما، فكفى به عنه؛ ليخرج ما سال لا عن مادّة، كما في بعض مياه الثلوج؛ إذ السائل لا عن مادّة لازمه الانقطاع، و حينئذ فيدخل في الجاري كلّما جرى من الماء عن مادة، بأيّ نحو كان، و يكون موافقاً لنا في المذهب، أو ليخرج ما جرى على الأرض عند انقطاع نبعه، بأنْ نَبعَ حتى اجتمع بمكان، ثمّ بعد انقطاع نبعه جری و سال؛ ضرورة عدم لحوق حكم الجاري له مع صدق التعريف عليه لو لم يقيّد بدوام النبع، و الأخير أظهر، و لم أرَ مَن تفطّن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على كلّ حال، المحقق في موضوع الماء الجاري لدينا هو النبع مع السيلان، و صريح الشارح خلافه هنا، و بمسالكه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الظاهر عدم صدق الاسم مع عدم الجريان عرفاً، و عدم ثبوت الحقيقة الشرعيّة، و يثمر في العين الواقفة النابعة التي لم تبلغ الكرّ إذا لاقت نجاسة، فإنّها لا تنجس على قول الشارح، و على قولنا يكون الحال فيها كالحمّام إن كانت كريّة المادّة معلومة، فيمكن الحكم بالطهارة مطلقاً؛ لكفاية الاتّصال بما بلغ حدّ الكرّ ، لكن يقوى عندي الحكم بالنجاسة هنا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اشتراط تساوي السطحين، أو عدم ارتفاع المادّة، 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عدمه؛ فلأنّ الشرط في اعتصام القليل اتّصاله بالكرّ أو بما يعدّ مع الاتصال به كرّاً واحداً، و وجوده هنا غير معلوم إن لم يعلم العدم وإن وجد الاتّصال إلَّا أنَّه لا يكفي حتّى يعدّ المتّصلان ماءً واحداً ، و لا ريب بأنّ الاتّصال بالمادّة الموجودة تحت الأرض 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حكمنا بطهارة ماء البئر القليل أمكن اختيار الطهارة هنا، أمّا لو كان للعين المزبورة جريان لحقها حكم الجاري قطعاً و لو كان الجريان تحت الأرض كالقنوات كما نبّه عليه الماتن في غيره </w:t>
      </w:r>
      <w:r>
        <w:rPr>
          <w:rStyle w:val="FootnoteAnchor"/>
          <w:rtl w:val="true"/>
        </w:rPr>
        <w:footnoteReference w:id="230"/>
      </w:r>
      <w:r>
        <w:rPr>
          <w:rFonts w:ascii="Amiri" w:hAnsi="Amiri" w:eastAsia="Amiri" w:cs="Amiri"/>
          <w:color w:val="111111"/>
          <w:sz w:val="28"/>
          <w:sz w:val="28"/>
          <w:szCs w:val="28"/>
          <w:rtl w:val="true"/>
          <w:lang w:bidi="ar-SA"/>
        </w:rPr>
        <w:t>سواء صدق عليه اسم البئر أم لا بحكم أصالة الطهارة، إنّما الإشكال فيما لو نجست ثمّ جرَت، و الظاهر أنّها كالأولى؛ لخروجها بالجريان عن اسم البئر فيلحقها الحكم لكن لا مطلقاً، بل مع مراعاة حصول التدافع و اختلاف المائين و العلم بكرّية المادّة الموجودة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المختار فهل تترتّب فائدة لدوام النبع بالمعاني السالفة أم لا؟ فيجب التنبيه على أمور يتنوّر بها الالتباس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الجريان لا عن مادّة عن حكم الجاري كما مرّ، و عساه منفيّ الرّيب فيلحق بالقليل الملاقي و ينجس، و في شرح الدروس الاتّفاق عليه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يفارق الراكد في نجاسة بعض الملاقي، و الراكد ينجس أجمع، و خيال الفاضل </w:t>
      </w:r>
      <w:r>
        <w:rPr>
          <w:rStyle w:val="FootnoteAnchor"/>
          <w:rtl w:val="true"/>
        </w:rPr>
        <w:footnoteReference w:id="232"/>
      </w:r>
      <w:r>
        <w:rPr>
          <w:rFonts w:ascii="Amiri" w:hAnsi="Amiri" w:eastAsia="Amiri" w:cs="Amiri"/>
          <w:color w:val="111111"/>
          <w:sz w:val="28"/>
          <w:sz w:val="28"/>
          <w:szCs w:val="28"/>
          <w:rtl w:val="true"/>
          <w:lang w:bidi="ar-SA"/>
        </w:rPr>
        <w:t xml:space="preserve">المعاصر صدق اسم الجريان عليه فيلحقه الحكم كما ترى بعد ظاهر الاتّفاق على عدمه و مساواته القليل في حكمه، و كأنّه نظر إلى مقتضى تعليل حكم الجاري في بعض الأخبار </w:t>
      </w:r>
      <w:r>
        <w:rPr>
          <w:rStyle w:val="FootnoteAnchor"/>
          <w:rtl w:val="true"/>
        </w:rPr>
        <w:footnoteReference w:id="233"/>
      </w:r>
      <w:r>
        <w:rPr>
          <w:rFonts w:ascii="Amiri" w:hAnsi="Amiri" w:eastAsia="Amiri" w:cs="Amiri"/>
          <w:color w:val="111111"/>
          <w:sz w:val="28"/>
          <w:sz w:val="28"/>
          <w:szCs w:val="28"/>
          <w:rtl w:val="true"/>
          <w:lang w:bidi="ar-SA"/>
        </w:rPr>
        <w:t>بأنّ بعضه يطهّر بعضاً، فطرده في غير ما كانت له مادّة، و لم يراع الجمع بينه و بين ما قضى منها باعتبار المادّة وفق الأصول في رجوع المطلق لمقيّده، فلو كان دوام النبع في كلام المصنّف</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استثناء هذا الفرد، و كناية عن السيلان من حيث الملازمة، العاري عنها حذف القيد كان وجيهاً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جدّي في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تكوّنه على ظهرها من ثلج مع تكثّر سيلانه دون قلّته، فإنّ عصمته تتوقّف على بلوغ الكرية كالراكد، و الثمرة تظهر فيما يتعلّق باسمه من السنن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المادّة حال الملاقاة بلا سير على الأرض و لا جَري، و مثّلوا </w:t>
      </w:r>
      <w:r>
        <w:rPr>
          <w:rStyle w:val="FootnoteAnchor"/>
          <w:rtl w:val="true"/>
        </w:rPr>
        <w:footnoteReference w:id="235"/>
      </w:r>
      <w:r>
        <w:rPr>
          <w:rFonts w:ascii="Amiri" w:hAnsi="Amiri" w:eastAsia="Amiri" w:cs="Amiri"/>
          <w:color w:val="111111"/>
          <w:sz w:val="28"/>
          <w:sz w:val="28"/>
          <w:szCs w:val="28"/>
          <w:rtl w:val="true"/>
          <w:lang w:bidi="ar-SA"/>
        </w:rPr>
        <w:t>له بالعيون المستنبطة في جنب الأودية ممّا لا يلحقه اسم البئر عرفاً، و حينئذ فإمّا أن يعلم بكرية المادّة حال الملاقاة، أو عدمها، أو يشك، و مع العلم لا ريب في الطهارة عند الشارح و لحوقه بالجاري اسماً و حكماً، فإن كان دوام النبع إشارة له لحق الماتن الشارح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عندي خلافه، و خروجه عن اسم الجاري، و دخوله في ذي المادة الذي تسمع حكمه في ماء الحمّام و البئر من الحكم بالطهارة بمجرّد الاتّصال من دون امتزاج أو اعتبار الامتزاج معه على ما يأتي إن شاء الله تعالى؛ إذ إنكار انصراف الجاري بالأخبار إلى ما كان بالفعل جارياً مصادرة، و منه يعلم حالة الشكّ و العلم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المترشّح الذي يخرج من الأرض شيئاً فشيئاً بحيث يعلم أنّه حين الملاقاة و حين زوال التغيير كانت له قوّة و اتّصال بالمادّة المعلوم كريتها فلا يبعد الحكم بطهارته، و خروجه بالقيد المزبور عن الجاري إن كان لمكان الصدق فحسن؛ إذ هو بهذا الاعتبار ملحق بذي المادّة، فهو خارج عن التسمية و إن حكم بطهارته، و إن كان للحكم بالنجاسة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يترشّح قليلاً قليلاً، و لم يعلم اتّصال المترشّح بالمادة و لا كرّيتها، سواء في حالة الشكّ أو العلم بالعدم، فالحكم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الوالد في أنوار فقاهته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الجاري كلّما اتّصل بالمادّة اتصالاً ظاهراً أو خفيّاً، بجذب أو جريان أو من دون جذب و جريان؛ لتساوي السطوح، سواء اتّصل بها بينبوع أو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رشح أو نزيز، إلَّا إذا قلَّ الرّشح جداً و كان كالعرق الخفيّ، فإنّ إدخاله باسم الجاري أو حكمه لا يخلو من إشكال </w:t>
      </w:r>
      <w:r>
        <w:rPr>
          <w:rStyle w:val="FootnoteAnchor"/>
          <w:rtl w:val="true"/>
        </w:rPr>
        <w:footnoteReference w:id="236"/>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إطلاقه مشكل و إن وافقنا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المعالم </w:t>
      </w:r>
      <w:r>
        <w:rPr>
          <w:rStyle w:val="FootnoteAnchor"/>
          <w:rtl w:val="true"/>
        </w:rPr>
        <w:footnoteReference w:id="237"/>
      </w:r>
      <w:r>
        <w:rPr>
          <w:rFonts w:ascii="Amiri" w:hAnsi="Amiri" w:eastAsia="Amiri" w:cs="Amiri"/>
          <w:color w:val="111111"/>
          <w:sz w:val="28"/>
          <w:sz w:val="28"/>
          <w:szCs w:val="28"/>
          <w:rtl w:val="true"/>
          <w:lang w:bidi="ar-SA"/>
        </w:rPr>
        <w:t>الردّ على الشهيد باعتبار دوام النبع بخروج المترشّح الذي له قوّة التدافع و لا يعتريه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عدمه؛ إذ الطهارة لا من حيث إنّه جاري كما توهّم، بل حيث اتّصاله بالمادّة، و بينهما 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كانت له مادّة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عنها أو دام نبعه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يعلم بكرّيتها، أو العدم، أو يحصل الشكّ، و في صورة العلم لا إشكال في الطهارة؛ إذ هي القدر المتيقّن من الأدلّة، و الصورتان سواء، أما فيهما فوجهان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احتمال اعتبار الكرّية فيما خرج من الأرض شيئاً فشيئاً ببلوغه حدّ الكرّ؛ لاستظهار ذلك من أدلّة الجاري الذي لا ينفعل، أو للشكّ في اندراج المادّة القليلة تحت تلك الأدلّة، فيفزع إلى أصالة الانفعال في القليل، و حينئذ الحكم فيها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احتمال أنّ النبع لما كان من انقلاب الهواء في باطن الأرض ماءً شيئاً شيئاً و بروزه كذلك على ما تقوله الحكماء </w:t>
      </w:r>
      <w:r>
        <w:rPr>
          <w:rStyle w:val="FootnoteAnchor"/>
          <w:rtl w:val="true"/>
        </w:rPr>
        <w:footnoteReference w:id="238"/>
      </w:r>
      <w:r>
        <w:rPr>
          <w:rFonts w:ascii="Amiri" w:hAnsi="Amiri" w:eastAsia="Amiri" w:cs="Amiri"/>
          <w:color w:val="111111"/>
          <w:sz w:val="28"/>
          <w:sz w:val="28"/>
          <w:szCs w:val="28"/>
          <w:rtl w:val="true"/>
          <w:lang w:bidi="ar-SA"/>
        </w:rPr>
        <w:t xml:space="preserve">، فله مادّة تحتها لا تنفعل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الطهارة و إن لم تدرك بالبصر الكرّية، و أدلّة الجاري عامّة، و لو خصّصت بالمفروض لزوم خروج كثير من أفراد الجاري، بل هو عين مذهب العلّامة </w:t>
      </w:r>
      <w:r>
        <w:rPr>
          <w:rStyle w:val="FootnoteAnchor"/>
          <w:rtl w:val="true"/>
        </w:rPr>
        <w:footnoteReference w:id="239"/>
      </w:r>
      <w:r>
        <w:rPr>
          <w:rFonts w:ascii="IRNazanin" w:hAnsi="IRNazanin" w:eastAsia="IRNazanin"/>
          <w:color w:val="111111"/>
          <w:sz w:val="28"/>
          <w:sz w:val="28"/>
          <w:szCs w:val="28"/>
          <w:rtl w:val="true"/>
          <w:lang w:bidi="fa-IR"/>
        </w:rPr>
        <w:t>، مضافاً إلى اشتهار أمر الجاري بينهم حتّى كاد يفوق الكرّ ، فلا جرم من سقوط اشتراط الكرّية قطعاً، و لا يضرّ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كالجاري</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أظهر أفراد المشابهة بالمادّة، و معلوم اعتبار كرّيتها هناك؛ إذ يكفي احتمال أن لا تكون المشابهة من هذه الجهة، و لا تلازم بين المائين في كلّ حكم،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النبع في حال الجريان عند ملاقاة النجاسة؛ حكم الوالد رحمه الله </w:t>
      </w:r>
      <w:r>
        <w:rPr>
          <w:rStyle w:val="FootnoteAnchor"/>
          <w:rtl w:val="true"/>
        </w:rPr>
        <w:footnoteReference w:id="241"/>
      </w:r>
      <w:r>
        <w:rPr>
          <w:rFonts w:ascii="Amiri" w:hAnsi="Amiri" w:eastAsia="Amiri" w:cs="Amiri"/>
          <w:color w:val="111111"/>
          <w:sz w:val="28"/>
          <w:sz w:val="28"/>
          <w:szCs w:val="28"/>
          <w:rtl w:val="true"/>
          <w:lang w:bidi="ar-SA"/>
        </w:rPr>
        <w:t>بطهارته، و توقّف من إزالته الحَدَث و 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حكومة أصالة عدم النبع الموجبة للانفعال على أصالة الطهارة، ثمّ التفكيك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كون المتغيّر يطهر بزوال التغيّر عند ملاقاة الجاري كان الإجماع </w:t>
      </w:r>
      <w:r>
        <w:rPr>
          <w:rStyle w:val="FootnoteAnchor"/>
          <w:rtl w:val="true"/>
        </w:rPr>
        <w:footnoteReference w:id="242"/>
      </w:r>
      <w:r>
        <w:rPr>
          <w:rFonts w:ascii="Amiri" w:hAnsi="Amiri" w:eastAsia="Amiri" w:cs="Amiri"/>
          <w:color w:val="111111"/>
          <w:sz w:val="28"/>
          <w:sz w:val="28"/>
          <w:szCs w:val="28"/>
          <w:rtl w:val="true"/>
          <w:lang w:bidi="ar-SA"/>
        </w:rPr>
        <w:t xml:space="preserve">عليه، و المشهور </w:t>
      </w:r>
      <w:r>
        <w:rPr>
          <w:rStyle w:val="FootnoteAnchor"/>
          <w:rtl w:val="true"/>
        </w:rPr>
        <w:footnoteReference w:id="243"/>
      </w:r>
      <w:r>
        <w:rPr>
          <w:rFonts w:ascii="Amiri" w:hAnsi="Amiri" w:eastAsia="Amiri" w:cs="Amiri"/>
          <w:color w:val="111111"/>
          <w:sz w:val="28"/>
          <w:sz w:val="28"/>
          <w:szCs w:val="28"/>
          <w:rtl w:val="true"/>
          <w:lang w:bidi="ar-SA"/>
        </w:rPr>
        <w:t xml:space="preserve">على عدم اعتبار الكرّية فيه، ولكن المرتضى رحمه الله في ظاهر الجمل </w:t>
      </w:r>
      <w:r>
        <w:rPr>
          <w:rStyle w:val="FootnoteAnchor"/>
          <w:rtl w:val="true"/>
        </w:rPr>
        <w:footnoteReference w:id="244"/>
      </w:r>
      <w:r>
        <w:rPr>
          <w:rFonts w:ascii="Amiri" w:hAnsi="Amiri" w:eastAsia="Amiri" w:cs="Amiri"/>
          <w:color w:val="111111"/>
          <w:sz w:val="28"/>
          <w:sz w:val="28"/>
          <w:szCs w:val="28"/>
          <w:rtl w:val="true"/>
          <w:lang w:bidi="ar-SA"/>
        </w:rPr>
        <w:t xml:space="preserve">أطلق الانفعال بالملاقاة في القليل، فيعمّ الجاري، و اختاره المقداد في التنقيح </w:t>
      </w:r>
      <w:r>
        <w:rPr>
          <w:rStyle w:val="FootnoteAnchor"/>
          <w:rtl w:val="true"/>
        </w:rPr>
        <w:footnoteReference w:id="245"/>
      </w:r>
      <w:r>
        <w:rPr>
          <w:rFonts w:ascii="Amiri" w:hAnsi="Amiri" w:eastAsia="Amiri" w:cs="Amiri"/>
          <w:color w:val="111111"/>
          <w:sz w:val="28"/>
          <w:sz w:val="28"/>
          <w:szCs w:val="28"/>
          <w:rtl w:val="true"/>
          <w:lang w:bidi="ar-SA"/>
        </w:rPr>
        <w:t xml:space="preserve">، و إن استحسن بعد ذلك ما نقله من القول بالاشتراط إذا لم يجر عن مادّة، و ارتضاه في معارج السؤول و مدارج المأمول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العلّامة في القواعد و التذكرة و المنتهى و النهاية و الإرشاد </w:t>
      </w:r>
      <w:r>
        <w:rPr>
          <w:rStyle w:val="FootnoteAnchor"/>
          <w:rtl w:val="true"/>
        </w:rPr>
        <w:footnoteReference w:id="247"/>
      </w:r>
      <w:r>
        <w:rPr>
          <w:rFonts w:ascii="Amiri" w:hAnsi="Amiri" w:eastAsia="Amiri" w:cs="Amiri"/>
          <w:color w:val="111111"/>
          <w:sz w:val="28"/>
          <w:sz w:val="28"/>
          <w:szCs w:val="28"/>
          <w:rtl w:val="true"/>
          <w:lang w:bidi="ar-SA"/>
        </w:rPr>
        <w:t>كالقليل المنفعل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الجاري أقلّ من كرّ ينجس بالملاقاة، و الباقي كذلك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لم يبلغوا الجمع في السير جعلوه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قليل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الظاهرة و التقدير في المقدّرة دون المتنجّس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للانفعال،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بلوغه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ما يقضي باعتبار الكرية من عاليات السند المعنعن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متابعيه ممّن تأخّر عنه و الشارح منهم، و في المسالك </w:t>
      </w:r>
      <w:r>
        <w:rPr>
          <w:rStyle w:val="FootnoteAnchor"/>
          <w:rtl w:val="true"/>
        </w:rPr>
        <w:footnoteReference w:id="249"/>
      </w:r>
      <w:r>
        <w:rPr>
          <w:rFonts w:ascii="Amiri" w:hAnsi="Amiri" w:eastAsia="Amiri" w:cs="Amiri"/>
          <w:color w:val="111111"/>
          <w:sz w:val="28"/>
          <w:sz w:val="28"/>
          <w:szCs w:val="28"/>
          <w:rtl w:val="true"/>
          <w:lang w:bidi="ar-SA"/>
        </w:rPr>
        <w:t xml:space="preserve">أصرح، و في متأخّر المتأخّرين من ينعق مع كلّ ناعق، و المحرّر منهم، و الدليلُ المنيع للمشهور الإجماع المحكي على لسان الشيخ بخلافه </w:t>
      </w:r>
      <w:r>
        <w:rPr>
          <w:rStyle w:val="FootnoteAnchor"/>
          <w:rtl w:val="true"/>
        </w:rPr>
        <w:footnoteReference w:id="250"/>
      </w:r>
      <w:r>
        <w:rPr>
          <w:rFonts w:ascii="IRNazanin" w:hAnsi="IRNazanin" w:eastAsia="IRNazanin"/>
          <w:color w:val="111111"/>
          <w:sz w:val="28"/>
          <w:sz w:val="28"/>
          <w:szCs w:val="28"/>
          <w:rtl w:val="true"/>
          <w:lang w:bidi="fa-IR"/>
        </w:rPr>
        <w:t xml:space="preserve">، و المحقّق بمعتبره </w:t>
      </w:r>
      <w:r>
        <w:rPr>
          <w:rStyle w:val="FootnoteAnchor"/>
          <w:rtl w:val="true"/>
        </w:rPr>
        <w:footnoteReference w:id="251"/>
      </w:r>
      <w:r>
        <w:rPr>
          <w:rFonts w:ascii="Amiri" w:hAnsi="Amiri" w:eastAsia="Amiri" w:cs="Amiri"/>
          <w:color w:val="111111"/>
          <w:sz w:val="28"/>
          <w:sz w:val="28"/>
          <w:szCs w:val="28"/>
          <w:rtl w:val="true"/>
          <w:lang w:bidi="ar-SA"/>
        </w:rPr>
        <w:t xml:space="preserve">، و العلّامة في بعض زبره </w:t>
      </w:r>
      <w:r>
        <w:rPr>
          <w:rStyle w:val="FootnoteAnchor"/>
          <w:rtl w:val="true"/>
        </w:rPr>
        <w:footnoteReference w:id="252"/>
      </w:r>
      <w:r>
        <w:rPr>
          <w:rFonts w:ascii="Amiri" w:hAnsi="Amiri" w:eastAsia="Amiri" w:cs="Amiri"/>
          <w:color w:val="111111"/>
          <w:sz w:val="28"/>
          <w:sz w:val="28"/>
          <w:szCs w:val="28"/>
          <w:rtl w:val="true"/>
          <w:lang w:bidi="ar-SA"/>
        </w:rPr>
        <w:t>على عدم تنجيس الجاري بالملاقاة مطلقاً، و ابن زُهرة نفى الخلاف في تساوي قليله و كثيره في غنيته،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خالطه و كان راكداً كثيراً ليس من مياه الآبار أو جارياً قليلاً كان أو كثيراً و لم يتغيّر بهما أحد أوصافه فإنّه طاهر مطهّر بلا خلاف </w:t>
      </w:r>
      <w:r>
        <w:rPr>
          <w:rStyle w:val="FootnoteAnchor"/>
          <w:rtl w:val="true"/>
        </w:rPr>
        <w:footnoteReference w:id="2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فيحصل من الإجماعين ما يروق في العين، و للعلّامة الأخبار </w:t>
      </w:r>
      <w:r>
        <w:rPr>
          <w:rStyle w:val="FootnoteAnchor"/>
          <w:rtl w:val="true"/>
        </w:rPr>
        <w:footnoteReference w:id="254"/>
      </w:r>
      <w:r>
        <w:rPr>
          <w:rFonts w:ascii="Amiri" w:hAnsi="Amiri" w:eastAsia="Amiri" w:cs="Amiri"/>
          <w:color w:val="111111"/>
          <w:sz w:val="28"/>
          <w:sz w:val="28"/>
          <w:szCs w:val="28"/>
          <w:rtl w:val="true"/>
          <w:lang w:bidi="ar-SA"/>
        </w:rPr>
        <w:t xml:space="preserve">القاضية بتنجيس النجاسات لما لاقتها، خرج من عمومها ما لم يتغيّر من الكثير، و بقي الباقي مطلقاً، و الأخبار </w:t>
      </w:r>
      <w:r>
        <w:rPr>
          <w:rStyle w:val="FootnoteAnchor"/>
          <w:rtl w:val="true"/>
        </w:rPr>
        <w:footnoteReference w:id="255"/>
      </w:r>
      <w:r>
        <w:rPr>
          <w:rFonts w:ascii="Amiri" w:hAnsi="Amiri" w:eastAsia="Amiri" w:cs="Amiri"/>
          <w:color w:val="111111"/>
          <w:sz w:val="28"/>
          <w:sz w:val="28"/>
          <w:szCs w:val="28"/>
          <w:rtl w:val="true"/>
          <w:lang w:bidi="ar-SA"/>
        </w:rPr>
        <w:t xml:space="preserve">الواقعة في جواب السؤال عن الماء الذي لا ينجّسه شيء، و الأخبار </w:t>
      </w:r>
      <w:r>
        <w:rPr>
          <w:rStyle w:val="FootnoteAnchor"/>
          <w:rtl w:val="true"/>
        </w:rPr>
        <w:footnoteReference w:id="256"/>
      </w:r>
      <w:r>
        <w:rPr>
          <w:rFonts w:ascii="Amiri" w:hAnsi="Amiri" w:eastAsia="Amiri" w:cs="Amiri"/>
          <w:color w:val="111111"/>
          <w:sz w:val="28"/>
          <w:sz w:val="28"/>
          <w:szCs w:val="28"/>
          <w:rtl w:val="true"/>
          <w:lang w:bidi="ar-SA"/>
        </w:rPr>
        <w:t>الناطقة بعدم نجاسة الماء إذا بلغ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ممنوعةٌ؛ إذ المعثور عليه منها أنّ النجاسات تنجّس ما لاقته، و لا شبهة في إمكان تنجيس الراكد لا مطلقاً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و القيل الثاني إنّما يفيد لو كان التفسير فيه يفيد الحصر؛ ليكون بمنزلة التحديد، و ليس كذلك؛ إذ غاية مفاده أن يكون القليل ممّا يتنجّس في الجملة لا مطلقاً، فكأنّه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الذي لا ينجّسه شيء مطلقاً هو الكُرّ، و أمّا الناقص فينجّسه شيء في الجملة، و هو ما كان راكداً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منع الثالث بخلوّه عن لفظ عام يدل بعمومه على المدّعى إلّا بالمفهوم بناءً على ما هو الظاهر من حمل إذا على الشرطيّة، أو استفادة الحصر من تقديم الظرف حسب القاعدة النحويّة </w:t>
      </w:r>
      <w:r>
        <w:rPr>
          <w:rStyle w:val="FootnoteAnchor"/>
          <w:rtl w:val="true"/>
        </w:rPr>
        <w:footnoteReference w:id="257"/>
      </w:r>
      <w:r>
        <w:rPr>
          <w:rFonts w:ascii="Amiri" w:hAnsi="Amiri" w:eastAsia="Amiri" w:cs="Amiri"/>
          <w:color w:val="111111"/>
          <w:sz w:val="28"/>
          <w:sz w:val="28"/>
          <w:szCs w:val="28"/>
          <w:rtl w:val="true"/>
          <w:lang w:bidi="ar-SA"/>
        </w:rPr>
        <w:t>، و الأوّل ليس بمتعيّن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لم يكن داع غير الحصر، و الاهتمام هنا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سلّمنا، فالمفهوم أنَّه إذا لم يكن قدر كُرّ نجسه شيء، فيصدق في الراكد القليل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لكن عمومات </w:t>
      </w:r>
      <w:r>
        <w:rPr>
          <w:rStyle w:val="FootnoteAnchor"/>
          <w:rtl w:val="true"/>
        </w:rPr>
        <w:footnoteReference w:id="258"/>
      </w:r>
      <w:r>
        <w:rPr>
          <w:rFonts w:ascii="Amiri" w:hAnsi="Amiri" w:eastAsia="Amiri" w:cs="Amiri"/>
          <w:color w:val="111111"/>
          <w:sz w:val="28"/>
          <w:sz w:val="28"/>
          <w:szCs w:val="28"/>
          <w:rtl w:val="true"/>
          <w:lang w:bidi="ar-SA"/>
        </w:rPr>
        <w:t xml:space="preserve">طهارة الماء ما لم يتغيّر كافية في المطلوب، و حاكمة على عموم المفهوم المتقدّم؛ إذ بينهما عموم من وجه، و مقتضى الجمع ترجيح عمومات الطهارة؛ لكونها أقوى دلالةً من جهة المنطوق، و أكثر ترجيحاً في المرجّحات الداخلية و الخارجيّة كالشهرة، كذا قرّر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ردّه في حاشية المدارك </w:t>
      </w:r>
      <w:r>
        <w:rPr>
          <w:rStyle w:val="FootnoteAnchor"/>
          <w:rtl w:val="true"/>
        </w:rPr>
        <w:footnoteReference w:id="260"/>
      </w:r>
      <w:r>
        <w:rPr>
          <w:rFonts w:ascii="Amiri" w:hAnsi="Amiri" w:eastAsia="Amiri" w:cs="Amiri"/>
          <w:color w:val="111111"/>
          <w:sz w:val="28"/>
          <w:sz w:val="28"/>
          <w:szCs w:val="28"/>
          <w:rtl w:val="true"/>
          <w:lang w:bidi="ar-SA"/>
        </w:rPr>
        <w:t>بأخصّيّة أدلّة انفعال القليل من العمومات، و العموم في جانب عمومات الطهارة،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العمومات الدالّة على الطهارة مخصّصة بما دلّ على انفعال القليل من المحقون بالمنطوق، فيكون المراد من هذه العمومات أنّ غير الراكد القليل لا ينفعل، و العام المخصوص حجّة في الباقي، و دلالته من باب المنطوق و إن كان مجازاً من جهة قصره على بعض الأفراد، لكن لا معارضة بين المعنى المراد من العموم و بين ذلك</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المفهوم الذي يمكن فيه عدم إرادة بعض الأفراد، فيقتصر على الفرد المتيقّن، و تدخل باقي الأفراد في العام كما هو قضيّة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يخدشه أنَّه موقوف على تقديم النصوص بالخصوص على المفاهيم، و الحالة أنّ الخاصّ مطلق، و العام مثله و كلّ واحد منهما أخصّ مطلقاً من صاحبه، إذ غاية ما ثبت أنّ الراكد القليل خارج منها، و هو لا ينفي خروج غيره، نعم لو ظهر ذلك من الخارج كان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أقربيّة المجازات ترجّح عدم الخروج، إلَّا أنّها لا تقاوم العمومات التي في الخاص، و لا توجب تخصيصها؛ لأنّ بقاء العام على عمومه أقوى من أقربيّة المجاز، و إلّا يفسد الأمر في العام و الخاص المطلقين،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المفهوم ضعيف يعارضه و يقاومه الأقربيّة و ترجّح عليه أو تساويه، و حينئذ يحصل الاحتمال النافي للاستدلال، لكن يرد على المدارك أيضاً عند استدلاله بالمنطوقات العامة إلّا أنَّه التزم بما ذكر على ذلك التقدير فقال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عمومان تعارضا </w:t>
      </w:r>
      <w:r>
        <w:rPr>
          <w:rStyle w:val="FootnoteAnchor"/>
          <w:rtl w:val="true"/>
        </w:rPr>
        <w:footnoteReference w:id="26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 أنّ عموم المفهوم بالنسبة إلى القليل الجاري أضعف ألبتّة، لندرة تحقّقه في بلد السائل و المسؤول و فيما بينهما أيضاً غاية الندرة، بل غير ظاهر التحقّق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 العلّامة العموم من وجه كان على ما ذكره في المدارك، و إن اختار العموم المطلق كما هو مقتضى استدلاله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مقدّم إذا كان دلالته قويّة، بل أقوى؛ لأنّ عموم المفهوم على تقدير تحقّقه ليس بحيث يقاوم المنطوق، فضلاً عن أن يكون أقوى، سيّما مع اعتضاده بأمور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الكثرة، و منها الغلبة المخصوصة، و منها ما سنذكر في ماء الحمّام، و مثل ذلك نفي البأس أصلاً و رأساً في البول في الجاري كما ورد في غير واحد من الأخبار </w:t>
      </w:r>
      <w:r>
        <w:rPr>
          <w:rStyle w:val="FootnoteAnchor"/>
          <w:rtl w:val="true"/>
        </w:rPr>
        <w:footnoteReference w:id="262"/>
      </w:r>
      <w:r>
        <w:rPr>
          <w:rFonts w:ascii="Amiri" w:hAnsi="Amiri" w:eastAsia="Amiri" w:cs="Amiri"/>
          <w:color w:val="111111"/>
          <w:sz w:val="28"/>
          <w:sz w:val="28"/>
          <w:szCs w:val="28"/>
          <w:rtl w:val="true"/>
          <w:lang w:bidi="ar-SA"/>
        </w:rPr>
        <w:t>سيّما بملاحظة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بالكراهة في الراكد، و منها الإجماع </w:t>
      </w:r>
      <w:r>
        <w:rPr>
          <w:rStyle w:val="FootnoteAnchor"/>
          <w:rtl w:val="true"/>
        </w:rPr>
        <w:footnoteReference w:id="263"/>
      </w:r>
      <w:r>
        <w:rPr>
          <w:rFonts w:ascii="Amiri" w:hAnsi="Amiri" w:eastAsia="Amiri" w:cs="Amiri"/>
          <w:color w:val="111111"/>
          <w:sz w:val="28"/>
          <w:sz w:val="28"/>
          <w:szCs w:val="28"/>
          <w:rtl w:val="true"/>
          <w:lang w:bidi="ar-SA"/>
        </w:rPr>
        <w:t>المنقول، و منها اشتهار الفتوى و شذوذ الفتوى في الآخ، و منها الأصول المتعدّدة التي مرّت، و منها الأوفقيّة في الشريعة السمحة السهلة، و الإطلاقات في إزالة الأحداث و الأخباث،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منها وهن العموم في المفهوم بأكثر في مباحث البئر و ماء المطر، و منها الاعتضاد بظواهر القرآن، فظهر عدم التخصيص على مذهب الآخر أيضاً، و هو كفاية المقاومة و المقابلة للخاصّ مع العامّ في مقام التخصيص من دون كون الخاص أقوى؛ لكونه للجمع بين الأدلّة، مضافاً إلى أنّ الجمع غير منحصر بما ذكر للعمل به في الراكد القليل من كونه مراداً على أيّ تقدير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كلامه وجلّ، مرامه، و لقد أبدع فيما عرّف و جمع، لولا تطرّق الوَهن في تحقيقه كما استفدناه من بعض مشايخنا تحريراً و مذاكرةً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ترجيحه لعمومات الطهارة على عمومات المفهوم بما مرّ لا يتمّ، من جهة أنّ العام متى كان أقلّ أفراداً من صاحبه المعارض كان أقوى دلالة، و لا ريب في انحصار أفراد المفهوم في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الراكد و الجاري مثله، و دلالته على فرديه من جهة التنجيس بالملاقاة تنزّل منزلة النّص، فيقدّم على العام إن لم نقل بجواز تخصيص المنطوق بالمفهوم مطلقاً؛ لأنه من موارد العمل بعموم المفهوم في مقابل ما هو أعمب منه، لا من موارد العمل بأصل المفهوم في مقابل العام ليتمّ ما ذكر؛ إذ العمل بالمفهوم في الجملة عند غير ابن أبي عقيل </w:t>
      </w:r>
      <w:r>
        <w:rPr>
          <w:rStyle w:val="FootnoteAnchor"/>
          <w:rtl w:val="true"/>
        </w:rPr>
        <w:footnoteReference w:id="265"/>
      </w:r>
      <w:r>
        <w:rPr>
          <w:rFonts w:ascii="Amiri" w:hAnsi="Amiri" w:eastAsia="Amiri" w:cs="Amiri"/>
          <w:color w:val="111111"/>
          <w:sz w:val="28"/>
          <w:sz w:val="28"/>
          <w:szCs w:val="28"/>
          <w:rtl w:val="true"/>
          <w:lang w:bidi="ar-SA"/>
        </w:rPr>
        <w:t>كأنه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العمل بعمومه، فما ذكره رحمه الله في بيان ضعف دلالته من جهة ابتنائه على عموم المفهوم و هو ضعيف، و من ندرة الجاري القليل في بلد السائل أو المسؤول، فهو أغرب شيء؛ إذ المفهوم لا يوصف بالضعف إلّا من حيث نسبته إلى المنطوق، لا بالنسبة إلى عمومه لما اندرج فيه، و إلّا فمن اعتبر المفهوم اعتبره مطلقاً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كلّ عام ضعيف بالقياس إلى ما هو أخصب منه في نفسه، فالضعف المدّعى إن </w:t>
      </w:r>
    </w:p>
    <w:p>
      <w:pPr>
        <w:pStyle w:val="BookText"/>
        <w:rPr/>
      </w:pPr>
      <w:r>
        <w:rPr>
          <w:rFonts w:ascii="Amiri" w:hAnsi="Amiri" w:eastAsia="Amiri" w:cs="Amiri"/>
          <w:color w:val="111111"/>
          <w:sz w:val="28"/>
          <w:sz w:val="28"/>
          <w:szCs w:val="28"/>
          <w:rtl w:val="true"/>
          <w:lang w:bidi="ar-SA"/>
        </w:rPr>
        <w:t>كان في أصل الدلالة فمسلّم لا يجدي؛ إذ دلالته على فرديه سواء في الضعف أو في عدمه، و نحن لا ننكر ضعفه بالنسبة إلى المنطوق، فهذا هو الضعف العمومي أو المفهومي ليس شيئاً آخر، و ندرة الوقوع الواقع في كلامه على تقدير تسليمها لا تورث انصراف المفهوم إلى الفرد الظاهر؛ إذ ذلك الانصراف مقصور فيما لو استفيد العموم من دليل مشتمل على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مستفاداً من التعليق على الشرط بطريق الالتزام العقلي فلا؛ إذ لا تخصيص في حكومته، و كذا الأمر في سائر الالتزامات العقليّة، فلا يقال بانصراف حرمة الضدّ مثلاً إلى بعض الأضداد، و مثله الضعف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الانصراف في مثله، أو ضعف الدلالة إلى فرد دون فرد، لا محصّل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اعتبار المفهوم مطلقاً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الرجوع إلى المرجّحات المذكورة في مثل المقام خبط بعد كون التعارض من قبيل تعارض العام و الخاص المطلقين، فإنّ الرجوع إلى المرجّحات فرع ضعف دلالة الخاص و قد منعناه، فيتوجّه قول العلّامة رحمه الله على جميع المذاهب في تخصيص المنطوق بالمفهوم حتّى على المنع منه، فإنّ المانع لا يمنعه مطلقاً، بل يقول به إذا انجبر ضعف كونه مفهوماً بمرجّح في الدلالة، و قد علمت أنّ مرجّحه انحصار أفراده في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فالمانع إنّما يمنع من جهة ضعف المفهوم في جنب المنطوق، فيلغي إرادة المفهوم من الجملة الشرطيّة رأساً، و متى ثبت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 و لو في الجملة كانت المسألة من بناء العام على الخاص، إذ لا فرق بين كون الخاص خاصّاً حقيقيّاً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إضافيّاً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االجواهر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حكايته عن التنقيح الإجماع بالعمل بالمفهوم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عمومه الظاهر منه قصره على بعض أفراده، و قد عرفت عدم معقوليّته، ثمّ بعد أن رجع إلى ما في المدارك طوراً، و فرض المعارضة بالتنزيل أخرى، حكم بكفاية الأصول و الإجماعات، و الفرض أن ليس لنا في المقام أصل عارٍ عن المعارضة، وليته اتّضح لنا ما يريده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استدلّ في المعتبر </w:t>
      </w:r>
      <w:r>
        <w:rPr>
          <w:rStyle w:val="FootnoteAnchor"/>
          <w:rtl w:val="true"/>
        </w:rPr>
        <w:footnoteReference w:id="267"/>
      </w:r>
      <w:r>
        <w:rPr>
          <w:rFonts w:ascii="Amiri" w:hAnsi="Amiri" w:eastAsia="Amiri" w:cs="Amiri"/>
          <w:color w:val="111111"/>
          <w:sz w:val="28"/>
          <w:sz w:val="28"/>
          <w:szCs w:val="28"/>
          <w:rtl w:val="true"/>
          <w:lang w:bidi="ar-SA"/>
        </w:rPr>
        <w:t xml:space="preserve">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الفضل و غيره ممّا تضمّن نفي البأس عن وقوع النجاسة في الماء الجاري، و عدم دلالتها على المطلوب واضح كما أراحنا منه غير واحد </w:t>
      </w:r>
      <w:r>
        <w:rPr>
          <w:rStyle w:val="FootnoteAnchor"/>
          <w:rtl w:val="true"/>
        </w:rPr>
        <w:footnoteReference w:id="268"/>
      </w:r>
      <w:r>
        <w:rPr>
          <w:rFonts w:ascii="Amiri" w:hAnsi="Amiri" w:eastAsia="Amiri" w:cs="Amiri"/>
          <w:color w:val="111111"/>
          <w:sz w:val="28"/>
          <w:sz w:val="28"/>
          <w:szCs w:val="28"/>
          <w:rtl w:val="true"/>
          <w:lang w:bidi="ar-SA"/>
        </w:rPr>
        <w:t>، و كذا صحيحة 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 يطيب الطعم؛ لأنّ له مادّة</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فإنّ الاعتبار يقضي برجوع القليل للقيد الأخير، و كون المادّة لابدّ و أن تكون كُرّاً؛ لأنّ غيره مشكوك، خصوصاً بملاحظة التشبيه بماء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لو أرجعنا التعليل إلى عدم التنجيس المتحقّق في الجاري يلزم الجمع بين أمرين مختلفين في علّة الحكم؛ إذ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بمنزلة التعليل بالتوسعة المراد بها الكرية أو نحوها، فكيف يعلّل ثانياً بأنّ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أنَّه كالتفسير للواسع يكذبه العيان؛ للفرق بين سعة الماء و كونه ذا 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هنا هي الشرعيّة، فيصحّ تفسيرها بالمادّة كتفسير الماء الكثير بالأخبار </w:t>
      </w:r>
      <w:r>
        <w:rPr>
          <w:rStyle w:val="FootnoteAnchor"/>
          <w:rtl w:val="true"/>
        </w:rPr>
        <w:footnoteReference w:id="270"/>
      </w:r>
      <w:r>
        <w:rPr>
          <w:rFonts w:ascii="Amiri" w:hAnsi="Amiri" w:eastAsia="Amiri" w:cs="Amiri"/>
          <w:color w:val="111111"/>
          <w:sz w:val="28"/>
          <w:sz w:val="28"/>
          <w:szCs w:val="28"/>
          <w:rtl w:val="true"/>
          <w:lang w:bidi="ar-SA"/>
        </w:rPr>
        <w:t>بالكرّ، إلَّا أنَّه موقوف على ثبوت الحقيقة الشرعيّة في الماء الواسع، و لا كذلك تفسير الكثير بالكُرّ؛ لأنه بيان للمراد من اللّفظ الصالح له و لغيره، فإنّ الكرّ من مصاديق الكثير حقيقةً، بخلاف ذي المادّة فإنّه ليس من أفراد الواسع، لا أقلّ من الإجمال و دوران العلّة بين الرجوع إلى ما يليها أو إلى أصل الحكم فلا تنهض حجّة، مع ما فيه من الفصل بين الحكم ومتعلقاته و أولويّة الرجوع إلى الأقرب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ماء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الجاري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الحمّام لا ينفعل، فالجاري مثله، و يتمّ الاستدلال به عند من اعتمد على غيره في طهارة ماء الحمّام، و إلّا كان دوريّاً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اعتصام ماء الحمّام إذا لم تكن له مادّة تبلغ الكرّ غير معلوم، و المشهور </w:t>
      </w:r>
      <w:r>
        <w:rPr>
          <w:rStyle w:val="FootnoteAnchor"/>
          <w:rtl w:val="true"/>
        </w:rPr>
        <w:footnoteReference w:id="272"/>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رواية ابن أبي يعفور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أمّا رواية الراوندي </w:t>
      </w:r>
      <w:r>
        <w:rPr>
          <w:rStyle w:val="FootnoteAnchor"/>
          <w:rtl w:val="true"/>
        </w:rPr>
        <w:footnoteReference w:id="274"/>
      </w:r>
      <w:r>
        <w:rPr>
          <w:rFonts w:ascii="Amiri" w:hAnsi="Amiri" w:eastAsia="Amiri" w:cs="Amiri"/>
          <w:color w:val="111111"/>
          <w:sz w:val="28"/>
          <w:sz w:val="28"/>
          <w:szCs w:val="28"/>
          <w:rtl w:val="true"/>
          <w:lang w:bidi="ar-SA"/>
        </w:rPr>
        <w:t xml:space="preserve">و الفقه الرضوي </w:t>
      </w:r>
      <w:r>
        <w:rPr>
          <w:rStyle w:val="FootnoteAnchor"/>
          <w:rtl w:val="true"/>
        </w:rPr>
        <w:footnoteReference w:id="275"/>
      </w:r>
      <w:r>
        <w:rPr>
          <w:rFonts w:ascii="Amiri" w:hAnsi="Amiri" w:eastAsia="Amiri" w:cs="Amiri"/>
          <w:color w:val="111111"/>
          <w:sz w:val="28"/>
          <w:sz w:val="28"/>
          <w:szCs w:val="28"/>
          <w:rtl w:val="true"/>
          <w:lang w:bidi="ar-SA"/>
        </w:rPr>
        <w:t>بعد تصحيح سنديهما، بل و ما قبلهما، بناءً على صراحتها في المطلوب، هي قاصرة عن تخصيص عموم انفعال القليل؛ إذ بينهما عموم من وجه، و لو فرض التساقط فالرجوع إلى عمومات الطهارة أيضاً لا يتمّ للبحث السابق من انصراف الجاري إلى الأفراد الغالبة، و الجاري القليل فرد نادر، و كيف ينسجم منعهم لعموم المفهوم القاضي بالنجاسة للقليل الجاري لندرته، و يعوّلون على إطلاق مثل هذه الأخبار، مع أنّ المفهوم مستفاد من الدلالة الالتزاميّة لا من اللّفظ، فهو أحرى بالتخصيص</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الاستدلال على المطلوب الإجماع لو تمّ، و مقابلة الراكد للجاري مؤيّد في صحفهم، و المسألة لا تخلو من غموض؛ لميل الشهيد رحمه الله </w:t>
      </w:r>
      <w:r>
        <w:rPr>
          <w:rStyle w:val="FootnoteAnchor"/>
          <w:rtl w:val="true"/>
        </w:rPr>
        <w:footnoteReference w:id="276"/>
      </w:r>
      <w:r>
        <w:rPr>
          <w:rFonts w:ascii="Amiri" w:hAnsi="Amiri" w:eastAsia="Amiri" w:cs="Amiri"/>
          <w:color w:val="111111"/>
          <w:sz w:val="28"/>
          <w:sz w:val="28"/>
          <w:szCs w:val="28"/>
          <w:rtl w:val="true"/>
          <w:lang w:bidi="ar-SA"/>
        </w:rPr>
        <w:t>إليه، مع أنّ هذه الإجماعات نصب عينيه، و خرقها جزاف في حقّه، و الاحتياط بالعمل لا يترك و إن خالفه الإفتاء</w:t>
      </w:r>
      <w:r>
        <w:rPr>
          <w:rFonts w:eastAsia="Amiri" w:cs="Amiri" w:ascii="Amiri" w:hAnsi="Amiri"/>
          <w:color w:val="111111"/>
          <w:sz w:val="28"/>
          <w:szCs w:val="28"/>
          <w:rtl w:val="true"/>
          <w:lang w:bidi="ar-SA"/>
        </w:rPr>
        <w:t xml:space="preserve">. </w:t>
      </w:r>
      <w:bookmarkStart w:id="25" w:name="pg9146_85700"/>
    </w:p>
    <w:p>
      <w:pPr>
        <w:pStyle w:val="BookText"/>
        <w:rPr/>
      </w:pPr>
      <w:bookmarkEnd w:id="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p>
    <w:p>
      <w:pPr>
        <w:pStyle w:val="Heading3"/>
        <w:numPr>
          <w:ilvl w:val="2"/>
          <w:numId w:val="1"/>
        </w:numPr>
        <w:rPr/>
      </w:pPr>
      <w:bookmarkStart w:id="26" w:name="__RefHeading___Toc3322538_2870459653"/>
      <w:bookmarkStart w:id="27" w:name="_Toc7"/>
      <w:bookmarkEnd w:id="26"/>
      <w:r>
        <w:rPr>
          <w:rtl w:val="true"/>
        </w:rPr>
        <w:t>(</w:t>
      </w:r>
      <w:r>
        <w:rPr>
          <w:rtl w:val="true"/>
        </w:rPr>
        <w:t>جديد</w:t>
      </w:r>
      <w:r>
        <w:rPr>
          <w:rtl w:val="true"/>
        </w:rPr>
        <w:t>)</w:t>
      </w:r>
      <w:bookmarkEnd w:id="27"/>
    </w:p>
    <w:p>
      <w:pPr>
        <w:pStyle w:val="Heading2"/>
        <w:numPr>
          <w:ilvl w:val="1"/>
          <w:numId w:val="1"/>
        </w:numPr>
        <w:rPr/>
      </w:pPr>
      <w:bookmarkStart w:id="28" w:name="__RefHeading___Toc3322540_2870459653"/>
      <w:bookmarkStart w:id="29" w:name="_Toc8"/>
      <w:bookmarkEnd w:id="28"/>
      <w:r>
        <w:rPr>
          <w:rtl w:val="true"/>
        </w:rPr>
        <w:t>[</w:t>
      </w:r>
      <w:r>
        <w:rPr>
          <w:rtl w:val="true"/>
        </w:rPr>
        <w:t>كيفية تطهير الماء المتغير بالنجاسة</w:t>
      </w:r>
      <w:r>
        <w:rPr>
          <w:rtl w:val="true"/>
        </w:rPr>
        <w:t>]</w:t>
      </w:r>
      <w:bookmarkEnd w:id="29"/>
    </w:p>
    <w:p>
      <w:pPr>
        <w:pStyle w:val="BookText"/>
        <w:rPr/>
      </w:pPr>
      <w:r>
        <w:rPr>
          <w:rFonts w:ascii="Amiri" w:hAnsi="Amiri" w:eastAsia="Amiri" w:cs="Amiri"/>
          <w:color w:val="111111"/>
          <w:sz w:val="28"/>
          <w:sz w:val="28"/>
          <w:szCs w:val="28"/>
          <w:rtl w:val="true"/>
          <w:lang w:bidi="ar-SA"/>
        </w:rPr>
        <w:t xml:space="preserve">و جعل العلّامة </w:t>
      </w:r>
      <w:r>
        <w:rPr>
          <w:rStyle w:val="FootnoteAnchor"/>
          <w:rtl w:val="true"/>
        </w:rPr>
        <w:footnoteReference w:id="277"/>
      </w:r>
      <w:r>
        <w:rPr>
          <w:rFonts w:ascii="Amiri" w:hAnsi="Amiri" w:eastAsia="Amiri" w:cs="Amiri"/>
          <w:color w:val="111111"/>
          <w:sz w:val="28"/>
          <w:sz w:val="28"/>
          <w:szCs w:val="28"/>
          <w:rtl w:val="true"/>
          <w:lang w:bidi="ar-SA"/>
        </w:rPr>
        <w:t xml:space="preserve">الجاري أيضاً كغيره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تطهيره إذا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بزوال التغيير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من وجوه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لاقى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جارياً، زيادة عليه، و حذفها مخلّ، هذا ظاهر العبارة، و في الضميرين الآخرين استخدام لإرادة العلّامة منهما، و الإضراب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طهر الجاري عند زوال تغييره نبّه عليه العلّامة بملاقاة الكُرّ كقول المصنّف و إن تخالفا بالمذهب إذ هو عين الاستخدام، و لمّا عاد ضمير طهّره للجاري أمكن كون الإطلاق بالمعنى المذكور،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الزوال الغير المقارن مطلقاً لا يطهر بأيّ نحو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الحصر مبنيّ على تعميم الكرّ من الداخل و الخارج، أو على أنّ المراد جميع أفراد الجاري لا يطهر بمجرّد الزوال، بل الذي يجري في الجميع هو الزوال المقرون بالكرّ، و عليه تخصّ الباء بحملها على المصاحبة، و تحتمل السببيّة إن جعلنا الإطلاق قيداً للطهر،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مطلقاً بمجرّد الزوال بل بسبب ملاقاته الكرّ خارجاً أو داخلاً، و كذا إذا جعلناه قيداً لعدمه، بمعنى أنَّه مطلق لا يطهر بمجرّد الزوال، و ربّما احتمل على بُعد إرجاع الضمير إلى القليل الجاري، و الإطلاق على احتمالاته إلَّا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لاقى كُرّاً،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غير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مطلقاً إذا انفعل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زوال التغيير من ملاقاته كرّاً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اجتمع من الماء النجس أو النجس و الطاهر حتّى بلغ كرّاً، و حيث يجتمع فيه الأمران طهر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زوال التغيير 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إزالة التغير به، أو كانت قبله، و مع بقائها بعده و لو بلحظة نجس الجميع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الحكم هو المفهوم بلحاظ الدقّة في عبارته و كلامه في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يتناول ما ليس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طهره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التغيّر و ملاقاته الكرّ كيف اتفق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فيشمل حينئذ صورة ما لو زال التغيير بعد الملاقاة، و من صورها </w:t>
      </w:r>
    </w:p>
    <w:p>
      <w:pPr>
        <w:pStyle w:val="BookText"/>
        <w:rPr/>
      </w:pPr>
      <w:r>
        <w:rPr>
          <w:rFonts w:ascii="Amiri" w:hAnsi="Amiri" w:eastAsia="Amiri" w:cs="Amiri"/>
          <w:color w:val="111111"/>
          <w:sz w:val="28"/>
          <w:sz w:val="28"/>
          <w:szCs w:val="28"/>
          <w:rtl w:val="true"/>
          <w:lang w:bidi="ar-SA"/>
        </w:rPr>
        <w:t>ما لو تغيّر بعض الكُرّ عند الملاقاة، ثمّ زال بالامتزاج بباقي الأجزاء أو بأمر خارج، فإنّه لا يقول بطهارته، و العبارة تعمّه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جَرَمَ من أنْ تكون الإزالة إمّا به أو قبله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تقارناً عرفياً، فلا يعتنى بالدقّة الحكميّة في أنَّه من الممكن في المعيّة أن يتغيّر بعض أجزاء الكرّ، ثمّ يزول بتفاقم أجزائه الباقية أو غيرها من مزيلاته، فتتمحّض صورة التطهير بما لو زالت النجاسة قبله،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الشرح قد تشعر بإمكان عدم التناول لوقوع الملاقاة شرطاً لأداة إن الدالّة على الاستقبال فتفيد كون الملاقاة بعد زوال التغيير غير أنّها حينئذ لا تشمل صورة التقارن، فلا بدّ وأن يتجوّز بأنّ المراد منها ما يعمّ زمان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 فإنّ مجرّد الزوال من دون إلقاء كُرّ طاهر لا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لقولي العلّامة </w:t>
      </w:r>
      <w:r>
        <w:rPr>
          <w:rStyle w:val="FootnoteAnchor"/>
          <w:rtl w:val="true"/>
        </w:rPr>
        <w:footnoteReference w:id="278"/>
      </w:r>
      <w:r>
        <w:rPr>
          <w:rFonts w:ascii="Amiri" w:hAnsi="Amiri" w:eastAsia="Amiri" w:cs="Amiri"/>
          <w:color w:val="111111"/>
          <w:sz w:val="28"/>
          <w:sz w:val="28"/>
          <w:szCs w:val="28"/>
          <w:rtl w:val="true"/>
          <w:lang w:bidi="ar-SA"/>
        </w:rPr>
        <w:t xml:space="preserve">و الماتن في الدروس </w:t>
      </w:r>
      <w:r>
        <w:rPr>
          <w:rStyle w:val="FootnoteAnchor"/>
          <w:rtl w:val="true"/>
        </w:rPr>
        <w:footnoteReference w:id="279"/>
      </w:r>
      <w:r>
        <w:rPr>
          <w:rFonts w:ascii="Amiri" w:hAnsi="Amiri" w:eastAsia="Amiri" w:cs="Amiri"/>
          <w:color w:val="111111"/>
          <w:sz w:val="28"/>
          <w:sz w:val="28"/>
          <w:szCs w:val="28"/>
          <w:rtl w:val="true"/>
          <w:lang w:bidi="ar-SA"/>
        </w:rPr>
        <w:t xml:space="preserve">على بعض الوجوه، و إلبا اختصّ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بمقابلة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يوهم تناوله لما ليس بمراد، كذا يوهم عدم تناوله لما يُراد؛ و ذلك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تغيّر بعض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الباقي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المتغيّر بزواله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 قيد لطهر،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يطهر الجاري بزوال التغيير مع كون الباقي كرّاً كذا يطهر غيره المتغيّر أيضاً، فيكون فيه إشارة إلى أنّ العلّامة يعتبر بقاء الكريّة في الماء الجاري الذي زال تغييره، و يكون في ضمير عند ضرب من الاستخدام، أو هو قيد لزواله، أي بمجرّده يطهر، فإن كان الأوّل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ابتداء بالتشبيه في الجاري في الطهر بمجرّد الزوال، و يمكن التشبيه على التقديرين من القيديّة، و 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بالزوال طُهراً كطهر الجاري، و عمومه له بنفسه أو بعلاج أو باتصال ماء آخر، فيمكن إذ ذاك شمول الزوال للمقرون بالملاقاة منه، و السابق أولى، و طهر الجاري مع دوام النبع بنفس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غيره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العنديّة إشارة إلى أنّ المفهوم من المتن اختصاص الطاهر بالزوال بالجاري فقط، فأجاب الشارح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دخوله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تسليم الظاهر المفهوم، فيحكم بدخول هذا القسم ممّا طهّره الزوال بالقسم الثاني من 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ملاقاته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تغييره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كرّيته، المحكوم بشمول الكرّ فيه للداخل و الخارج، مع أنّه أيضاً خارج بالنسبة إلى المتغيّر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انطوى في هذه العبارة مع مسائل</w:t>
      </w:r>
      <w:r>
        <w:rPr>
          <w:rFonts w:eastAsia="Amiri" w:cs="Amiri" w:ascii="Amiri" w:hAnsi="Amiri"/>
          <w:color w:val="111111"/>
          <w:sz w:val="28"/>
          <w:szCs w:val="28"/>
          <w:rtl w:val="true"/>
          <w:lang w:bidi="ar-SA"/>
        </w:rPr>
        <w:t xml:space="preserve">: </w:t>
      </w:r>
      <w:bookmarkStart w:id="30" w:name="pg9146_85703"/>
    </w:p>
    <w:p>
      <w:pPr>
        <w:pStyle w:val="Heading2"/>
        <w:numPr>
          <w:ilvl w:val="1"/>
          <w:numId w:val="1"/>
        </w:numPr>
        <w:rPr/>
      </w:pPr>
      <w:bookmarkStart w:id="31" w:name="__RefHeading___Toc3322542_2870459653"/>
      <w:bookmarkStart w:id="32" w:name="_Toc9"/>
      <w:bookmarkEnd w:id="30"/>
      <w:bookmarkEnd w:id="31"/>
      <w:r>
        <w:rPr>
          <w:rtl w:val="true"/>
        </w:rPr>
        <w:t>[</w:t>
      </w:r>
      <w:r>
        <w:rPr>
          <w:rtl w:val="true"/>
        </w:rPr>
        <w:t xml:space="preserve">اللمعة </w:t>
      </w:r>
      <w:r>
        <w:rPr>
          <w:rtl w:val="true"/>
        </w:rPr>
        <w:t xml:space="preserve">] </w:t>
      </w:r>
      <w:r>
        <w:rPr>
          <w:rtl w:val="true"/>
        </w:rPr>
        <w:t>الأولى</w:t>
      </w:r>
      <w:r>
        <w:rPr>
          <w:rtl w:val="true"/>
        </w:rPr>
        <w:t>:</w:t>
      </w:r>
      <w:bookmarkEnd w:id="32"/>
    </w:p>
    <w:p>
      <w:pPr>
        <w:pStyle w:val="BookText"/>
        <w:rPr/>
      </w:pPr>
      <w:r>
        <w:rPr>
          <w:rFonts w:ascii="Amiri" w:hAnsi="Amiri" w:eastAsia="Amiri" w:cs="Amiri"/>
          <w:color w:val="111111"/>
          <w:sz w:val="28"/>
          <w:sz w:val="28"/>
          <w:szCs w:val="28"/>
          <w:rtl w:val="true"/>
          <w:lang w:bidi="ar-SA"/>
        </w:rPr>
        <w:t xml:space="preserve">أداؤها إلى اختيار نجاسة الكُرّ الذي تُمّم بمتنجّس من الماء، أو نجس، أو طاهر بعضه نجس مطلقاً تبعاً للماتن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اشترط ملاقاة الكرّ، و المخالف لا يشترطها، بل يكتفي بما يتمّ به الجميع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باقي كتبه </w:t>
      </w:r>
      <w:r>
        <w:rPr>
          <w:rStyle w:val="FootnoteAnchor"/>
          <w:rtl w:val="true"/>
        </w:rPr>
        <w:footnoteReference w:id="280"/>
      </w:r>
      <w:r>
        <w:rPr>
          <w:rFonts w:ascii="Amiri" w:hAnsi="Amiri" w:eastAsia="Amiri" w:cs="Amiri"/>
          <w:color w:val="111111"/>
          <w:sz w:val="28"/>
          <w:sz w:val="28"/>
          <w:szCs w:val="28"/>
          <w:rtl w:val="true"/>
          <w:lang w:bidi="ar-SA"/>
        </w:rPr>
        <w:t xml:space="preserve">، و هو الأشهر، بل المشهور عليه عند من تأخّر </w:t>
      </w:r>
      <w:r>
        <w:rPr>
          <w:rStyle w:val="FootnoteAnchor"/>
          <w:rtl w:val="true"/>
        </w:rPr>
        <w:footnoteReference w:id="281"/>
      </w:r>
      <w:r>
        <w:rPr>
          <w:rFonts w:ascii="Amiri" w:hAnsi="Amiri" w:eastAsia="Amiri" w:cs="Amiri"/>
          <w:color w:val="111111"/>
          <w:sz w:val="28"/>
          <w:sz w:val="28"/>
          <w:szCs w:val="28"/>
          <w:rtl w:val="true"/>
          <w:lang w:bidi="ar-SA"/>
        </w:rPr>
        <w:t xml:space="preserve">، و خالف فيه جماعة من المعتبرين؛ فالمرتضى </w:t>
      </w:r>
      <w:r>
        <w:rPr>
          <w:rStyle w:val="FootnoteAnchor"/>
          <w:rtl w:val="true"/>
        </w:rPr>
        <w:footnoteReference w:id="282"/>
      </w:r>
      <w:r>
        <w:rPr>
          <w:rFonts w:ascii="Amiri" w:hAnsi="Amiri" w:eastAsia="Amiri" w:cs="Amiri"/>
          <w:color w:val="111111"/>
          <w:sz w:val="28"/>
          <w:sz w:val="28"/>
          <w:szCs w:val="28"/>
          <w:rtl w:val="true"/>
          <w:lang w:bidi="ar-SA"/>
        </w:rPr>
        <w:t xml:space="preserve">و ابنا إدريس </w:t>
      </w:r>
      <w:r>
        <w:rPr>
          <w:rStyle w:val="FootnoteAnchor"/>
          <w:rtl w:val="true"/>
        </w:rPr>
        <w:footnoteReference w:id="283"/>
      </w:r>
      <w:r>
        <w:rPr>
          <w:rFonts w:ascii="Amiri" w:hAnsi="Amiri" w:eastAsia="Amiri" w:cs="Amiri"/>
          <w:color w:val="111111"/>
          <w:sz w:val="28"/>
          <w:sz w:val="28"/>
          <w:szCs w:val="28"/>
          <w:rtl w:val="true"/>
          <w:lang w:bidi="ar-SA"/>
        </w:rPr>
        <w:t xml:space="preserve">والبرّاج </w:t>
      </w:r>
      <w:r>
        <w:rPr>
          <w:rStyle w:val="FootnoteAnchor"/>
          <w:rtl w:val="true"/>
        </w:rPr>
        <w:footnoteReference w:id="284"/>
      </w:r>
      <w:r>
        <w:rPr>
          <w:rFonts w:ascii="Amiri" w:hAnsi="Amiri" w:eastAsia="Amiri" w:cs="Amiri"/>
          <w:color w:val="111111"/>
          <w:sz w:val="28"/>
          <w:sz w:val="28"/>
          <w:szCs w:val="28"/>
          <w:rtl w:val="true"/>
          <w:lang w:bidi="ar-SA"/>
        </w:rPr>
        <w:t>على طهارة المياه النجسة إذا صارت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كلامهم شامل للمجتمع من طاهر و نجس بالأولى، و سلّار </w:t>
      </w:r>
      <w:r>
        <w:rPr>
          <w:rStyle w:val="FootnoteAnchor"/>
          <w:rtl w:val="true"/>
        </w:rPr>
        <w:footnoteReference w:id="285"/>
      </w:r>
      <w:r>
        <w:rPr>
          <w:rFonts w:ascii="Amiri" w:hAnsi="Amiri" w:eastAsia="Amiri" w:cs="Amiri"/>
          <w:color w:val="111111"/>
          <w:sz w:val="28"/>
          <w:sz w:val="28"/>
          <w:szCs w:val="28"/>
          <w:rtl w:val="true"/>
          <w:lang w:bidi="ar-SA"/>
        </w:rPr>
        <w:t xml:space="preserve">أطلق الطهارة فيما بلغ كراً، و ابن حمزة </w:t>
      </w:r>
      <w:r>
        <w:rPr>
          <w:rStyle w:val="FootnoteAnchor"/>
          <w:rtl w:val="true"/>
        </w:rPr>
        <w:footnoteReference w:id="286"/>
      </w:r>
      <w:r>
        <w:rPr>
          <w:rFonts w:ascii="Amiri" w:hAnsi="Amiri" w:eastAsia="Amiri" w:cs="Amiri"/>
          <w:color w:val="111111"/>
          <w:sz w:val="28"/>
          <w:sz w:val="28"/>
          <w:szCs w:val="28"/>
          <w:rtl w:val="true"/>
          <w:lang w:bidi="ar-SA"/>
        </w:rPr>
        <w:t>قال بها بشرط فقد الماء الطاهر، و لم يجز استعمال ما كان كلّ من المائين نجس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الشيخ </w:t>
      </w:r>
      <w:r>
        <w:rPr>
          <w:rStyle w:val="FootnoteAnchor"/>
          <w:rtl w:val="true"/>
        </w:rPr>
        <w:footnoteReference w:id="287"/>
      </w:r>
      <w:r>
        <w:rPr>
          <w:rFonts w:ascii="Amiri" w:hAnsi="Amiri" w:eastAsia="Amiri" w:cs="Amiri"/>
          <w:color w:val="111111"/>
          <w:sz w:val="28"/>
          <w:sz w:val="28"/>
          <w:szCs w:val="28"/>
          <w:rtl w:val="true"/>
          <w:lang w:bidi="ar-SA"/>
        </w:rPr>
        <w:t xml:space="preserve">قوّته، غير أنَّه في تطهير المياه القليلة الراكدة بعد حكمه بتطهير الكرّ إذا ورد عليه ماء طاهر أقلّ منه فأزال تغييره، فرّقَ بين ما لو تمّم الكرّ بنجس فقوَّى فيه النجاسة، و بين ما لو كان </w:t>
      </w:r>
      <w:r>
        <w:rPr>
          <w:rStyle w:val="FootnoteAnchor"/>
          <w:rtl w:val="true"/>
        </w:rPr>
        <w:footnoteReference w:id="288"/>
      </w:r>
      <w:r>
        <w:rPr>
          <w:rFonts w:ascii="Amiri" w:hAnsi="Amiri" w:eastAsia="Amiri" w:cs="Amiri"/>
          <w:color w:val="111111"/>
          <w:sz w:val="28"/>
          <w:sz w:val="28"/>
          <w:szCs w:val="28"/>
          <w:rtl w:val="true"/>
          <w:lang w:bidi="ar-SA"/>
        </w:rPr>
        <w:t>مائين كلّ واحدٍ منهما لم يبلغ الكرّ، و هما نجسان، فجمع بينهما، فقوّى فيه الطهارة و حمل على نجس العين في الأوَّل، و ظاهره أيضاً القول بطهارة الكرّ بما يزيل تغييره و إن لم يكن كرّاً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لفخر الإسلام كلامٌ عجيب، قال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أقلّ من كُرّ نجس </w:t>
      </w:r>
    </w:p>
    <w:p>
      <w:pPr>
        <w:pStyle w:val="BookText"/>
        <w:rPr/>
      </w:pPr>
      <w:r>
        <w:rPr>
          <w:rFonts w:ascii="Amiri" w:hAnsi="Amiri" w:eastAsia="Amiri" w:cs="Amiri"/>
          <w:color w:val="111111"/>
          <w:sz w:val="28"/>
          <w:sz w:val="28"/>
          <w:szCs w:val="28"/>
          <w:rtl w:val="true"/>
          <w:lang w:bidi="ar-SA"/>
        </w:rPr>
        <w:t xml:space="preserve">بجميع ما يلاقيه من النجاسة و إن لم يتغيّر وصفه </w:t>
      </w:r>
      <w:r>
        <w:rPr>
          <w:rStyle w:val="FootnoteAnchor"/>
          <w:rtl w:val="true"/>
        </w:rPr>
        <w:footnoteReference w:id="289"/>
      </w:r>
      <w:r>
        <w:rPr>
          <w:rFonts w:ascii="Amiri" w:hAnsi="Amiri" w:eastAsia="Amiri" w:cs="Amiri"/>
          <w:color w:val="111111"/>
          <w:sz w:val="28"/>
          <w:sz w:val="28"/>
          <w:szCs w:val="28"/>
          <w:rtl w:val="true"/>
          <w:lang w:bidi="ar-SA"/>
        </w:rPr>
        <w:t xml:space="preserve">، خلافاً لابن أبي عقيل </w:t>
      </w:r>
      <w:r>
        <w:rPr>
          <w:rStyle w:val="FootnoteAnchor"/>
          <w:rtl w:val="true"/>
        </w:rPr>
        <w:footnoteReference w:id="290"/>
      </w:r>
      <w:r>
        <w:rPr>
          <w:rFonts w:ascii="Amiri" w:hAnsi="Amiri" w:eastAsia="Amiri" w:cs="Amiri"/>
          <w:color w:val="111111"/>
          <w:sz w:val="28"/>
          <w:sz w:val="28"/>
          <w:szCs w:val="28"/>
          <w:rtl w:val="true"/>
          <w:lang w:bidi="ar-SA"/>
        </w:rPr>
        <w:t>، و يتفرّع على ذلك أنَّه لو تغيّر بعض أقلّ من الكرّ ثمّ زال التغيير من قبل نفسه طهر عند ابن أبي عقيل و لم يطهر عند القائلين بالتنجيس بالملاقاة، و لو تغيّر بعض الكُرّ و لم يبلغ غير المتغيّر كرّاً ثمّ زال التغيير فعند القائلين بتنجيس القليل بالملاقاة يطهر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فرّقوا بين هذه الصورة و الصورة الأولى بأنّ في الصورة الأولى إذا زال التغيير عُدِم غير علّة التنجيس، و أما في الكُرّ فلم يتنجّس بالملاقاة بل بالتغيير، و قد عدمت علّة التنجيس، و عدمُ العلّة يستلزم عدم المعلول، فقد ظهر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ماء نجس بالملاقاة خاصّة لا يطهر إلّا بملاقاة الكُرّ،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إشارة السبق إلى معرفة الحقّ في الماء القليل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يطهر بزيادته إذا لم يكن أحد أوصافه متغيّرة بها إلى أن يبلغ الكرّ أو يزيد عليه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أنَّه يفرّق بين ما إذا تغيّر بالنجاسة و ما إذا لم يتغيّر، فيحكم بالطهارة ببلوغ الكُرّ في الثاني دون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المخالف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الكرّية مانعة من التأثير بالنجاسة، فلا فرق بين وقوعها قبل الكرّية أو بعده؛ لتحقّق المانع على التقديرين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قياس محض؛ لأنه ساوى بين قوّة الماء على الدفع و قوّته على الرّفع، و الأولى منصوصة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ينجّسه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 غير منصوصة، و لا يمكن القول بشموله للحالتين، فإنّ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لم ينجّسه ما يقع فيه بعد ذلك</w:t>
      </w:r>
      <w:r>
        <w:rPr>
          <w:rFonts w:eastAsia="IRNazanin" w:cs="IRNazanin"/>
          <w:color w:val="111111"/>
          <w:sz w:val="28"/>
          <w:szCs w:val="28"/>
          <w:rtl w:val="true"/>
          <w:lang w:bidi="fa-IR"/>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للشقّ الآخر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كرّاً طهر، أو زالت نجاسته، أو اعتصم، ثمّ الفارق موجود؛ لأنّ الماء </w:t>
      </w:r>
    </w:p>
    <w:p>
      <w:pPr>
        <w:pStyle w:val="BookText"/>
        <w:rPr/>
      </w:pPr>
      <w:r>
        <w:rPr>
          <w:rFonts w:ascii="Amiri" w:hAnsi="Amiri" w:eastAsia="Amiri" w:cs="Amiri"/>
          <w:color w:val="111111"/>
          <w:sz w:val="28"/>
          <w:sz w:val="28"/>
          <w:szCs w:val="28"/>
          <w:rtl w:val="true"/>
          <w:lang w:bidi="ar-SA"/>
        </w:rPr>
        <w:t>الطاهر يقوى على النجاسة بطهوريّته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النجس فعند اجتماعه مقهوراً بالنجاسة، على أنّ منع الكرّية من التأثير إنّما يتحقّق إذا لم يتحقّق التأثّر قبلها، و المفروض حصوله هنا، فالحكم بمنعها منه حكم بإزالتها إيَّاه، و هو غير مقبول بلا دليل، و هل هو إلّا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الحَدَث مانع من الصلاة فإذا وقع بعد إيقاعها صحيحة بطلت لتحقّق المانع منها، لكن ظاهر السيّد رحمه الله الركون إلى فحوى ما قضى باعتصام الكُرّ، نظراً إلى حكمه بتنافي الكرية و النجاسة و تضادّهما شرعاً، فلا يتفاوت الحال بين الدفع و الرفع مطلقاً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على الثاني مطلقاً، و المسلَّم منه التنافي فيما طهر أصله كما حرّرنا من أنّ ظاهر الخبر سبق الكرية، و لو منع الظهور فلا يمنع الشكّ، و فيه يتمّ المرام إذ يبقى حكم النجاسة المفروض ثبوتها قبل البلوغ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حكمنا بالنجاسة هنا لم يصحّ حكمهم بطهارة الكرّ المشتمل على النجاسة مع الشكّ في سبقها على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بالطهارة هناك مبنيّ على أصالتها؛ للشك في السبب الذي هو ملاقاة النجاسة قبل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يمنع بأنّ سبب النجاسة موجود بحكم الفرض، و إنّما الشكّ في وجود المانع،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عندها، و هو يكفي في ثبوت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إلى التمسّك بأصالة عدمه حتّى يعارض بأصالة عدم الملاقاة قبل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لم نرتضه إلّا أنّه إلزام للرّاد بما ذكر في الاستصحاب من وجوب العمل بالمقتضي عند الشكّ في المانع، و دعوى شرطيّة القلّة لا مانعيّة الكرية غير نافعة؛ للشك في تبدّل القلّة بالكثرة في زمان الملاقاة، فيستصحب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كرية الماء إن كان مع عدم سبق العلم بعدم الكرية فلا إشكال فيه؛ إذ لا مسرح لأصالة عدم الكرية حينئذ؛ لأنه غير معلوم سابقاً و إن كان لجهة معلوميّة عدمها كما لو كان بلوغه الكرّ تدريجاً، فالطهارة فيها إمّا للإجماع أو إلى أصالة </w:t>
      </w:r>
    </w:p>
    <w:p>
      <w:pPr>
        <w:pStyle w:val="BookText"/>
        <w:rPr/>
      </w:pPr>
      <w:r>
        <w:rPr>
          <w:rFonts w:ascii="Amiri" w:hAnsi="Amiri" w:eastAsia="Amiri" w:cs="Amiri"/>
          <w:color w:val="111111"/>
          <w:sz w:val="28"/>
          <w:sz w:val="28"/>
          <w:szCs w:val="28"/>
          <w:rtl w:val="true"/>
          <w:lang w:bidi="ar-SA"/>
        </w:rPr>
        <w:t>الطهارة بعد تعارض أصالة عدم الكرية في زمن الملاقاة و أصالة عدم الملاقاة في أوان القلّة،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حقّقنا في الأصول أنّ الملاقاة إن ثبت لها الاقتضاء و الكرية مانعة، بمعنى تأثيرها، لولاها، فحينئذ أصالة عدم الكرية بحالها و لا تعارضها أصالة عدم الملاقاة قبلها؛ لأنها لا يثبت الكرية إلّا على الأصول المثبتة، و إن لم تكن مقتضية بل كان التنجيس من أحكام الملاقاة في زمان القلّة، فأصالة عدمها سليمة عن المعارض؛ لأنّ أصالة عدم الكرية حين الملاقاة لا يترتّب عليها الملاقاة حال القلّة إلّا على التقدير المذكور،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الملاقاة حال القلّة تعارضها أصالة بقاء القلّة في حال الملاقاة؛ لأنّ القلّة إذا فرضناها شرطاً فمن وجودها حين الملاقاة و عدمها يترتّب النجاسة و الطهارة، فالتعارض موجود إلَّا أن يمنع جريان استصحاب القلّة لعدم العلم بها سابقاً في هذا الماء المحسوس و إلّا أن يتسامح في الموضوع كما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ثبت الإجماع على الطهارة حكمنا بأنّ التنجيس من أحكام الملاقاة و الأصل عدمها في حال القلّة،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الكرية لا تثبت القلّة، فلا منازعة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الماء طهوراً </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 هو ذلك، إذ فحواه أنّ طبيعة الماء مانعة عن الانفعال، و القلّة فيها توجب خروجها عن الطبيعة الأوّليّة و إن لم يثبت الإجماع، 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الكرية مانعة، و أصالة عدمها تكفي في الحكم بالنجاسة و إن لم يثبت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294"/>
      </w:r>
      <w:r>
        <w:rPr>
          <w:rFonts w:ascii="Amiri" w:hAnsi="Amiri" w:eastAsia="Amiri" w:cs="Amiri"/>
          <w:color w:val="111111"/>
          <w:sz w:val="28"/>
          <w:sz w:val="28"/>
          <w:szCs w:val="28"/>
          <w:rtl w:val="true"/>
          <w:lang w:bidi="ar-SA"/>
        </w:rPr>
        <w:t>الالتزام بعدم طهارة الماء في الفرض المزبور و عدم الحكم عليه بالنجاسة فهو لا ينجّس الطاهر و لا يطهّر النجس، كالمشكوك الكرية إذا لاقته نجاسة على وجه قويّ، إذ كما أنّ الكرية شرط و قد شكّ فيها فكلّ الطهارة شرط مشكوك فيه، مع إمكان الفرق بأنّ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عدم العلم بالنجاسة قبل البلوغ لا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صريح الإجماع </w:t>
      </w:r>
      <w:r>
        <w:rPr>
          <w:rStyle w:val="FootnoteAnchor"/>
          <w:rtl w:val="true"/>
        </w:rPr>
        <w:footnoteReference w:id="295"/>
      </w:r>
      <w:r>
        <w:rPr>
          <w:rFonts w:ascii="Amiri" w:hAnsi="Amiri" w:eastAsia="Amiri" w:cs="Amiri"/>
          <w:color w:val="111111"/>
          <w:sz w:val="28"/>
          <w:sz w:val="28"/>
          <w:szCs w:val="28"/>
          <w:rtl w:val="true"/>
          <w:lang w:bidi="ar-SA"/>
        </w:rPr>
        <w:t xml:space="preserve">من السيّد على طهارة الماء المزبور و من خالف السيّد هنا أيضاً حكم بالطهارة كالفاضلين </w:t>
      </w:r>
      <w:r>
        <w:rPr>
          <w:rStyle w:val="FootnoteAnchor"/>
          <w:rtl w:val="true"/>
        </w:rPr>
        <w:footnoteReference w:id="296"/>
      </w:r>
      <w:r>
        <w:rPr>
          <w:rFonts w:ascii="Amiri" w:hAnsi="Amiri" w:eastAsia="Amiri" w:cs="Amiri"/>
          <w:color w:val="111111"/>
          <w:sz w:val="28"/>
          <w:sz w:val="28"/>
          <w:szCs w:val="28"/>
          <w:rtl w:val="true"/>
          <w:lang w:bidi="ar-SA"/>
        </w:rPr>
        <w:t>، و قياسه على مشكوك الكرية و التوقّف فيه غريب؛ لأنّ اصالة عدم الكرية فيه لو عارضت أصالة بقاء الطهارة إن لم يكن أحدهما المرجع وجب الرجوع بعد التساقط لقاعدة الطهارة، و مساواته بين الكرية و الطهارة في الشرطيّة أعجب من سابقه إذ الكرية شرط مخالف للأصل، و الأصل ،عدمها، و الطهارة شرط موافق له، و الأصل بقاؤها، فأين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فقد قرن التأمّل فيه، فكفينا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طهارة المتمّم للكرّ الذي يلزمها طهارة النجس؛ لاتّحاد حكم المائين بالإجماع </w:t>
      </w:r>
      <w:r>
        <w:rPr>
          <w:rStyle w:val="FootnoteAnchor"/>
          <w:rtl w:val="true"/>
        </w:rPr>
        <w:footnoteReference w:id="297"/>
      </w:r>
      <w:r>
        <w:rPr>
          <w:rFonts w:ascii="Amiri" w:hAnsi="Amiri" w:eastAsia="Amiri" w:cs="Amiri"/>
          <w:color w:val="111111"/>
          <w:sz w:val="28"/>
          <w:sz w:val="28"/>
          <w:szCs w:val="28"/>
          <w:rtl w:val="true"/>
          <w:lang w:bidi="ar-SA"/>
        </w:rPr>
        <w:t>و تساقط المتعارضين من النجاسة و الطهارة فيهما، فتبقى قاعدة الطهارة سليمة، و هي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كذلك لولا حكومة أحد الاستصحابين على الآخر، إذ معها لا وجه لتعارضها بعد كما قرّرنا بالأصول، و لا ريب أنّ استصحاب نجاسة المتمّم بالطاهر حاكمة على استصحاب الطاهر المتمّم للنجس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الطاهر الذي هو دون الكرّ لا يرفع النجاسة إجماعاً </w:t>
      </w:r>
      <w:r>
        <w:rPr>
          <w:rStyle w:val="FootnoteAnchor"/>
          <w:rtl w:val="true"/>
        </w:rPr>
        <w:footnoteReference w:id="298"/>
      </w:r>
      <w:r>
        <w:rPr>
          <w:rFonts w:ascii="Amiri" w:hAnsi="Amiri" w:eastAsia="Amiri" w:cs="Amiri"/>
          <w:color w:val="111111"/>
          <w:sz w:val="28"/>
          <w:sz w:val="28"/>
          <w:szCs w:val="28"/>
          <w:rtl w:val="true"/>
          <w:lang w:bidi="ar-SA"/>
        </w:rPr>
        <w:t xml:space="preserve">، و النجس كذلك يؤثر بالاتفاق </w:t>
      </w:r>
      <w:r>
        <w:rPr>
          <w:rStyle w:val="FootnoteAnchor"/>
          <w:rtl w:val="true"/>
        </w:rPr>
        <w:footnoteReference w:id="299"/>
      </w:r>
      <w:r>
        <w:rPr>
          <w:rFonts w:ascii="Amiri" w:hAnsi="Amiri" w:eastAsia="Amiri" w:cs="Amiri"/>
          <w:color w:val="111111"/>
          <w:sz w:val="28"/>
          <w:sz w:val="28"/>
          <w:szCs w:val="28"/>
          <w:rtl w:val="true"/>
          <w:lang w:bidi="ar-SA"/>
        </w:rPr>
        <w:t xml:space="preserve">فيصير الشكّ في طهارة مجموع المائين مسبّباً عن الشكّ في تأثير النجس في الطاهر و عدمه بعد الاتّفاق على نجاسة الطاهر بالنجس إذا لم يكن كرّاً، و منشأ الشكّ في طهارة المائين و نجاستهما و إن كان مسبّباً عن الشكّ في تأثير البلوغ كرّاً و عدمه ابتداءً لكن بعد استقراره و الحكم به و عدم زواله بعارض قضى به الدليل فيجب إذ ذاك الركون إلى ما دونه </w:t>
      </w:r>
    </w:p>
    <w:p>
      <w:pPr>
        <w:pStyle w:val="BookText"/>
        <w:rPr/>
      </w:pPr>
      <w:r>
        <w:rPr>
          <w:rFonts w:ascii="Amiri" w:hAnsi="Amiri" w:eastAsia="Amiri" w:cs="Amiri"/>
          <w:color w:val="111111"/>
          <w:sz w:val="28"/>
          <w:sz w:val="28"/>
          <w:szCs w:val="28"/>
          <w:rtl w:val="true"/>
          <w:lang w:bidi="ar-SA"/>
        </w:rPr>
        <w:t>من الأُصول في حكم المائين، فإنّ البلوغ على هذا الوجه غير معلوم تأثيره و إلّا لما ركن إلى هذا الدليل و الباقي بعدم الفصل أو التفصيل؛ لأن لا يشمل الحكم المياه النجسة التي بلغت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استصحبنا نجاسة المتمّم بالطاهر يترتُب عليه التنجيس؛ لأنه من أحكامه، و لا كذلك لو استصحبنا طهارة المتمّم للنجس فإنّه لا يترتّب عليه تطهير النجس حتّى تتحقّق المعارضة، فأحد الاستصحابين يرفع حكم الآخر دون الثاني، فهو من باب 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أجاب الأُستاذ </w:t>
      </w:r>
      <w:r>
        <w:rPr>
          <w:rStyle w:val="FootnoteAnchor"/>
          <w:rtl w:val="true"/>
        </w:rPr>
        <w:footnoteReference w:id="300"/>
      </w:r>
      <w:r>
        <w:rPr>
          <w:rFonts w:ascii="IRNazanin" w:hAnsi="IRNazanin" w:eastAsia="IRNazanin"/>
          <w:color w:val="111111"/>
          <w:sz w:val="28"/>
          <w:sz w:val="28"/>
          <w:szCs w:val="28"/>
          <w:rtl w:val="true"/>
          <w:lang w:bidi="fa-IR"/>
        </w:rPr>
        <w:t>بمنع الإجماع علی عدم التفکیک فی غیر الممتزج، و فیه بعدم تأثیر الامتزاج فی الطهارة و النجاسة بالاتّفاق هنا، و أنه ملغى، إذ المدّعى تأثير مجرّد تواصلهما في التطهير و إن كان الإجماع على عدم تبعّض حكم المائين القليلين المتّصلين، فنظيره موجود في الشرعيّات، إلى آخر ما رامَ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مشكل، إذ هم لم يجمعوا على عدم تأثير الامتزاج هنا، كيف و هم اتّفقوا على أنّ المائين الممتزجين لا يختلفان في الحكم كما اعترف به غيره من المُنكِرين للملازمة مطلقاً في غير المقام، و لا يمكن تخصيص الحكم المجمَع عليه بمورد دون مورد، غايته أنّ محطّ النظر في مورد ناشئ قبل الامتزاج من الاتّصال أو البلوغ كرّاً و هذا غير الإجماع على عدم الملازمة و جواز التفكيك بين المائين بعد الامتزاج كما يظهر منه، فالمعتمد ما حرّرناه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على ما أجمع عليه المؤالف و المخالف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كرّاً لم يحمل خبثاً</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طهور لا ينجسه شيء</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الماء فأمسّه جلدك</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فأحثو على رأسي ثلاث حثيات من ماء فإنّي إذاً قد طهرت</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لا يخصّ بفرد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الفرقانيّة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ٱلسَّمَآءِ مَآءً لِّيُطَهِّرَكُم بِهِۦ</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عَابِرِی سَبِيلٍ حَتَّیٰ تَغۡتَسِلُواْ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إطلاق الماء الشامل لجميع أقسامه في الجميع إلّا ما قطع بخروجه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الأَوَّل نصّ بزعمه، فكأنّ لفظ الحديث في قوّة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ماء فهو متى بلغ كرّاً دفع عنه أيّ خبث كان و لم يظهر فيه شيء من الخَبَث، فعمَّ الماء الطاهر و النجس و الخَبَث السابق و اللّاحق، مضافاً إلى الإجماع </w:t>
      </w:r>
      <w:r>
        <w:rPr>
          <w:rStyle w:val="FootnoteAnchor"/>
          <w:rtl w:val="true"/>
        </w:rPr>
        <w:footnoteReference w:id="308"/>
      </w:r>
      <w:r>
        <w:rPr>
          <w:rFonts w:ascii="Amiri" w:hAnsi="Amiri" w:eastAsia="Amiri" w:cs="Amiri"/>
          <w:color w:val="111111"/>
          <w:sz w:val="28"/>
          <w:sz w:val="28"/>
          <w:szCs w:val="28"/>
          <w:rtl w:val="true"/>
          <w:lang w:bidi="ar-SA"/>
        </w:rPr>
        <w:t>على أنّ بلوغ الماء حدّ الكُرّ مزيل لحكم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غير واحد </w:t>
      </w:r>
      <w:r>
        <w:rPr>
          <w:rStyle w:val="FootnoteAnchor"/>
          <w:rtl w:val="true"/>
        </w:rPr>
        <w:footnoteReference w:id="309"/>
      </w:r>
      <w:r>
        <w:rPr>
          <w:rFonts w:ascii="Amiri" w:hAnsi="Amiri" w:eastAsia="Amiri" w:cs="Amiri"/>
          <w:color w:val="111111"/>
          <w:sz w:val="28"/>
          <w:sz w:val="28"/>
          <w:szCs w:val="28"/>
          <w:rtl w:val="true"/>
          <w:lang w:bidi="ar-SA"/>
        </w:rPr>
        <w:t xml:space="preserve">من أنّها و نحوها لا تفيد في إثبات مدّعاه، فالإجماع بالمنع، و أنّه لم يوقف عليه في كتب الأصحاب إلّا عن المرتضى </w:t>
      </w:r>
      <w:r>
        <w:rPr>
          <w:rStyle w:val="FootnoteAnchor"/>
          <w:rtl w:val="true"/>
        </w:rPr>
        <w:footnoteReference w:id="310"/>
      </w:r>
      <w:r>
        <w:rPr>
          <w:rFonts w:ascii="IRNazanin" w:hAnsi="IRNazanin" w:eastAsia="IRNazanin"/>
          <w:color w:val="111111"/>
          <w:sz w:val="28"/>
          <w:sz w:val="28"/>
          <w:szCs w:val="28"/>
          <w:rtl w:val="true"/>
          <w:lang w:bidi="fa-IR"/>
        </w:rPr>
        <w:t xml:space="preserve">و بعض من تبعه </w:t>
      </w:r>
      <w:r>
        <w:rPr>
          <w:rStyle w:val="FootnoteAnchor"/>
          <w:rtl w:val="true"/>
        </w:rPr>
        <w:footnoteReference w:id="311"/>
      </w:r>
      <w:r>
        <w:rPr>
          <w:rFonts w:ascii="Amiri" w:hAnsi="Amiri" w:eastAsia="Amiri" w:cs="Amiri"/>
          <w:color w:val="111111"/>
          <w:sz w:val="28"/>
          <w:sz w:val="28"/>
          <w:szCs w:val="28"/>
          <w:rtl w:val="true"/>
          <w:lang w:bidi="ar-SA"/>
        </w:rPr>
        <w:t>، و مثله لا يعدّ إجماعاً، و عن بقيّة المطلقات بأنّ مثلها لا يثبت الحكم المزبور؛ لتطرّق التخصيص إليها، و إجمال مؤداها، و اندراس الاستدلال بها عند المحقّقين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أصرح ما فيها الأوَّل الذي قيل بعدم وجوده في كتب الأحاديث مسنداً، و السيّد رواه من طرق العامَّة، و الشيخ </w:t>
      </w:r>
      <w:r>
        <w:rPr>
          <w:rStyle w:val="FootnoteAnchor"/>
          <w:rtl w:val="true"/>
        </w:rPr>
        <w:footnoteReference w:id="312"/>
      </w:r>
      <w:r>
        <w:rPr>
          <w:rFonts w:ascii="Amiri" w:hAnsi="Amiri" w:eastAsia="Amiri" w:cs="Amiri"/>
          <w:color w:val="111111"/>
          <w:sz w:val="28"/>
          <w:sz w:val="28"/>
          <w:szCs w:val="28"/>
          <w:rtl w:val="true"/>
          <w:lang w:bidi="ar-SA"/>
        </w:rPr>
        <w:t xml:space="preserve">مرسلاً، و ابن زُهرة </w:t>
      </w:r>
      <w:r>
        <w:rPr>
          <w:rStyle w:val="FootnoteAnchor"/>
          <w:rtl w:val="true"/>
        </w:rPr>
        <w:footnoteReference w:id="313"/>
      </w:r>
      <w:r>
        <w:rPr>
          <w:rFonts w:ascii="Amiri" w:hAnsi="Amiri" w:eastAsia="Amiri" w:cs="Amiri"/>
          <w:color w:val="111111"/>
          <w:sz w:val="28"/>
          <w:sz w:val="28"/>
          <w:szCs w:val="28"/>
          <w:rtl w:val="true"/>
          <w:lang w:bidi="ar-SA"/>
        </w:rPr>
        <w:t xml:space="preserve">كذلك؛ إذ الماء محمولُ فيه على الفرد الأكمل و هو الطاهر، أو لأنّ النجاسة صفة زائدة تعرض المياه عند الملاقاة، فالماء النجس يجري مجرى الماء المضاف في عدم استحقاق اسم الماء إلّا بالتوصيف، و إن لم يصدق عليه حدّ </w:t>
      </w:r>
    </w:p>
    <w:p>
      <w:pPr>
        <w:pStyle w:val="BookText"/>
        <w:rPr/>
      </w:pPr>
      <w:r>
        <w:rPr>
          <w:rFonts w:ascii="Amiri" w:hAnsi="Amiri" w:eastAsia="Amiri" w:cs="Amiri"/>
          <w:color w:val="111111"/>
          <w:sz w:val="28"/>
          <w:sz w:val="28"/>
          <w:szCs w:val="28"/>
          <w:rtl w:val="true"/>
          <w:lang w:bidi="ar-SA"/>
        </w:rPr>
        <w:t>المضاف لا أقلّ من الشكّ، و هو يكفي في بقاء النجاسة و عدم زوالها بالبلوغ إلى حدّ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لا ريب في وقوع المعارضة بين النبويّ و بين ما دلّ على نجاسة ملاقي النجاسة مثل البول، و النسبة عمومُ من وجه فيؤول أيضاً إلى استصحاب 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وقفنا عليه من كلماتهم الغابرة و غيرها أنّ من يعوّل على الطهارة لا يفرّق بين ما لو تمم بطاهر أو نجس إلّا ابن حمزة رحمة الله </w:t>
      </w:r>
      <w:r>
        <w:rPr>
          <w:rStyle w:val="FootnoteAnchor"/>
          <w:rtl w:val="true"/>
        </w:rPr>
        <w:footnoteReference w:id="314"/>
      </w:r>
      <w:r>
        <w:rPr>
          <w:rFonts w:ascii="Amiri" w:hAnsi="Amiri" w:eastAsia="Amiri" w:cs="Amiri"/>
          <w:color w:val="111111"/>
          <w:sz w:val="28"/>
          <w:sz w:val="28"/>
          <w:szCs w:val="28"/>
          <w:rtl w:val="true"/>
          <w:lang w:bidi="ar-SA"/>
        </w:rPr>
        <w:t>فيظهر منه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تمّمت بطاهر كرّاً زال عنه حكم النجاسة، و هو قويّ؛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لم يحمل نجاسة، و إذا تمّمت كرّاً بنجاسة فلا شكّ أنَّه ينجّس الكلّ </w:t>
      </w:r>
      <w:r>
        <w:rPr>
          <w:rStyle w:val="FootnoteAnchor"/>
          <w:rtl w:val="true"/>
        </w:rPr>
        <w:footnoteReference w:id="3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فيه رائحة ذلك، و عندنا لا فرق، بل الأمر فيه أجلى؛ لعموم </w:t>
      </w:r>
      <w:r>
        <w:rPr>
          <w:rStyle w:val="FootnoteAnchor"/>
          <w:rtl w:val="true"/>
        </w:rPr>
        <w:footnoteReference w:id="316"/>
      </w:r>
      <w:r>
        <w:rPr>
          <w:rFonts w:ascii="Amiri" w:hAnsi="Amiri" w:eastAsia="Amiri" w:cs="Amiri"/>
          <w:color w:val="111111"/>
          <w:sz w:val="28"/>
          <w:sz w:val="28"/>
          <w:szCs w:val="28"/>
          <w:rtl w:val="true"/>
          <w:lang w:bidi="ar-SA"/>
        </w:rPr>
        <w:t>ما قضى بانفعال القليل بالملاقاة الشامل للمفروض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رفضت العموم المدّعى، أو زعمت عدم شموله لمحلّ الفرض؛ لانحصار الدليل بعموم 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 هو لا يتناول القليل الذي تحقّق موضوع الكرّ بملاقاته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عمومه مكابرة كما سبق، كيف و الفرض شمول المنطوق لكلّ كرّ، فيقتضيه مفهومه بالعموم، فيثبت به التنجيس بقولٍ مطلق، و غاية ما للخصم شمول النبويّ المرسل للفرد المزبور؛ لبلوغه حدّ الكرّ فلا يحمل خبثاً، فتحصل المعارضة؛ لامتناع الجمع بينهما و الترجيح لأدلّة الانفعال؛ لاقترانها بكثرة العمل بها و شهرتها، و مع التكافؤ و التوقّف أيضاً يُفزع إلى الأُصول، و مقتضاها النجاسة كما مرّ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الدليلين؛ فأدلّة الانفعال توجب النجاسة في القليل، و عموم </w:t>
      </w:r>
    </w:p>
    <w:p>
      <w:pPr>
        <w:pStyle w:val="BookText"/>
        <w:rPr/>
      </w:pPr>
      <w:r>
        <w:rPr>
          <w:rFonts w:ascii="Amiri" w:hAnsi="Amiri" w:eastAsia="Amiri" w:cs="Amiri"/>
          <w:color w:val="111111"/>
          <w:sz w:val="28"/>
          <w:sz w:val="28"/>
          <w:szCs w:val="28"/>
          <w:rtl w:val="true"/>
          <w:lang w:bidi="ar-SA"/>
        </w:rPr>
        <w:t>النبوي أو إطلاقه يقتضي ارتفاع تلك النجاسة التي قضى بها السابق، فيحكم بالانفعال ثمّ بالزوال، فيكون للملاقاة أثران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تنجيس الملاقي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سبب ارتفاع النجاسة عن المائين بسبب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الملاقاة إذا كانت سبباً لانفعال الطاهر المتمّم يمتنع أن تكون سبباً لشيء هو لزوال الانفعال و لو بواسطة؛ إذ لا يمكن أن يكون الشيء مؤثّراً في شيء و في علّة نقيضه، فإنّه بمنزلة تأثير الشيء في طرَفَي النقيض، و تجويزٌ لاجتماع النقيضين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أيضاً بتقديم أدلّة الانفعال؛ لاستنادها إلى الملاقاة بلا واسطة، و استناد الطهارة إليها بواسطة الكرية، و المعلول الثاني طبعاً مؤخّر عن المعلول الأوَّل، فغلبة الملاقاة للانفعال مقدّمة طبعاً على علّتها الموجبة للطهارة، فيلزم الحكم بالانفعال قضاءً لحقّ التقديم، و بعدُ فلا مجال للحكم بترتّب معلولها الثاني، و 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معلولة أُولى أيضاً للملاقاة، و كون نفس الطهارة معلولة ثانية لها لا يضرّ؛ لأنها ثابتة في مرتبة ثبوت الانفعال، فهما سواء في المعلوليّة، و كما يمتنع اجتماع النقيضين في مرتبة واحدة، و يستحيل استنادهما إلى علّة واحدة بلا واسطة، كذلك يمتنع اجتماع أحدهما و علّة الآخر في تلك المرتبة، و يستحيل كونها معلولين لعلّة واحدة، فالتعارض بين مدلول الدليلين ثابت، و مثل ذلك ما لو فرض متغيّر قليل زال تغييره بالإتمام كرّاً سواء كان المتمّم طاهراً أو نجساً، فإنّ ما دلّ على وجوب الاجتناب عن المباشرة يدلّ على الاستمرار، فيتناول حالَتي البلوغ و عدمه، فيقع التعارض بينه و بين النبويّ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ردّ بعض المحقّقين </w:t>
      </w:r>
      <w:r>
        <w:rPr>
          <w:rStyle w:val="FootnoteAnchor"/>
          <w:rtl w:val="true"/>
        </w:rPr>
        <w:footnoteReference w:id="318"/>
      </w:r>
      <w:r>
        <w:rPr>
          <w:rFonts w:ascii="Amiri" w:hAnsi="Amiri" w:eastAsia="Amiri" w:cs="Amiri"/>
          <w:color w:val="111111"/>
          <w:sz w:val="28"/>
          <w:sz w:val="28"/>
          <w:szCs w:val="28"/>
          <w:rtl w:val="true"/>
          <w:lang w:bidi="ar-SA"/>
        </w:rPr>
        <w:t xml:space="preserve">هذا القول بالإجماع على عدم الفرق بين هذه المسألة و بين المتغيّر إذا تمّم كرّاً، بناءً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العاملين بحديث البلوغ لا يلتزمون به في المثال، و يوجبون الاجتناب فيه؛ لحصول التغيير الذي هو سببه و إن زال؛ إذ الزول بغير الجريان أو إلقاء الكرّ عليه لا يفيد في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نظر؛ لعموم أدلّتهم له و عدم الفرق بينه و بين غيره، و حينئذ لم 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للتفصيل المذكور بأنّ الكرّ من الماء الطاهر إذا لاقته نجاسة غير مستهلكة و لا مغيّرة له فلا ريب بأنّها تلاقي جزءًا منه، و لا ريب أنّ ذلك الجزء قد تنجّس بها، و طهارته إنّما تكون بملاقاة الباقي، و لا فرق بين المتّصل و المنفصل، فالماء الطاهر و النجس المنفصلان إذا اتّصلا كان الأمر كذلك، و لا كذلك إذا انفعل الكرّ بأجمعه كما إذا تغيّر أو استهلك فإنّه لا يطهر، فكذا المتفرّق من المياه التي كلّ منها نجس مثله، و فساده جليّ، بل الكُرّ الطاهر لا يتنجّس شيء منه عند ملاقاة النجاسة المفروضة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المختار عندي في كلّ الفروض النجاسة؛ لأنه ماء محكوم عليه شرعاً بها فلا يطهر إلّا بدليل شرعي، و استصحاب النجاسة الخالي عن المعارض قاض به كما عرفت، على أنّ اليقين لا يزيله إلَّا اليقين، و الطهارة لا يقين لنا بها كالنجاسة، و أيضاً يلزمهم أن يكون نجس العين مطهّراً إذا كان متمّماً لكرّ مستهلكاً بالماء، و هو بعيد، و كذا يلزمهم أن يكون المضاف الطاهر أو النجس مطهراً للمطلق مطلقاً، و فساده بيّن</w:t>
      </w:r>
      <w:r>
        <w:rPr>
          <w:rFonts w:eastAsia="Amiri" w:cs="Amiri" w:ascii="Amiri" w:hAnsi="Amiri"/>
          <w:color w:val="111111"/>
          <w:sz w:val="28"/>
          <w:szCs w:val="28"/>
          <w:rtl w:val="true"/>
          <w:lang w:bidi="ar-SA"/>
        </w:rPr>
        <w:t xml:space="preserve">. </w:t>
      </w:r>
      <w:bookmarkStart w:id="33" w:name="pg9146_85713"/>
    </w:p>
    <w:p>
      <w:pPr>
        <w:pStyle w:val="Heading2"/>
        <w:numPr>
          <w:ilvl w:val="1"/>
          <w:numId w:val="1"/>
        </w:numPr>
        <w:rPr/>
      </w:pPr>
      <w:bookmarkStart w:id="34" w:name="__RefHeading___Toc3322544_2870459653"/>
      <w:bookmarkStart w:id="35" w:name="_Toc10"/>
      <w:bookmarkEnd w:id="33"/>
      <w:bookmarkEnd w:id="34"/>
      <w:r>
        <w:rPr>
          <w:rtl w:val="true"/>
        </w:rPr>
        <w:t>اللمعة الثانية</w:t>
      </w:r>
      <w:bookmarkEnd w:id="35"/>
    </w:p>
    <w:p>
      <w:pPr>
        <w:pStyle w:val="BookText"/>
        <w:rPr/>
      </w:pPr>
      <w:r>
        <w:rPr>
          <w:rFonts w:ascii="Amiri" w:hAnsi="Amiri" w:eastAsia="Amiri" w:cs="Amiri"/>
          <w:color w:val="111111"/>
          <w:sz w:val="28"/>
          <w:sz w:val="28"/>
          <w:szCs w:val="28"/>
          <w:rtl w:val="true"/>
          <w:lang w:bidi="ar-SA"/>
        </w:rPr>
        <w:t xml:space="preserve">قد تقدّم أنّ ظاهر كلام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الاحتمالين في الكاف الجارّة للجاري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الباقي كرّاً في طهارته إذا زال تغييره، و فرّع ذلك على قول العلّامة غير واحد، إلَّا أنّ الفاضل في كشف لثامه قال في 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يزول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 أو بعضه مع بقاء غير المتغيّر منه كرّاً أو أقلّ كما يقتضيه إطلاقه هنا 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استوعبه التغيير و كان الباقي أقلّ من الكرّ، فعلى ما اختاره من اعتبار الكرية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يطهر بذلك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أَخَذَ في دفعه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يعتبر في تطهير الماء سوی تقارنه مع الكرّ، و لا يُراد بالدفعة المعتبرة في إلقاء الكرّ سوى ذلك، فإذا خرج من المادّة بعد زوال التغيير من الماء بقدر کرّ کشف ذلك عن طهره بأوّل أزمنة الملاقاة، و إن لم يخرج يعتبر الخارج، فإن بلغ مع الباقي كرّاً طهر أيضاً و إلَّا فلا، إلّا على اعتبار الامتزاج في المطهّر يلزم أن يكون الخارج مقدار 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320"/>
      </w:r>
      <w:r>
        <w:rPr>
          <w:rFonts w:ascii="Amiri" w:hAnsi="Amiri" w:eastAsia="Amiri" w:cs="Amiri"/>
          <w:color w:val="111111"/>
          <w:sz w:val="28"/>
          <w:sz w:val="28"/>
          <w:szCs w:val="28"/>
          <w:rtl w:val="true"/>
          <w:lang w:bidi="ar-SA"/>
        </w:rPr>
        <w:t>ردّه أنَّه مبنيّ على عدم اعتبار العلوّ و المساواة في المطهر، و على افتراقه من الراكد في اعتبار الأمرين، و على تقوّي العالي بالسافل في بعض الأحوال،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العلّامة اعتبار الثلاثة؛ ففي القواعد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بما نبع من تحته، و أصله في الجاري هو أنَّه كالمياه في اعتبار الكرية، و في التذكرة </w:t>
      </w:r>
      <w:r>
        <w:rPr>
          <w:rStyle w:val="FootnoteAnchor"/>
          <w:rtl w:val="true"/>
        </w:rPr>
        <w:footnoteReference w:id="322"/>
      </w:r>
      <w:r>
        <w:rPr>
          <w:rFonts w:ascii="Amiri" w:hAnsi="Amiri" w:eastAsia="Amiri" w:cs="Amiri"/>
          <w:color w:val="111111"/>
          <w:sz w:val="28"/>
          <w:sz w:val="28"/>
          <w:szCs w:val="28"/>
          <w:rtl w:val="true"/>
          <w:lang w:bidi="ar-SA"/>
        </w:rPr>
        <w:t>اعتبار تساوي السطوح في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كشف اللّثام مبنيّ على ما هو الغالب من دنوّ المورد في المياه الخارجة، فلا تشمل عبارته في التطهير حتّى فيما إذا كانت المادّة عاليّة و هو في باطن الأرض</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ردّه أيضاً بقضائه لعموم انفعال الجاري مطلقاً إذا كان مع المادّة يبلغ حدّ الكرّ، مع أنّه يشترط فيه الكرية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الإغضاء عن الأوّلين كما تقتضيه عبارته لم يعلم قول العلّامة بالانفعال في الفرض المذكور، فليس هذا إيراداً غيرها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نعمه </w:t>
      </w:r>
      <w:r>
        <w:rPr>
          <w:rStyle w:val="FootnoteAnchor"/>
          <w:rtl w:val="true"/>
        </w:rPr>
        <w:footnoteReference w:id="323"/>
      </w:r>
      <w:r>
        <w:rPr>
          <w:rFonts w:ascii="Amiri" w:hAnsi="Amiri" w:eastAsia="Amiri" w:cs="Amiri"/>
          <w:color w:val="111111"/>
          <w:sz w:val="28"/>
          <w:sz w:val="28"/>
          <w:szCs w:val="28"/>
          <w:rtl w:val="true"/>
          <w:lang w:bidi="ar-SA"/>
        </w:rPr>
        <w:t>إشكال بيّن، إذ و لو اعتبرنا الممازجة لا داعي إلى نبع تمام الكرّ؛ لأنّ المدار في هذا القول إنّ الممتزج به لا ينفعل، فيكفي حصول الامتزاج مع القدر الخارج إذا كان المجموع منه و من الماء الموجود في المادّة قدر كرّ معتصماً على شرائطه إلَّا أن يكون مراده بالدفعة المعنى الظاهر و هو ممازجة القليل مع تمام أجزاء الكرّ عرفاً و لا يحصل ذلك في الجاري إلّا بالصبر إلى نبع تمام الكرّ و حصول الامتزاج بينه و بين المغيّر فلا ردّ، و مع هذا فحمل كلام العلّامة على ما بيّنه في غاية البعد، بل لا ينبغي الرَّيْب بعد اعتباره الكرية في الجاري أن يحكم بالطهارة هنا</w:t>
      </w:r>
      <w:r>
        <w:rPr>
          <w:rFonts w:eastAsia="Amiri" w:cs="Amiri" w:ascii="Amiri" w:hAnsi="Amiri"/>
          <w:color w:val="111111"/>
          <w:sz w:val="28"/>
          <w:szCs w:val="28"/>
          <w:rtl w:val="true"/>
          <w:lang w:bidi="ar-SA"/>
        </w:rPr>
        <w:t xml:space="preserve">. </w:t>
      </w:r>
      <w:bookmarkStart w:id="36" w:name="pg9146_85715"/>
    </w:p>
    <w:p>
      <w:pPr>
        <w:pStyle w:val="Heading2"/>
        <w:numPr>
          <w:ilvl w:val="1"/>
          <w:numId w:val="1"/>
        </w:numPr>
        <w:rPr/>
      </w:pPr>
      <w:bookmarkStart w:id="37" w:name="__RefHeading___Toc3322546_2870459653"/>
      <w:bookmarkStart w:id="38" w:name="_Toc11"/>
      <w:bookmarkEnd w:id="36"/>
      <w:bookmarkEnd w:id="37"/>
      <w:r>
        <w:rPr>
          <w:rtl w:val="true"/>
        </w:rPr>
        <w:t>اللمعة الثالثة</w:t>
      </w:r>
      <w:bookmarkEnd w:id="38"/>
    </w:p>
    <w:p>
      <w:pPr>
        <w:pStyle w:val="BookText"/>
        <w:rPr/>
      </w:pPr>
      <w:r>
        <w:rPr>
          <w:rFonts w:ascii="Amiri" w:hAnsi="Amiri" w:eastAsia="Amiri" w:cs="Amiri"/>
          <w:color w:val="111111"/>
          <w:sz w:val="28"/>
          <w:sz w:val="28"/>
          <w:szCs w:val="28"/>
          <w:rtl w:val="true"/>
          <w:lang w:bidi="ar-SA"/>
        </w:rPr>
        <w:t xml:space="preserve">إنَّه بعد الحكم بطهارة الجاري مطلقاً فلو تجزّى بالتغيير و عدمه، حكم في المعتبر </w:t>
      </w:r>
      <w:r>
        <w:rPr>
          <w:rStyle w:val="FootnoteAnchor"/>
          <w:rtl w:val="true"/>
        </w:rPr>
        <w:footnoteReference w:id="324"/>
      </w:r>
      <w:r>
        <w:rPr>
          <w:rFonts w:ascii="Amiri" w:hAnsi="Amiri" w:eastAsia="Amiri" w:cs="Amiri"/>
          <w:color w:val="111111"/>
          <w:sz w:val="28"/>
          <w:sz w:val="28"/>
          <w:szCs w:val="28"/>
          <w:rtl w:val="true"/>
          <w:lang w:bidi="ar-SA"/>
        </w:rPr>
        <w:t>أنّ المتغيّر نجس ما عداه، و العبارة تفصح بعدم اشتراط الكرية في الجاري، و إطلاقها يقضي بعدم الفرق بين استيعاب التغيير لعمود الماء عرضاً و عمقاً و ما فوقه أو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 في الدروس </w:t>
      </w:r>
      <w:r>
        <w:rPr>
          <w:rStyle w:val="FootnoteAnchor"/>
          <w:rtl w:val="true"/>
        </w:rPr>
        <w:footnoteReference w:id="325"/>
      </w:r>
      <w:r>
        <w:rPr>
          <w:rFonts w:ascii="Amiri" w:hAnsi="Amiri" w:eastAsia="Amiri" w:cs="Amiri"/>
          <w:color w:val="111111"/>
          <w:sz w:val="28"/>
          <w:sz w:val="28"/>
          <w:szCs w:val="28"/>
          <w:rtl w:val="true"/>
          <w:lang w:bidi="ar-SA"/>
        </w:rPr>
        <w:t>إطلاق طهارة التحت بما إذا لم يستوعب التغيير ما فوقه، فإن يكنه نجس التحت إلَّا إذا كان 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نفى بعضهم </w:t>
      </w:r>
      <w:r>
        <w:rPr>
          <w:rStyle w:val="FootnoteAnchor"/>
          <w:rtl w:val="true"/>
        </w:rPr>
        <w:footnoteReference w:id="326"/>
      </w:r>
      <w:r>
        <w:rPr>
          <w:rFonts w:ascii="IRNazanin" w:hAnsi="IRNazanin" w:eastAsia="IRNazanin"/>
          <w:color w:val="111111"/>
          <w:sz w:val="28"/>
          <w:sz w:val="28"/>
          <w:szCs w:val="28"/>
          <w:rtl w:val="true"/>
          <w:lang w:bidi="fa-IR"/>
        </w:rPr>
        <w:t xml:space="preserve">عنه العلم بالخلاف، و آخر </w:t>
      </w:r>
      <w:r>
        <w:rPr>
          <w:rStyle w:val="FootnoteAnchor"/>
          <w:rtl w:val="true"/>
        </w:rPr>
        <w:footnoteReference w:id="327"/>
      </w:r>
      <w:r>
        <w:rPr>
          <w:rFonts w:ascii="IRNazanin" w:hAnsi="IRNazanin" w:eastAsia="IRNazanin"/>
          <w:color w:val="111111"/>
          <w:sz w:val="28"/>
          <w:sz w:val="28"/>
          <w:szCs w:val="28"/>
          <w:rtl w:val="true"/>
          <w:lang w:bidi="fa-IR"/>
        </w:rPr>
        <w:t xml:space="preserve">نسبه إلى المشهور، و نفى شارحه </w:t>
      </w:r>
      <w:r>
        <w:rPr>
          <w:rStyle w:val="FootnoteAnchor"/>
          <w:rtl w:val="true"/>
        </w:rPr>
        <w:footnoteReference w:id="328"/>
      </w:r>
      <w:r>
        <w:rPr>
          <w:rFonts w:ascii="Amiri" w:hAnsi="Amiri" w:eastAsia="Amiri" w:cs="Amiri"/>
          <w:color w:val="111111"/>
          <w:sz w:val="28"/>
          <w:sz w:val="28"/>
          <w:szCs w:val="28"/>
          <w:rtl w:val="true"/>
          <w:lang w:bidi="ar-SA"/>
        </w:rPr>
        <w:t>ظهور وجه النجاسة فيه بأنّ غايته انقطاع اتّصاله بمرتفعه فيكون بحكم القليل، و في الوجه بليغ حزازة؛ إذ الانقطاع مع فرض الجريان متهافت، فإنّ الماء بالفرض يجري إلى ما تحت، و كون في البين ماء نجس لا يدفع الطهارة و لا يوجب النجاسة و الجريان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الطهارة، و عموم دليل انفعال القليل غير مرضيّ شموله، و نجاسة هذا الماء بلا برهان معتمد لا يسلم، و الشهرة و عدم القول بالفصل يقضى به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بعد الوقوف على مقالته لم نقف على رأيه و معتمده فيه و إن سبق للذهن الميل إلى الطهارة منه إلَّا أنّ ركونه طوراً إلى كونه من الماء الجاري فيشمله حكمه فإن كان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طهارة الجاري مشروطة باتّصاله بالمادّة بلا واسطة، أو بوسائط لا تحجبها عن التأثير فيه دون مطلق الاتّصال و لو مع الحجب، إذ به يكون سبيله سبيل الجاري لا عن مادّة </w:t>
      </w:r>
    </w:p>
    <w:p>
      <w:pPr>
        <w:pStyle w:val="BookText"/>
        <w:rPr/>
      </w:pPr>
      <w:r>
        <w:rPr>
          <w:rFonts w:ascii="Amiri" w:hAnsi="Amiri" w:eastAsia="Amiri" w:cs="Amiri"/>
          <w:color w:val="111111"/>
          <w:sz w:val="28"/>
          <w:sz w:val="28"/>
          <w:szCs w:val="28"/>
          <w:rtl w:val="true"/>
          <w:lang w:bidi="ar-SA"/>
        </w:rPr>
        <w:t xml:space="preserve">و حكمه ،سبق، و النجاسة فيه أقوى و الجمّ </w:t>
      </w:r>
      <w:r>
        <w:rPr>
          <w:rStyle w:val="FootnoteAnchor"/>
          <w:rtl w:val="true"/>
        </w:rPr>
        <w:footnoteReference w:id="329"/>
      </w:r>
      <w:r>
        <w:rPr>
          <w:rFonts w:ascii="Amiri" w:hAnsi="Amiri" w:eastAsia="Amiri" w:cs="Amiri"/>
          <w:color w:val="111111"/>
          <w:sz w:val="28"/>
          <w:sz w:val="28"/>
          <w:szCs w:val="28"/>
          <w:rtl w:val="true"/>
          <w:lang w:bidi="ar-SA"/>
        </w:rPr>
        <w:t xml:space="preserve">عليها، وإطلاق المعتبر </w:t>
      </w:r>
      <w:r>
        <w:rPr>
          <w:rStyle w:val="FootnoteAnchor"/>
          <w:rtl w:val="true"/>
        </w:rPr>
        <w:footnoteReference w:id="330"/>
      </w:r>
      <w:r>
        <w:rPr>
          <w:rFonts w:ascii="Amiri" w:hAnsi="Amiri" w:eastAsia="Amiri" w:cs="Amiri"/>
          <w:color w:val="111111"/>
          <w:sz w:val="28"/>
          <w:sz w:val="28"/>
          <w:szCs w:val="28"/>
          <w:rtl w:val="true"/>
          <w:lang w:bidi="ar-SA"/>
        </w:rPr>
        <w:t>مبنيّ على الغالب في الماء الجاري فلا يعدّ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إلى أصالة الطهارة، و هو مبنيّ على منع أصالة انفعال القليل، و تعرف في طيّ المباحث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تغيّر التحت دون ما علاه لم ينجس العالي قطعاً؛ لأنه لا ينفعل من السافل سواء جرى عن مادّة أو لا عنها ، أو كان كرّاً أو نقص، هذا حال ما لو تغيّر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لاقاها و لم يكن نابعاً؛ ففي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الجاري لا عن مادّة الملاقي للنجاسة لم ينجس ما فوقها مطلقاً، و لا ما تحتها إن كان الجميع كرّاً فصاعداً إِلَّا مع التغيير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الطهارة فيه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الشارح </w:t>
      </w:r>
      <w:r>
        <w:rPr>
          <w:rStyle w:val="FootnoteAnchor"/>
          <w:rtl w:val="true"/>
        </w:rPr>
        <w:footnoteReference w:id="332"/>
      </w:r>
      <w:r>
        <w:rPr>
          <w:rFonts w:ascii="Amiri" w:hAnsi="Amiri" w:eastAsia="Amiri" w:cs="Amiri"/>
          <w:color w:val="111111"/>
          <w:sz w:val="28"/>
          <w:sz w:val="28"/>
          <w:szCs w:val="28"/>
          <w:rtl w:val="true"/>
          <w:lang w:bidi="ar-SA"/>
        </w:rPr>
        <w:t>أورد تناقضاً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بطهارة الأسفل مع الحكم بعدم تقوّي الأعلى بالمنحدر متهافت؛ إذ عدم التقوّي يوجب النجاسة في الملاقي المرتفع إذا لم يكن كرّا، و كونه مع الأسفل كرّاً لا يرفعها؛ لعدم تقوّيه به، و مثله ما لو استوعب التغيير عمود الماء نجس الأسفل و إن كان كرّاً؛ للقاعدة فإنّ أجزاء الأسفل غير متساوية لتعصمها الكرية فلا يقوّي الأسفل الأعلى منها فينفعل الأعلى بملاقاته للنجس، و لا يتقوّى بما دونه و ينفعل تاليه به و هكذا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سادَ بنجاسة ما تحت بالملاقاة مطلقاً حتّى مع الاستيعاب و الكرية، و مثله ما تخيّل من التناقض في قولي العلّامة في القواعد </w:t>
      </w:r>
      <w:r>
        <w:rPr>
          <w:rStyle w:val="FootnoteAnchor"/>
          <w:rtl w:val="true"/>
        </w:rPr>
        <w:footnoteReference w:id="333"/>
      </w:r>
      <w:r>
        <w:rPr>
          <w:rFonts w:ascii="Amiri" w:hAnsi="Amiri" w:eastAsia="Amiri" w:cs="Amiri"/>
          <w:color w:val="111111"/>
          <w:sz w:val="28"/>
          <w:sz w:val="28"/>
          <w:szCs w:val="28"/>
          <w:rtl w:val="true"/>
          <w:lang w:bidi="ar-SA"/>
        </w:rPr>
        <w:t xml:space="preserve">و التذكرة </w:t>
      </w:r>
      <w:r>
        <w:rPr>
          <w:rStyle w:val="FootnoteAnchor"/>
          <w:rtl w:val="true"/>
        </w:rPr>
        <w:footnoteReference w:id="334"/>
      </w:r>
      <w:r>
        <w:rPr>
          <w:rFonts w:ascii="Amiri" w:hAnsi="Amiri" w:eastAsia="Amiri" w:cs="Amiri"/>
          <w:color w:val="111111"/>
          <w:sz w:val="28"/>
          <w:sz w:val="28"/>
          <w:szCs w:val="28"/>
          <w:rtl w:val="true"/>
          <w:lang w:bidi="ar-SA"/>
        </w:rPr>
        <w:t xml:space="preserve">، فإنّه أطلق في الأوّل بعد اعتبار </w:t>
      </w:r>
    </w:p>
    <w:p>
      <w:pPr>
        <w:pStyle w:val="BookText"/>
        <w:rPr/>
      </w:pPr>
      <w:r>
        <w:rPr>
          <w:rFonts w:ascii="Amiri" w:hAnsi="Amiri" w:eastAsia="Amiri" w:cs="Amiri"/>
          <w:color w:val="111111"/>
          <w:sz w:val="28"/>
          <w:sz w:val="28"/>
          <w:szCs w:val="28"/>
          <w:rtl w:val="true"/>
          <w:lang w:bidi="ar-SA"/>
        </w:rPr>
        <w:t xml:space="preserve">الكرّ في الجاري اختصاص النجاسة بالمتغيّر دون ما فوقه و ما تحته، و يعطي بظاهره أنّ تساوي السطوح غير معتبر لديه في الكرّ، و تقوّي الأعلى بالأسفل ممكن، إذ لو اعتبر المساواة كما في كشف اللثام </w:t>
      </w:r>
      <w:r>
        <w:rPr>
          <w:rStyle w:val="FootnoteAnchor"/>
          <w:rtl w:val="true"/>
        </w:rPr>
        <w:footnoteReference w:id="335"/>
      </w:r>
      <w:r>
        <w:rPr>
          <w:rFonts w:ascii="Amiri" w:hAnsi="Amiri" w:eastAsia="Amiri" w:cs="Amiri"/>
          <w:color w:val="111111"/>
          <w:sz w:val="28"/>
          <w:sz w:val="28"/>
          <w:szCs w:val="28"/>
          <w:rtl w:val="true"/>
          <w:lang w:bidi="ar-SA"/>
        </w:rPr>
        <w:t>لزمه نجاسة الأسفل مطلقاً، باعتبار عدم تقوّي أوّل أجزاء ما تحته بآخره المتغيّر، و اعتبر في بالآخر مساواة السطوح أو علوّ القويّ، و لا اختصاص للتناقض المتوهّم بالتغيير بل يجري في نفس الملاقاة إذا لم يكن الملاقي بنفسه مع انضمام ما فوقه كراً؛ لعدم حصول التقوّي بالأسفل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السطوح في المياه الجارية المتعارفة الغالبة غير قادح مطلقاً و لو في غير الجاري؛ إذ لا خصوصيّة له يمتاز بها عن غيره، لحكومة العُرف بوحدة المائين في المياه الجارية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اعتبار العلوّ و المساواة في اتّصال الواقف بالجاري لمراعاة صفة الانحدار، فإنّ القليل متى كان أعلى عدّ مع الجاري و الكرّ مائين عرفاً إلَّا أن يكون الانحدار شبيهاً بالعمود كما في السكور </w:t>
      </w:r>
      <w:r>
        <w:rPr>
          <w:rStyle w:val="FootnoteAnchor"/>
          <w:rtl w:val="true"/>
        </w:rPr>
        <w:footnoteReference w:id="336"/>
      </w:r>
      <w:r>
        <w:rPr>
          <w:rFonts w:ascii="Amiri" w:hAnsi="Amiri" w:eastAsia="Amiri" w:cs="Amiri"/>
          <w:color w:val="111111"/>
          <w:sz w:val="28"/>
          <w:sz w:val="28"/>
          <w:szCs w:val="28"/>
          <w:rtl w:val="true"/>
          <w:lang w:bidi="ar-SA"/>
        </w:rPr>
        <w:t>، أشكل الأمر على اعتبار التساوي، إذ متى لاقت أوّله النجاسة و كان دون الكرّ نجس جميعاً؛ لعدم تقوّيه بأسفله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عسى العلّامة يلتزمه، و لا ينافيه إطلاق القواعد </w:t>
      </w:r>
      <w:r>
        <w:rPr>
          <w:rStyle w:val="FootnoteAnchor"/>
          <w:rtl w:val="true"/>
        </w:rPr>
        <w:footnoteReference w:id="337"/>
      </w:r>
      <w:r>
        <w:rPr>
          <w:rFonts w:ascii="Amiri" w:hAnsi="Amiri" w:eastAsia="Amiri" w:cs="Amiri"/>
          <w:color w:val="111111"/>
          <w:sz w:val="28"/>
          <w:sz w:val="28"/>
          <w:szCs w:val="28"/>
          <w:rtl w:val="true"/>
          <w:lang w:bidi="ar-SA"/>
        </w:rPr>
        <w:t xml:space="preserve">لحمله على المتعارف، فلا يتمحّل لدفعه بأنّ الحكم من خصوصيّات الجاري دون غيره عنده، أو قوله في القواعد من اختصاص النجاسة بالمتغيّر، كلامٌ مُجْمَل كما صنعه البعض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إلى هنا أنّ ملاقاة الكرّ في قول الماتن مطهّرة للنجس من الماء كالجريان و ملاقاته </w:t>
      </w:r>
    </w:p>
    <w:p>
      <w:pPr>
        <w:pStyle w:val="BookText"/>
        <w:rPr/>
      </w:pPr>
      <w:r>
        <w:rPr>
          <w:rFonts w:ascii="Amiri" w:hAnsi="Amiri" w:eastAsia="Amiri" w:cs="Amiri"/>
          <w:color w:val="111111"/>
          <w:sz w:val="28"/>
          <w:sz w:val="28"/>
          <w:szCs w:val="28"/>
          <w:rtl w:val="true"/>
          <w:lang w:bidi="ar-SA"/>
        </w:rPr>
        <w:t xml:space="preserve">دون نفس المخالطة مع ماء طاهر مطلقاً كما يقتضيه كلام العماني </w:t>
      </w:r>
      <w:r>
        <w:rPr>
          <w:rStyle w:val="FootnoteAnchor"/>
          <w:rtl w:val="true"/>
        </w:rPr>
        <w:footnoteReference w:id="339"/>
      </w:r>
      <w:r>
        <w:rPr>
          <w:rFonts w:ascii="Amiri" w:hAnsi="Amiri" w:eastAsia="Amiri" w:cs="Amiri"/>
          <w:color w:val="111111"/>
          <w:sz w:val="28"/>
          <w:sz w:val="28"/>
          <w:szCs w:val="28"/>
          <w:rtl w:val="true"/>
          <w:lang w:bidi="ar-SA"/>
        </w:rPr>
        <w:t>مستنداً فيه للاستحالة الشرعيّة أو العقليّة؛ لتضادّ النجاسة و الطهارة و عدم امتياز أجزاء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 على أنّ مراد الماتن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مقتصراً على نفس الملاقاة، مشيراً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يشترط في 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و تطهيره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إلقاؤه، و وروده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بالمباشرة أو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عند إطلاقها خلافاً لما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اعتبارها كالفاضلين </w:t>
      </w:r>
      <w:r>
        <w:rPr>
          <w:rStyle w:val="FootnoteAnchor"/>
          <w:rtl w:val="true"/>
        </w:rPr>
        <w:footnoteReference w:id="340"/>
      </w:r>
      <w:r>
        <w:rPr>
          <w:rFonts w:ascii="Amiri" w:hAnsi="Amiri" w:eastAsia="Amiri" w:cs="Amiri"/>
          <w:color w:val="111111"/>
          <w:sz w:val="28"/>
          <w:sz w:val="28"/>
          <w:szCs w:val="28"/>
          <w:rtl w:val="true"/>
          <w:lang w:bidi="ar-SA"/>
        </w:rPr>
        <w:t xml:space="preserve">و الماتن في الدروس </w:t>
      </w:r>
      <w:r>
        <w:rPr>
          <w:rStyle w:val="FootnoteAnchor"/>
          <w:rtl w:val="true"/>
        </w:rPr>
        <w:footnoteReference w:id="341"/>
      </w:r>
      <w:r>
        <w:rPr>
          <w:rFonts w:ascii="IRNazanin" w:hAnsi="IRNazanin" w:eastAsia="IRNazanin"/>
          <w:color w:val="111111"/>
          <w:sz w:val="28"/>
          <w:sz w:val="28"/>
          <w:szCs w:val="28"/>
          <w:rtl w:val="true"/>
          <w:lang w:bidi="fa-IR"/>
        </w:rPr>
        <w:t xml:space="preserve">و لواحقهم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ادّعى المحقق الثاني </w:t>
      </w:r>
      <w:r>
        <w:rPr>
          <w:rStyle w:val="FootnoteAnchor"/>
          <w:rtl w:val="true"/>
        </w:rPr>
        <w:footnoteReference w:id="343"/>
      </w:r>
      <w:r>
        <w:rPr>
          <w:rFonts w:ascii="Amiri" w:hAnsi="Amiri" w:eastAsia="Amiri" w:cs="Amiri"/>
          <w:color w:val="111111"/>
          <w:sz w:val="28"/>
          <w:sz w:val="28"/>
          <w:szCs w:val="28"/>
          <w:rtl w:val="true"/>
          <w:lang w:bidi="ar-SA"/>
        </w:rPr>
        <w:t xml:space="preserve">ورود النصّ بعد نسبته له إلى الأصحاب، فإرجاع الشهرة إلى الأمرين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لائق، و لم يعتبرها جماعة من المتأخّرين مدّعين لحوقهم للقدماء في العدم؛ لعدم وجود اعتبارها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 في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حاجة إلى الدفعة في التطهير بالاتّصال بالكرّ، بل المدار على اتّصاله متّصلاً لا منفصلاً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تبعه ولده الوالد رحمه الله في أنوار فقاهته </w:t>
      </w:r>
      <w:r>
        <w:rPr>
          <w:rStyle w:val="FootnoteAnchor"/>
          <w:rtl w:val="true"/>
        </w:rPr>
        <w:footnoteReference w:id="345"/>
      </w:r>
      <w:r>
        <w:rPr>
          <w:rFonts w:ascii="IRNazanin" w:hAnsi="IRNazanin" w:eastAsia="IRNazanin"/>
          <w:color w:val="111111"/>
          <w:sz w:val="28"/>
          <w:sz w:val="28"/>
          <w:szCs w:val="28"/>
          <w:rtl w:val="true"/>
          <w:lang w:bidi="fa-IR"/>
        </w:rPr>
        <w:t xml:space="preserve">، و مالَ عنه الماتن و الشارح بعد اعترافه بشهرته لا مطلقاً في الكتاب، فلا تعتبر الدفعة،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تكفي ملاقاته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نجاسته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إحراز كرّيته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دفعةً كان الإلقاء أو تدريجاً؛ لعموم أدلّة طهوريّة الماء، و أصالة عدم اشتراط ء شیء آخر، و لسريان الطهارة من كلّ جزء إلى الجزء الآخر،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الصيرورتهما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الباعثة </w:t>
      </w:r>
    </w:p>
    <w:p>
      <w:pPr>
        <w:pStyle w:val="BookText"/>
        <w:rPr/>
      </w:pPr>
      <w:r>
        <w:rPr>
          <w:rFonts w:ascii="Amiri" w:hAnsi="Amiri" w:eastAsia="Amiri" w:cs="Amiri"/>
          <w:color w:val="111111"/>
          <w:sz w:val="28"/>
          <w:sz w:val="28"/>
          <w:szCs w:val="28"/>
          <w:rtl w:val="true"/>
          <w:lang w:bidi="ar-SA"/>
        </w:rPr>
        <w:t xml:space="preserve">للتساوي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تجزّيه بالنجاسة و الطهارة مستهجن، و الحكم بنجاسة بعض صوره مع وحدته عرفاً و ضعف المستند له تحكّم، و الماتن في الدروس </w:t>
      </w:r>
      <w:r>
        <w:rPr>
          <w:rStyle w:val="FootnoteAnchor"/>
          <w:rtl w:val="true"/>
        </w:rPr>
        <w:footnoteReference w:id="346"/>
      </w:r>
      <w:r>
        <w:rPr>
          <w:rFonts w:ascii="Amiri" w:hAnsi="Amiri" w:eastAsia="Amiri" w:cs="Amiri"/>
          <w:color w:val="111111"/>
          <w:sz w:val="28"/>
          <w:sz w:val="28"/>
          <w:szCs w:val="28"/>
          <w:rtl w:val="true"/>
          <w:lang w:bidi="ar-SA"/>
        </w:rPr>
        <w:t xml:space="preserve">يظهر منه الوحدة المزبورة في عبارته السابقة في الجاري، و استظهر بعضهم </w:t>
      </w:r>
      <w:r>
        <w:rPr>
          <w:rStyle w:val="FootnoteAnchor"/>
          <w:rtl w:val="true"/>
        </w:rPr>
        <w:footnoteReference w:id="347"/>
      </w:r>
      <w:r>
        <w:rPr>
          <w:rFonts w:ascii="Amiri" w:hAnsi="Amiri" w:eastAsia="Amiri" w:cs="Amiri"/>
          <w:color w:val="111111"/>
          <w:sz w:val="28"/>
          <w:sz w:val="28"/>
          <w:szCs w:val="28"/>
          <w:rtl w:val="true"/>
          <w:lang w:bidi="ar-SA"/>
        </w:rPr>
        <w:t>الوحدة من الأصحاب حتّى عند من اشترط تساوي السطوح في الطهارة و النجاسة؛ لتصريحهم بأنّ العالي إذا كان كرّاً فصاعداً لم يتنجّس السافل في الملاقاة، فهم يرون الاتّحاد، و سيجيء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نسبة جامع المقاصد </w:t>
      </w:r>
      <w:r>
        <w:rPr>
          <w:rStyle w:val="FootnoteAnchor"/>
          <w:rtl w:val="true"/>
        </w:rPr>
        <w:footnoteReference w:id="348"/>
      </w:r>
      <w:r>
        <w:rPr>
          <w:rFonts w:ascii="Amiri" w:hAnsi="Amiri" w:eastAsia="Amiri" w:cs="Amiri"/>
          <w:color w:val="111111"/>
          <w:sz w:val="28"/>
          <w:sz w:val="28"/>
          <w:szCs w:val="28"/>
          <w:rtl w:val="true"/>
          <w:lang w:bidi="ar-SA"/>
        </w:rPr>
        <w:t xml:space="preserve">ذلك إلى الأصحاب و النصّ، يدفعه عدم العثور عليه لأحدٍ قبل الفاضلين لا نصّاً و لا إشارةً، و إن لم يكن العكس ظاهراً منهم، و كذا نصّه المرسل </w:t>
      </w:r>
      <w:r>
        <w:rPr>
          <w:rStyle w:val="FootnoteAnchor"/>
          <w:rtl w:val="true"/>
        </w:rPr>
        <w:footnoteReference w:id="349"/>
      </w:r>
      <w:r>
        <w:rPr>
          <w:rFonts w:ascii="Amiri" w:hAnsi="Amiri" w:eastAsia="Amiri" w:cs="Amiri"/>
          <w:color w:val="111111"/>
          <w:sz w:val="28"/>
          <w:sz w:val="28"/>
          <w:szCs w:val="28"/>
          <w:rtl w:val="true"/>
          <w:lang w:bidi="ar-SA"/>
        </w:rPr>
        <w:t>لعدم حكايته و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ردّه بأنّ عدم الوجدان لا يقضي بعدم الوجود </w:t>
      </w:r>
      <w:r>
        <w:rPr>
          <w:rStyle w:val="FootnoteAnchor"/>
          <w:rtl w:val="true"/>
        </w:rPr>
        <w:footnoteReference w:id="350"/>
      </w:r>
      <w:r>
        <w:rPr>
          <w:rFonts w:ascii="Amiri" w:hAnsi="Amiri" w:eastAsia="Amiri" w:cs="Amiri"/>
          <w:color w:val="111111"/>
          <w:sz w:val="28"/>
          <w:sz w:val="28"/>
          <w:szCs w:val="28"/>
          <w:rtl w:val="true"/>
          <w:lang w:bidi="ar-SA"/>
        </w:rPr>
        <w:t>، فيجري مجرى الرواية المرسلة المعمول عليها بعد الانجبار، و الجابر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يثبت بإرساله ورود خبر ما في بابه، أمّا كون الخبر نصّاً في المطلوب لفهمه دلالته عليه و رضاه به فلا وقع له؛ لأنه لا يجري قطعاً مجرى الرواية المصطلحة، و حكم البعض </w:t>
      </w:r>
      <w:r>
        <w:rPr>
          <w:rStyle w:val="FootnoteAnchor"/>
          <w:rtl w:val="true"/>
        </w:rPr>
        <w:footnoteReference w:id="351"/>
      </w:r>
      <w:r>
        <w:rPr>
          <w:rFonts w:ascii="IRNazanin" w:hAnsi="IRNazanin" w:eastAsia="IRNazanin"/>
          <w:color w:val="111111"/>
          <w:sz w:val="28"/>
          <w:sz w:val="28"/>
          <w:szCs w:val="28"/>
          <w:rtl w:val="true"/>
          <w:lang w:bidi="fa-IR"/>
        </w:rPr>
        <w:t>بالرجوع إلى عبائر بعض القدماء عند إعواز النصوص؛ لانهم يرون أنّ تلك الألفاظ واردة من الإمام علیه السلام فهي أخبار و يجري فيها جميع ما يجري فيها، إلّا أنّهم يجعلون حكمهم بالحكم كاشفاً عن ورود خبر به، و ليس لذلك الخبر معنى غيره فيأخذون 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نشأ الاشتباه و لم يتفطّن إلى أنّ الشهرة اللائقة في الجبر لو شملت شهرة </w:t>
      </w:r>
    </w:p>
    <w:p>
      <w:pPr>
        <w:pStyle w:val="BookText"/>
        <w:rPr/>
      </w:pPr>
      <w:r>
        <w:rPr>
          <w:rFonts w:ascii="Amiri" w:hAnsi="Amiri" w:eastAsia="Amiri" w:cs="Amiri"/>
          <w:color w:val="111111"/>
          <w:sz w:val="28"/>
          <w:sz w:val="28"/>
          <w:szCs w:val="28"/>
          <w:rtl w:val="true"/>
          <w:lang w:bidi="ar-SA"/>
        </w:rPr>
        <w:t>المتأخرّين إنّما تكون جابرة إذا لم يكن مستندها غير الخبر الموافق لها، و الناظر في كلامهم في المقام يراهم بمعزل عن ذلك؛ لركونهم فيه إلى الاستصحاب طوراً، و إلى القدر المتيقّن آخر، و غير ذلك، على أن المصرّح بها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الأردبيلي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يعثر بقائله و لا بوجهه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فلم يعتبرها الشهيدان في كتبهما إلّا في الدروس </w:t>
      </w:r>
      <w:r>
        <w:rPr>
          <w:rStyle w:val="FootnoteAnchor"/>
          <w:rtl w:val="true"/>
        </w:rPr>
        <w:footnoteReference w:id="353"/>
      </w:r>
      <w:r>
        <w:rPr>
          <w:rFonts w:ascii="Amiri" w:hAnsi="Amiri" w:eastAsia="Amiri" w:cs="Amiri"/>
          <w:color w:val="111111"/>
          <w:sz w:val="28"/>
          <w:sz w:val="28"/>
          <w:szCs w:val="28"/>
          <w:rtl w:val="true"/>
          <w:lang w:bidi="ar-SA"/>
        </w:rPr>
        <w:t xml:space="preserve">و لعلّ ذلك 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الدفعة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معنى؛ لتعذّر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ملاقاة جميع الأجزاء في آن واحد عادةً لا بالإمكان المطلق؛ فينحصر مرادهم بإرادة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الدليل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لخلوّ النصوص عن طرق التطهير يكفي في العدم، و هذا الدليل يبطل الحقيقة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ميله عنه فيه رمز إلى اعتباره لولا الامتناع، فلا يرد لزوم تنجيس أوّل أجزاء الكرّ لو لم تعتبر الدفعة، فإنّه يتمّ لو كانت حقيقيّة، و لا يقضي باعتبار العرفيّة عند تعذّرها، فكأنّ دليل اعتبار الدفعة عنده منحصر به، و هو لا يثبت إلّا الحقيقيّة،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عدم اشتراطها منهما غير وجيه؛ إذ لو فسّرنا الدفعة بما يقابل الدفعات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الطهر بإلقائه شيئاً فشيئاً حتّى يبلغ الكرّ أو يلقى و يقطع منه شيئاً قبل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اشتراطها لإخراج الفرضين المزبورين مطلقاً حتّى على القول بعدم نجاسة القليل؛ لأنّ المراد أنّه يحصل به التطهير، و يمكن إدخال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لاقى كرّاً؛ لأنّ اعتباره في الملقى يُغني عن التلفّظ بها مع تفسير بعض </w:t>
      </w:r>
      <w:r>
        <w:rPr>
          <w:rStyle w:val="FootnoteAnchor"/>
          <w:rtl w:val="true"/>
        </w:rPr>
        <w:footnoteReference w:id="354"/>
      </w:r>
      <w:r>
        <w:rPr>
          <w:rFonts w:ascii="Amiri" w:hAnsi="Amiri" w:eastAsia="Amiri" w:cs="Amiri"/>
          <w:color w:val="111111"/>
          <w:sz w:val="28"/>
          <w:sz w:val="28"/>
          <w:szCs w:val="28"/>
          <w:rtl w:val="true"/>
          <w:lang w:bidi="ar-SA"/>
        </w:rPr>
        <w:t>من اعتبرها بغير المعنيين فلا يرد شمول المتن و الشرح للفرضين، فإنّ الاتّصال في موضوع الكرّ المستنبط معتبر بشهادة التبادر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في الأخير؛ لأنّ المحقّق من مناط التطهير ملاقاة الكرّ للنجس إمّا مطلقاً أو مع الامتزاج، فإذا فرض حصول الاتّصال أو الامتزاج فقد حصل التطهير، و لا يعبأ بعده </w:t>
      </w:r>
    </w:p>
    <w:p>
      <w:pPr>
        <w:pStyle w:val="BookText"/>
        <w:rPr/>
      </w:pPr>
      <w:r>
        <w:rPr>
          <w:rFonts w:ascii="Amiri" w:hAnsi="Amiri" w:eastAsia="Amiri" w:cs="Amiri"/>
          <w:color w:val="111111"/>
          <w:sz w:val="28"/>
          <w:sz w:val="28"/>
          <w:szCs w:val="28"/>
          <w:rtl w:val="true"/>
          <w:lang w:bidi="ar-SA"/>
        </w:rPr>
        <w:t xml:space="preserve">بانقطاع أجزاء الكرّ؛ إذ لا وجه لبقاء الكرّ على حاله و عدم عروض الفصل في أجزائه دائماً، كما في الوصل بين غديرين أحدهما كرّ و الآخر نجس، فإذا طهر النجس بالاتّصال لا فرق بين بقائهما متّصلين أو انقطاع أحدهما عن صاحبه، كذا قرّر الأستاذ رحمه الله </w:t>
      </w:r>
      <w:r>
        <w:rPr>
          <w:rStyle w:val="FootnoteAnchor"/>
          <w:rtl w:val="true"/>
        </w:rPr>
        <w:footnoteReference w:id="355"/>
      </w:r>
      <w:r>
        <w:rPr>
          <w:rFonts w:ascii="Amiri" w:hAnsi="Amiri" w:eastAsia="Amiri" w:cs="Amiri"/>
          <w:color w:val="111111"/>
          <w:sz w:val="28"/>
          <w:sz w:val="28"/>
          <w:szCs w:val="28"/>
          <w:rtl w:val="true"/>
          <w:lang w:bidi="ar-SA"/>
        </w:rPr>
        <w:t>، لكنّه رأى أنّ المراد من عدم تخلّل الانقطاع الملازم للدفعة هو الحذر عن اختلاف سطوح الكرّ، فيكون له وجه لولا رجوعه إلى ثالث معانيها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الاتّفاق على اعتبارها بمعنييها، مضافاً إلى جميع ما قضى بانفعال القليل و لا نقض بماء الحمّام المطهّر و لو بلغ ما في الحياض مع المادّة كرّاً، فإنّ القائل به لا يسرّيه إلى غيره؛ لخروجه بالنّص </w:t>
      </w:r>
      <w:r>
        <w:rPr>
          <w:rStyle w:val="FootnoteAnchor"/>
          <w:rtl w:val="true"/>
        </w:rPr>
        <w:footnoteReference w:id="356"/>
      </w:r>
      <w:r>
        <w:rPr>
          <w:rFonts w:ascii="Amiri" w:hAnsi="Amiri" w:eastAsia="Amiri" w:cs="Amiri"/>
          <w:color w:val="111111"/>
          <w:sz w:val="28"/>
          <w:sz w:val="28"/>
          <w:szCs w:val="28"/>
          <w:rtl w:val="true"/>
          <w:lang w:bidi="ar-SA"/>
        </w:rPr>
        <w:t xml:space="preserve">و عموم البلوى كما في الذكرى </w:t>
      </w:r>
      <w:r>
        <w:rPr>
          <w:rStyle w:val="FootnoteAnchor"/>
          <w:rtl w:val="true"/>
        </w:rPr>
        <w:footnoteReference w:id="357"/>
      </w:r>
      <w:r>
        <w:rPr>
          <w:rFonts w:ascii="Amiri" w:hAnsi="Amiri" w:eastAsia="Amiri" w:cs="Amiri"/>
          <w:color w:val="111111"/>
          <w:sz w:val="28"/>
          <w:sz w:val="28"/>
          <w:szCs w:val="28"/>
          <w:rtl w:val="true"/>
          <w:lang w:bidi="ar-SA"/>
        </w:rPr>
        <w:t xml:space="preserve">، و أيضاً نحن لا نقول به بعدُ، فسقط توهّم المحشّي رحمه الله </w:t>
      </w:r>
      <w:r>
        <w:rPr>
          <w:rStyle w:val="FootnoteAnchor"/>
          <w:rtl w:val="true"/>
        </w:rPr>
        <w:footnoteReference w:id="358"/>
      </w:r>
      <w:r>
        <w:rPr>
          <w:rFonts w:ascii="Amiri" w:hAnsi="Amiri" w:eastAsia="Amiri" w:cs="Amiri"/>
          <w:color w:val="111111"/>
          <w:sz w:val="28"/>
          <w:sz w:val="28"/>
          <w:szCs w:val="28"/>
          <w:rtl w:val="true"/>
          <w:lang w:bidi="ar-SA"/>
        </w:rPr>
        <w:t>بعد ما عرفت من دخول المعنيين في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فسّرنا الدفعة بما يقابل وقوع الكرّ تسنيما، بمعنى علوّ سطح الكرّ يسيراً على المنفعل، فيظهر اعتبارها من غير واحد </w:t>
      </w:r>
      <w:r>
        <w:rPr>
          <w:rStyle w:val="FootnoteAnchor"/>
          <w:rtl w:val="true"/>
        </w:rPr>
        <w:footnoteReference w:id="359"/>
      </w:r>
      <w:r>
        <w:rPr>
          <w:rFonts w:ascii="Amiri" w:hAnsi="Amiri" w:eastAsia="Amiri" w:cs="Amiri"/>
          <w:color w:val="111111"/>
          <w:sz w:val="28"/>
          <w:sz w:val="28"/>
          <w:szCs w:val="28"/>
          <w:rtl w:val="true"/>
          <w:lang w:bidi="ar-SA"/>
        </w:rPr>
        <w:t xml:space="preserve">، لنجاسة الملاقي من أوّل أجزاء الكرّ فينقص عنه و ينجس، و لا كذلك لو اعتبرت، و بذا ردّ الكركي </w:t>
      </w:r>
      <w:r>
        <w:rPr>
          <w:rStyle w:val="FootnoteAnchor"/>
          <w:rtl w:val="true"/>
        </w:rPr>
        <w:footnoteReference w:id="360"/>
      </w:r>
      <w:r>
        <w:rPr>
          <w:rFonts w:ascii="Amiri" w:hAnsi="Amiri" w:eastAsia="Amiri" w:cs="Amiri"/>
          <w:color w:val="111111"/>
          <w:sz w:val="28"/>
          <w:sz w:val="28"/>
          <w:szCs w:val="28"/>
          <w:rtl w:val="true"/>
          <w:lang w:bidi="ar-SA"/>
        </w:rPr>
        <w:t xml:space="preserve">الماتن في الذكرى </w:t>
      </w:r>
      <w:r>
        <w:rPr>
          <w:rStyle w:val="FootnoteAnchor"/>
          <w:rtl w:val="true"/>
        </w:rPr>
        <w:footnoteReference w:id="361"/>
      </w:r>
      <w:r>
        <w:rPr>
          <w:rFonts w:ascii="Amiri" w:hAnsi="Amiri" w:eastAsia="Amiri" w:cs="Amiri"/>
          <w:color w:val="111111"/>
          <w:sz w:val="28"/>
          <w:sz w:val="28"/>
          <w:szCs w:val="28"/>
          <w:rtl w:val="true"/>
          <w:lang w:bidi="ar-SA"/>
        </w:rPr>
        <w:t>لمّا اكتفى بالاتّصال في التطهير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بعض </w:t>
      </w:r>
      <w:r>
        <w:rPr>
          <w:rStyle w:val="FootnoteAnchor"/>
          <w:rtl w:val="true"/>
        </w:rPr>
        <w:footnoteReference w:id="362"/>
      </w:r>
      <w:r>
        <w:rPr>
          <w:rFonts w:ascii="Amiri" w:hAnsi="Amiri" w:eastAsia="Amiri" w:cs="Amiri"/>
          <w:color w:val="111111"/>
          <w:sz w:val="28"/>
          <w:sz w:val="28"/>
          <w:szCs w:val="28"/>
          <w:rtl w:val="true"/>
          <w:lang w:bidi="ar-SA"/>
        </w:rPr>
        <w:t>من تأخّر عنه بكفاية بلوغ المطهّر كرّاً حين الاتّصال إذا لم تغيّر بعضه النجاسة، و لا ضَيْر في نقصانه بعد ذلك، مع أنّ مجرّد الاتّصال لا يوجب النقصان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مرجعه إلى شمول إطلاقات التطهير لمثله و عدم عموم أدلّة الانفعال له، و هو مصادرة، مع أنّ الرّد و جوابه بعد البناء على نقصان الكرّ، و هو ممنوع؛ إذ الجزء الملاقي و إن نقص الكرّ بملاقاته إلّا أنّه مع ما يليه من الأجزاء كُرٌّ ، و هو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شيخ أساتيدنا رحمه الله </w:t>
      </w:r>
      <w:r>
        <w:rPr>
          <w:rStyle w:val="FootnoteAnchor"/>
          <w:rtl w:val="true"/>
        </w:rPr>
        <w:footnoteReference w:id="363"/>
      </w:r>
      <w:r>
        <w:rPr>
          <w:rFonts w:ascii="Amiri" w:hAnsi="Amiri" w:eastAsia="Amiri" w:cs="Amiri"/>
          <w:color w:val="111111"/>
          <w:sz w:val="28"/>
          <w:sz w:val="28"/>
          <w:szCs w:val="28"/>
          <w:rtl w:val="true"/>
          <w:lang w:bidi="ar-SA"/>
        </w:rPr>
        <w:t xml:space="preserve">أنّ اشتراط الدفعة لجهة توقّف الامتزاج عليها المفروغ من شرطيّته، مستظهراً ذلك من اقتصار القائلين بالامتزاج على اشتراطها كالفاضلين </w:t>
      </w:r>
      <w:r>
        <w:rPr>
          <w:rStyle w:val="FootnoteAnchor"/>
          <w:rtl w:val="true"/>
        </w:rPr>
        <w:footnoteReference w:id="364"/>
      </w:r>
      <w:r>
        <w:rPr>
          <w:rFonts w:ascii="IRNazanin" w:hAnsi="IRNazanin" w:eastAsia="IRNazanin"/>
          <w:color w:val="111111"/>
          <w:sz w:val="28"/>
          <w:sz w:val="28"/>
          <w:szCs w:val="28"/>
          <w:rtl w:val="true"/>
          <w:lang w:bidi="fa-IR"/>
        </w:rPr>
        <w:t xml:space="preserve">و الماتن و السرائر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المحشّي </w:t>
      </w:r>
      <w:r>
        <w:rPr>
          <w:rStyle w:val="FootnoteAnchor"/>
          <w:rtl w:val="true"/>
        </w:rPr>
        <w:footnoteReference w:id="366"/>
      </w:r>
      <w:r>
        <w:rPr>
          <w:rFonts w:ascii="Amiri" w:hAnsi="Amiri" w:eastAsia="Amiri" w:cs="Amiri"/>
          <w:color w:val="111111"/>
          <w:sz w:val="28"/>
          <w:sz w:val="28"/>
          <w:szCs w:val="28"/>
          <w:rtl w:val="true"/>
          <w:lang w:bidi="ar-SA"/>
        </w:rPr>
        <w:t>في ردّه الشارح بأنّ الامتزاج الحاصل من الدفعة لا خلاف فيه، و اعتذر للكركي حيث اعتبر الدفعة، و نفى اعتبار الامتزاج بتخصيصه بصورة الإلقاء، فراراً عن اختلاف سطوح الكرّ؛ لعدم تقوّي العالي بالسافل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الوصل فلا يرى اعتبار الدفعة، فينحلّ كلامه إلى اعتبار تساوي السطوح الذي تلزمه الدفعة، فكان اعتبارها من التعبير باللّازم، و أيّد ذلك بردّه المتقدّم للماتن في عدم اشتراطها بأنّ وصول أوّل جزء منه إلى النجس يوجب نقصانه عن الكرّ فلا يظهر، فهو من النافين لاعتبار الدفعة، و يلزمه عدم الاعتبار فيما زاد على الكرّ فألقي و بقي المرتفع كرّاً لعدم الانفعال، و لعلّ له وجهاً خلافاً لظاهر كلامهم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أيّده أيضاً بالقطع في حصول التطهير بين الغديرين المتّصلين إذا خالط الكثير الطاهر منهما النجس حتّى عند الكركي </w:t>
      </w:r>
      <w:r>
        <w:rPr>
          <w:rStyle w:val="FootnoteAnchor"/>
          <w:rtl w:val="true"/>
        </w:rPr>
        <w:footnoteReference w:id="367"/>
      </w:r>
      <w:r>
        <w:rPr>
          <w:rFonts w:ascii="Amiri" w:hAnsi="Amiri" w:eastAsia="Amiri" w:cs="Amiri"/>
          <w:color w:val="111111"/>
          <w:sz w:val="28"/>
          <w:sz w:val="28"/>
          <w:szCs w:val="28"/>
          <w:rtl w:val="true"/>
          <w:lang w:bidi="ar-SA"/>
        </w:rPr>
        <w:t>، و هو حسن لولا أنّه قاض بمقدّميّة اعتبار الدفعة، و هو خلاف كلّ من اعتبرها و جعلها شرطاً مستقلّاً ، و ركن المحشّي في اعتبارها بهذا المعنى إلى استصحاب النجاسة و بقائها بغيرها و إلى قاعدة الاحتياط،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الحكم بتطهيره </w:t>
      </w:r>
    </w:p>
    <w:p>
      <w:pPr>
        <w:pStyle w:val="BookText"/>
        <w:rPr/>
      </w:pPr>
      <w:r>
        <w:rPr>
          <w:rFonts w:ascii="Amiri" w:hAnsi="Amiri" w:eastAsia="Amiri" w:cs="Amiri"/>
          <w:color w:val="111111"/>
          <w:sz w:val="28"/>
          <w:sz w:val="28"/>
          <w:szCs w:val="28"/>
          <w:rtl w:val="true"/>
          <w:lang w:bidi="ar-SA"/>
        </w:rPr>
        <w:t>من قاطع يقطع ما ثبت من نجاسة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الإجماع على التطهير بها يكفي لنا في الحكم بتطهيره اعتبارها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لحوق إطلاق المتن و الشرح في العدم هنا؛ لردّ النّص و الإجماع بما عرفت، و لردّ لزوم تساوي السطح المتوقّف عليها بعدم تمامه في جميع صور الإلقاء المتّفق على كفاية بعضها كصورة الزيادة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في الحوضين و الغديرين اللذين بينهما ساقية و امتزجا ثمّ منع عدم تقوّي السافل بالعالي؛ لحكم العرف بوحدة المائين، و ما لم يتّحد عرفاً كالعالي المستقلّ عن السافل الذي بينهما ساقية يدخل بالجاري لا عن مادّة فيطهر بناءً عليه أو ينجس أو يخرج بدليله، بخلاف الماء الملقى على النجس لمعلوميّة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قول المحشّي بتسليم اعتبارها في صورة الامتزاج لا مطلقاً، و الإجماع المدّعى على التطهير بها و لو في غير صورة الامتزاج أوّل المرافعة، و إرجاع الخلاف إلى صورة خلوّ الامتزاج من الدفعة لا خلوّها عنه، قول مرفوض؛ لرجوعه إلى الخلاف في المزج دونها، و سيجيء توضيحه،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سالف كلماتنا في الجاري ربّما يفيد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الخلاف هنا بعد الفراغ من عدم الطهارة في مسألة التتميم الماضية، و أمّا على القول بها فلا وجه لاعتبارها، و كذا نبّه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لاقى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له بصورة حصول الامتزاج؛ ليدلّ بإطلاقه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ممازجته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التغيير سواء كان قبلها أو بها أو بعدها، بنفسه أو بعلاج ما لم يسرِ التغيير للملقى فينفعل الجميع على اختياره، و الخلاف في المسألة شائع بين الطبقة الثانية حتّى كان القولان متكافئين إن لم يرجّح عدم اعتباره كما في الكتاب متناً و شرحاً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الطبقة الأولى، فقال بعض المحقّقين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منهم كلاماً ناصّاً على شيء من </w:t>
      </w:r>
    </w:p>
    <w:p>
      <w:pPr>
        <w:pStyle w:val="BookText"/>
        <w:rPr/>
      </w:pPr>
      <w:r>
        <w:rPr>
          <w:rFonts w:ascii="Amiri" w:hAnsi="Amiri" w:eastAsia="Amiri" w:cs="Amiri"/>
          <w:color w:val="111111"/>
          <w:sz w:val="28"/>
          <w:sz w:val="28"/>
          <w:szCs w:val="28"/>
          <w:rtl w:val="true"/>
          <w:lang w:bidi="ar-SA"/>
        </w:rPr>
        <w:t xml:space="preserve">الطرفين، إلَّا أنّ إطلاق كلامهم يدلّ على عدم الاعتبار </w:t>
      </w:r>
      <w:r>
        <w:rPr>
          <w:rStyle w:val="FootnoteAnchor"/>
          <w:rtl w:val="true"/>
        </w:rPr>
        <w:footnoteReference w:id="36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 أنّ الماتن في الكتاب حذا حذوهم في العبارة، و استفادة الشارح العدم منها قاضٍ بفهمه ذلك منهم أيضاً، و هو كافٍ في إسناد عدمه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الفاضل المشترط في التذكرة </w:t>
      </w:r>
      <w:r>
        <w:rPr>
          <w:rStyle w:val="FootnoteAnchor"/>
          <w:rtl w:val="true"/>
        </w:rPr>
        <w:footnoteReference w:id="370"/>
      </w:r>
      <w:r>
        <w:rPr>
          <w:rFonts w:ascii="Amiri" w:hAnsi="Amiri" w:eastAsia="Amiri" w:cs="Amiri"/>
          <w:color w:val="111111"/>
          <w:sz w:val="28"/>
          <w:sz w:val="28"/>
          <w:szCs w:val="28"/>
          <w:rtl w:val="true"/>
          <w:lang w:bidi="ar-SA"/>
        </w:rPr>
        <w:t xml:space="preserve">، الذي لا يكشح عن نقل أقوال الناس إذا خالفونا، لم يسنده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منه بمرأى و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آخر، فما تفطّن له الأستاذ </w:t>
      </w:r>
      <w:r>
        <w:rPr>
          <w:rStyle w:val="FootnoteAnchor"/>
          <w:rtl w:val="true"/>
        </w:rPr>
        <w:footnoteReference w:id="371"/>
      </w:r>
      <w:r>
        <w:rPr>
          <w:rFonts w:ascii="Amiri" w:hAnsi="Amiri" w:eastAsia="Amiri" w:cs="Amiri"/>
          <w:color w:val="111111"/>
          <w:sz w:val="28"/>
          <w:sz w:val="28"/>
          <w:szCs w:val="28"/>
          <w:rtl w:val="true"/>
          <w:lang w:bidi="ar-SA"/>
        </w:rPr>
        <w:t xml:space="preserve">من استفادة ذلك من الخلاف خلاف الإنصاف إنّا و عبارته غير ظاهرة به، غايته الاستظهار من تمسّك الشيخ رحمه الله </w:t>
      </w:r>
      <w:r>
        <w:rPr>
          <w:rStyle w:val="FootnoteAnchor"/>
          <w:rtl w:val="true"/>
        </w:rPr>
        <w:footnoteReference w:id="372"/>
      </w:r>
      <w:r>
        <w:rPr>
          <w:rFonts w:ascii="Amiri" w:hAnsi="Amiri" w:eastAsia="Amiri" w:cs="Amiri"/>
          <w:color w:val="111111"/>
          <w:sz w:val="28"/>
          <w:sz w:val="28"/>
          <w:szCs w:val="28"/>
          <w:rtl w:val="true"/>
          <w:lang w:bidi="ar-SA"/>
        </w:rPr>
        <w:t xml:space="preserve">بأولويّة المتنجّس بالطهارة من عين النجاسة بأنّه لا يتمّ إلّا مع استهلاك العين النجسة، و هو موقوف على الامتزاج و إلّا لا يطهر، فلو لم يرد الامتزاج لم ينجم دليله مع الامتياز، و لبطل قياسه للمتنجّس على النجس، كذا أفاد و بتتبّعه أجاد، غير أنّ مقصود الشيخ ظاهراً هو الاستدلال على عدم انفعال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طهارة عين النجاسة بالاستهلاك،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القليل المتنجّس إذا لم يصلح لتنجيس الكرّ للأولويّة فلا بدّ من القول بطهارته لو لاقى الكرّ؛ للملازمة الشرعيّة أو العقليّة في الطهارة بين أجزاء الماء الواحد أو الاثنين المتّصلين كما سننبّه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للجواهر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أقلّ من مساواة احتمال هذا المعنى لما احتمله الأستاذ </w:t>
      </w:r>
      <w:r>
        <w:rPr>
          <w:rStyle w:val="FootnoteAnchor"/>
          <w:rtl w:val="true"/>
        </w:rPr>
        <w:footnoteReference w:id="374"/>
      </w:r>
      <w:r>
        <w:rPr>
          <w:rFonts w:ascii="IRNazanin" w:hAnsi="IRNazanin" w:eastAsia="IRNazanin"/>
          <w:color w:val="111111"/>
          <w:sz w:val="28"/>
          <w:sz w:val="28"/>
          <w:szCs w:val="28"/>
          <w:rtl w:val="true"/>
          <w:lang w:bidi="fa-IR"/>
        </w:rPr>
        <w:t xml:space="preserve">و هو كافٍ في المنع من ظهور الامتزاج من کلامه، على أنّ إطلاقه فيه كإطلاقه في غيره من زبره و إن عبّر في المبسوط </w:t>
      </w:r>
      <w:r>
        <w:rPr>
          <w:rStyle w:val="FootnoteAnchor"/>
          <w:rtl w:val="true"/>
        </w:rPr>
        <w:footnoteReference w:id="375"/>
      </w:r>
      <w:r>
        <w:rPr>
          <w:rFonts w:ascii="Amiri" w:hAnsi="Amiri" w:eastAsia="Amiri" w:cs="Amiri"/>
          <w:color w:val="111111"/>
          <w:sz w:val="28"/>
          <w:sz w:val="28"/>
          <w:szCs w:val="28"/>
          <w:rtl w:val="true"/>
          <w:lang w:bidi="ar-SA"/>
        </w:rPr>
        <w:t xml:space="preserve">بالطريان، و بالخلاف </w:t>
      </w:r>
      <w:r>
        <w:rPr>
          <w:rStyle w:val="FootnoteAnchor"/>
          <w:rtl w:val="true"/>
        </w:rPr>
        <w:footnoteReference w:id="376"/>
      </w:r>
      <w:r>
        <w:rPr>
          <w:rFonts w:ascii="Amiri" w:hAnsi="Amiri" w:eastAsia="Amiri" w:cs="Amiri"/>
          <w:color w:val="111111"/>
          <w:sz w:val="28"/>
          <w:sz w:val="28"/>
          <w:szCs w:val="28"/>
          <w:rtl w:val="true"/>
          <w:lang w:bidi="ar-SA"/>
        </w:rPr>
        <w:t xml:space="preserve">بالورود، فيظنّ منه إرادة الامتزاج في الثاني للملازمة بينه و الورود </w:t>
      </w:r>
    </w:p>
    <w:p>
      <w:pPr>
        <w:pStyle w:val="BookText"/>
        <w:rPr/>
      </w:pPr>
      <w:r>
        <w:rPr>
          <w:rFonts w:ascii="Amiri" w:hAnsi="Amiri" w:eastAsia="Amiri" w:cs="Amiri"/>
          <w:color w:val="111111"/>
          <w:sz w:val="28"/>
          <w:sz w:val="28"/>
          <w:szCs w:val="28"/>
          <w:rtl w:val="true"/>
          <w:lang w:bidi="ar-SA"/>
        </w:rPr>
        <w:t>دون الأوّل فيتمّ المدّعى، مدفوعٌ بعد عدم الملازمة أنّ عدم بيانه مع أنّه من مقاماته ممّا يوهن الظهور المزبور، و ليس هو فيها بأظهر من لفظ الإلقاء و الوقوع، و لم يزعم الظهور فيهما أحد، و أمّا باقي القدماء غيره فاحتمل الأستاذ أيضاً ذلك من بعضهم و ردّه، فكفينا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فانحصر الخلاف في المتأخّرين، و أوّل من عرف منه اعتبار شرطيّته المحقّق رحمه الله في المعتبر </w:t>
      </w:r>
      <w:r>
        <w:rPr>
          <w:rStyle w:val="FootnoteAnchor"/>
          <w:rtl w:val="true"/>
        </w:rPr>
        <w:footnoteReference w:id="377"/>
      </w:r>
      <w:r>
        <w:rPr>
          <w:rFonts w:ascii="Amiri" w:hAnsi="Amiri" w:eastAsia="Amiri" w:cs="Amiri"/>
          <w:color w:val="111111"/>
          <w:sz w:val="28"/>
          <w:sz w:val="28"/>
          <w:szCs w:val="28"/>
          <w:rtl w:val="true"/>
          <w:lang w:bidi="ar-SA"/>
        </w:rPr>
        <w:t xml:space="preserve">، و تبعه الفاضل في التذكرة </w:t>
      </w:r>
      <w:r>
        <w:rPr>
          <w:rStyle w:val="FootnoteAnchor"/>
          <w:rtl w:val="true"/>
        </w:rPr>
        <w:footnoteReference w:id="378"/>
      </w:r>
      <w:r>
        <w:rPr>
          <w:rFonts w:ascii="Amiri" w:hAnsi="Amiri" w:eastAsia="Amiri" w:cs="Amiri"/>
          <w:color w:val="111111"/>
          <w:sz w:val="28"/>
          <w:sz w:val="28"/>
          <w:szCs w:val="28"/>
          <w:rtl w:val="true"/>
          <w:lang w:bidi="ar-SA"/>
        </w:rPr>
        <w:t>في مسألة الغديرين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الماتن في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الجاري بالتدافع و الكثير بتموجّه إن بقي كرّاً فصاعداً غير متغيّر، و إلّا فبإلقاء كرّ عليه متّصل فكرّ حتّى يزول تغييره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القليل بمطهّر الكثير ممازجاً </w:t>
      </w:r>
      <w:r>
        <w:rPr>
          <w:rStyle w:val="FootnoteAnchor"/>
          <w:rtl w:val="true"/>
        </w:rPr>
        <w:footnoteReference w:id="380"/>
      </w:r>
      <w:r>
        <w:rPr>
          <w:rFonts w:ascii="Amiri" w:hAnsi="Amiri" w:eastAsia="Amiri" w:cs="Amiri"/>
          <w:color w:val="111111"/>
          <w:sz w:val="28"/>
          <w:sz w:val="28"/>
          <w:szCs w:val="28"/>
          <w:rtl w:val="true"/>
          <w:lang w:bidi="ar-SA"/>
        </w:rPr>
        <w:t>، و هو صريح في الاعتبار، غير أنّ الاتّصال الذي اعتبره إمّا أن يريد به الممازجة أو الدفعة؛ فإن كان الأوّل لغا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ممازجاً في الأخير، و إن كان الثاني لزمه اعتبار الممازجة في القليل لا في الكثير،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 بأن يريد بها الدفعة و ظنّ لزومها لها فعبّر عن الملزوم باللاّزم، فلا يظهر منه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نحمل عبارته على خصوص الممازجة، أو الأعمّ منها و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أجلى منها في عدم ظهور اعتبار الامتزاج مقالته في الذكرى أيضاً فيما لو نبع الكثير من تحته كالفوارة فامتزج طهّره،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رشحاً لم يطهر؛ لعدم الكثرة الفعليّة، هو انفعال مطلق النابع القليل و إن حصل معه الامتزاج، أو أنَّه البئر هنا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تبعهم من متأخّري المتأخّرين الآقا البهبهاني </w:t>
      </w:r>
      <w:r>
        <w:rPr>
          <w:rStyle w:val="FootnoteAnchor"/>
          <w:rtl w:val="true"/>
        </w:rPr>
        <w:footnoteReference w:id="381"/>
      </w:r>
      <w:r>
        <w:rPr>
          <w:rFonts w:ascii="Amiri" w:hAnsi="Amiri" w:eastAsia="Amiri" w:cs="Amiri"/>
          <w:color w:val="111111"/>
          <w:sz w:val="28"/>
          <w:sz w:val="28"/>
          <w:szCs w:val="28"/>
          <w:rtl w:val="true"/>
          <w:lang w:bidi="ar-SA"/>
        </w:rPr>
        <w:t xml:space="preserve">و شيخ أساتيدنا </w:t>
      </w:r>
      <w:r>
        <w:rPr>
          <w:rStyle w:val="FootnoteAnchor"/>
          <w:rtl w:val="true"/>
        </w:rPr>
        <w:footnoteReference w:id="382"/>
      </w:r>
      <w:r>
        <w:rPr>
          <w:rFonts w:ascii="Amiri" w:hAnsi="Amiri" w:eastAsia="Amiri" w:cs="Amiri"/>
          <w:color w:val="111111"/>
          <w:sz w:val="28"/>
          <w:sz w:val="28"/>
          <w:szCs w:val="28"/>
          <w:rtl w:val="true"/>
          <w:lang w:bidi="ar-SA"/>
        </w:rPr>
        <w:t xml:space="preserve">في شرحه، و أنكر </w:t>
      </w:r>
    </w:p>
    <w:p>
      <w:pPr>
        <w:pStyle w:val="BookText"/>
        <w:rPr/>
      </w:pPr>
      <w:r>
        <w:rPr>
          <w:rFonts w:ascii="Amiri" w:hAnsi="Amiri" w:eastAsia="Amiri" w:cs="Amiri"/>
          <w:color w:val="111111"/>
          <w:sz w:val="28"/>
          <w:sz w:val="28"/>
          <w:szCs w:val="28"/>
          <w:rtl w:val="true"/>
          <w:lang w:bidi="ar-SA"/>
        </w:rPr>
        <w:t xml:space="preserve">اعتباره جماعة من الأواسط </w:t>
      </w:r>
      <w:r>
        <w:rPr>
          <w:rStyle w:val="FootnoteAnchor"/>
          <w:rtl w:val="true"/>
        </w:rPr>
        <w:footnoteReference w:id="383"/>
      </w:r>
      <w:r>
        <w:rPr>
          <w:rFonts w:ascii="Amiri" w:hAnsi="Amiri" w:eastAsia="Amiri" w:cs="Amiri"/>
          <w:color w:val="111111"/>
          <w:sz w:val="28"/>
          <w:sz w:val="28"/>
          <w:szCs w:val="28"/>
          <w:rtl w:val="true"/>
          <w:lang w:bidi="ar-SA"/>
        </w:rPr>
        <w:t>، مضافاً إلى إطلاق القدماء الذي استفدنا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الفاضل في المنتهى و النهاية و التحرير؛ ففي الأوّل فيما لو كان أحد الغديرين لم يبلغ الكرّ و وصل ببالغه،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الاتّفاق واقع على أنّ تطهير ما نقص من الكرّ بإلقاء كرّ عليه، و لا شكّ أنّ المداخلة ممتنعة، فالمعتبر إذا الاتّصال الموجود هنا </w:t>
      </w:r>
      <w:r>
        <w:rPr>
          <w:rStyle w:val="FootnoteAnchor"/>
          <w:rtl w:val="true"/>
        </w:rPr>
        <w:footnoteReference w:id="3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الثاني في المسألة بعد نقله عن البعض عدم الطهارة بمجرّد الوصل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الطهارة </w:t>
      </w:r>
      <w:r>
        <w:rPr>
          <w:rStyle w:val="FootnoteAnchor"/>
          <w:rtl w:val="true"/>
        </w:rPr>
        <w:footnoteReference w:id="3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الثالث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زوال النجاسة </w:t>
      </w:r>
      <w:r>
        <w:rPr>
          <w:rStyle w:val="FootnoteAnchor"/>
          <w:rtl w:val="true"/>
        </w:rPr>
        <w:footnoteReference w:id="3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 ذلك قوله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الحوض الصغير من الحمّام إذا نجس لم يطهر بإجراء الماء إليه ما لم تغلب عليه </w:t>
      </w:r>
      <w:r>
        <w:rPr>
          <w:rStyle w:val="FootnoteAnchor"/>
          <w:rtl w:val="true"/>
        </w:rPr>
        <w:footnoteReference w:id="387"/>
      </w:r>
      <w:r>
        <w:rPr>
          <w:rFonts w:ascii="IRNazanin" w:hAnsi="IRNazanin" w:eastAsia="IRNazanin"/>
          <w:color w:val="111111"/>
          <w:sz w:val="28"/>
          <w:sz w:val="28"/>
          <w:szCs w:val="28"/>
          <w:rtl w:val="true"/>
          <w:lang w:bidi="fa-IR"/>
        </w:rPr>
        <w:t xml:space="preserve">، بحيث تستولي عليه؛ لأنّ الصادق علیه السلام لا حكم أنَّه بمنزلة الجاري </w:t>
      </w:r>
      <w:r>
        <w:rPr>
          <w:rStyle w:val="FootnoteAnchor"/>
          <w:rtl w:val="true"/>
        </w:rPr>
        <w:footnoteReference w:id="388"/>
      </w:r>
      <w:r>
        <w:rPr>
          <w:rFonts w:ascii="Amiri" w:hAnsi="Amiri" w:eastAsia="Amiri" w:cs="Amiri"/>
          <w:color w:val="111111"/>
          <w:sz w:val="28"/>
          <w:sz w:val="28"/>
          <w:szCs w:val="28"/>
          <w:rtl w:val="true"/>
          <w:lang w:bidi="ar-SA"/>
        </w:rPr>
        <w:t xml:space="preserve">، و لو تنجّس الجاري لم يطهر إلّا باستيلاء الماء عليه بحيث يزيل انفعاله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النهاية </w:t>
      </w:r>
      <w:r>
        <w:rPr>
          <w:rStyle w:val="FootnoteAnchor"/>
          <w:rtl w:val="true"/>
        </w:rPr>
        <w:footnoteReference w:id="390"/>
      </w:r>
      <w:r>
        <w:rPr>
          <w:rFonts w:ascii="Amiri" w:hAnsi="Amiri" w:eastAsia="Amiri" w:cs="Amiri"/>
          <w:color w:val="111111"/>
          <w:sz w:val="28"/>
          <w:sz w:val="28"/>
          <w:szCs w:val="28"/>
          <w:rtl w:val="true"/>
          <w:lang w:bidi="ar-SA"/>
        </w:rPr>
        <w:t xml:space="preserve">و التحرير </w:t>
      </w:r>
      <w:r>
        <w:rPr>
          <w:rStyle w:val="FootnoteAnchor"/>
          <w:rtl w:val="true"/>
        </w:rPr>
        <w:footnoteReference w:id="391"/>
      </w:r>
      <w:r>
        <w:rPr>
          <w:rFonts w:ascii="Amiri" w:hAnsi="Amiri" w:eastAsia="Amiri" w:cs="Amiri"/>
          <w:color w:val="111111"/>
          <w:sz w:val="28"/>
          <w:sz w:val="28"/>
          <w:szCs w:val="28"/>
          <w:rtl w:val="true"/>
          <w:lang w:bidi="ar-SA"/>
        </w:rPr>
        <w:t>مثله، فإنّ غاية ما تعطي عباراته اشتراط الاستيلاء المزيل للانفعال، و المتبادر منه أن لا يكون أسفل، بل إمّا أعلى أو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الممازجة فلا تفهم منه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توقّف زوال التغيير على الممازجة اعتبرت بلا خلاف، و هو خارج عن مفروض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ثاني المحقّقين رحمه الله </w:t>
      </w:r>
      <w:r>
        <w:rPr>
          <w:rStyle w:val="FootnoteAnchor"/>
          <w:rtl w:val="true"/>
        </w:rPr>
        <w:footnoteReference w:id="392"/>
      </w:r>
      <w:r>
        <w:rPr>
          <w:rFonts w:ascii="Amiri" w:hAnsi="Amiri" w:eastAsia="Amiri" w:cs="Amiri"/>
          <w:color w:val="111111"/>
          <w:sz w:val="28"/>
          <w:sz w:val="28"/>
          <w:szCs w:val="28"/>
          <w:rtl w:val="true"/>
          <w:lang w:bidi="ar-SA"/>
        </w:rPr>
        <w:t xml:space="preserve">فإنّه بالغ في ردّ اعتباره، و من متأخّري المتأخّرين الإمام الفقيه جدّي الشيخ جعفر في موضعين من كشف الغطاء </w:t>
      </w:r>
      <w:r>
        <w:rPr>
          <w:rStyle w:val="FootnoteAnchor"/>
          <w:rtl w:val="true"/>
        </w:rPr>
        <w:footnoteReference w:id="393"/>
      </w:r>
      <w:r>
        <w:rPr>
          <w:rFonts w:ascii="Amiri" w:hAnsi="Amiri" w:eastAsia="Amiri" w:cs="Amiri"/>
          <w:color w:val="111111"/>
          <w:sz w:val="28"/>
          <w:sz w:val="28"/>
          <w:szCs w:val="28"/>
          <w:rtl w:val="true"/>
          <w:lang w:bidi="ar-SA"/>
        </w:rPr>
        <w:t xml:space="preserve">لم يعتبره، و عمّي في شرح البغية </w:t>
      </w:r>
      <w:r>
        <w:rPr>
          <w:rStyle w:val="FootnoteAnchor"/>
          <w:rtl w:val="true"/>
        </w:rPr>
        <w:footnoteReference w:id="394"/>
      </w:r>
      <w:r>
        <w:rPr>
          <w:rFonts w:ascii="Amiri" w:hAnsi="Amiri" w:eastAsia="Amiri" w:cs="Amiri"/>
          <w:color w:val="111111"/>
          <w:sz w:val="28"/>
          <w:sz w:val="28"/>
          <w:szCs w:val="28"/>
          <w:rtl w:val="true"/>
          <w:lang w:bidi="ar-SA"/>
        </w:rPr>
        <w:t xml:space="preserve">، و والدي في أنوار فقاهته </w:t>
      </w:r>
      <w:r>
        <w:rPr>
          <w:rStyle w:val="FootnoteAnchor"/>
          <w:rtl w:val="true"/>
        </w:rPr>
        <w:footnoteReference w:id="395"/>
      </w:r>
      <w:r>
        <w:rPr>
          <w:rFonts w:ascii="Amiri" w:hAnsi="Amiri" w:eastAsia="Amiri" w:cs="Amiri"/>
          <w:color w:val="111111"/>
          <w:sz w:val="28"/>
          <w:sz w:val="28"/>
          <w:szCs w:val="28"/>
          <w:rtl w:val="true"/>
          <w:lang w:bidi="ar-SA"/>
        </w:rPr>
        <w:t>، و أعمامي في إفتائهم كذلك، و لعلّي أدّعي الإجماع محصّلاً عليه بين القدماء بقرينة الإطلاق، و فهم الشهيد من مثلها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مبالغة الكركي </w:t>
      </w:r>
      <w:r>
        <w:rPr>
          <w:rStyle w:val="FootnoteAnchor"/>
          <w:rtl w:val="true"/>
        </w:rPr>
        <w:footnoteReference w:id="396"/>
      </w:r>
      <w:r>
        <w:rPr>
          <w:rFonts w:ascii="Amiri" w:hAnsi="Amiri" w:eastAsia="Amiri" w:cs="Amiri"/>
          <w:color w:val="111111"/>
          <w:sz w:val="28"/>
          <w:sz w:val="28"/>
          <w:szCs w:val="28"/>
          <w:rtl w:val="true"/>
          <w:lang w:bidi="ar-SA"/>
        </w:rPr>
        <w:t xml:space="preserve">في الإنكار و موافقة كاشف اللّثام </w:t>
      </w:r>
      <w:r>
        <w:rPr>
          <w:rStyle w:val="FootnoteAnchor"/>
          <w:rtl w:val="true"/>
        </w:rPr>
        <w:footnoteReference w:id="397"/>
      </w:r>
      <w:r>
        <w:rPr>
          <w:rFonts w:ascii="Amiri" w:hAnsi="Amiri" w:eastAsia="Amiri" w:cs="Amiri"/>
          <w:color w:val="111111"/>
          <w:sz w:val="28"/>
          <w:sz w:val="28"/>
          <w:szCs w:val="28"/>
          <w:rtl w:val="true"/>
          <w:lang w:bidi="ar-SA"/>
        </w:rPr>
        <w:t>و إن ظهر منه لابدّية المزج بمجرّد الاتّصال و معلوميّة المنكر له إن لم يؤول كلامه، و الفاضل من الموافقين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فيختصّ الخلاف ببعض </w:t>
      </w:r>
      <w:r>
        <w:rPr>
          <w:rStyle w:val="FootnoteAnchor"/>
          <w:rtl w:val="true"/>
        </w:rPr>
        <w:footnoteReference w:id="398"/>
      </w:r>
      <w:r>
        <w:rPr>
          <w:rFonts w:ascii="Amiri" w:hAnsi="Amiri" w:eastAsia="Amiri" w:cs="Amiri"/>
          <w:color w:val="111111"/>
          <w:sz w:val="28"/>
          <w:sz w:val="28"/>
          <w:szCs w:val="28"/>
          <w:rtl w:val="true"/>
          <w:lang w:bidi="ar-SA"/>
        </w:rPr>
        <w:t>من تأخّر ممّن لا يعوّل على خلافهم، و الإجماع المدّعى على الاعتبار الواقع في كلام الأستاذ لم نقف على مدّعيه بالموضع المتنازع فيه، و نقله مع شدّة وقوفه أغرب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المعتبر للمزج على وجوه مدخولة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القاضي بالنجاسة المحرز موضوعه لولا المزج، و هو مبنيّ على أن مجرّد الاتّصال قبله لا يجعلهما ماءً واحداً، و لا ملازمة عقليّة أو شرعيّة بين أجزاء الماء في الطهارة و النجاسة، إذ لو ثبت الاتّحاد بالاتّصال و الملازمة بالإجماع المدّعى عليها لا يتمّ الدليل المزبور؛ لوقوع التعارض بين الاستصحابين طهارة أحدهما و نجاسة الثاني، و المفزع حينئذ إلى قاعدة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هما كما ترى، فإنّ الاتّصال القاضي بالوحدة في بعض الفروض لا ينكر حتّى عند المعتبر للمزج، لصدقه في الغديرين و الحوضين إذا ارتفع الفاضل </w:t>
      </w:r>
      <w:r>
        <w:rPr>
          <w:rStyle w:val="FootnoteAnchor"/>
          <w:rtl w:val="true"/>
        </w:rPr>
        <w:footnoteReference w:id="399"/>
      </w:r>
      <w:r>
        <w:rPr>
          <w:rFonts w:ascii="Amiri" w:hAnsi="Amiri" w:eastAsia="Amiri" w:cs="Amiri"/>
          <w:color w:val="111111"/>
          <w:sz w:val="28"/>
          <w:sz w:val="28"/>
          <w:szCs w:val="28"/>
          <w:rtl w:val="true"/>
          <w:lang w:bidi="ar-SA"/>
        </w:rPr>
        <w:t>بينهما، و تصريحهم بأنّ المياه الواقعة بجنب النهر متّحدة معه فلا محيص عن قاعدة الطهارة فيهما بعد تعارض الأصلين و التساقط، و في غيرها يثبت لو فرض بمركّب الإجماع، إذ لا مفصل في المسألة بين صورة الاتّصال في النجاسة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أنكر الملازمة بعض </w:t>
      </w:r>
      <w:r>
        <w:rPr>
          <w:rStyle w:val="FootnoteAnchor"/>
          <w:rtl w:val="true"/>
        </w:rPr>
        <w:footnoteReference w:id="400"/>
      </w:r>
      <w:r>
        <w:rPr>
          <w:rFonts w:ascii="Amiri" w:hAnsi="Amiri" w:eastAsia="Amiri" w:cs="Amiri"/>
          <w:color w:val="111111"/>
          <w:sz w:val="28"/>
          <w:sz w:val="28"/>
          <w:szCs w:val="28"/>
          <w:rtl w:val="true"/>
          <w:lang w:bidi="ar-SA"/>
        </w:rPr>
        <w:t xml:space="preserve">و منع الإجماع عليها، و آخرون </w:t>
      </w:r>
      <w:r>
        <w:rPr>
          <w:rStyle w:val="FootnoteAnchor"/>
          <w:rtl w:val="true"/>
        </w:rPr>
        <w:footnoteReference w:id="401"/>
      </w:r>
      <w:r>
        <w:rPr>
          <w:rFonts w:ascii="Amiri" w:hAnsi="Amiri" w:eastAsia="Amiri" w:cs="Amiri"/>
          <w:color w:val="111111"/>
          <w:sz w:val="28"/>
          <w:sz w:val="28"/>
          <w:szCs w:val="28"/>
          <w:rtl w:val="true"/>
          <w:lang w:bidi="ar-SA"/>
        </w:rPr>
        <w:t>زعموا عدم الوحدة بالاتّصال فلم يمنعوا أن يكون الماء الواحد المتّصل ذا حكمين و صرفوا الإجماع إلى صورة الامتزاج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من شرح المفاتيح </w:t>
      </w:r>
      <w:r>
        <w:rPr>
          <w:rStyle w:val="FootnoteAnchor"/>
          <w:rtl w:val="true"/>
        </w:rPr>
        <w:footnoteReference w:id="402"/>
      </w:r>
      <w:r>
        <w:rPr>
          <w:rFonts w:ascii="Amiri" w:hAnsi="Amiri" w:eastAsia="Amiri" w:cs="Amiri"/>
          <w:color w:val="111111"/>
          <w:sz w:val="28"/>
          <w:sz w:val="28"/>
          <w:szCs w:val="28"/>
          <w:rtl w:val="true"/>
          <w:lang w:bidi="ar-SA"/>
        </w:rPr>
        <w:t>أنّ امتزاج جزء من الماء لا يوجب سرايته إلى كلّه فيجوز أن يتبعّض بالنجاسة و الطهارة، فالكرّ عند وروده على النجس يطهّر بعض أجزائه و الباقي على النجاسة حتّى يسري الامتزاج إلى تمام الأجزاء، فالملازمة لم تثبت مطلقاً و به يسقط حديث تعارض الأصلين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إجماع كاشف اللّثام </w:t>
      </w:r>
      <w:r>
        <w:rPr>
          <w:rStyle w:val="FootnoteAnchor"/>
          <w:rtl w:val="true"/>
        </w:rPr>
        <w:footnoteReference w:id="403"/>
      </w:r>
      <w:r>
        <w:rPr>
          <w:rFonts w:ascii="Amiri" w:hAnsi="Amiri" w:eastAsia="Amiri" w:cs="Amiri"/>
          <w:color w:val="111111"/>
          <w:sz w:val="28"/>
          <w:sz w:val="28"/>
          <w:szCs w:val="28"/>
          <w:rtl w:val="true"/>
          <w:lang w:bidi="ar-SA"/>
        </w:rPr>
        <w:t xml:space="preserve">و السبزواري </w:t>
      </w:r>
      <w:r>
        <w:rPr>
          <w:rStyle w:val="FootnoteAnchor"/>
          <w:rtl w:val="true"/>
        </w:rPr>
        <w:footnoteReference w:id="404"/>
      </w:r>
      <w:r>
        <w:rPr>
          <w:rFonts w:ascii="Amiri" w:hAnsi="Amiri" w:eastAsia="Amiri" w:cs="Amiri"/>
          <w:color w:val="111111"/>
          <w:sz w:val="28"/>
          <w:sz w:val="28"/>
          <w:szCs w:val="28"/>
          <w:rtl w:val="true"/>
          <w:lang w:bidi="ar-SA"/>
        </w:rPr>
        <w:t xml:space="preserve">شارح الدروس صريح بالإطلاق الشامل لصورة الاتّصال كافٍ في قطعه، مضافاً إلى إطلاقات </w:t>
      </w:r>
      <w:r>
        <w:rPr>
          <w:rStyle w:val="FootnoteAnchor"/>
          <w:rtl w:val="true"/>
        </w:rPr>
        <w:footnoteReference w:id="405"/>
      </w:r>
      <w:r>
        <w:rPr>
          <w:rFonts w:ascii="IRNazanin" w:hAnsi="IRNazanin" w:eastAsia="IRNazanin"/>
          <w:color w:val="111111"/>
          <w:sz w:val="28"/>
          <w:sz w:val="28"/>
          <w:szCs w:val="28"/>
          <w:rtl w:val="true"/>
          <w:lang w:bidi="fa-IR"/>
        </w:rPr>
        <w:t>آيات التطهير و أدلّة ماء المطر و الحمّام الشامل لمفروض البحث، و لو زعم إهمالها كفى في المقام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رآه المطر فقد </w:t>
      </w:r>
    </w:p>
    <w:p>
      <w:pPr>
        <w:pStyle w:val="BookText"/>
        <w:rPr/>
      </w:pP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الماء لا يصيب شيئاً إلَّا طهّره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إذ صريحهما أنّ الإصابة و الرؤية تحصل بمجرّد الملاقاة من دون مزج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ردّا بضعف سندهما و قصور الدلالة؛ لأنّ الرؤية المعتبرة هي بعد حصول المزج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رؤية كلّ جزء توجب طهارته لا طهارة ما عداه، فهي معتبرة بالقياس إلى تمام الماء النجس بعد المزج و الإصابة في الثانية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التطهير و التنجيس من وادٍ واحد عرفاً، و سيجيء أنّ التنجيس يحصل بمجرّد الملاقاة، فكذلك التطهير، و احتمال الفرق بالإجماع على التنجيس دون الآخر موهون بأنّه لا مدرك له سوى أدلّة انفعال القليل؛ إذ لا نصّ عليه بخصوصه، و تلك الأدلّة لا تقضي بالمدّعى إلَّا بالصدق العرفي، و هو في الطرفين موجود، مع أنّ الالتزام به يقضي بنجاسة الأسفل ممّا وقع المطر على سطحه كالحوض مثلاً، و المعروف </w:t>
      </w:r>
      <w:r>
        <w:rPr>
          <w:rStyle w:val="FootnoteAnchor"/>
          <w:rtl w:val="true"/>
        </w:rPr>
        <w:footnoteReference w:id="408"/>
      </w:r>
      <w:r>
        <w:rPr>
          <w:rFonts w:ascii="Amiri" w:hAnsi="Amiri" w:eastAsia="Amiri" w:cs="Amiri"/>
          <w:color w:val="111111"/>
          <w:sz w:val="28"/>
          <w:sz w:val="28"/>
          <w:szCs w:val="28"/>
          <w:rtl w:val="true"/>
          <w:lang w:bidi="ar-SA"/>
        </w:rPr>
        <w:t>عدمه، و انفراده بالحكم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يقطع الاستصحاب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طهارة ما جاور الكرّ من الأجزاء عند وصوله إلى الماء النجس، فيكون حكمها حكم أجزاء الكرّ النازلة على الماء ابتداءً كالعكس، فإِنَّ صبّ الماء النجس في الكرّ شيئاً فشيئاً يورث طهارة الوارد و لو كان أكراراً نجسة، فإذا كانت الملاقاة التي هي سبب لزوال النجاسة سابقة على الورود فبورود الماء تطهر جميع الجزاء دفعة واحدة، و لا نقض بباقى المائعات غير الماء، فإنّها و إن حصلت المجاورة فيها إلّا أنّ الدليل قضى بعدم قبولها التطهير إلّا بالاستهلاك، دون الماء النجس القابل للتطهير بدونه على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طهارة غير السطح المجاور من سطوح الماء النجس، فإنّه لا دليل على طهارته، ولكنّه مشترك الورود بين المزج و عدمه؛ لاستحالة التداخل الحقيقي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الموجب للحكم بالنجاسة في غير المزج؛ لأنه القدر المتيقّن فلا يعدل </w:t>
      </w:r>
    </w:p>
    <w:p>
      <w:pPr>
        <w:pStyle w:val="BookText"/>
        <w:rPr/>
      </w:pPr>
      <w:r>
        <w:rPr>
          <w:rFonts w:ascii="Amiri" w:hAnsi="Amiri" w:eastAsia="Amiri" w:cs="Amiri"/>
          <w:color w:val="111111"/>
          <w:sz w:val="28"/>
          <w:sz w:val="28"/>
          <w:szCs w:val="28"/>
          <w:rtl w:val="true"/>
          <w:lang w:bidi="ar-SA"/>
        </w:rPr>
        <w:t xml:space="preserve">عنه بعد كون المائين متمايزين، فالأقوى بقاء كلّ واحدٍ منهما على حكمه، و هو ظاهر المعتبر </w:t>
      </w:r>
      <w:r>
        <w:rPr>
          <w:rStyle w:val="FootnoteAnchor"/>
          <w:rtl w:val="true"/>
        </w:rPr>
        <w:footnoteReference w:id="409"/>
      </w:r>
      <w:r>
        <w:rPr>
          <w:rFonts w:ascii="IRNazanin" w:hAnsi="IRNazanin" w:eastAsia="IRNazanin"/>
          <w:color w:val="111111"/>
          <w:sz w:val="28"/>
          <w:sz w:val="28"/>
          <w:szCs w:val="28"/>
          <w:rtl w:val="true"/>
          <w:lang w:bidi="fa-IR"/>
        </w:rPr>
        <w:t xml:space="preserve">و المنتهى </w:t>
      </w:r>
      <w:r>
        <w:rPr>
          <w:rStyle w:val="FootnoteAnchor"/>
          <w:rtl w:val="true"/>
        </w:rPr>
        <w:footnoteReference w:id="410"/>
      </w:r>
      <w:r>
        <w:rPr>
          <w:rFonts w:ascii="IRNazanin" w:hAnsi="IRNazanin" w:eastAsia="IRNazanin"/>
          <w:color w:val="111111"/>
          <w:sz w:val="28"/>
          <w:sz w:val="28"/>
          <w:szCs w:val="28"/>
          <w:rtl w:val="true"/>
          <w:lang w:bidi="fa-IR"/>
        </w:rPr>
        <w:t>و الماتن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الامتياز المدّعى قبل الامتزاج في الإشارة الحسّيّة لو اقتضى بقاء كلّ من المائين على حكمه لزم عدم الحكم بالاعتصام أيضاً، و تراهم يعلّلون الاعتصام بكونهما ماءً واحداً و اتّحادهما بمجرّد الوصل، و يمثّلون بالمياه الواقفة في جنب الأنهار، و يزعمون هنا بقاء النجاسة لقضية الامتياز قبل المزج، فارتجّ علينا فهم الاتّحاد الذي أثبتوه في مسألة التقوّي، و أنكروه في مسألة التطهير مع وحدة الفرض و هو اتّصال الماء بالماء العاصم، و لعلّ ذلك يوجب اليقين بأنّهم يرون الاستهلاك باعثاً على الطهارة دون الامتزاج، و إلّا فلا مفرّ عن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الأستاذ </w:t>
      </w:r>
      <w:r>
        <w:rPr>
          <w:rStyle w:val="FootnoteAnchor"/>
          <w:rtl w:val="true"/>
        </w:rPr>
        <w:footnoteReference w:id="411"/>
      </w:r>
      <w:r>
        <w:rPr>
          <w:rFonts w:ascii="Amiri" w:hAnsi="Amiri" w:eastAsia="Amiri" w:cs="Amiri"/>
          <w:color w:val="111111"/>
          <w:sz w:val="28"/>
          <w:sz w:val="28"/>
          <w:szCs w:val="28"/>
          <w:rtl w:val="true"/>
          <w:lang w:bidi="ar-SA"/>
        </w:rPr>
        <w:t>بعد أن استظهر الاستهلاك من ظاهر المتقدّمين و أيّده بالأصل و المتيقّن، عدل عنه بظهور جملة أخرى ممّن اعتبر المزج في عدمه كإجماعهم على طهر المتغيّر إذا زال تغييره بكرّ طاهر أو تكاثر الجاري، و لا ريب بعد تحقّق الاستهلاك في أوّل أزمنة زوال التغيير و لا يزيد طهر غير المتغيّر على طهره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طهر القليل بالمطر، فإنّ الشارح حكى الإجماع </w:t>
      </w:r>
      <w:r>
        <w:rPr>
          <w:rStyle w:val="FootnoteAnchor"/>
          <w:rtl w:val="true"/>
        </w:rPr>
        <w:footnoteReference w:id="412"/>
      </w:r>
      <w:r>
        <w:rPr>
          <w:rFonts w:ascii="Amiri" w:hAnsi="Amiri" w:eastAsia="Amiri" w:cs="Amiri"/>
          <w:color w:val="111111"/>
          <w:sz w:val="28"/>
          <w:sz w:val="28"/>
          <w:szCs w:val="28"/>
          <w:rtl w:val="true"/>
          <w:lang w:bidi="ar-SA"/>
        </w:rPr>
        <w:t xml:space="preserve">عليه، و هو لا يوجب الاستهلاك، و طهره أيضاً بإلقاء الكرّ عليه مع الامتزاج إجماعاً </w:t>
      </w:r>
      <w:r>
        <w:rPr>
          <w:rStyle w:val="FootnoteAnchor"/>
          <w:rtl w:val="true"/>
        </w:rPr>
        <w:footnoteReference w:id="413"/>
      </w:r>
      <w:r>
        <w:rPr>
          <w:rFonts w:ascii="Amiri" w:hAnsi="Amiri" w:eastAsia="Amiri" w:cs="Amiri"/>
          <w:color w:val="111111"/>
          <w:sz w:val="28"/>
          <w:sz w:val="28"/>
          <w:szCs w:val="28"/>
          <w:rtl w:val="true"/>
          <w:lang w:bidi="ar-SA"/>
        </w:rPr>
        <w:t xml:space="preserve">، و لا يلزمه الاستهلاك، و أيضاً صرّح الماتن رحمه الله بطهر الكرّ المتغيّر بالتموّج لو زال تغيير بعضه و كان الباقي كرّاً و إن لم يحصل الاستهلاك، و صرّح بطهارة ماء الكوز ضيّقاً كان رأسه أو واسعاً بالإلقاء بالكرّ بعد الامتزاج </w:t>
      </w:r>
      <w:r>
        <w:rPr>
          <w:rStyle w:val="FootnoteAnchor"/>
          <w:rtl w:val="true"/>
        </w:rPr>
        <w:footnoteReference w:id="414"/>
      </w:r>
      <w:r>
        <w:rPr>
          <w:rFonts w:ascii="Amiri" w:hAnsi="Amiri" w:eastAsia="Amiri" w:cs="Amiri"/>
          <w:color w:val="111111"/>
          <w:sz w:val="28"/>
          <w:sz w:val="28"/>
          <w:szCs w:val="28"/>
          <w:rtl w:val="true"/>
          <w:lang w:bidi="ar-SA"/>
        </w:rPr>
        <w:t>، إلى غير ذلك ممّا يظهر منه عدم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طهّره المطر فكذلك، و هو خارج بالإجماع </w:t>
      </w:r>
      <w:r>
        <w:rPr>
          <w:rStyle w:val="FootnoteAnchor"/>
          <w:rtl w:val="true"/>
        </w:rPr>
        <w:footnoteReference w:id="415"/>
      </w:r>
      <w:r>
        <w:rPr>
          <w:rFonts w:ascii="Amiri" w:hAnsi="Amiri" w:eastAsia="Amiri" w:cs="Amiri"/>
          <w:color w:val="111111"/>
          <w:sz w:val="28"/>
          <w:sz w:val="28"/>
          <w:szCs w:val="28"/>
          <w:rtl w:val="true"/>
          <w:lang w:bidi="ar-SA"/>
        </w:rPr>
        <w:t xml:space="preserve">، و إلّا فما كان ليحصل المزج به فضلاً عن الاستهلاك في مثل الحياض الكبار، و أمّا غيره ممّا ذكر فلعلّه لجهة الاستهلاك و لو بالتدريج، إذ لا بُعد في دعوى ملازمة الاستهلاك لزوال التغيير و للمزج و إن حصل شيئاً فشيئاً، نظير الأكرار النجسة المستهلكة في كُرّ واحد طاهر إذا صبت فيه قليلاً قليلاً كما هو مفروض في كلماتهم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الكوز </w:t>
      </w:r>
      <w:r>
        <w:rPr>
          <w:rStyle w:val="FootnoteAnchor"/>
          <w:rtl w:val="true"/>
        </w:rPr>
        <w:footnoteReference w:id="417"/>
      </w:r>
      <w:r>
        <w:rPr>
          <w:rFonts w:ascii="Amiri" w:hAnsi="Amiri" w:eastAsia="Amiri" w:cs="Amiri"/>
          <w:color w:val="111111"/>
          <w:sz w:val="28"/>
          <w:sz w:val="28"/>
          <w:szCs w:val="28"/>
          <w:rtl w:val="true"/>
          <w:lang w:bidi="ar-SA"/>
        </w:rPr>
        <w:t>فمشكل مع عدم الامتزاج، و معه يأتي الاستهلاك التدريجي فيه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نقف منهم على دليل يخصّ الامتزاج فقط و لا يقضي بالاستهلاك، فالقول به دونه عارٍ عن الدليل مع تيقّن الطهارة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ما دلّ على طهارة نجس العين بالاستهلاك </w:t>
      </w:r>
      <w:r>
        <w:rPr>
          <w:rStyle w:val="FootnoteAnchor"/>
          <w:rtl w:val="true"/>
        </w:rPr>
        <w:footnoteReference w:id="418"/>
      </w:r>
      <w:r>
        <w:rPr>
          <w:rFonts w:ascii="Amiri" w:hAnsi="Amiri" w:eastAsia="Amiri" w:cs="Amiri"/>
          <w:color w:val="111111"/>
          <w:sz w:val="28"/>
          <w:sz w:val="28"/>
          <w:szCs w:val="28"/>
          <w:rtl w:val="true"/>
          <w:lang w:bidi="ar-SA"/>
        </w:rPr>
        <w:t>إذ وقوع النجاسة العينيّة في الكرّ تغيّر ما اكتنفها من أجزاء الماء فينجس، و قد حكم الشارع بنفي البأس إذا لم يغيّر الواقع الجميع فليس إلّا لامتزاجه بباقي أجزاء الكرّ، فدلّ على حصول الطهارة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البحث السابق، و أنّ الطهارة في المكتنف بمجرّد الاتّصال لا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الممتزج بأجزاء الكرّ إن طهر به فهو المطلوب، و إن نجّسه أو بقي كلّ منهما على حكمه لزم خلاف الظاهر في الثاني، و الضرورة في سابقه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يحصر التطهير به، و لا ننكر أنّ ما امتزج طهر لكن كون الطهارة قبله أو به هو المتنازع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الممازجة إمّا على وجه الحقيقة كممازجة جميع الأجزاء لجميع الأجزاء، أو المراد بها العرفيّة، أو ممازجةٌ ما، و لا رابع، و الأوّل باطل؛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ممازجة جميع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الاطّلاع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لاستحالة التداخل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نجاسة غير الممتزج من الأجزاء لا قائل بها، و كونه شرطاً في طهارة البعض منها تَشَهٍّ 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بالالتزام الأوَّل و منع عدم الإمكان بأنّه لا نعني بها المداخلة ليتمّ المنع، بل المقصود ملاقاة كلّ جزء من الماء النجس للطاهر على وجه لا يبقى جزء عارياً عن الملاقاة، و يقوم الظنّ مقام العلم بعد عدم إمكان حصوله كما في غيره، و إلّا للزم الحرج الأكيد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حصول الظنّ بذلك ممكن بلا شبهة، فإنّ الماء لجوهريّته يسرع إلى الامتزاج، و لا يلزم مساواة النجس للطاهر أو زيادته عليه؛ لأنّ الجزء الطاهر يمكن أن يلاقي عدّة أجزاء من النجس إمّا دفعة بأن يطيف به جملة أجزاء نجسة أو على التبادل لو شرط عدم نقصان الطاهر فيه، غير أنّ الالتزام بهذا و مثله مبنيّ على الدقّة التي يأباها ذَوْق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بعدم الاتّفاق في الممازجة العرفيّة منع هو و التحكّم أيضاً، و وجب الرجوع إلى دليل الموجب للامتزاج، فإن كان لجهة وحدة الماء عرفاً منع عدمها بدونه لا عدم اتّفاقها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اعتبر الامتزاج لم يعتبره لدليل خاص شرعي؛ للجزم بعدمه، و لأنّ أوّل من اعتبره المحقق رحمه الله </w:t>
      </w:r>
      <w:r>
        <w:rPr>
          <w:rStyle w:val="FootnoteAnchor"/>
          <w:rtl w:val="true"/>
        </w:rPr>
        <w:footnoteReference w:id="419"/>
      </w:r>
      <w:r>
        <w:rPr>
          <w:rFonts w:ascii="IRNazanin" w:hAnsi="IRNazanin" w:eastAsia="IRNazanin"/>
          <w:color w:val="111111"/>
          <w:sz w:val="28"/>
          <w:sz w:val="28"/>
          <w:szCs w:val="28"/>
          <w:rtl w:val="true"/>
          <w:lang w:bidi="fa-IR"/>
        </w:rPr>
        <w:t>، فما هو إلّا لأحد أمور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قضى بطهارة المغسول الذي يجب فيه مراعاة الغاسل لتمام أجزاء المغسول، فيفرض الماء مغسولاً كغيره، فلا بدّ في طهارته إذا نجس أن يلاقي طاهره جميع أجزائه النجسة؛ ليصدق الغسل فيه، و هو لا يتمّ إلّا بالمزج، إذ الأجزاء البعيدة حين اتّصال الكرّ لم تكن ملاقية لأجزائه بالفرض، فلا تطهر و لا يتحقّق الغسل الموجب للطهارة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الملاقاة عرفاً كما في نجاسة الجزء الأخير عند ملاقاة الأوّل للنجاسة في غير الكرّ، و القياس بغير الماء ممّا يشترط في طهارته ملاقاة جميع أجزائه للمطهّر منقوض بمسألة التنجيس، مع أنَّه لا عموم فيما عثرنا عليه صريح بذلك و لا إطلاق يقتضيه، على أنّ الماء للطافته يفارق غيره، فلا وجه للقياس؛ و لذا بنى غير واحد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تنجيس القليل بالسراية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المزج الحقيقي و التداخل حيث يستحيل لا يمكن أن يتحقّق الملاقاة بالنسبة إلى سطوح جميع الأجزاء، فيؤول إلى الاكتفاء بملاقاة أحد سطحي الجزء المتنجّس في طهارة سطحه الآخر، أو إلى أنّ الجزء الملاقي لا يتجزّأ، و الثاني باطل، و الأوّل خلاف قاعدة التطهير في غير المياه، و خلاف ما يقتضيه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قاض باشتراط ملاقاة الكرّ في تطهير الماء، و بعدم اشتراط الكرّ في غيره من الأشياء النجسة، فليس هو على حدّ غيره ليجب فيه ملاقاة سائر أجزائه الباعث على الامتزاج، فيفترقان، فيؤمئ إليه تعليل من </w:t>
      </w:r>
      <w:r>
        <w:rPr>
          <w:rStyle w:val="FootnoteAnchor"/>
          <w:rtl w:val="true"/>
        </w:rPr>
        <w:footnoteReference w:id="421"/>
      </w:r>
      <w:r>
        <w:rPr>
          <w:rFonts w:ascii="Amiri" w:hAnsi="Amiri" w:eastAsia="Amiri" w:cs="Amiri"/>
          <w:color w:val="111111"/>
          <w:sz w:val="28"/>
          <w:sz w:val="28"/>
          <w:szCs w:val="28"/>
          <w:rtl w:val="true"/>
          <w:lang w:bidi="ar-SA"/>
        </w:rPr>
        <w:t>اعتبر الامتزاج بأنّ النجس لو غلب الطاهر نجّسه مع ممازجته فكيف مع مباينته؛ لأنّ محصّله أنّ النجس متى لم يكن مستهلكاً في جنب الطاهر نجّس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بالغلبة الورود و المداخلة؛ لكفاية الملاقاة في النجاسة يقيناً، فمتى كان ممتازاً عن الطاهر نجس بالأولويّة؛ لأنّ عدم استهلاك النجس كلّما كان أجلى كانت النجاسة أوضح، و لو لم يكن محصّل الدليل ذلك توجّه عليه أنَّه لا ارتباط بين تنجيس الطاهر مع الغلبة و عدم قبول الطهارة مع الامتياز، و من هنا اعتبر الماتن الكثرة الفعليّة و التكاثر في القليل و الجاري؛ لأنّ فيه مظنّة الاستهلاك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الاستهلاك في التطهير الذي من مقدّماته و لوازمه الامتزاج فيعتبر كما </w:t>
      </w:r>
    </w:p>
    <w:p>
      <w:pPr>
        <w:pStyle w:val="BookText"/>
        <w:rPr/>
      </w:pPr>
      <w:r>
        <w:rPr>
          <w:rFonts w:ascii="Amiri" w:hAnsi="Amiri" w:eastAsia="Amiri" w:cs="Amiri"/>
          <w:color w:val="111111"/>
          <w:sz w:val="28"/>
          <w:sz w:val="28"/>
          <w:szCs w:val="28"/>
          <w:rtl w:val="true"/>
          <w:lang w:bidi="ar-SA"/>
        </w:rPr>
        <w:t xml:space="preserve">هو صريح بعض </w:t>
      </w:r>
      <w:r>
        <w:rPr>
          <w:rStyle w:val="FootnoteAnchor"/>
          <w:rtl w:val="true"/>
        </w:rPr>
        <w:footnoteReference w:id="422"/>
      </w:r>
      <w:r>
        <w:rPr>
          <w:rFonts w:ascii="Amiri" w:hAnsi="Amiri" w:eastAsia="Amiri" w:cs="Amiri"/>
          <w:color w:val="111111"/>
          <w:sz w:val="28"/>
          <w:sz w:val="28"/>
          <w:szCs w:val="28"/>
          <w:rtl w:val="true"/>
          <w:lang w:bidi="ar-SA"/>
        </w:rPr>
        <w:t xml:space="preserve">من تأخّر، و ينطبق عليه لفظ المعالم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معه مسلّمة و الكلام في غير صورة الاستهلاك من صور الامتزاج، كما إذا كان المتنجّس أكثر من الطاهر، نعم هو في سائر المائعات عدا الماء له وجه، فإنّ الاستهلاك في المضاف المتنجّس مطلوب على أنّ لازمه عدم قبول المياه للتطهير كسائر الأعيان النجسة أو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فيبقى حكمهم بطهارة الأكرار النجسة بإلقاء كرّ طاهر فيها عارياً عن الدليل، إلَّا أن يؤول كلامهم بأنّ الكرّ الطاهر بعد دخوله تمتزج به الأجزاء شيئاً فشيئاً و تستهلك كذلك، و لكنّه بعيد عن ظاهر كلماتهم، و لولاه لما اشترطوا في تطهير المائعات ملاقاة العاصم </w:t>
      </w:r>
      <w:r>
        <w:rPr>
          <w:rStyle w:val="FootnoteAnchor"/>
          <w:rtl w:val="true"/>
        </w:rPr>
        <w:footnoteReference w:id="424"/>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صدق الوحدة او الاتّصال القاضيين بالتطهير على المزج فيعتبر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التوقّف ممنوع، بل تصدق الوحدة بمجرّد الاتّصال مع تساوي السطوح يقيناً، و مع الاختلاف ينتظر إلى أن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أرى دليلاً صالحاً لاعتبار الامتزاج إلَّا الوجه الأوَّل، و هو أنّ الماء كغيره يطهّره الطاهر منه إذا تنجّس و يغسله، غاية الأمر أنّ الإجماع قضى باشتراط الكرية فيه فأفرده الدليل، و قضيته مراعاة المماسّة حينئذ بين المغسول به و المغسول توجب الامتزاج</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ملخّصه من أنّ أدلّة التطهير مخصّصة لأدلّة انفعال القليل بالملاقاة فلا وجه لاشتراط الكرّية، و كونه تعبّدياً يبطله التتبّع، مع استحالة ملاقاة الكرّ لتمام الأجزاء؛ للزوم التداخل الغير الممكن، فلا بدّ من الالتزام بملاقاة سطح كلّ جزء منه، و هو ليس بأولى من الاكتفاء في تطهيره بملاقاة سطح المجموع، فينحصر دليله باعتبار الاستهلاك، و هو كما ترى، فيسقط اشتراطه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بطهارة هذا الماء لا بدّ و أن يستند لدليل، و هو بعد فقد النّص لا يخلو إمّا لجهة الاستهلاك أو الاتّحاد و الأوّل و إن قضى بالطهارة إلّا أنّه يشكل في صورة زيادة النجس على الكرّ الطاهر؛ لعدم حصوله مع القطع بطهارته، و الثاني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الملاقاة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فتزول نجاسة الماء، كما أنّه لا ينفعل إذا حصل الاتّحاد قبل التنجيس من دون 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مناط التطهير هو استيلاء الطاهر على النجس و قهره له، و لا يحصل إلَّا بالممازجة، كما أنّ غير الماء إذا تنجّس لا يطهر إلّا بورود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الاستيلاء على فرض اعتباره إن توقّف على ممازجة الجميع للجميع لزم ما سبق، أو البعض فمطلق الملاقاة كافٍ فيه، مع أنّ الممازجة قد تحصل و لا استيلاء في صورة علوّ المتنجّس أو مساواته، و دعوى توقّفه عليها مطلقاً أو العكس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اتّصال القليل بالكرّ قبل النجاسة كافٍ في دفعها و لو لم يمتزج، فكذا في صورة الدفع؛ لأنَّ الدفع ما هو إلّا لجهة كونهما ماءً واحداً، فليكن الرفع كذلك؛ إذ الوحدة و التقوّي لو توقّفا على الامتزاج لكانا فيهما سواء إلّا أن يفرق فيعتبر في الزوال قهر المطهّر دون الدفع؛ لكفاية الكرّية فيه، فكما أنّ الوارد مطهّر للجزء الذي يليه فكذلك الجزء الآخر منجّس لمجاوره فيتعارضان، و لا يسقط أثر المنجس إلّا إذا غلب المطهّر عليه و قهره، و ذلك بالامتزاج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الطهارة من الأخباث، فإنّ الشيء الرطب إذا غسل بعضه لم يطهر إذا كان المنجس أعلى، أو كان قابلاً للسراية، و ليس ذلك إلّا لمعارضة المنجس المطهّر، لكن يلزم منه أن لا يطهّر الماء النجس إلّا بما يساويه أو يزيد عليه؛ ليتقوّى على قهر جميعه، فلا يطهر أضعاف كرّ بكر، مع أنّه خلاف الإجماع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الاعتبار يقضي بأنّ الكرّ الطاهر من الماء أقوى من كلّ نجاسة و نجس و إن تضاعفت كثرتها ما لم يتغيّر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بالأصل، و قرّره بعضهم </w:t>
      </w:r>
      <w:r>
        <w:rPr>
          <w:rStyle w:val="FootnoteAnchor"/>
          <w:rtl w:val="true"/>
        </w:rPr>
        <w:footnoteReference w:id="425"/>
      </w:r>
      <w:r>
        <w:rPr>
          <w:rFonts w:ascii="Amiri" w:hAnsi="Amiri" w:eastAsia="Amiri" w:cs="Amiri"/>
          <w:color w:val="111111"/>
          <w:sz w:val="28"/>
          <w:sz w:val="28"/>
          <w:szCs w:val="28"/>
          <w:rtl w:val="true"/>
          <w:lang w:bidi="ar-SA"/>
        </w:rPr>
        <w:t xml:space="preserve">طوراً أنّ الأصل بقاء الكرّ الملقى على الطهارة، كما أنّ الأصل بقاء النجس على النجاسة، و عند التصادم تؤيّد الطهارة بالإجماع </w:t>
      </w:r>
      <w:r>
        <w:rPr>
          <w:rStyle w:val="FootnoteAnchor"/>
          <w:rtl w:val="true"/>
        </w:rPr>
        <w:footnoteReference w:id="426"/>
      </w:r>
      <w:r>
        <w:rPr>
          <w:rFonts w:ascii="Amiri" w:hAnsi="Amiri" w:eastAsia="Amiri" w:cs="Amiri"/>
          <w:color w:val="111111"/>
          <w:sz w:val="28"/>
          <w:sz w:val="28"/>
          <w:szCs w:val="28"/>
          <w:rtl w:val="true"/>
          <w:lang w:bidi="ar-SA"/>
        </w:rPr>
        <w:t>من المتقدّمين الذين ليس للمزج في كلامهم أثر على عدم تحقّق ماء يكون بعضه طاهراً و بعضه نجساً من غير تغيّر بالنجاسة إلّا في مختلف السطوح، و بأنّ النجاسة طارئة و الطهارة أصل ذاتي للماء و أنّ الطاهر أقوى من النجس؛ و لذا طهّر الكرّ أضعافه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البراءة من الزيادة على الاتّصال عند التكليف بتطهير مثل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جواز التناول قبل الامتزاج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الإنصاف أنّ الأصل إن لم يفض بالنجاسة كما غبر فما كان ليدلّ على الطهارة كما نبّه شيخ أساتيدنا عليه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المائعات بأسرها غير قابلة للتطهير من غير فرق بين المضاف و غيره إلّا بالاستهلاك؛ لعدم إمكان انفصال الغسالة التي هي شرط التطهير، و عليه لا بدّ من الامتزاج، لعدم حصوله بدونه و لو </w:t>
      </w:r>
      <w:r>
        <w:rPr>
          <w:rStyle w:val="FootnoteAnchor"/>
          <w:rtl w:val="true"/>
        </w:rPr>
        <w:footnoteReference w:id="428"/>
      </w:r>
      <w:r>
        <w:rPr>
          <w:rFonts w:ascii="Amiri" w:hAnsi="Amiri" w:eastAsia="Amiri" w:cs="Amiri"/>
          <w:color w:val="111111"/>
          <w:sz w:val="28"/>
          <w:sz w:val="28"/>
          <w:szCs w:val="28"/>
          <w:rtl w:val="true"/>
          <w:lang w:bidi="ar-SA"/>
        </w:rPr>
        <w:t>كان الوارد أقلّ من المورود أو أكثر أيّهما نجس لما مرّ من إمكان تصوّر الامتزاج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وجيه؛ إذ لا معنى محصّل للامتزاج بغيره، غير أنّه مخالف لصريح جملة، و ظاهر أُخرى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عسى أن يكون محصّل الإجماع على عدمه، فإنّ مَنْعَ المحصّل لا ضير في احتماله للاستصحاب و قاعدة الاحتياط، إلّا أنّ الذي يقوى في النظر سقوط شرطيّته؛ لفَقْد الدليل، فيكفي الملاقاة في التطهير كما هو ظاهر الماتن هنا، أو لكونها ماءً واحداً عرفاً كما هو صريح الشارح، فيطهر الحوض النجس بمجرّد ملاقاة الطاهر من الكرّ له، و به أفتى جدّي و أبي </w:t>
      </w:r>
    </w:p>
    <w:p>
      <w:pPr>
        <w:pStyle w:val="BookText"/>
        <w:rPr/>
      </w:pPr>
      <w:r>
        <w:rPr>
          <w:rFonts w:ascii="Amiri" w:hAnsi="Amiri" w:eastAsia="Amiri" w:cs="Amiri"/>
          <w:color w:val="111111"/>
          <w:sz w:val="28"/>
          <w:sz w:val="28"/>
          <w:szCs w:val="28"/>
          <w:rtl w:val="true"/>
          <w:lang w:bidi="ar-SA"/>
        </w:rPr>
        <w:t xml:space="preserve">و أعمامي رحمهم الله </w:t>
      </w:r>
      <w:r>
        <w:rPr>
          <w:rStyle w:val="FootnoteAnchor"/>
          <w:rtl w:val="true"/>
        </w:rPr>
        <w:footnoteReference w:id="429"/>
      </w:r>
      <w:r>
        <w:rPr>
          <w:rFonts w:ascii="Amiri" w:hAnsi="Amiri" w:eastAsia="Amiri" w:cs="Amiri"/>
          <w:color w:val="111111"/>
          <w:sz w:val="28"/>
          <w:sz w:val="28"/>
          <w:szCs w:val="28"/>
          <w:rtl w:val="true"/>
          <w:lang w:bidi="ar-SA"/>
        </w:rPr>
        <w:t>، خلافاً لمن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المعتبر له في حصول التطهير لا يخصه جزماً بغير الجاري و ماء الحمّام و لا فيما إذا لم يُلقَ الكرّ دفعة؛ قضاءً لدليله و إطلاق اشتراطه، فما في الجواهر </w:t>
      </w:r>
      <w:r>
        <w:rPr>
          <w:rStyle w:val="FootnoteAnchor"/>
          <w:rtl w:val="true"/>
        </w:rPr>
        <w:footnoteReference w:id="430"/>
      </w:r>
      <w:r>
        <w:rPr>
          <w:rFonts w:ascii="Amiri" w:hAnsi="Amiri" w:eastAsia="Amiri" w:cs="Amiri"/>
          <w:color w:val="111111"/>
          <w:sz w:val="28"/>
          <w:sz w:val="28"/>
          <w:szCs w:val="28"/>
          <w:rtl w:val="true"/>
          <w:lang w:bidi="ar-SA"/>
        </w:rPr>
        <w:t>من الأمرين غير لائق؛ لعدم تماميّة إطلاق الصحيحة و المرسلة كما سبق و يجيء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فهو و إن نقل الاتّفاق في المنتهى </w:t>
      </w:r>
      <w:r>
        <w:rPr>
          <w:rStyle w:val="FootnoteAnchor"/>
          <w:rtl w:val="true"/>
        </w:rPr>
        <w:footnoteReference w:id="431"/>
      </w:r>
      <w:r>
        <w:rPr>
          <w:rFonts w:ascii="IRNazanin" w:hAnsi="IRNazanin" w:eastAsia="IRNazanin"/>
          <w:color w:val="111111"/>
          <w:sz w:val="28"/>
          <w:sz w:val="28"/>
          <w:szCs w:val="28"/>
          <w:rtl w:val="true"/>
          <w:lang w:bidi="fa-IR"/>
        </w:rPr>
        <w:t xml:space="preserve">و المختلف </w:t>
      </w:r>
      <w:r>
        <w:rPr>
          <w:rStyle w:val="FootnoteAnchor"/>
          <w:rtl w:val="true"/>
        </w:rPr>
        <w:footnoteReference w:id="432"/>
      </w:r>
      <w:r>
        <w:rPr>
          <w:rFonts w:ascii="Amiri" w:hAnsi="Amiri" w:eastAsia="Amiri" w:cs="Amiri"/>
          <w:color w:val="111111"/>
          <w:sz w:val="28"/>
          <w:sz w:val="28"/>
          <w:szCs w:val="28"/>
          <w:rtl w:val="true"/>
          <w:lang w:bidi="ar-SA"/>
        </w:rPr>
        <w:t>على حصول التطهير به، و يؤيّده الإجماع على كفاية تطهير الأكرار بالكرّ الواحد؛ إذ يبعد حصول الامتزاج به، إلّا أنّ هذا تخرّص بعد إفراد شرطيّة الامتزاج و كونه غير الدفعة في عباراتهم، و مقتضى استنادهم في اشتراطه إلى الاستهلاك ظاهر في عدم الاستغناء عنه بالدفعة، و الإجماع عليها إن كان في القليل النجس يلزمها الامتزاج قطعاً، و إن كان في الكثير المتغيّر لا يزول تغيّره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تردّد الفاضل في التذكرة </w:t>
      </w:r>
      <w:r>
        <w:rPr>
          <w:rStyle w:val="FootnoteAnchor"/>
          <w:rtl w:val="true"/>
        </w:rPr>
        <w:footnoteReference w:id="433"/>
      </w:r>
      <w:r>
        <w:rPr>
          <w:rFonts w:ascii="Amiri" w:hAnsi="Amiri" w:eastAsia="Amiri" w:cs="Amiri"/>
          <w:color w:val="111111"/>
          <w:sz w:val="28"/>
          <w:sz w:val="28"/>
          <w:szCs w:val="28"/>
          <w:rtl w:val="true"/>
          <w:lang w:bidi="ar-SA"/>
        </w:rPr>
        <w:t>في طهارة الكثير النجس إذا وقع في أحد جوانبه الكرّ مع عدم الإشاعة فيه، على أنّ اعتبار الدفعة المغني عن الامتزاج إذا كان للنّص و فتوى الأصحاب و قد مرّ ما فيه، و أمّا لو كان لأجل عدم اختلاف سطوح الكرّ أو الحصول الامتزاج فلا غناء بها عنه كما هو ظاهر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يشمل إطلاق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الماتن مع ما شمله على ما حقّقناه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تساوى سطحاهما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منهما، و نبّه بتثنية السطح مع حالة التساوي و إفراده فيما لو اختلف على أنّ الاختلاف لا يقتضي التعدّد بوجه دون التساوي، فقد يجتمع التعدّد معه في بعض الأحوال، و هو من محاسن التعبير، و يمكن أن يعود المضمر في الأخير إلى المصدر أي حصل الاختلاف، و يحتمل حذف الفاعل و هو سطحاهما على قول </w:t>
      </w:r>
    </w:p>
    <w:p>
      <w:pPr>
        <w:pStyle w:val="BookText"/>
        <w:rPr/>
      </w:pPr>
      <w:r>
        <w:rPr>
          <w:rFonts w:ascii="Amiri" w:hAnsi="Amiri" w:eastAsia="Amiri" w:cs="Amiri"/>
          <w:color w:val="111111"/>
          <w:sz w:val="28"/>
          <w:sz w:val="28"/>
          <w:szCs w:val="28"/>
          <w:rtl w:val="true"/>
          <w:lang w:bidi="ar-SA"/>
        </w:rPr>
        <w:t xml:space="preserve">الكسائي </w:t>
      </w:r>
      <w:r>
        <w:rPr>
          <w:rStyle w:val="FootnoteAnchor"/>
          <w:rtl w:val="true"/>
        </w:rPr>
        <w:footnoteReference w:id="434"/>
      </w:r>
      <w:r>
        <w:rPr>
          <w:rFonts w:ascii="Amiri" w:hAnsi="Amiri" w:eastAsia="Amiri" w:cs="Amiri"/>
          <w:color w:val="111111"/>
          <w:sz w:val="28"/>
          <w:sz w:val="28"/>
          <w:szCs w:val="28"/>
          <w:rtl w:val="true"/>
          <w:lang w:bidi="ar-SA"/>
        </w:rPr>
        <w:t>،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يرضيك حتّى تردني، بتقدير شيء بعد يرضيك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نتيجة إطلاقه رحمه الله طهارة الماء بنفس الملاقاة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علوّ المطهّر على النجس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للمساواة، و علوّ النجس سواء لزمه الامتزاج أو لا، و إطلاق الأكثر يقتضيه إِلَّا العلّامة رحمه الله في التذكرة </w:t>
      </w:r>
      <w:r>
        <w:rPr>
          <w:rStyle w:val="FootnoteAnchor"/>
          <w:rtl w:val="true"/>
        </w:rPr>
        <w:footnoteReference w:id="435"/>
      </w:r>
      <w:r>
        <w:rPr>
          <w:rFonts w:ascii="Amiri" w:hAnsi="Amiri" w:eastAsia="Amiri" w:cs="Amiri"/>
          <w:color w:val="111111"/>
          <w:sz w:val="28"/>
          <w:sz w:val="28"/>
          <w:szCs w:val="28"/>
          <w:rtl w:val="true"/>
          <w:lang w:bidi="ar-SA"/>
        </w:rPr>
        <w:t xml:space="preserve">فإنّه نصّ في مسألة الغديرين على الاستواء أو علوّ المطهّر، بل و سائر </w:t>
      </w:r>
      <w:r>
        <w:rPr>
          <w:rStyle w:val="FootnoteAnchor"/>
          <w:rtl w:val="true"/>
        </w:rPr>
        <w:footnoteReference w:id="436"/>
      </w:r>
      <w:r>
        <w:rPr>
          <w:rFonts w:ascii="Amiri" w:hAnsi="Amiri" w:eastAsia="Amiri" w:cs="Amiri"/>
          <w:color w:val="111111"/>
          <w:sz w:val="28"/>
          <w:sz w:val="28"/>
          <w:szCs w:val="28"/>
          <w:rtl w:val="true"/>
          <w:lang w:bidi="ar-SA"/>
        </w:rPr>
        <w:t xml:space="preserve">مَن عبّر بالإلقاء أو أضاف الدفعة إليه، فإنّ فيه قرينة واضحة على اعتبار الاستواء، ولكن في المعتبر و التحرير و النهاية و المنتهى </w:t>
      </w:r>
      <w:r>
        <w:rPr>
          <w:rStyle w:val="FootnoteAnchor"/>
          <w:rtl w:val="true"/>
        </w:rPr>
        <w:footnoteReference w:id="437"/>
      </w:r>
      <w:r>
        <w:rPr>
          <w:rFonts w:ascii="IRNazanin" w:hAnsi="IRNazanin" w:eastAsia="IRNazanin"/>
          <w:color w:val="111111"/>
          <w:sz w:val="28"/>
          <w:sz w:val="28"/>
          <w:szCs w:val="28"/>
          <w:rtl w:val="true"/>
          <w:lang w:bidi="fa-IR"/>
        </w:rPr>
        <w:t>في هذه المسألة إذا كان بينهما ساقية توصل أحدهما بالآخر طهر المتنجّس منهما باتّصال الكرّ، و ظاهرها كفاية مجرّد الاتّصال في التطهير و إن نافاه لفظ الإلقاء، و لأجله جمع الأستاذ بين إجماع المنتهى على التطهير بإلقاء الكرّ و بين حکمه بكفاية مجرّد الاتّصال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فالمعتبر إذا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الجمع بين دعواه و حكمه لا يمكن إلّا بأن يُراد من الإلقاء في معقد الاتّفاق مجرّد الاتّصال </w:t>
      </w:r>
      <w:r>
        <w:rPr>
          <w:rStyle w:val="FootnoteAnchor"/>
          <w:rtl w:val="true"/>
        </w:rPr>
        <w:footnoteReference w:id="4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كأنّه خلاف ما حاوله من سبقه زاعماً أنّ اعتبار العلوّ إجماعي مقرّراً له أنّ الأصحاب بين من يقول باتّحاد سطوح الكرّ و بين من لا يقول، و لا ريب في مراعاة علوّ المطهّر عند الأوّلين، فإذا صرّح الآخرون باعتباره صار معتبراً إجماعاً، و لعلّه انتحله من المشارق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بُعد بعدَ تحصيل الإجماع و لو أومأ إليه الشارح أنّ اعتبار اتّحاد سطوح الكرّ لا دخل له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للاستاذ تحقيق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المزبور إن كان قبل زمن الملاقاة لا دليل عليه، و إن اعتبر في زمانها فاشتراط الامتزاج مغنٍ عنه؛ لحصول العلوّ حين المزج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عساه أخذه ممّن </w:t>
      </w:r>
      <w:r>
        <w:rPr>
          <w:rStyle w:val="FootnoteAnchor"/>
          <w:rtl w:val="true"/>
        </w:rPr>
        <w:footnoteReference w:id="440"/>
      </w:r>
      <w:r>
        <w:rPr>
          <w:rFonts w:ascii="Amiri" w:hAnsi="Amiri" w:eastAsia="Amiri" w:cs="Amiri"/>
          <w:color w:val="111111"/>
          <w:sz w:val="28"/>
          <w:sz w:val="28"/>
          <w:szCs w:val="28"/>
          <w:rtl w:val="true"/>
          <w:lang w:bidi="ar-SA"/>
        </w:rPr>
        <w:t>فرّع الاشتراط و عدمه على القول بالاتّصال كما في يق فراراً من تطهير السافل المعتصم للعالي عند المعتبر؛ ولكنّه يتمّ لو فرض أنّ شرطيّة العلوّ متصيّدة من اعتبار الامتزاج، و إفرادها يقضي بعدمه، و لولاه لما أنكر الشارح الامتزاج دونه، بل الظاهر أَنَّه شرط تعبّدي في عرض الامتزاج عند معتبره، ثمّ الملازمة ممنوعة لحصول الامتزاج في متساوي السطوح و إن لم يقُل أحد بتوقّف التطهير على أمرين العلوّ و الامتزاج، لكن المرام إمكانه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غضاضة في ضعفه لندرة مدّعيه و ظهور الشهرة على عدمه، و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يلقى شيئاً إلّا طهّره</w:t>
      </w:r>
      <w:r>
        <w:rPr>
          <w:rFonts w:eastAsia="IRNazanin" w:cs="IRNazanin"/>
          <w:color w:val="111111"/>
          <w:sz w:val="28"/>
          <w:szCs w:val="28"/>
          <w:rtl w:val="true"/>
          <w:lang w:bidi="fa-IR"/>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و دعوى الشارح في روضه </w:t>
      </w:r>
      <w:r>
        <w:rPr>
          <w:rStyle w:val="FootnoteAnchor"/>
          <w:rtl w:val="true"/>
        </w:rPr>
        <w:footnoteReference w:id="442"/>
      </w:r>
      <w:r>
        <w:rPr>
          <w:rFonts w:ascii="IRNazanin" w:hAnsi="IRNazanin" w:eastAsia="IRNazanin"/>
          <w:color w:val="111111"/>
          <w:sz w:val="28"/>
          <w:sz w:val="28"/>
          <w:szCs w:val="28"/>
          <w:rtl w:val="true"/>
          <w:lang w:bidi="fa-IR"/>
        </w:rPr>
        <w:t>الاتّفاق على حصول الطهارة مع المساواة كالحوضين المفصول بينهما، و لما ظهر الماء النجس بالقائه في الكرّ و لا وصله به مع أنّ الطهارة فيهما في الجملة إجماعيّة إلَّا أن يخصّص اعتباره بصورة الإلقاء لأمرٍ مطلق، و هو كما تری، فاشتراطه کسابقیه ساقط عندنا و في الشرح</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رحمه الله لا يرى الاجتزاء في الإطلاق </w:t>
      </w:r>
      <w:r>
        <w:rPr>
          <w:rStyle w:val="FootnoteAnchor"/>
          <w:rtl w:val="true"/>
        </w:rPr>
        <w:footnoteReference w:id="443"/>
      </w:r>
      <w:r>
        <w:rPr>
          <w:rFonts w:ascii="Amiri" w:hAnsi="Amiri" w:eastAsia="Amiri" w:cs="Amiri"/>
          <w:color w:val="111111"/>
          <w:sz w:val="28"/>
          <w:sz w:val="28"/>
          <w:szCs w:val="28"/>
          <w:rtl w:val="true"/>
          <w:lang w:bidi="ar-SA"/>
        </w:rPr>
        <w:t>في باقي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على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يعتبر 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دروسه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بذكراه </w:t>
      </w:r>
      <w:r>
        <w:rPr>
          <w:rStyle w:val="FootnoteAnchor"/>
          <w:rtl w:val="true"/>
        </w:rPr>
        <w:footnoteReference w:id="445"/>
      </w:r>
      <w:r>
        <w:rPr>
          <w:rFonts w:ascii="Amiri" w:hAnsi="Amiri" w:eastAsia="Amiri" w:cs="Amiri"/>
          <w:color w:val="111111"/>
          <w:sz w:val="28"/>
          <w:sz w:val="28"/>
          <w:szCs w:val="28"/>
          <w:rtl w:val="true"/>
          <w:lang w:bidi="ar-SA"/>
        </w:rPr>
        <w:t xml:space="preserve">، و فيهما مع البيان </w:t>
      </w:r>
      <w:r>
        <w:rPr>
          <w:rStyle w:val="FootnoteAnchor"/>
          <w:rtl w:val="true"/>
        </w:rPr>
        <w:footnoteReference w:id="446"/>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المطهر أو مساواته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 جعل في السرائر </w:t>
      </w:r>
      <w:r>
        <w:rPr>
          <w:rStyle w:val="FootnoteAnchor"/>
          <w:rtl w:val="true"/>
        </w:rPr>
        <w:footnoteReference w:id="447"/>
      </w:r>
      <w:r>
        <w:rPr>
          <w:rFonts w:ascii="Amiri" w:hAnsi="Amiri" w:eastAsia="Amiri" w:cs="Amiri"/>
          <w:color w:val="111111"/>
          <w:sz w:val="28"/>
          <w:sz w:val="28"/>
          <w:szCs w:val="28"/>
          <w:rtl w:val="true"/>
          <w:lang w:bidi="ar-SA"/>
        </w:rPr>
        <w:t xml:space="preserve">فوران الجاري من تحت الواقف من </w:t>
      </w:r>
    </w:p>
    <w:p>
      <w:pPr>
        <w:pStyle w:val="BookText"/>
        <w:rPr/>
      </w:pPr>
      <w:r>
        <w:rPr>
          <w:rFonts w:ascii="Amiri" w:hAnsi="Amiri" w:eastAsia="Amiri" w:cs="Amiri"/>
          <w:color w:val="111111"/>
          <w:sz w:val="28"/>
          <w:sz w:val="28"/>
          <w:szCs w:val="28"/>
          <w:rtl w:val="true"/>
          <w:lang w:bidi="ar-SA"/>
        </w:rPr>
        <w:t>العلوّ، و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الفوران كالنبع مع دوام الاتّصال </w:t>
      </w:r>
      <w:r>
        <w:rPr>
          <w:rStyle w:val="FootnoteAnchor"/>
          <w:rtl w:val="true"/>
        </w:rPr>
        <w:footnoteReference w:id="448"/>
      </w:r>
      <w:r>
        <w:rPr>
          <w:rFonts w:ascii="Amiri" w:hAnsi="Amiri" w:eastAsia="Amiri" w:cs="Amiri"/>
          <w:color w:val="111111"/>
          <w:sz w:val="28"/>
          <w:sz w:val="28"/>
          <w:szCs w:val="28"/>
          <w:rtl w:val="true"/>
          <w:lang w:bidi="ar-SA"/>
        </w:rPr>
        <w:t>، 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نبع الكثير من تحته كالفوارة فامتزج طهّره؛ لصيرورتهما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يريد النبع من الكثير و إن لم يكن ما يفور كثيراً، أو أن يريد نبع الكثير مرّة واحدة، و الأوّل أظهر؛ لبُعد الثاني، و لعدم كونه فرداً خفياً كسابقه، إذ يحصل الإلقاء دفعة، و معها لا فرق بين المتساوي و المختلف 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الشارح رحمه الله فقد استجاد عدم اعتبار شيء من الدفعة و الممازجة في الروض </w:t>
      </w:r>
      <w:r>
        <w:rPr>
          <w:rStyle w:val="FootnoteAnchor"/>
          <w:rtl w:val="true"/>
        </w:rPr>
        <w:footnoteReference w:id="449"/>
      </w:r>
      <w:r>
        <w:rPr>
          <w:rFonts w:ascii="Amiri" w:hAnsi="Amiri" w:eastAsia="Amiri" w:cs="Amiri"/>
          <w:color w:val="111111"/>
          <w:sz w:val="28"/>
          <w:sz w:val="28"/>
          <w:szCs w:val="28"/>
          <w:rtl w:val="true"/>
          <w:lang w:bidi="ar-SA"/>
        </w:rPr>
        <w:t xml:space="preserve">، و تردّد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و علوّ المطهّر، و هنا عكس على وجه، و بنى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شهرته السابقة لو شملته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 النجس إمّا لاتّحاده بالطاهر فيدخل في عمومه ما قضى بعدم انفعال الكرّ بالنجاسة، و هو لا يتصوّر إلّا في مستوي السطوح، و إمّا لاستيلاء الطاهر عليه كما في الجاري المحكوم بطهارته من حيث استيلاء مادّته، فيلزم حينئذ علوّ المطهر، فإذا فقد الأمران لم يحصل التطهير، و اقتصر في الروض في دليله على لزوم استيلاء المطر على النجس، و استشكل في حالة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جماعة شرطوا الممازجة و لم يكتفوا بالمماسّة، و هذا الشرط يرجع إلى علوّ المطهّر؛ لعدم تحقّق الامتزاج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ورحينئذ يتحقّق الشرط، و هو ورود الطاهر على النجس، و يزول الإشكال </w:t>
      </w:r>
      <w:r>
        <w:rPr>
          <w:rStyle w:val="FootnoteAnchor"/>
          <w:rtl w:val="true"/>
        </w:rPr>
        <w:footnoteReference w:id="4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لغويّة شرط الاستواء في كلامهم؛ لإغناء العلوّ عنه، و 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العلوّ الحاصل بالامتزاج إن كان كافياً لغا اشتراطهما معاً، و أغنى الامتزاج عنهما، ثمّ إنّ مرجع دليله إلى عدم تقوّي العالي بالسافل المطهّر، و قد مضى لنا كلام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 حيث كان مبناه حصول الاتّحاد أنَّه لا فرق بين العالي و السافل، فإنّ عدم تعدّي </w:t>
      </w:r>
    </w:p>
    <w:p>
      <w:pPr>
        <w:pStyle w:val="BookText"/>
        <w:rPr/>
      </w:pPr>
      <w:r>
        <w:rPr>
          <w:rFonts w:ascii="Amiri" w:hAnsi="Amiri" w:eastAsia="Amiri" w:cs="Amiri"/>
          <w:color w:val="111111"/>
          <w:sz w:val="28"/>
          <w:sz w:val="28"/>
          <w:szCs w:val="28"/>
          <w:rtl w:val="true"/>
          <w:lang w:bidi="ar-SA"/>
        </w:rPr>
        <w:t xml:space="preserve">حكم الأسفل إلى الأعلى من طهارة و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في المقامين، فيتناقض حكمهم هنا، و الحكم بأنّ الجاري بقسميه إذا كان مجموعه كُرّاً لم ينجس شيء منه بالملاقاة، فالحكم بالطهارة في علوّ المطهّر و بالنجاسة إذا كان العالي نجساً و السافل طاهر لا يخلو عن غموض بعد صدق الاتّحاد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الاتّحاد مقصور على صورة التساوي و صورة علوّ المطهّر ملحق به بالاتّفاق دون علوّ النجس، واضحةُ السقوط مع كون مرجعها حينئذ إلى أنّ المطهّر هو الاستيلاء الباعث على الامتزاج أو الاتّحاد، فلا معنى لشرطيّة علوّ المطهّر، و مع ذلك فالشارح يرى شرطيّته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الدفعة و الممازجة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عدم صدق الوحدة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ضير في اعتبارهما أو أحدهما مقدّمة لتحصيل الوحدة، و كأنّه يرى التطهير و إن لم يحصل الصدق المزبور إذا ارتفع المطهّر، أو يرى لزوم حصول الاتّحاد مع علوّ المطهّر؛ فإن كان الأوّل نافى حكمه بحصول الاتّحاد مع الملاقاة مطلقاً، الشامل لصورة العلوّ، و لزمه التمحّل في صورة علوّ النجس؛ لتعليقه الاتّحاد على الملاقاة الحاصل بهما سواء، و إن كان الثاني أشكل إفراد اعتباره دونهما مع اعترافه باعتبارهما لو توقّف الاتّحاد عليهما، و لزمه أن يجعل مناط التطهير هو الاتّحاد، فيبقى عليه إخراج بعض صور الاتّحاد مع إطباقهم على عدم التطهير فيها، مع أنَّه إحداث قول لخروج بعض صور الدفعي و الامتزاج التي لا يصدق معها، الاتّحاد، و لا مفصل فيهما، كأن يجري الماء من ثقب كرّ ضيّق، أو يلقى كذلك في الماء النجس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العبارة فيهما لفهمه التنبيه على اعتبار الاتّصال و وجه من الممازجة، و حمل كلام من اعتبرها على ما يحصل معه الاتّحاد منها، ولكن التصرّف في كلماتهم مع شمول الإطلاق و تصريح بعضهم بالعدم مشكل</w:t>
      </w:r>
      <w:r>
        <w:rPr>
          <w:rFonts w:eastAsia="Amiri" w:cs="Amiri" w:ascii="Amiri" w:hAnsi="Amiri"/>
          <w:color w:val="111111"/>
          <w:sz w:val="28"/>
          <w:szCs w:val="28"/>
          <w:rtl w:val="true"/>
          <w:lang w:bidi="ar-SA"/>
        </w:rPr>
        <w:t xml:space="preserve">. </w:t>
      </w:r>
      <w:bookmarkStart w:id="39" w:name="pg9146_85762"/>
    </w:p>
    <w:p>
      <w:pPr>
        <w:pStyle w:val="Heading2"/>
        <w:numPr>
          <w:ilvl w:val="1"/>
          <w:numId w:val="1"/>
        </w:numPr>
        <w:rPr/>
      </w:pPr>
      <w:bookmarkStart w:id="40" w:name="__RefHeading___Toc3322548_2870459653"/>
      <w:bookmarkStart w:id="41" w:name="_Toc12"/>
      <w:bookmarkEnd w:id="39"/>
      <w:bookmarkEnd w:id="40"/>
      <w:r>
        <w:rPr>
          <w:rtl w:val="true"/>
        </w:rPr>
        <w:t>[</w:t>
      </w:r>
      <w:r>
        <w:rPr>
          <w:rtl w:val="true"/>
        </w:rPr>
        <w:t>تقدير الكر بالوزن</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حديثه المبحوث عنه عبارة عن ستّين قفيزاً،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أردباً،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أوقار حمار، و القفيز اثنا عشر صاعاً، و هو أربعة أمداد، و المُدّ رطل و نصف، و الأردب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عشرون صاعاً، قاله الأزهري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عندنا بالنقل للمناسبة أو الارتجال أو التجوّز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الانفعال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بالوزن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مئتا رطل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بكسر الرّاء على ما هو الأصحّ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الأصمعي </w:t>
      </w:r>
      <w:r>
        <w:rPr>
          <w:rStyle w:val="FootnoteAnchor"/>
          <w:rtl w:val="true"/>
        </w:rPr>
        <w:footnoteReference w:id="453"/>
      </w:r>
      <w:r>
        <w:rPr>
          <w:rFonts w:ascii="Amiri" w:hAnsi="Amiri" w:eastAsia="Amiri" w:cs="Amiri"/>
          <w:color w:val="111111"/>
          <w:sz w:val="28"/>
          <w:sz w:val="28"/>
          <w:szCs w:val="28"/>
          <w:rtl w:val="true"/>
          <w:lang w:bidi="ar-SA"/>
        </w:rPr>
        <w:t xml:space="preserve">اقتصر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فتحها على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المطرزي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قدره مئة و ثلاثون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الدرهم ستّة دوانيق و هو ستّ حبّات و الحبّة تعادل حبّتين من معتدل الشعير، و عليه الصدوق في المقنع </w:t>
      </w:r>
      <w:r>
        <w:rPr>
          <w:rStyle w:val="FootnoteAnchor"/>
          <w:rtl w:val="true"/>
        </w:rPr>
        <w:footnoteReference w:id="455"/>
      </w:r>
      <w:r>
        <w:rPr>
          <w:rFonts w:ascii="Amiri" w:hAnsi="Amiri" w:eastAsia="Amiri" w:cs="Amiri"/>
          <w:color w:val="111111"/>
          <w:sz w:val="28"/>
          <w:sz w:val="28"/>
          <w:szCs w:val="28"/>
          <w:rtl w:val="true"/>
          <w:lang w:bidi="ar-SA"/>
        </w:rPr>
        <w:t xml:space="preserve">، و رواه الشيخ </w:t>
      </w:r>
      <w:r>
        <w:rPr>
          <w:rStyle w:val="FootnoteAnchor"/>
          <w:rtl w:val="true"/>
        </w:rPr>
        <w:footnoteReference w:id="456"/>
      </w:r>
      <w:r>
        <w:rPr>
          <w:rFonts w:ascii="IRNazanin" w:hAnsi="IRNazanin" w:eastAsia="IRNazanin"/>
          <w:color w:val="111111"/>
          <w:sz w:val="28"/>
          <w:sz w:val="28"/>
          <w:szCs w:val="28"/>
          <w:rtl w:val="true"/>
          <w:lang w:bidi="fa-IR"/>
        </w:rPr>
        <w:t xml:space="preserve">أيضاً ، أرسلاه عن الكاظم علیه السلام، و بنقل الشيخ </w:t>
      </w:r>
      <w:r>
        <w:rPr>
          <w:rStyle w:val="FootnoteAnchor"/>
          <w:rtl w:val="true"/>
        </w:rPr>
        <w:footnoteReference w:id="457"/>
      </w:r>
      <w:r>
        <w:rPr>
          <w:rFonts w:ascii="Amiri" w:hAnsi="Amiri" w:eastAsia="Amiri" w:cs="Amiri"/>
          <w:color w:val="111111"/>
          <w:sz w:val="28"/>
          <w:sz w:val="28"/>
          <w:szCs w:val="28"/>
          <w:rtl w:val="true"/>
          <w:lang w:bidi="ar-SA"/>
        </w:rPr>
        <w:t>له عن محمّد بن الحسن الصفّار عن موسى بن عمر عن سليمان بن حفص المروزي يكون مسنداً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الأكثر،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أنّ الدرهم ثمانون و أربعين </w:t>
      </w:r>
      <w:r>
        <w:rPr>
          <w:rStyle w:val="FootnoteAnchor"/>
          <w:rtl w:val="true"/>
        </w:rPr>
        <w:footnoteReference w:id="458"/>
      </w:r>
      <w:r>
        <w:rPr>
          <w:rFonts w:ascii="Amiri" w:hAnsi="Amiri" w:eastAsia="Amiri" w:cs="Amiri"/>
          <w:color w:val="111111"/>
          <w:sz w:val="28"/>
          <w:sz w:val="28"/>
          <w:szCs w:val="28"/>
          <w:rtl w:val="true"/>
          <w:lang w:bidi="ar-SA"/>
        </w:rPr>
        <w:t xml:space="preserve">حبّةً شعير متوسّطة، و الدانق ثمان كذلك، و وزن الكرّ بما ذكر و الرطل بالعراقي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المشهور </w:t>
      </w:r>
      <w:r>
        <w:rPr>
          <w:rStyle w:val="FootnoteAnchor"/>
          <w:rtl w:val="true"/>
        </w:rPr>
        <w:footnoteReference w:id="459"/>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عود الضمير إلى كونه عراقيّاً و إلى مقداره لا إلى وزن الكرّ؛ لنقل الإجماع عليه في الانتصار </w:t>
      </w:r>
      <w:r>
        <w:rPr>
          <w:rStyle w:val="FootnoteAnchor"/>
          <w:rtl w:val="true"/>
        </w:rPr>
        <w:footnoteReference w:id="460"/>
      </w:r>
      <w:r>
        <w:rPr>
          <w:rFonts w:ascii="Amiri" w:hAnsi="Amiri" w:eastAsia="Amiri" w:cs="Amiri"/>
          <w:color w:val="111111"/>
          <w:sz w:val="28"/>
          <w:sz w:val="28"/>
          <w:szCs w:val="28"/>
          <w:rtl w:val="true"/>
          <w:lang w:bidi="ar-SA"/>
        </w:rPr>
        <w:t xml:space="preserve">و الناصريات </w:t>
      </w:r>
      <w:r>
        <w:rPr>
          <w:rStyle w:val="FootnoteAnchor"/>
          <w:rtl w:val="true"/>
        </w:rPr>
        <w:footnoteReference w:id="461"/>
      </w:r>
      <w:r>
        <w:rPr>
          <w:rFonts w:ascii="Amiri" w:hAnsi="Amiri" w:eastAsia="Amiri" w:cs="Amiri"/>
          <w:color w:val="111111"/>
          <w:sz w:val="28"/>
          <w:sz w:val="28"/>
          <w:szCs w:val="28"/>
          <w:rtl w:val="true"/>
          <w:lang w:bidi="ar-SA"/>
        </w:rPr>
        <w:t xml:space="preserve">و الغُنية </w:t>
      </w:r>
      <w:r>
        <w:rPr>
          <w:rStyle w:val="FootnoteAnchor"/>
          <w:rtl w:val="true"/>
        </w:rPr>
        <w:footnoteReference w:id="462"/>
      </w:r>
      <w:r>
        <w:rPr>
          <w:rFonts w:ascii="IRNazanin" w:hAnsi="IRNazanin" w:eastAsia="IRNazanin"/>
          <w:color w:val="111111"/>
          <w:sz w:val="28"/>
          <w:sz w:val="28"/>
          <w:szCs w:val="28"/>
          <w:rtl w:val="true"/>
          <w:lang w:bidi="fa-IR"/>
        </w:rPr>
        <w:t xml:space="preserve">و المعتبر </w:t>
      </w:r>
      <w:r>
        <w:rPr>
          <w:rStyle w:val="FootnoteAnchor"/>
          <w:rtl w:val="true"/>
        </w:rPr>
        <w:footnoteReference w:id="463"/>
      </w:r>
      <w:r>
        <w:rPr>
          <w:rFonts w:ascii="Amiri" w:hAnsi="Amiri" w:eastAsia="Amiri" w:cs="Amiri"/>
          <w:color w:val="111111"/>
          <w:sz w:val="28"/>
          <w:sz w:val="28"/>
          <w:szCs w:val="28"/>
          <w:rtl w:val="true"/>
          <w:lang w:bidi="ar-SA"/>
        </w:rPr>
        <w:t>، و خلاف الناس لا يضرّ، فغير المشهور أنَّه مدني أو عراقي بغير الوزن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 مشترك لفظاً أو معنىً بين المعاني الواردة في أخبار الماء المعتصم، فيحمل الزائد على الندبيّة و هو للعلّامة ابن طاووس رحمه الله </w:t>
      </w:r>
      <w:r>
        <w:rPr>
          <w:rStyle w:val="FootnoteAnchor"/>
          <w:rtl w:val="true"/>
        </w:rPr>
        <w:footnoteReference w:id="464"/>
      </w:r>
      <w:r>
        <w:rPr>
          <w:rFonts w:ascii="IRNazanin" w:hAnsi="IRNazanin" w:eastAsia="IRNazanin"/>
          <w:color w:val="111111"/>
          <w:sz w:val="28"/>
          <w:sz w:val="28"/>
          <w:szCs w:val="28"/>
          <w:rtl w:val="true"/>
          <w:lang w:bidi="fa-IR"/>
        </w:rPr>
        <w:t xml:space="preserve">عملاً بمجموع الأخبار </w:t>
      </w:r>
      <w:r>
        <w:rPr>
          <w:rStyle w:val="FootnoteAnchor"/>
          <w:rtl w:val="true"/>
        </w:rPr>
        <w:footnoteReference w:id="465"/>
      </w:r>
      <w:r>
        <w:rPr>
          <w:rFonts w:ascii="Amiri" w:hAnsi="Amiri" w:eastAsia="Amiri" w:cs="Amiri"/>
          <w:color w:val="111111"/>
          <w:sz w:val="28"/>
          <w:sz w:val="28"/>
          <w:szCs w:val="28"/>
          <w:rtl w:val="true"/>
          <w:lang w:bidi="ar-SA"/>
        </w:rPr>
        <w:t>من من الحِبّ و القلّتين و الراوية و الكُرّ المقدّر بالوزن و المساحة، و لولا إعراض الأصحاب عنه لأمكن أن يوجّه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الرطل مدنيّاً فعليه الصدوق </w:t>
      </w:r>
      <w:r>
        <w:rPr>
          <w:rStyle w:val="FootnoteAnchor"/>
          <w:rtl w:val="true"/>
        </w:rPr>
        <w:footnoteReference w:id="466"/>
      </w:r>
      <w:r>
        <w:rPr>
          <w:rFonts w:ascii="Amiri" w:hAnsi="Amiri" w:eastAsia="Amiri" w:cs="Amiri"/>
          <w:color w:val="111111"/>
          <w:sz w:val="28"/>
          <w:sz w:val="28"/>
          <w:szCs w:val="28"/>
          <w:rtl w:val="true"/>
          <w:lang w:bidi="ar-SA"/>
        </w:rPr>
        <w:t xml:space="preserve">و المرتضى في انتصاره و جمله </w:t>
      </w:r>
      <w:r>
        <w:rPr>
          <w:rStyle w:val="FootnoteAnchor"/>
          <w:rtl w:val="true"/>
        </w:rPr>
        <w:footnoteReference w:id="467"/>
      </w:r>
      <w:r>
        <w:rPr>
          <w:rFonts w:ascii="Amiri" w:hAnsi="Amiri" w:eastAsia="Amiri" w:cs="Amiri"/>
          <w:color w:val="111111"/>
          <w:sz w:val="28"/>
          <w:sz w:val="28"/>
          <w:szCs w:val="28"/>
          <w:rtl w:val="true"/>
          <w:lang w:bidi="ar-SA"/>
        </w:rPr>
        <w:t xml:space="preserve">و ناصريّاته و مصباحه </w:t>
      </w:r>
      <w:r>
        <w:rPr>
          <w:rStyle w:val="FootnoteAnchor"/>
          <w:rtl w:val="true"/>
        </w:rPr>
        <w:footnoteReference w:id="468"/>
      </w:r>
      <w:r>
        <w:rPr>
          <w:rFonts w:ascii="Amiri" w:hAnsi="Amiri" w:eastAsia="Amiri" w:cs="Amiri"/>
          <w:color w:val="111111"/>
          <w:sz w:val="28"/>
          <w:sz w:val="28"/>
          <w:szCs w:val="28"/>
          <w:rtl w:val="true"/>
          <w:lang w:bidi="ar-SA"/>
        </w:rPr>
        <w:t xml:space="preserve">، و ابن زهرة </w:t>
      </w:r>
      <w:r>
        <w:rPr>
          <w:rStyle w:val="FootnoteAnchor"/>
          <w:rtl w:val="true"/>
        </w:rPr>
        <w:footnoteReference w:id="469"/>
      </w:r>
      <w:r>
        <w:rPr>
          <w:rFonts w:ascii="Amiri" w:hAnsi="Amiri" w:eastAsia="Amiri" w:cs="Amiri"/>
          <w:color w:val="111111"/>
          <w:sz w:val="28"/>
          <w:sz w:val="28"/>
          <w:szCs w:val="28"/>
          <w:rtl w:val="true"/>
          <w:lang w:bidi="ar-SA"/>
        </w:rPr>
        <w:t xml:space="preserve">جعله الأحوط، و احتملهما في المعتبر </w:t>
      </w:r>
      <w:r>
        <w:rPr>
          <w:rStyle w:val="FootnoteAnchor"/>
          <w:rtl w:val="true"/>
        </w:rPr>
        <w:footnoteReference w:id="470"/>
      </w:r>
      <w:r>
        <w:rPr>
          <w:rFonts w:ascii="Amiri" w:hAnsi="Amiri" w:eastAsia="Amiri" w:cs="Amiri"/>
          <w:color w:val="111111"/>
          <w:sz w:val="28"/>
          <w:sz w:val="28"/>
          <w:szCs w:val="28"/>
          <w:rtl w:val="true"/>
          <w:lang w:bidi="ar-SA"/>
        </w:rPr>
        <w:t>و جعل العراقي أولى، و هو كذلك وفاقاً للمشهور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جدّي </w:t>
      </w:r>
      <w:r>
        <w:rPr>
          <w:rStyle w:val="FootnoteAnchor"/>
          <w:rtl w:val="true"/>
        </w:rPr>
        <w:footnoteReference w:id="471"/>
      </w:r>
      <w:r>
        <w:rPr>
          <w:rFonts w:ascii="Amiri" w:hAnsi="Amiri" w:eastAsia="Amiri" w:cs="Amiri"/>
          <w:color w:val="111111"/>
          <w:sz w:val="28"/>
          <w:sz w:val="28"/>
          <w:szCs w:val="28"/>
          <w:rtl w:val="true"/>
          <w:lang w:bidi="ar-SA"/>
        </w:rPr>
        <w:t xml:space="preserve">و أبي </w:t>
      </w:r>
      <w:r>
        <w:rPr>
          <w:rStyle w:val="FootnoteAnchor"/>
          <w:rtl w:val="true"/>
        </w:rPr>
        <w:footnoteReference w:id="472"/>
      </w:r>
      <w:r>
        <w:rPr>
          <w:rFonts w:ascii="Amiri" w:hAnsi="Amiri" w:eastAsia="Amiri" w:cs="Amiri"/>
          <w:color w:val="111111"/>
          <w:sz w:val="28"/>
          <w:sz w:val="28"/>
          <w:szCs w:val="28"/>
          <w:rtl w:val="true"/>
          <w:lang w:bidi="ar-SA"/>
        </w:rPr>
        <w:t>في زبرهما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يتبع حقيقة الماء فلا يحسب الخليط سواء كان من </w:t>
      </w:r>
    </w:p>
    <w:p>
      <w:pPr>
        <w:pStyle w:val="BookText"/>
        <w:rPr/>
      </w:pPr>
      <w:r>
        <w:rPr>
          <w:rFonts w:ascii="Amiri" w:hAnsi="Amiri" w:eastAsia="Amiri" w:cs="Amiri"/>
          <w:color w:val="111111"/>
          <w:sz w:val="28"/>
          <w:sz w:val="28"/>
          <w:szCs w:val="28"/>
          <w:rtl w:val="true"/>
          <w:lang w:bidi="ar-SA"/>
        </w:rPr>
        <w:t>لوازم الماء كالدهلة أو غيرها؛ أخذاً بالمتيقن، و اقتصر والدي في أنوار فقاهته على الخليط الغير المعتاد، و الظاهر أنّ وزنه يكون مئتين و ثمانية و سبعين حقة بعيار إسلامبول العامرة، و الحقة عبارة عن أحد و تسعين مثقالاً شرعيّاً الذي هو ثمانية و ستون بالصيرفي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للمرتضى أنَّه أحوط لاشتماله على 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يتمّ مطلقاً لقضاء الاحتياط باستعماله؛ لانحصاره به أو التيمم لو وجدوا فيه نجاسة، و احتمالُ كونه نجساً إذ التيمم لا يخالف الاحتياط، مردودٌ باستصحاب طهارته قبل الشکّ فيها لملاقاته لما لم يغيّر من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إنّ الإمام علیه السلام مدنيّ، فلا يخاطب إلّا بلغة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نفيٌ لمنصبه الذي يراعي فيه الحكم، فلا يمكن أن يخاطب بالمجهول عند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أنّ الكريّة شرط لعدم الانفعال، و مع الشكّ تبقى أدلّته بحالها، و النقض بشرطيّة القلّة للانفعال أيضاً، و هي غير متيقّنة بالعراقي، فيفزع لقاعدة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أنها أمرٌ عدميّ، و أنّ المراد بالشرط ليس إلّا ما جعله الشارع شرطاً، و لم نعثر على الشرطيّة كذلك، مع أنَّه تعليق على أمر غير مضبوط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يقين الطهارة لا يزول بمشكوك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أنّ الكرّ بالمدني أقرب إلى المعنى اللّغوي من العراقي بالمقدار،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 المعتبر عندنا في الوزن المزبور منقولاً كان أو مجازيّاً ليس لمناسبة معناه اللغوي للبُعد بينهما بأيّ معنى أخذ الرطل و إن شابهه في كون كلّ منهما مكّيّاً لا معروفاً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جواز الارتجال فيه يوهِن كونه منقولا و يسقط المجازية باستعماله بلا قرينة، و قد ورد بالأخبار </w:t>
      </w:r>
      <w:r>
        <w:rPr>
          <w:rStyle w:val="FootnoteAnchor"/>
          <w:rtl w:val="true"/>
        </w:rPr>
        <w:footnoteReference w:id="473"/>
      </w:r>
      <w:r>
        <w:rPr>
          <w:rFonts w:ascii="Amiri" w:hAnsi="Amiri" w:eastAsia="Amiri" w:cs="Amiri"/>
          <w:color w:val="111111"/>
          <w:sz w:val="28"/>
          <w:sz w:val="28"/>
          <w:szCs w:val="28"/>
          <w:rtl w:val="true"/>
          <w:lang w:bidi="ar-SA"/>
        </w:rPr>
        <w:t xml:space="preserve">، و حينئذ يكفينا بطلان أدلّة المرتضى في الحكم بالعراقي، مضافاً إلى صحيحة </w:t>
      </w:r>
    </w:p>
    <w:p>
      <w:pPr>
        <w:pStyle w:val="BookText"/>
        <w:rPr/>
      </w:pPr>
      <w:r>
        <w:rPr>
          <w:rFonts w:ascii="IRNazanin" w:hAnsi="IRNazanin" w:eastAsia="IRNazanin"/>
          <w:color w:val="111111"/>
          <w:sz w:val="28"/>
          <w:sz w:val="28"/>
          <w:szCs w:val="28"/>
          <w:rtl w:val="true"/>
          <w:lang w:bidi="fa-IR"/>
        </w:rPr>
        <w:t xml:space="preserve">ابن مسلم </w:t>
      </w:r>
      <w:r>
        <w:rPr>
          <w:rStyle w:val="FootnoteAnchor"/>
          <w:rtl w:val="true"/>
        </w:rPr>
        <w:footnoteReference w:id="474"/>
      </w:r>
      <w:r>
        <w:rPr>
          <w:rFonts w:ascii="IRNazanin" w:hAnsi="IRNazanin" w:eastAsia="IRNazanin"/>
          <w:color w:val="111111"/>
          <w:sz w:val="28"/>
          <w:sz w:val="28"/>
          <w:szCs w:val="28"/>
          <w:rtl w:val="true"/>
          <w:lang w:bidi="fa-IR"/>
        </w:rPr>
        <w:t xml:space="preserve">التي لا يمكن فيها الحمل إلّا على المكّي الذي هو ضعف العراقي، فتكون بياناً للمرسلة المعمول عليها لكون مرسل ابن عمير کمسنده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المعتبر </w:t>
      </w:r>
      <w:r>
        <w:rPr>
          <w:rStyle w:val="FootnoteAnchor"/>
          <w:rtl w:val="true"/>
        </w:rPr>
        <w:footnoteReference w:id="476"/>
      </w:r>
      <w:r>
        <w:rPr>
          <w:rFonts w:ascii="Amiri" w:hAnsi="Amiri" w:eastAsia="Amiri" w:cs="Amiri"/>
          <w:color w:val="111111"/>
          <w:sz w:val="28"/>
          <w:sz w:val="28"/>
          <w:szCs w:val="28"/>
          <w:rtl w:val="true"/>
          <w:lang w:bidi="ar-SA"/>
        </w:rPr>
        <w:t xml:space="preserve">من حمل الستّمئة على المدنيّ ليقارن العراقي لم يفهم وجهه بعد تصريحه بأنّ المدني ثُلتَي العراقي إلَّا أن يكون أراد المكّي فجرى القلم عكس المراد، كحمله على المدني لقربه من قول القميين في روض الشارح </w:t>
      </w:r>
      <w:r>
        <w:rPr>
          <w:rStyle w:val="FootnoteAnchor"/>
          <w:rtl w:val="true"/>
        </w:rPr>
        <w:footnoteReference w:id="477"/>
      </w:r>
      <w:r>
        <w:rPr>
          <w:rFonts w:ascii="Amiri" w:hAnsi="Amiri" w:eastAsia="Amiri" w:cs="Amiri"/>
          <w:color w:val="111111"/>
          <w:sz w:val="28"/>
          <w:sz w:val="28"/>
          <w:szCs w:val="28"/>
          <w:rtl w:val="true"/>
          <w:lang w:bidi="ar-SA"/>
        </w:rPr>
        <w:t>بحذف الأنصاف فإنّ الموافقة لا توجب الحمل، مع عدم ذهاب أحد منهم على التقدير بالستّمئة لا بالعراقي و لا بالمدني، فهو و إن و افق، لكنّه خلاف الإجماع، مع ما فيه من عدم الجمع حينئذ بين أخبار 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للمشهور وجوهاً مدخولة كعراقيّة ابن عمير </w:t>
      </w:r>
      <w:r>
        <w:rPr>
          <w:rStyle w:val="FootnoteAnchor"/>
          <w:rtl w:val="true"/>
        </w:rPr>
        <w:footnoteReference w:id="478"/>
      </w:r>
      <w:r>
        <w:rPr>
          <w:rFonts w:ascii="Amiri" w:hAnsi="Amiri" w:eastAsia="Amiri" w:cs="Amiri"/>
          <w:color w:val="111111"/>
          <w:sz w:val="28"/>
          <w:sz w:val="28"/>
          <w:szCs w:val="28"/>
          <w:rtl w:val="true"/>
          <w:lang w:bidi="ar-SA"/>
        </w:rPr>
        <w:t xml:space="preserve">، فالجواب على وزن بلده، و كمناسبة الأرطال للأشبار إذا كانت عراقيّة خصوصاً عند معتبر الثلاثة و بعيدٌ تحديد الواحد بشيئين متفاوتين، و كإطلاق الرطل في رواية </w:t>
      </w:r>
      <w:r>
        <w:rPr>
          <w:rStyle w:val="FootnoteAnchor"/>
          <w:rtl w:val="true"/>
        </w:rPr>
        <w:footnoteReference w:id="479"/>
      </w:r>
      <w:r>
        <w:rPr>
          <w:rFonts w:ascii="Amiri" w:hAnsi="Amiri" w:eastAsia="Amiri" w:cs="Amiri"/>
          <w:color w:val="111111"/>
          <w:sz w:val="28"/>
          <w:sz w:val="28"/>
          <w:szCs w:val="28"/>
          <w:rtl w:val="true"/>
          <w:lang w:bidi="ar-SA"/>
        </w:rPr>
        <w:t>الشّن و إرادة العراقي بلا قرينة، و كأصالة الطهارة و عموم خبر الطهوريّة فإنّ ابن عمير مرسل فلعلّ له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القُرب موجب لحمل الستّمئة على المدنيّة ليكون تسعمئة بالعراقي، و حمله كذلك تردّه رواية </w:t>
      </w:r>
      <w:r>
        <w:rPr>
          <w:rStyle w:val="FootnoteAnchor"/>
          <w:rtl w:val="true"/>
        </w:rPr>
        <w:footnoteReference w:id="480"/>
      </w:r>
      <w:r>
        <w:rPr>
          <w:rFonts w:ascii="Amiri" w:hAnsi="Amiri" w:eastAsia="Amiri" w:cs="Amiri"/>
          <w:color w:val="111111"/>
          <w:sz w:val="28"/>
          <w:sz w:val="28"/>
          <w:szCs w:val="28"/>
          <w:rtl w:val="true"/>
          <w:lang w:bidi="ar-SA"/>
        </w:rPr>
        <w:t>تنجيس ألف رطل بأوقية دم، مع منافاته للجمع بين الأخبار، فإنّ النسبة بين مساحة القميّين و بين رواية الستّمئة عموم من وجه، و كذا بين كلّ واحدٍ من أخبار الوزن و أخبار المساحة، فإرجاع أحدها إلى الآخر طرح له لا جمع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حمل الستّمئة على المدني؛ لجهة عدم إمكانه على العراقي، أو على المكي؛ لخروجه </w:t>
      </w:r>
    </w:p>
    <w:p>
      <w:pPr>
        <w:pStyle w:val="BookText"/>
        <w:rPr/>
      </w:pPr>
      <w:r>
        <w:rPr>
          <w:rFonts w:ascii="Amiri" w:hAnsi="Amiri" w:eastAsia="Amiri" w:cs="Amiri"/>
          <w:color w:val="111111"/>
          <w:sz w:val="28"/>
          <w:sz w:val="28"/>
          <w:szCs w:val="28"/>
          <w:rtl w:val="true"/>
          <w:lang w:bidi="ar-SA"/>
        </w:rPr>
        <w:t>عن عُرف السائل و المسؤول و البلد لا بدّ من ارتكاب أحدهما إلَّا إذا ثبت أن المخاطب طائفي فتحسب من قرى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الإطلاق فيمكن أنّ الراوي عراقي مع معارضته بالمثل الأقوى كما نبّه عليه الأستاذ رحمه الله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الأصل فهو يقضى بالانفعال بلا شبهة؛ لعلّيّة الكرّية في عدمه القاضية بأنّ الملاقاة توجب الانفعال إلّا بها، و أصالة عدمها كاف و وارد على أصالة الطهارة في هذا الماء الثابت ملاقاته للنجاسة الموجبة لانفعاله إلَّا أن يكون كرّاً فغير الكرّ و مستصحبه ينفعل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العموم المزبور ذكرنا الطعن فيه؛ لعدم وجوده في أصول أصحابنا، مع مقاومته لخبِر </w:t>
      </w:r>
      <w:r>
        <w:rPr>
          <w:rStyle w:val="FootnoteAnchor"/>
          <w:rtl w:val="true"/>
        </w:rPr>
        <w:footnoteReference w:id="482"/>
      </w:r>
      <w:r>
        <w:rPr>
          <w:rFonts w:ascii="Amiri" w:hAnsi="Amiri" w:eastAsia="Amiri" w:cs="Amiri"/>
          <w:color w:val="111111"/>
          <w:sz w:val="28"/>
          <w:sz w:val="28"/>
          <w:szCs w:val="28"/>
          <w:rtl w:val="true"/>
          <w:lang w:bidi="ar-SA"/>
        </w:rPr>
        <w:t>عدم انفعال الكرّ الدالّ على علّيّة الكرّية لعدم التنجيس، و قضيّة الجمع تقيّد إطلاقه بالكُرّ المتيقّن عدم انفعاله، و عند الشكّ فيه لا يشمله الإطلاق؛ لأنّه شكّ في موضوع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 عراقي بغير الوزن المزبور فللعلّامة رحمه الله في تحريره </w:t>
      </w:r>
      <w:r>
        <w:rPr>
          <w:rStyle w:val="FootnoteAnchor"/>
          <w:rtl w:val="true"/>
        </w:rPr>
        <w:footnoteReference w:id="483"/>
      </w:r>
      <w:r>
        <w:rPr>
          <w:rFonts w:ascii="IRNazanin" w:hAnsi="IRNazanin" w:eastAsia="IRNazanin"/>
          <w:color w:val="111111"/>
          <w:sz w:val="28"/>
          <w:sz w:val="28"/>
          <w:szCs w:val="28"/>
          <w:rtl w:val="true"/>
          <w:lang w:bidi="fa-IR"/>
        </w:rPr>
        <w:t xml:space="preserve">و منتهاه </w:t>
      </w:r>
      <w:r>
        <w:rPr>
          <w:rStyle w:val="FootnoteAnchor"/>
          <w:rtl w:val="true"/>
        </w:rPr>
        <w:footnoteReference w:id="484"/>
      </w:r>
      <w:r>
        <w:rPr>
          <w:rFonts w:ascii="Amiri" w:hAnsi="Amiri" w:eastAsia="Amiri" w:cs="Amiri"/>
          <w:color w:val="111111"/>
          <w:sz w:val="28"/>
          <w:sz w:val="28"/>
          <w:szCs w:val="28"/>
          <w:rtl w:val="true"/>
          <w:lang w:bidi="ar-SA"/>
        </w:rPr>
        <w:t xml:space="preserve">أنَّه مئة و ثمانية و عشرون درهماً و أربعة أسباع درهم، و نسب للغفلة، و الأوّل معروف، و لا محيص عن متابعة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هذه الألفاظ</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مشايخنا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 إن كانت مبنيّة على الطرق العلميّة غير الحسّ؛ لأنّ قول العدل متى ثبت في شيء و أمكن أن يكون له إليه طريق حسّي و ما جرى مجراه في الامتزاج من الآثار الحسّيّة وجبَ قبوله، إذ كان ذلك الشيء من مقدّمات استنباط الحكم الشرعي، كعدالة الرجال، و الظنون المعلّقة بالتعديلات الحاصلة من أخبار العدول، و تشخيص السؤالات المبني عليها فهم الأحكام من أجوبة الإمام علیه السلام، فينبغي في المقام التعويل عليهم، فإنّه ليس </w:t>
      </w:r>
      <w:bookmarkStart w:id="42" w:name="pg9146_85772"/>
    </w:p>
    <w:p>
      <w:pPr>
        <w:pStyle w:val="BookText"/>
        <w:rPr/>
      </w:pPr>
      <w:bookmarkEnd w:id="42"/>
      <w:r>
        <w:rPr>
          <w:rFonts w:ascii="Amiri" w:hAnsi="Amiri" w:eastAsia="Amiri" w:cs="Amiri"/>
          <w:color w:val="111111"/>
          <w:sz w:val="28"/>
          <w:sz w:val="28"/>
          <w:szCs w:val="28"/>
          <w:rtl w:val="true"/>
          <w:lang w:bidi="ar-SA"/>
        </w:rPr>
        <w:t>هذا من قبيل الرجوع لهم في مفاهيم الألفاظ و مداليلها العرفيّة؛ لأنّ إخبارهم فيها إخبار بما عهدوه من أهل عصرهم، و من البيّن أنّهم لم يدركوا عصر السائل و المسؤول في التقدير المرقوم</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322550_2870459653"/>
      <w:bookmarkStart w:id="44" w:name="_Toc13"/>
      <w:bookmarkEnd w:id="43"/>
      <w:r>
        <w:rPr>
          <w:rtl w:val="true"/>
        </w:rPr>
        <w:t>[</w:t>
      </w:r>
      <w:r>
        <w:rPr>
          <w:rtl w:val="true"/>
        </w:rPr>
        <w:t>تقدير الكر بالمساحة</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مكسره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ضرب الطول في العرض و هما في العمق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 أربعين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سبعة أثمان شبر مستو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يوجد في أغلب الناس، و المكسر اسم مفعول بمعنى المكسر فيه، و هو المشتمل على التكسير، فحذف الجار للظهور و أوصل الضمير، أو مصدر بمعناه أُطلق على الضرب المرقوم لجعل أحد العددين كسراً للآخر؛ فالتكسير بمعنى جِدْ العدد كسراً، و طريق ضربه أن تضرب ثلاثة من العرض بحذف النصف منها في ثلاثة الطول و نصفها يكون الحاصل عشرة و نصف، ثمّ تضرب نصف العرض الفاضل في مجموع أشبار الطول مع النصف فيكون شبران إلّا ربع، ثمّ تضيفه للمضروب السابق فيحصل اثنا عشر شبراً و ربعاً، ثمّ تضربها بحذف ربعها في أشبار العمق بحذف النصف فينتظم ستّة و ثلاثين شبراً، ثمّ تضرب النصف من أشبار العمق في الاثني عشر فقط فيحصل ستّة و يكمل العدد اثنين و أربعين شبراً، ثمّ تضرب الرّبع في ثلاثة العمق مع النصف فيكون ثلاثة أرباع و نصف ربع عبارةً عن سبعة أثمان الشبر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تضرب و تحسب على مخارج الكسور، و هو أبلغ و أسهل في الضرب و المساحة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نسبه في الخلاف </w:t>
      </w:r>
      <w:r>
        <w:rPr>
          <w:rStyle w:val="FootnoteAnchor"/>
          <w:rtl w:val="true"/>
        </w:rPr>
        <w:footnoteReference w:id="486"/>
      </w:r>
      <w:r>
        <w:rPr>
          <w:rFonts w:ascii="Amiri" w:hAnsi="Amiri" w:eastAsia="Amiri" w:cs="Amiri"/>
          <w:color w:val="111111"/>
          <w:sz w:val="28"/>
          <w:sz w:val="28"/>
          <w:szCs w:val="28"/>
          <w:rtl w:val="true"/>
          <w:lang w:bidi="ar-SA"/>
        </w:rPr>
        <w:t xml:space="preserve">إلى أصحاب الحديث و جميع القميّين، و في المجمع </w:t>
      </w:r>
      <w:r>
        <w:rPr>
          <w:rStyle w:val="FootnoteAnchor"/>
          <w:rtl w:val="true"/>
        </w:rPr>
        <w:footnoteReference w:id="487"/>
      </w:r>
      <w:r>
        <w:rPr>
          <w:rFonts w:ascii="Amiri" w:hAnsi="Amiri" w:eastAsia="Amiri" w:cs="Amiri"/>
          <w:color w:val="111111"/>
          <w:sz w:val="28"/>
          <w:sz w:val="28"/>
          <w:szCs w:val="28"/>
          <w:rtl w:val="true"/>
          <w:lang w:bidi="ar-SA"/>
        </w:rPr>
        <w:t xml:space="preserve">نسبته إلى جمهور المتأخّرين، و ابن زهرة </w:t>
      </w:r>
      <w:r>
        <w:rPr>
          <w:rStyle w:val="FootnoteAnchor"/>
          <w:rtl w:val="true"/>
        </w:rPr>
        <w:footnoteReference w:id="488"/>
      </w:r>
      <w:r>
        <w:rPr>
          <w:rFonts w:ascii="Amiri" w:hAnsi="Amiri" w:eastAsia="Amiri" w:cs="Amiri"/>
          <w:color w:val="111111"/>
          <w:sz w:val="28"/>
          <w:sz w:val="28"/>
          <w:szCs w:val="28"/>
          <w:rtl w:val="true"/>
          <w:lang w:bidi="ar-SA"/>
        </w:rPr>
        <w:t xml:space="preserve">نقل عليه الإجماع،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باقي كتبه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الاكتفاء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الكرّ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لمستوي الخلقة بحذف الأنصاف الأبعاد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السرائر </w:t>
      </w:r>
      <w:r>
        <w:rPr>
          <w:rStyle w:val="FootnoteAnchor"/>
          <w:rtl w:val="true"/>
        </w:rPr>
        <w:footnoteReference w:id="490"/>
      </w:r>
      <w:r>
        <w:rPr>
          <w:rFonts w:ascii="IRNazanin" w:hAnsi="IRNazanin" w:eastAsia="IRNazanin"/>
          <w:color w:val="111111"/>
          <w:sz w:val="28"/>
          <w:sz w:val="28"/>
          <w:szCs w:val="28"/>
          <w:rtl w:val="true"/>
          <w:lang w:bidi="fa-IR"/>
        </w:rPr>
        <w:t xml:space="preserve">و المختلف </w:t>
      </w:r>
      <w:r>
        <w:rPr>
          <w:rStyle w:val="FootnoteAnchor"/>
          <w:rtl w:val="true"/>
        </w:rPr>
        <w:footnoteReference w:id="491"/>
      </w:r>
      <w:r>
        <w:rPr>
          <w:rFonts w:ascii="Amiri" w:hAnsi="Amiri" w:eastAsia="Amiri" w:cs="Amiri"/>
          <w:color w:val="111111"/>
          <w:sz w:val="28"/>
          <w:sz w:val="28"/>
          <w:szCs w:val="28"/>
          <w:rtl w:val="true"/>
          <w:lang w:bidi="ar-SA"/>
        </w:rPr>
        <w:t xml:space="preserve">و الذكرى </w:t>
      </w:r>
      <w:r>
        <w:rPr>
          <w:rStyle w:val="FootnoteAnchor"/>
          <w:rtl w:val="true"/>
        </w:rPr>
        <w:footnoteReference w:id="492"/>
      </w:r>
      <w:r>
        <w:rPr>
          <w:rFonts w:ascii="Amiri" w:hAnsi="Amiri" w:eastAsia="Amiri" w:cs="Amiri"/>
          <w:color w:val="111111"/>
          <w:sz w:val="28"/>
          <w:sz w:val="28"/>
          <w:szCs w:val="28"/>
          <w:rtl w:val="true"/>
          <w:lang w:bidi="ar-SA"/>
        </w:rPr>
        <w:t xml:space="preserve">و التنقيح </w:t>
      </w:r>
      <w:r>
        <w:rPr>
          <w:rStyle w:val="FootnoteAnchor"/>
          <w:rtl w:val="true"/>
        </w:rPr>
        <w:footnoteReference w:id="493"/>
      </w:r>
      <w:r>
        <w:rPr>
          <w:rFonts w:ascii="Amiri" w:hAnsi="Amiri" w:eastAsia="Amiri" w:cs="Amiri"/>
          <w:color w:val="111111"/>
          <w:sz w:val="28"/>
          <w:sz w:val="28"/>
          <w:szCs w:val="28"/>
          <w:rtl w:val="true"/>
          <w:lang w:bidi="ar-SA"/>
        </w:rPr>
        <w:t xml:space="preserve">إلى القميّين، و في الخلاف </w:t>
      </w:r>
      <w:r>
        <w:rPr>
          <w:rStyle w:val="FootnoteAnchor"/>
          <w:rtl w:val="true"/>
        </w:rPr>
        <w:footnoteReference w:id="494"/>
      </w:r>
      <w:r>
        <w:rPr>
          <w:rFonts w:ascii="Amiri" w:hAnsi="Amiri" w:eastAsia="Amiri" w:cs="Amiri"/>
          <w:color w:val="111111"/>
          <w:sz w:val="28"/>
          <w:sz w:val="28"/>
          <w:szCs w:val="28"/>
          <w:rtl w:val="true"/>
          <w:lang w:bidi="ar-SA"/>
        </w:rPr>
        <w:t xml:space="preserve">ما ينافيه معتضداً بمَيْل الصدوق في هدايته </w:t>
      </w:r>
      <w:r>
        <w:rPr>
          <w:rStyle w:val="FootnoteAnchor"/>
          <w:rtl w:val="true"/>
        </w:rPr>
        <w:footnoteReference w:id="495"/>
      </w:r>
      <w:r>
        <w:rPr>
          <w:rFonts w:ascii="Amiri" w:hAnsi="Amiri" w:eastAsia="Amiri" w:cs="Amiri"/>
          <w:color w:val="111111"/>
          <w:sz w:val="28"/>
          <w:sz w:val="28"/>
          <w:szCs w:val="28"/>
          <w:rtl w:val="true"/>
          <w:lang w:bidi="ar-SA"/>
        </w:rPr>
        <w:t xml:space="preserve">إليه، و في المختلف </w:t>
      </w:r>
      <w:r>
        <w:rPr>
          <w:rStyle w:val="FootnoteAnchor"/>
          <w:rtl w:val="true"/>
        </w:rPr>
        <w:footnoteReference w:id="496"/>
      </w:r>
      <w:r>
        <w:rPr>
          <w:rFonts w:ascii="Amiri" w:hAnsi="Amiri" w:eastAsia="Amiri" w:cs="Amiri"/>
          <w:color w:val="111111"/>
          <w:sz w:val="28"/>
          <w:sz w:val="28"/>
          <w:szCs w:val="28"/>
          <w:rtl w:val="true"/>
          <w:lang w:bidi="ar-SA"/>
        </w:rPr>
        <w:t xml:space="preserve">جزم به، و النهاية </w:t>
      </w:r>
      <w:r>
        <w:rPr>
          <w:rStyle w:val="FootnoteAnchor"/>
          <w:rtl w:val="true"/>
        </w:rPr>
        <w:footnoteReference w:id="497"/>
      </w:r>
      <w:r>
        <w:rPr>
          <w:rFonts w:ascii="Amiri" w:hAnsi="Amiri" w:eastAsia="Amiri" w:cs="Amiri"/>
          <w:color w:val="111111"/>
          <w:sz w:val="28"/>
          <w:sz w:val="28"/>
          <w:szCs w:val="28"/>
          <w:rtl w:val="true"/>
          <w:lang w:bidi="ar-SA"/>
        </w:rPr>
        <w:t xml:space="preserve">مالَ إليه، و المعتبر </w:t>
      </w:r>
      <w:r>
        <w:rPr>
          <w:rStyle w:val="FootnoteAnchor"/>
          <w:rtl w:val="true"/>
        </w:rPr>
        <w:footnoteReference w:id="498"/>
      </w:r>
      <w:r>
        <w:rPr>
          <w:rFonts w:ascii="Amiri" w:hAnsi="Amiri" w:eastAsia="Amiri" w:cs="Amiri"/>
          <w:color w:val="111111"/>
          <w:sz w:val="28"/>
          <w:sz w:val="28"/>
          <w:szCs w:val="28"/>
          <w:rtl w:val="true"/>
          <w:lang w:bidi="ar-SA"/>
        </w:rPr>
        <w:t xml:space="preserve">ما قدح في دليله فيعطي الميل، و الكركي في حاشية المختلف </w:t>
      </w:r>
      <w:r>
        <w:rPr>
          <w:rStyle w:val="FootnoteAnchor"/>
          <w:rtl w:val="true"/>
        </w:rPr>
        <w:footnoteReference w:id="499"/>
      </w:r>
      <w:r>
        <w:rPr>
          <w:rFonts w:ascii="Amiri" w:hAnsi="Amiri" w:eastAsia="Amiri" w:cs="Amiri"/>
          <w:color w:val="111111"/>
          <w:sz w:val="28"/>
          <w:sz w:val="28"/>
          <w:szCs w:val="28"/>
          <w:rtl w:val="true"/>
          <w:lang w:bidi="ar-SA"/>
        </w:rPr>
        <w:t xml:space="preserve">قال به، و نفى البُعد عنه في الحبل المتين </w:t>
      </w:r>
      <w:r>
        <w:rPr>
          <w:rStyle w:val="FootnoteAnchor"/>
          <w:rtl w:val="true"/>
        </w:rPr>
        <w:footnoteReference w:id="500"/>
      </w:r>
      <w:r>
        <w:rPr>
          <w:rFonts w:ascii="Amiri" w:hAnsi="Amiri" w:eastAsia="Amiri" w:cs="Amiri"/>
          <w:color w:val="111111"/>
          <w:sz w:val="28"/>
          <w:sz w:val="28"/>
          <w:szCs w:val="28"/>
          <w:rtl w:val="true"/>
          <w:lang w:bidi="ar-SA"/>
        </w:rPr>
        <w:t xml:space="preserve">كشرح المفاتيح </w:t>
      </w:r>
      <w:r>
        <w:rPr>
          <w:rStyle w:val="FootnoteAnchor"/>
          <w:rtl w:val="true"/>
        </w:rPr>
        <w:footnoteReference w:id="501"/>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الشارح هنا، و في جنان روضه </w:t>
      </w:r>
      <w:r>
        <w:rPr>
          <w:rStyle w:val="FootnoteAnchor"/>
          <w:rtl w:val="true"/>
        </w:rPr>
        <w:footnoteReference w:id="502"/>
      </w:r>
      <w:r>
        <w:rPr>
          <w:rFonts w:ascii="Amiri" w:hAnsi="Amiri" w:eastAsia="Amiri" w:cs="Amiri"/>
          <w:color w:val="111111"/>
          <w:sz w:val="28"/>
          <w:sz w:val="28"/>
          <w:szCs w:val="28"/>
          <w:rtl w:val="true"/>
          <w:lang w:bidi="ar-SA"/>
        </w:rPr>
        <w:t xml:space="preserve">الجزم به، و بمجمع الفائدة </w:t>
      </w:r>
      <w:r>
        <w:rPr>
          <w:rStyle w:val="FootnoteAnchor"/>
          <w:rtl w:val="true"/>
        </w:rPr>
        <w:footnoteReference w:id="503"/>
      </w:r>
      <w:r>
        <w:rPr>
          <w:rFonts w:ascii="Amiri" w:hAnsi="Amiri" w:eastAsia="Amiri" w:cs="Amiri"/>
          <w:color w:val="111111"/>
          <w:sz w:val="28"/>
          <w:sz w:val="28"/>
          <w:szCs w:val="28"/>
          <w:rtl w:val="true"/>
          <w:lang w:bidi="ar-SA"/>
        </w:rPr>
        <w:t xml:space="preserve">اختياره، و تبعهم النراقي </w:t>
      </w:r>
      <w:r>
        <w:rPr>
          <w:rStyle w:val="FootnoteAnchor"/>
          <w:rtl w:val="true"/>
        </w:rPr>
        <w:footnoteReference w:id="504"/>
      </w:r>
      <w:r>
        <w:rPr>
          <w:rFonts w:ascii="Amiri" w:hAnsi="Amiri" w:eastAsia="Amiri" w:cs="Amiri"/>
          <w:color w:val="111111"/>
          <w:sz w:val="28"/>
          <w:sz w:val="28"/>
          <w:szCs w:val="28"/>
          <w:rtl w:val="true"/>
          <w:lang w:bidi="ar-SA"/>
        </w:rPr>
        <w:t xml:space="preserve">و الإمام الفقيه جدّي في كشف غطائه </w:t>
      </w:r>
      <w:r>
        <w:rPr>
          <w:rStyle w:val="FootnoteAnchor"/>
          <w:rtl w:val="true"/>
        </w:rPr>
        <w:footnoteReference w:id="505"/>
      </w:r>
      <w:r>
        <w:rPr>
          <w:rFonts w:ascii="Amiri" w:hAnsi="Amiri" w:eastAsia="Amiri" w:cs="Amiri"/>
          <w:color w:val="111111"/>
          <w:sz w:val="28"/>
          <w:sz w:val="28"/>
          <w:szCs w:val="28"/>
          <w:rtl w:val="true"/>
          <w:lang w:bidi="ar-SA"/>
        </w:rPr>
        <w:t xml:space="preserve">ارتضاه، و تبعه ولده الوالد في أنوار فقاهته </w:t>
      </w:r>
      <w:r>
        <w:rPr>
          <w:rStyle w:val="FootnoteAnchor"/>
          <w:rtl w:val="true"/>
        </w:rPr>
        <w:footnoteReference w:id="50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أوفق بالاحتياط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الشبر هو ما بين طرف الإبهام و الخنصر، و عند اختلاف الأبعاد يلاحظ بلوغ المكسر بأيّ نوع اتّفق سبعة و عشرين مربّعاً طوله شبر في عرض شبر في عمقه، و كذا على الثاني فهو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اكتفى الإسكافي ببلوغ مئة شبر، و الراوندي </w:t>
      </w:r>
      <w:r>
        <w:rPr>
          <w:rStyle w:val="FootnoteAnchor"/>
          <w:rtl w:val="true"/>
        </w:rPr>
        <w:footnoteReference w:id="507"/>
      </w:r>
      <w:r>
        <w:rPr>
          <w:rFonts w:ascii="Amiri" w:hAnsi="Amiri" w:eastAsia="Amiri" w:cs="Amiri"/>
          <w:color w:val="111111"/>
          <w:sz w:val="28"/>
          <w:sz w:val="28"/>
          <w:szCs w:val="28"/>
          <w:rtl w:val="true"/>
          <w:lang w:bidi="ar-SA"/>
        </w:rPr>
        <w:t>ببلوغ مجموع أبعاد الماء عشرة و نصفاً، و قال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يتحرّك جانباه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المعتبر </w:t>
      </w:r>
      <w:r>
        <w:rPr>
          <w:rStyle w:val="FootnoteAnchor"/>
          <w:rtl w:val="true"/>
        </w:rPr>
        <w:footnoteReference w:id="509"/>
      </w:r>
      <w:r>
        <w:rPr>
          <w:rFonts w:ascii="Amiri" w:hAnsi="Amiri" w:eastAsia="Amiri" w:cs="Amiri"/>
          <w:color w:val="111111"/>
          <w:sz w:val="28"/>
          <w:sz w:val="28"/>
          <w:szCs w:val="28"/>
          <w:rtl w:val="true"/>
          <w:lang w:bidi="ar-SA"/>
        </w:rPr>
        <w:t xml:space="preserve">أنّ مكسره ستّة و ثلاثون شبراً، و توقّف ابن فهد </w:t>
      </w:r>
      <w:r>
        <w:rPr>
          <w:rStyle w:val="FootnoteAnchor"/>
          <w:rtl w:val="true"/>
        </w:rPr>
        <w:footnoteReference w:id="510"/>
      </w:r>
      <w:r>
        <w:rPr>
          <w:rFonts w:ascii="Amiri" w:hAnsi="Amiri" w:eastAsia="Amiri" w:cs="Amiri"/>
          <w:color w:val="111111"/>
          <w:sz w:val="28"/>
          <w:sz w:val="28"/>
          <w:szCs w:val="28"/>
          <w:rtl w:val="true"/>
          <w:lang w:bidi="ar-SA"/>
        </w:rPr>
        <w:t xml:space="preserve">و الصيمري </w:t>
      </w:r>
      <w:r>
        <w:rPr>
          <w:rStyle w:val="FootnoteAnchor"/>
          <w:rtl w:val="true"/>
        </w:rPr>
        <w:footnoteReference w:id="511"/>
      </w:r>
      <w:r>
        <w:rPr>
          <w:rFonts w:ascii="Amiri" w:hAnsi="Amiri" w:eastAsia="Amiri" w:cs="Amiri"/>
          <w:color w:val="111111"/>
          <w:sz w:val="28"/>
          <w:sz w:val="28"/>
          <w:szCs w:val="28"/>
          <w:rtl w:val="true"/>
          <w:lang w:bidi="ar-SA"/>
        </w:rPr>
        <w:t xml:space="preserve">و السبزواري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فترتقي الأقوال إلى ثمان بإضافة قول ابن الصدوق </w:t>
      </w:r>
      <w:r>
        <w:rPr>
          <w:rStyle w:val="FootnoteAnchor"/>
          <w:rtl w:val="true"/>
        </w:rPr>
        <w:footnoteReference w:id="513"/>
      </w:r>
      <w:r>
        <w:rPr>
          <w:rFonts w:ascii="Amiri" w:hAnsi="Amiri" w:eastAsia="Amiri" w:cs="Amiri"/>
          <w:color w:val="111111"/>
          <w:sz w:val="28"/>
          <w:sz w:val="28"/>
          <w:szCs w:val="28"/>
          <w:rtl w:val="true"/>
          <w:lang w:bidi="ar-SA"/>
        </w:rPr>
        <w:t>السالف، للأوّل رواية الحسن بن صالح الثوري في تحديد الكرّ في البئر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طولاً في ثَلاثة أشبار و نصف عُمقاً في ثلاثة أشبار و نصف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الوسائل </w:t>
      </w:r>
      <w:r>
        <w:rPr>
          <w:rStyle w:val="FootnoteAnchor"/>
          <w:rtl w:val="true"/>
        </w:rPr>
        <w:footnoteReference w:id="514"/>
      </w:r>
      <w:r>
        <w:rPr>
          <w:rFonts w:ascii="Amiri" w:hAnsi="Amiri" w:eastAsia="Amiri" w:cs="Amiri"/>
          <w:color w:val="111111"/>
          <w:sz w:val="28"/>
          <w:sz w:val="28"/>
          <w:szCs w:val="28"/>
          <w:rtl w:val="true"/>
          <w:lang w:bidi="ar-SA"/>
        </w:rPr>
        <w:t xml:space="preserve">التي في يدي، لكنّه جعل الثلاث بإلحاق الضمير نسخة بدل، و في الاستبصار </w:t>
      </w:r>
      <w:r>
        <w:rPr>
          <w:rStyle w:val="FootnoteAnchor"/>
          <w:rtl w:val="true"/>
        </w:rPr>
        <w:footnoteReference w:id="515"/>
      </w:r>
      <w:r>
        <w:rPr>
          <w:rFonts w:ascii="Amiri" w:hAnsi="Amiri" w:eastAsia="Amiri" w:cs="Amiri"/>
          <w:color w:val="111111"/>
          <w:sz w:val="28"/>
          <w:sz w:val="28"/>
          <w:szCs w:val="28"/>
          <w:rtl w:val="true"/>
          <w:lang w:bidi="ar-SA"/>
        </w:rPr>
        <w:t xml:space="preserve">بالضمير كباقي كتب أصحابنا، و في الكافي </w:t>
      </w:r>
      <w:r>
        <w:rPr>
          <w:rStyle w:val="FootnoteAnchor"/>
          <w:rtl w:val="true"/>
        </w:rPr>
        <w:footnoteReference w:id="516"/>
      </w:r>
      <w:r>
        <w:rPr>
          <w:rFonts w:ascii="Amiri" w:hAnsi="Amiri" w:eastAsia="Amiri" w:cs="Amiri"/>
          <w:color w:val="111111"/>
          <w:sz w:val="28"/>
          <w:sz w:val="28"/>
          <w:szCs w:val="28"/>
          <w:rtl w:val="true"/>
          <w:lang w:bidi="ar-SA"/>
        </w:rPr>
        <w:t xml:space="preserve">و التهذيب </w:t>
      </w:r>
      <w:r>
        <w:rPr>
          <w:rStyle w:val="FootnoteAnchor"/>
          <w:rtl w:val="true"/>
        </w:rPr>
        <w:footnoteReference w:id="517"/>
      </w:r>
      <w:r>
        <w:rPr>
          <w:rFonts w:ascii="Amiri" w:hAnsi="Amiri" w:eastAsia="Amiri" w:cs="Amiri"/>
          <w:color w:val="111111"/>
          <w:sz w:val="28"/>
          <w:sz w:val="28"/>
          <w:szCs w:val="28"/>
          <w:rtl w:val="true"/>
          <w:lang w:bidi="ar-SA"/>
        </w:rPr>
        <w:t>بإسقاط الفقرة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كذلك و ضرب عن رواية الاستبصار كغيره في غيره </w:t>
      </w:r>
      <w:r>
        <w:rPr>
          <w:rStyle w:val="FootnoteAnchor"/>
          <w:rtl w:val="true"/>
        </w:rPr>
        <w:footnoteReference w:id="518"/>
      </w:r>
      <w:r>
        <w:rPr>
          <w:rFonts w:ascii="Amiri" w:hAnsi="Amiri" w:eastAsia="Amiri" w:cs="Amiri"/>
          <w:color w:val="111111"/>
          <w:sz w:val="28"/>
          <w:sz w:val="28"/>
          <w:szCs w:val="28"/>
          <w:rtl w:val="true"/>
          <w:lang w:bidi="ar-SA"/>
        </w:rPr>
        <w:t xml:space="preserve">، و هي علیه صريحة في الدعوى من حيث الدلالة، و بالثوري ضعف السند و الشهرة مع الثانية تجبره، و أمّا على رواية الكافي و التهذيب فوجّه بأنّ الطول مستدرك لإغناء العرض عنه إذ لو نقص عن العرض و لو يسيراً لا يسمّى عرضاً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كَعَرْض السَّمَاءِ وَ الْأَرْضِ</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و هو يتمّ ردّاً على مذهب القميّين، و لا يدفع احتمال كون الطول أزيد بناءً على مذهب الإسكافي، فلا تكون رادّة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احتمل الأستاذ </w:t>
      </w:r>
      <w:r>
        <w:rPr>
          <w:rStyle w:val="FootnoteAnchor"/>
          <w:rtl w:val="true"/>
        </w:rPr>
        <w:footnoteReference w:id="520"/>
      </w:r>
      <w:r>
        <w:rPr>
          <w:rFonts w:ascii="Amiri" w:hAnsi="Amiri" w:eastAsia="Amiri" w:cs="Amiri"/>
          <w:color w:val="111111"/>
          <w:sz w:val="28"/>
          <w:sz w:val="28"/>
          <w:szCs w:val="28"/>
          <w:rtl w:val="true"/>
          <w:lang w:bidi="ar-SA"/>
        </w:rPr>
        <w:t>أنّ المراد به السطح المشتمل على الطول و العرض؛ لتوافق رواية الذراع، لكن فيه احتمال إرادة تحديد قطر الماء المستدير فلا تنهض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خروجه بالإجماع، و إلّا فهو مشترك الورود في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 في أنوار فقاهته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ظاهرة في الشكل المستدير كما هو في شكل البئر </w:t>
      </w:r>
      <w:r>
        <w:rPr>
          <w:rStyle w:val="FootnoteAnchor"/>
          <w:rtl w:val="true"/>
        </w:rPr>
        <w:footnoteReference w:id="521"/>
      </w:r>
      <w:r>
        <w:rPr>
          <w:rFonts w:ascii="Amiri" w:hAnsi="Amiri" w:eastAsia="Amiri" w:cs="Amiri"/>
          <w:color w:val="111111"/>
          <w:sz w:val="28"/>
          <w:sz w:val="28"/>
          <w:szCs w:val="28"/>
          <w:rtl w:val="true"/>
          <w:lang w:bidi="ar-SA"/>
        </w:rPr>
        <w:t xml:space="preserve">و لأجله حملها الشيخ </w:t>
      </w:r>
      <w:r>
        <w:rPr>
          <w:rStyle w:val="FootnoteAnchor"/>
          <w:rtl w:val="true"/>
        </w:rPr>
        <w:footnoteReference w:id="522"/>
      </w:r>
      <w:r>
        <w:rPr>
          <w:rFonts w:ascii="Amiri" w:hAnsi="Amiri" w:eastAsia="Amiri" w:cs="Amiri"/>
          <w:color w:val="111111"/>
          <w:sz w:val="28"/>
          <w:sz w:val="28"/>
          <w:szCs w:val="28"/>
          <w:rtl w:val="true"/>
          <w:lang w:bidi="ar-SA"/>
        </w:rPr>
        <w:t>على التقيّة لذهابه إلى نجاسة البئر، و اعتبارها يقتضي المساواة بينها و بين غيرها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بعدم انفعال البئر لا داعي للحمل إلّا وجود المعارض، و المرجع في مثله إلى مرجّحات السند و الدلالة دون الحمل على التقيّة، و رواية أبي بصير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 و نِصفاً في مِثْلِهِ، ثَلاثَةُ أشبارِ و نِصفٌ في عُمقِه في الأرض، فذلك الكُر من الماء</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سندها في التهذيب </w:t>
      </w:r>
      <w:r>
        <w:rPr>
          <w:rStyle w:val="FootnoteAnchor"/>
          <w:rtl w:val="true"/>
        </w:rPr>
        <w:footnoteReference w:id="524"/>
      </w:r>
      <w:r>
        <w:rPr>
          <w:rFonts w:ascii="Amiri" w:hAnsi="Amiri" w:eastAsia="Amiri" w:cs="Amiri"/>
          <w:color w:val="111111"/>
          <w:sz w:val="28"/>
          <w:sz w:val="28"/>
          <w:szCs w:val="28"/>
          <w:rtl w:val="true"/>
          <w:lang w:bidi="ar-SA"/>
        </w:rPr>
        <w:t xml:space="preserve">أحمد بن محمّد بن يحيى و هو مجهول </w:t>
      </w:r>
      <w:r>
        <w:rPr>
          <w:rStyle w:val="FootnoteAnchor"/>
          <w:rtl w:val="true"/>
        </w:rPr>
        <w:footnoteReference w:id="525"/>
      </w:r>
      <w:r>
        <w:rPr>
          <w:rFonts w:ascii="Amiri" w:hAnsi="Amiri" w:eastAsia="Amiri" w:cs="Amiri"/>
          <w:color w:val="111111"/>
          <w:sz w:val="28"/>
          <w:sz w:val="28"/>
          <w:szCs w:val="28"/>
          <w:rtl w:val="true"/>
          <w:lang w:bidi="ar-SA"/>
        </w:rPr>
        <w:t xml:space="preserve">، و عثمان بن عيسى، و هو واقفي </w:t>
      </w:r>
      <w:r>
        <w:rPr>
          <w:rStyle w:val="FootnoteAnchor"/>
          <w:rtl w:val="true"/>
        </w:rPr>
        <w:footnoteReference w:id="526"/>
      </w:r>
      <w:r>
        <w:rPr>
          <w:rFonts w:ascii="Amiri" w:hAnsi="Amiri" w:eastAsia="Amiri" w:cs="Amiri"/>
          <w:color w:val="111111"/>
          <w:sz w:val="28"/>
          <w:sz w:val="28"/>
          <w:szCs w:val="28"/>
          <w:rtl w:val="true"/>
          <w:lang w:bidi="ar-SA"/>
        </w:rPr>
        <w:t xml:space="preserve">، و أبو بصير، و هو مشترك بين ضعيف </w:t>
      </w:r>
      <w:r>
        <w:rPr>
          <w:rStyle w:val="FootnoteAnchor"/>
          <w:rtl w:val="true"/>
        </w:rPr>
        <w:footnoteReference w:id="527"/>
      </w:r>
      <w:r>
        <w:rPr>
          <w:rFonts w:ascii="Amiri" w:hAnsi="Amiri" w:eastAsia="Amiri" w:cs="Amiri"/>
          <w:color w:val="111111"/>
          <w:sz w:val="28"/>
          <w:sz w:val="28"/>
          <w:szCs w:val="28"/>
          <w:rtl w:val="true"/>
          <w:lang w:bidi="ar-SA"/>
        </w:rPr>
        <w:t xml:space="preserve">و ثقة، و في الكافي </w:t>
      </w:r>
      <w:r>
        <w:rPr>
          <w:rStyle w:val="FootnoteAnchor"/>
          <w:rtl w:val="true"/>
        </w:rPr>
        <w:footnoteReference w:id="528"/>
      </w:r>
      <w:r>
        <w:rPr>
          <w:rFonts w:ascii="Amiri" w:hAnsi="Amiri" w:eastAsia="Amiri" w:cs="Amiri"/>
          <w:color w:val="111111"/>
          <w:sz w:val="28"/>
          <w:sz w:val="28"/>
          <w:szCs w:val="28"/>
          <w:rtl w:val="true"/>
          <w:lang w:bidi="ar-SA"/>
        </w:rPr>
        <w:t>سقوط لفظ يحيى، و عليه فلا غضاضة في قبول سندها؛ فإنّ مجهوليّة الثاني يردّه نقل الشيخ الإجماع على العمل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 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الكشّي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الإجماع فيكون خبره حجّة </w:t>
      </w:r>
      <w:r>
        <w:rPr>
          <w:rStyle w:val="FootnoteAnchor"/>
          <w:rtl w:val="true"/>
        </w:rPr>
        <w:footnoteReference w:id="5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يدفع اشتراك الثالث ظهور ليث المرادي منه بقرينة رواية ابن مسكان عنه مكرّراً، فتعيّن الاشتراك، و هو من أهل الإجماع </w:t>
      </w:r>
      <w:r>
        <w:rPr>
          <w:rStyle w:val="FootnoteAnchor"/>
          <w:rtl w:val="true"/>
        </w:rPr>
        <w:footnoteReference w:id="530"/>
      </w:r>
      <w:r>
        <w:rPr>
          <w:rFonts w:ascii="Amiri" w:hAnsi="Amiri" w:eastAsia="Amiri" w:cs="Amiri"/>
          <w:color w:val="111111"/>
          <w:sz w:val="28"/>
          <w:sz w:val="28"/>
          <w:szCs w:val="28"/>
          <w:rtl w:val="true"/>
          <w:lang w:bidi="ar-SA"/>
        </w:rPr>
        <w:t xml:space="preserve">، و إن روى عن أبي بصير يحيى بن القاسم في قول البعض </w:t>
      </w:r>
      <w:r>
        <w:rPr>
          <w:rStyle w:val="FootnoteAnchor"/>
          <w:rtl w:val="true"/>
        </w:rPr>
        <w:footnoteReference w:id="531"/>
      </w:r>
      <w:r>
        <w:rPr>
          <w:rFonts w:ascii="Amiri" w:hAnsi="Amiri" w:eastAsia="Amiri" w:cs="Amiri"/>
          <w:color w:val="111111"/>
          <w:sz w:val="28"/>
          <w:sz w:val="28"/>
          <w:szCs w:val="28"/>
          <w:rtl w:val="true"/>
          <w:lang w:bidi="ar-SA"/>
        </w:rPr>
        <w:t>فإنّه من النادر لو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مشترك بين ثلاثة كلّهم ثقات </w:t>
      </w:r>
      <w:r>
        <w:rPr>
          <w:rStyle w:val="FootnoteAnchor"/>
          <w:rtl w:val="true"/>
        </w:rPr>
        <w:footnoteReference w:id="532"/>
      </w:r>
      <w:r>
        <w:rPr>
          <w:rFonts w:ascii="Amiri" w:hAnsi="Amiri" w:eastAsia="Amiri" w:cs="Amiri"/>
          <w:color w:val="111111"/>
          <w:sz w:val="28"/>
          <w:sz w:val="28"/>
          <w:szCs w:val="28"/>
          <w:rtl w:val="true"/>
          <w:lang w:bidi="ar-SA"/>
        </w:rPr>
        <w:t xml:space="preserve">، و قيل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للمرادي عند الإطلاق، فلا تمريض من حيث السند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الدلالة فالذي أراه من معناها أنّ الثلاثة الثانية ساقط قبلها حرف العطف، فهي تدلّ على الأبعاد الثلاثة بلا تكلّف،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يقضي بالطول </w:t>
      </w:r>
    </w:p>
    <w:p>
      <w:pPr>
        <w:pStyle w:val="BookText"/>
        <w:rPr/>
      </w:pPr>
      <w:r>
        <w:rPr>
          <w:rFonts w:ascii="Amiri" w:hAnsi="Amiri" w:eastAsia="Amiri" w:cs="Amiri"/>
          <w:color w:val="111111"/>
          <w:sz w:val="28"/>
          <w:sz w:val="28"/>
          <w:szCs w:val="28"/>
          <w:rtl w:val="true"/>
          <w:lang w:bidi="ar-SA"/>
        </w:rPr>
        <w:t xml:space="preserve">و العرض، و هو من الخطاب المتعارف، فإنّ كلّ ما تماثل بالطول و العرض عبّر عنه بمثل هذا التعبير و لا إشكال فيه، و الثلاثة الثانية عطف على الثلاثة الأولى بإسقاط العاطف، و هو كثير قياسيّ </w:t>
      </w:r>
      <w:r>
        <w:rPr>
          <w:rStyle w:val="FootnoteAnchor"/>
          <w:rtl w:val="true"/>
        </w:rPr>
        <w:footnoteReference w:id="534"/>
      </w:r>
      <w:r>
        <w:rPr>
          <w:rFonts w:ascii="Amiri" w:hAnsi="Amiri" w:eastAsia="Amiri" w:cs="Amiri"/>
          <w:color w:val="111111"/>
          <w:sz w:val="28"/>
          <w:sz w:val="28"/>
          <w:szCs w:val="28"/>
          <w:rtl w:val="true"/>
          <w:lang w:bidi="ar-SA"/>
        </w:rPr>
        <w:t>، فيكون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ثلاثة أشبار و نصفاً في عمقه من الأرض فهو الكُرّ، و ضمير عمقه راجع إلى الماء و لا ضير في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لم ينتهوا له و أخذوا يتمحلون في حمله حيث ضايقهم الاستدلال بها على الأبعاد الثلاثة، و الظاهر من الخبر قدر بعدين منها، إذ لمّا كان ثلاثة أشبار و نصف بدلاً لمثله أمكن جعل في عمقه بدلاً أو حالاً له أو صفة لثلاثة أشبار أو منقطعاً عن المثل و عن الثلاثه فيكون من متعلّقات الشرط، و المسكوت عنه حينئذٍ على الثلاثة العرض و على الأخير مقدار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روض الشارح </w:t>
      </w:r>
      <w:r>
        <w:rPr>
          <w:rStyle w:val="FootnoteAnchor"/>
          <w:rtl w:val="true"/>
        </w:rPr>
        <w:footnoteReference w:id="535"/>
      </w:r>
      <w:r>
        <w:rPr>
          <w:rFonts w:ascii="Amiri" w:hAnsi="Amiri" w:eastAsia="Amiri" w:cs="Amiri"/>
          <w:color w:val="111111"/>
          <w:sz w:val="28"/>
          <w:sz w:val="28"/>
          <w:szCs w:val="28"/>
          <w:rtl w:val="true"/>
          <w:lang w:bidi="ar-SA"/>
        </w:rPr>
        <w:t>لم يتعرّض فيها للعمق بل أهمل مقداره،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للضرب، و لا قاضٍ بالانحصار، بل يحتمل أن تكون للكون و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تمحّل البهائي رحمه الله </w:t>
      </w:r>
      <w:r>
        <w:rPr>
          <w:rStyle w:val="FootnoteAnchor"/>
          <w:rtl w:val="true"/>
        </w:rPr>
        <w:footnoteReference w:id="536"/>
      </w:r>
      <w:r>
        <w:rPr>
          <w:rFonts w:ascii="Amiri" w:hAnsi="Amiri" w:eastAsia="Amiri" w:cs="Amiri"/>
          <w:color w:val="111111"/>
          <w:sz w:val="28"/>
          <w:sz w:val="28"/>
          <w:szCs w:val="28"/>
          <w:rtl w:val="true"/>
          <w:lang w:bidi="ar-SA"/>
        </w:rPr>
        <w:t xml:space="preserve">فأرجع ضمير عمقه إلى المقدار المستفاد من الكلام، و كأنّه جعل لله ثلاثة أشبار و نصف بدلاً لمثله فيدلّ على اعتبار الطول و العرض،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للثلاثة، و ضميره يرجع إلى المقدار، و الإضافة لأدنى ملابسة، فيفيد اعتبار مقدار أحدهما عمقاً؛ لأنّ اعتبار المقدار في عمق نفسه لا معنى له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الإضافة كذلك لا تمكن إلّا بجعلها بيانيّة، و هي موقوفة على كون المضاف إليه من جنس المضاف و من أفراده، و ليس المقام منه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تمحّل غيره </w:t>
      </w:r>
      <w:r>
        <w:rPr>
          <w:rStyle w:val="FootnoteAnchor"/>
          <w:rtl w:val="true"/>
        </w:rPr>
        <w:footnoteReference w:id="537"/>
      </w:r>
      <w:r>
        <w:rPr>
          <w:rFonts w:ascii="Amiri" w:hAnsi="Amiri" w:eastAsia="Amiri" w:cs="Amiri"/>
          <w:color w:val="111111"/>
          <w:sz w:val="28"/>
          <w:sz w:val="28"/>
          <w:szCs w:val="28"/>
          <w:rtl w:val="true"/>
          <w:lang w:bidi="ar-SA"/>
        </w:rPr>
        <w:t xml:space="preserve">أيضاً بأنّ الثلاثة الثانية مع النصف بيانان لبُعد العمق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للعرض فيقضي بالأبعاد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حذف 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 هو مقصور على مواضع ليس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تمحّل بعض </w:t>
      </w:r>
      <w:r>
        <w:rPr>
          <w:rStyle w:val="FootnoteAnchor"/>
          <w:rtl w:val="true"/>
        </w:rPr>
        <w:footnoteReference w:id="538"/>
      </w:r>
      <w:r>
        <w:rPr>
          <w:rFonts w:ascii="Amiri" w:hAnsi="Amiri" w:eastAsia="Amiri" w:cs="Amiri"/>
          <w:color w:val="111111"/>
          <w:sz w:val="28"/>
          <w:sz w:val="28"/>
          <w:szCs w:val="28"/>
          <w:rtl w:val="true"/>
          <w:lang w:bidi="ar-SA"/>
        </w:rPr>
        <w:t>فحملها على بيان الشكل المستدير كالسابقة؛ لعدم اشتمالها على البُعد الثالث، و هو مُشعِرٌ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مخالفته لفهم الأصحاب و اشتراك الأصحاب و اشتراك وروده في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مساحة المدوّر بذكر السّعة و العمق فلا طول فيه و لا عرض، فالثلاثة و نصف الثانية تختصّ بالعمق و مماثلها يكون تحديداً لتمام سعة الدائرة، فيحصل من ضرب نصف القطر الذي هو ثلث المحيط بنصف المحيط و ضرب المجموع في العمق اثنان و ثلاثون و ثُمن و ربع ثُمن، و التحديد كذلك مخالف للإجماع مرفوض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قرّر بعضُ مشايخنا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العمق فيها إمّا غير معلوم المقدار فهو منقطع كما جزم به الشارح، أو معلوم مقداره بالثلاثة الثانية، و على الأوّل لا بدّ و أن يكون مقداره كذلك و إلّا كان مستدركاً خالياً عن الفائدة، فإنّ اعتبار مجموع المقدار المستفاد من الفقرتين في عمق الماء مطلقاً من غير اعتبار ثلاثة أشبار و نصف فيه أيضاً من المستهجن، فهو على تقدير تعلّقه بالشرط أو كونه حالاً لمجموع المقدار المستفاد من الفقرتين يلزم اعتبار مثل المساحة في العمق أيضاً،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 ثلاثة و نصف في مثله كذلك و في عمقه كذلك كي لا يخرج الكلام عن أسلوبه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الاتّصال الذي جعل في عمقه بدلاً أو حالاً لمثله أو صفةً لثلاثة أشبار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كذلك، قولهم يكون العرض مسكوتاً عنه دون الطول ترجيح، بلا مرجّح إذ الطول لم يكن منطوقاً به ليكون العرض مسكوتاً عنه فيدور الأمر بين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العرض خاصّة في الثلاثة و نصف الأولى أو الطول أو كلاهما، و أحدهما لا دليل عليه، بخصوصه، فيتمحّض الأخير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تمحّل أيضاً؛ لاحتمال إرادة الاستدارة فيه فلا تكلّف، مع عدم تماميّته إلّا </w:t>
      </w:r>
    </w:p>
    <w:p>
      <w:pPr>
        <w:pStyle w:val="BookText"/>
        <w:rPr/>
      </w:pPr>
      <w:r>
        <w:rPr>
          <w:rFonts w:ascii="IRNazanin" w:hAnsi="IRNazanin" w:eastAsia="IRNazanin"/>
          <w:color w:val="111111"/>
          <w:sz w:val="28"/>
          <w:sz w:val="28"/>
          <w:szCs w:val="28"/>
          <w:rtl w:val="true"/>
          <w:lang w:bidi="fa-IR"/>
        </w:rPr>
        <w:t>بحذف أو إضمار، و هو على خلاف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راجع إلى ما ذكروه في الحمل من أنّ الطول و العرض مذكوران قدراً لا اسماً مدلولاً على اسمها بمقابلة العمق و هو اسماً لا قدراً مدلول على قدره بذكر قدر الطول و العرض، أو أنّ البُعد الذي لم يذكر لم يكن غير ملحوظ، بل مراد بطريق الحذف للاختصار بدلالة المذكورين عليه، و هو كثير في كلام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قيل </w:t>
      </w:r>
      <w:r>
        <w:rPr>
          <w:rStyle w:val="FootnoteAnchor"/>
          <w:rtl w:val="true"/>
        </w:rPr>
        <w:footnoteReference w:id="540"/>
      </w:r>
      <w:r>
        <w:rPr>
          <w:rFonts w:ascii="Amiri" w:hAnsi="Amiri" w:eastAsia="Amiri" w:cs="Amiri"/>
          <w:color w:val="111111"/>
          <w:sz w:val="28"/>
          <w:sz w:val="28"/>
          <w:szCs w:val="28"/>
          <w:rtl w:val="true"/>
          <w:lang w:bidi="ar-SA"/>
        </w:rPr>
        <w:t>بالفرق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الاسم، 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في عمق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اطّراد الحذف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الفرق غير واضح للقول الثاني القرب من رواية </w:t>
      </w:r>
      <w:r>
        <w:rPr>
          <w:rStyle w:val="FootnoteAnchor"/>
          <w:rtl w:val="true"/>
        </w:rPr>
        <w:footnoteReference w:id="541"/>
      </w:r>
      <w:r>
        <w:rPr>
          <w:rFonts w:ascii="IRNazanin" w:hAnsi="IRNazanin" w:eastAsia="IRNazanin"/>
          <w:color w:val="111111"/>
          <w:sz w:val="28"/>
          <w:sz w:val="28"/>
          <w:szCs w:val="28"/>
          <w:rtl w:val="true"/>
          <w:lang w:bidi="fa-IR"/>
        </w:rPr>
        <w:t>الأرطال و الحِبّ و القلّتين، و الجمع بين الروايات بحمل الزائد على الاستحباب لصحيحة ابن جابر و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الكرّ؟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أشبار في ثلاثة أشبار </w:t>
      </w:r>
      <w:r>
        <w:rPr>
          <w:rFonts w:eastAsia="IRNazanin" w:cs="IRNazanin"/>
          <w:color w:val="111111"/>
          <w:sz w:val="28"/>
          <w:szCs w:val="28"/>
          <w:rtl w:val="true"/>
          <w:lang w:bidi="fa-IR"/>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الذي لا ينجّسه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الذراع شبرٌ كما يلوح من أخبار </w:t>
      </w:r>
      <w:r>
        <w:rPr>
          <w:rStyle w:val="FootnoteAnchor"/>
          <w:rtl w:val="true"/>
        </w:rPr>
        <w:footnoteReference w:id="544"/>
      </w:r>
      <w:r>
        <w:rPr>
          <w:rFonts w:ascii="Amiri" w:hAnsi="Amiri" w:eastAsia="Amiri" w:cs="Amiri"/>
          <w:color w:val="111111"/>
          <w:sz w:val="28"/>
          <w:sz w:val="28"/>
          <w:szCs w:val="28"/>
          <w:rtl w:val="true"/>
          <w:lang w:bidi="ar-SA"/>
        </w:rPr>
        <w:t xml:space="preserve">المواقيت، و أنّ المراد بالسّعة قطر المستدير، و أنّ المتعارف استدارة الكرّ؛ لأنه مكيال لأهل العراق، و لأنّ الركي كذلك، فإذا ضرب نصف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واحد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أربعة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قطر في المستدير ثلث المحيط به بلغ ستّة و ثلاثة أرباع، فإذا ضربت في أربعة العمق حصل المكسر سبعة و عشرون شبراً فيحصل التطابق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إرسال الصدوق في الفقيه </w:t>
      </w:r>
      <w:r>
        <w:rPr>
          <w:rStyle w:val="FootnoteAnchor"/>
          <w:rtl w:val="true"/>
        </w:rPr>
        <w:footnoteReference w:id="545"/>
      </w:r>
      <w:r>
        <w:rPr>
          <w:rFonts w:ascii="Amiri" w:hAnsi="Amiri" w:eastAsia="Amiri" w:cs="Amiri"/>
          <w:color w:val="111111"/>
          <w:sz w:val="28"/>
          <w:sz w:val="28"/>
          <w:szCs w:val="28"/>
          <w:rtl w:val="true"/>
          <w:lang w:bidi="ar-SA"/>
        </w:rPr>
        <w:t xml:space="preserve">بذكر الأبعاد الثلاثة بالأشبار الثلاثة، و في الجميع نظر؛ أمّا القُرب فهو استحسان محض لا يناط به الحكم الشرعي، و أمّا الجمع فقد سبق في </w:t>
      </w:r>
    </w:p>
    <w:p>
      <w:pPr>
        <w:pStyle w:val="BookText"/>
        <w:rPr/>
      </w:pPr>
      <w:r>
        <w:rPr>
          <w:rFonts w:ascii="Amiri" w:hAnsi="Amiri" w:eastAsia="Amiri" w:cs="Amiri"/>
          <w:color w:val="111111"/>
          <w:sz w:val="28"/>
          <w:sz w:val="28"/>
          <w:szCs w:val="28"/>
          <w:rtl w:val="true"/>
          <w:lang w:bidi="ar-SA"/>
        </w:rPr>
        <w:t xml:space="preserve">الوزن ردّه، و أمّا الصحيحة الأولى فلا تَسلَم من خدشة السند و إن صحّحها العلّامة </w:t>
      </w:r>
      <w:r>
        <w:rPr>
          <w:rStyle w:val="FootnoteAnchor"/>
          <w:rtl w:val="true"/>
        </w:rPr>
        <w:footnoteReference w:id="546"/>
      </w:r>
      <w:r>
        <w:rPr>
          <w:rFonts w:ascii="IRNazanin" w:hAnsi="IRNazanin" w:eastAsia="IRNazanin"/>
          <w:color w:val="111111"/>
          <w:sz w:val="28"/>
          <w:sz w:val="28"/>
          <w:szCs w:val="28"/>
          <w:rtl w:val="true"/>
          <w:lang w:bidi="fa-IR"/>
        </w:rPr>
        <w:t xml:space="preserve">و أتباعه </w:t>
      </w:r>
      <w:r>
        <w:rPr>
          <w:rStyle w:val="FootnoteAnchor"/>
          <w:rtl w:val="true"/>
        </w:rPr>
        <w:footnoteReference w:id="547"/>
      </w:r>
      <w:r>
        <w:rPr>
          <w:rFonts w:ascii="Amiri" w:hAnsi="Amiri" w:eastAsia="Amiri" w:cs="Amiri"/>
          <w:color w:val="111111"/>
          <w:sz w:val="28"/>
          <w:sz w:val="28"/>
          <w:szCs w:val="28"/>
          <w:rtl w:val="true"/>
          <w:lang w:bidi="ar-SA"/>
        </w:rPr>
        <w:t xml:space="preserve">، غير أنّ وجود المحمّدين ابن خالد البرقي و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كلام، و للبهائي رحمه الله في المشرق </w:t>
      </w:r>
      <w:r>
        <w:rPr>
          <w:rStyle w:val="FootnoteAnchor"/>
          <w:rtl w:val="true"/>
        </w:rPr>
        <w:footnoteReference w:id="548"/>
      </w:r>
      <w:r>
        <w:rPr>
          <w:rFonts w:ascii="Amiri" w:hAnsi="Amiri" w:eastAsia="Amiri" w:cs="Amiri"/>
          <w:color w:val="111111"/>
          <w:sz w:val="28"/>
          <w:sz w:val="28"/>
          <w:szCs w:val="28"/>
          <w:rtl w:val="true"/>
          <w:lang w:bidi="ar-SA"/>
        </w:rPr>
        <w:t xml:space="preserve">كلام نقله عنه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بصحّة السند فراجعه، فإنّها متى سلمت عن الضعف في الدلالة و عن المعارض كان الإغماض عن السند 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فإن اقتصر في دلالتها على المذكور فقط لم يزعمه أحد و لا قائل به، و الحمل على إحالة المتروك على المذكور لا يفي بإتمام الحجّة، و لو تمّ جرى في رواية أبي بصير </w:t>
      </w:r>
      <w:r>
        <w:rPr>
          <w:rStyle w:val="FootnoteAnchor"/>
          <w:rtl w:val="true"/>
        </w:rPr>
        <w:footnoteReference w:id="549"/>
      </w:r>
      <w:r>
        <w:rPr>
          <w:rFonts w:ascii="Amiri" w:hAnsi="Amiri" w:eastAsia="Amiri" w:cs="Amiri"/>
          <w:color w:val="111111"/>
          <w:sz w:val="28"/>
          <w:sz w:val="28"/>
          <w:szCs w:val="28"/>
          <w:rtl w:val="true"/>
          <w:lang w:bidi="ar-SA"/>
        </w:rPr>
        <w:t xml:space="preserve">، و الفرقُ بظهور إرادة القطر من رواية المشهور دون الصحيحة الظاهر فيها إرادة الأبعاد الثلاثة؛ لأنها على المتعارف من إيكال المحذوف على الموجود كما في الحدائق </w:t>
      </w:r>
      <w:r>
        <w:rPr>
          <w:rStyle w:val="FootnoteAnchor"/>
          <w:rtl w:val="true"/>
        </w:rPr>
        <w:footnoteReference w:id="550"/>
      </w:r>
      <w:r>
        <w:rPr>
          <w:rFonts w:ascii="Amiri" w:hAnsi="Amiri" w:eastAsia="Amiri" w:cs="Amiri"/>
          <w:color w:val="111111"/>
          <w:sz w:val="28"/>
          <w:sz w:val="28"/>
          <w:szCs w:val="28"/>
          <w:rtl w:val="true"/>
          <w:lang w:bidi="ar-SA"/>
        </w:rPr>
        <w:t>موهون بأنّ رواية أبي بصير صريحة في اعتبار النصف في بعض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إمّا ساكتة عنه، أو ظاهرة في عدمه، و حيث إنّها في مقام التحديد الظاهر في الحصر فبعد ظهورها في الأبعاد الثلاثة يقع التعارض بينها و بين رواية التنصيف، و مقتضى الجمع الأخذ بنصّ كلّ منهما و طرح ظاهر الآخر، فيصير محصّل الجمع رفع اليد عن ظهور رواية أبي بصير في القطر الدّوري، و حملها على مراعاة المقدار المذكور في البُعدين بقرينة هذه الرواية الظاهرة في الأبعاد الثلاثة بزعم المدّعي و رفع اليد عن ظهورها في عدم اعتبار التنصيف بقرينة تلك الرواية؛ لاحتمال سقط النصف فيها، فيتوافقان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قيل بأنّ التعارض فيهما من باب تعارض النفي و الإثبات في خصوص النصف، و المثبتُ مقدّم، و هو يتمّ لو اعترف الخصم بظهور الأبعاد الثلاثة من رواية أبي بصير، و الفرض أنَّه يدّعى ظهورها في القطر و العمق و ظهور الأخرى في الأبعاد، فالنسبة بينهما نسبة </w:t>
      </w:r>
    </w:p>
    <w:p>
      <w:pPr>
        <w:pStyle w:val="BookText"/>
        <w:rPr/>
      </w:pPr>
      <w:r>
        <w:rPr>
          <w:rFonts w:ascii="Amiri" w:hAnsi="Amiri" w:eastAsia="Amiri" w:cs="Amiri"/>
          <w:color w:val="111111"/>
          <w:sz w:val="28"/>
          <w:sz w:val="28"/>
          <w:szCs w:val="28"/>
          <w:rtl w:val="true"/>
          <w:lang w:bidi="ar-SA"/>
        </w:rPr>
        <w:t>المتضادّين، فيتعيّن عنده الأخذ بهذه الرواية؛ لعدم العامل برواية أبي بصير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الصحيحة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اعتمدها بعضهم </w:t>
      </w:r>
      <w:r>
        <w:rPr>
          <w:rStyle w:val="FootnoteAnchor"/>
          <w:rtl w:val="true"/>
        </w:rPr>
        <w:footnoteReference w:id="551"/>
      </w:r>
      <w:r>
        <w:rPr>
          <w:rFonts w:ascii="Amiri" w:hAnsi="Amiri" w:eastAsia="Amiri" w:cs="Amiri"/>
          <w:color w:val="111111"/>
          <w:sz w:val="28"/>
          <w:sz w:val="28"/>
          <w:szCs w:val="28"/>
          <w:rtl w:val="true"/>
          <w:lang w:bidi="ar-SA"/>
        </w:rPr>
        <w:t xml:space="preserve">و جعلها أصحّ 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بالسعة فيها الطول و العرض دون القطر الذي زعم للجمع بين الأخبار؛ و لأنّ حمل السعة على القطر اصطلاح أهل المساحة و من البعيد إرادته في كلام العرب لبيان الحكم الذي تعمّ به بلواهم،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 ما كانت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 طوله و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مضروباً في عمق أربعة و محصّل ضربه ستّة و ثلاثون، أو ما كان مجموع طوله و عرضه معاً ثلاثة مضروباً في عمق أربعة، و محصّله اثنا عشر، و الذراع بقرينة أخبار </w:t>
      </w:r>
      <w:r>
        <w:rPr>
          <w:rStyle w:val="FootnoteAnchor"/>
          <w:rtl w:val="true"/>
        </w:rPr>
        <w:footnoteReference w:id="552"/>
      </w:r>
      <w:r>
        <w:rPr>
          <w:rFonts w:ascii="Amiri" w:hAnsi="Amiri" w:eastAsia="Amiri" w:cs="Amiri"/>
          <w:color w:val="111111"/>
          <w:sz w:val="28"/>
          <w:sz w:val="28"/>
          <w:szCs w:val="28"/>
          <w:rtl w:val="true"/>
          <w:lang w:bidi="ar-SA"/>
        </w:rPr>
        <w:t>الظهرين قدمين، الواحد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عظمه، و هو لا يزيد على الشبر إلَّا يسيراً </w:t>
      </w:r>
      <w:r>
        <w:rPr>
          <w:rStyle w:val="FootnoteAnchor"/>
          <w:rtl w:val="true"/>
        </w:rPr>
        <w:footnoteReference w:id="553"/>
      </w:r>
      <w:r>
        <w:rPr>
          <w:rFonts w:ascii="Amiri" w:hAnsi="Amiri" w:eastAsia="Amiri" w:cs="Amiri"/>
          <w:color w:val="111111"/>
          <w:sz w:val="28"/>
          <w:sz w:val="28"/>
          <w:szCs w:val="28"/>
          <w:rtl w:val="true"/>
          <w:lang w:bidi="ar-SA"/>
        </w:rPr>
        <w:t>، و عليه توافق رواية أبي بصير، و إن أبيت الحمل حكمنا بالطرح له؛ لأنّ معارضته مع مستند المشهور على وجه التباين و الترجيح لحجّتهم بقرينة موافقته لتحديد الرطل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غايته موافقته لحجّة القميّين، و هما معاً يعارضان دليل المشهور و يرجّح عليهما؛ للشهرة، فإنّ إعراض الأصحاب سبب تامّ بالوهن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إن حمل على ظاهره من اعتبار ذراع و شبر في السطح المشتمل على العرض و الطول بالمعنى المعروف وجب طرحه؛ لبلوغ مكسّره ستّة و ثلاثين، و لا عامل به كما اعترف به في الحبل المتين </w:t>
      </w:r>
      <w:r>
        <w:rPr>
          <w:rStyle w:val="FootnoteAnchor"/>
          <w:rtl w:val="true"/>
        </w:rPr>
        <w:footnoteReference w:id="554"/>
      </w:r>
      <w:r>
        <w:rPr>
          <w:rFonts w:ascii="Amiri" w:hAnsi="Amiri" w:eastAsia="Amiri" w:cs="Amiri"/>
          <w:color w:val="111111"/>
          <w:sz w:val="28"/>
          <w:sz w:val="28"/>
          <w:szCs w:val="28"/>
          <w:rtl w:val="true"/>
          <w:lang w:bidi="ar-SA"/>
        </w:rPr>
        <w:t xml:space="preserve">، و في الحدائق </w:t>
      </w:r>
      <w:r>
        <w:rPr>
          <w:rStyle w:val="FootnoteAnchor"/>
          <w:rtl w:val="true"/>
        </w:rPr>
        <w:footnoteReference w:id="555"/>
      </w:r>
      <w:r>
        <w:rPr>
          <w:rFonts w:ascii="Amiri" w:hAnsi="Amiri" w:eastAsia="Amiri" w:cs="Amiri"/>
          <w:color w:val="111111"/>
          <w:sz w:val="28"/>
          <w:sz w:val="28"/>
          <w:szCs w:val="28"/>
          <w:rtl w:val="true"/>
          <w:lang w:bidi="ar-SA"/>
        </w:rPr>
        <w:t xml:space="preserve">رادّاً عليه باختياره في المعتبر </w:t>
      </w:r>
      <w:r>
        <w:rPr>
          <w:rStyle w:val="FootnoteAnchor"/>
          <w:rtl w:val="true"/>
        </w:rPr>
        <w:footnoteReference w:id="556"/>
      </w:r>
      <w:r>
        <w:rPr>
          <w:rFonts w:ascii="Amiri" w:hAnsi="Amiri" w:eastAsia="Amiri" w:cs="Amiri"/>
          <w:color w:val="111111"/>
          <w:sz w:val="28"/>
          <w:sz w:val="28"/>
          <w:szCs w:val="28"/>
          <w:rtl w:val="true"/>
          <w:lang w:bidi="ar-SA"/>
        </w:rPr>
        <w:t xml:space="preserve">و المدارك </w:t>
      </w:r>
      <w:r>
        <w:rPr>
          <w:rStyle w:val="FootnoteAnchor"/>
          <w:rtl w:val="true"/>
        </w:rPr>
        <w:footnoteReference w:id="55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النسبة في غير محلّها و إن مالا إلى العمل بها بعلامة الرِّضا لكن من غير بيان محصّلها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حُمِلَ على خلاف ظاهره فإن أريد بالسّعة القطر وجب الطرح أيضاً لما سبق، و إن أُريد من الذراع العظم حصل الجمع، فالأخير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قرئ شبر بالرفع بان منها الأبعاد الثلاثة فيكون العرض شبراً و الطول ذراعاً و العمق اثنين؛ فالمكسر ثمان</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السعة عرفاً العرض فقط، و عليه فإهمال الطول فيها يعلم بالقياس و لا ينبغي كونه أقلّ، و جماعة </w:t>
      </w:r>
      <w:r>
        <w:rPr>
          <w:rStyle w:val="FootnoteAnchor"/>
          <w:rtl w:val="true"/>
        </w:rPr>
        <w:footnoteReference w:id="559"/>
      </w:r>
      <w:r>
        <w:rPr>
          <w:rFonts w:ascii="Amiri" w:hAnsi="Amiri" w:eastAsia="Amiri" w:cs="Amiri"/>
          <w:color w:val="111111"/>
          <w:sz w:val="28"/>
          <w:sz w:val="28"/>
          <w:szCs w:val="28"/>
          <w:rtl w:val="true"/>
          <w:lang w:bidi="ar-SA"/>
        </w:rPr>
        <w:t>حملوه على الطول و العرض و جعلوا المكسر اثني عشر، و لولا أنّ مضمونها مضطرب لما كان بالعمل بها بأس، و من هنا يُعرف ما في بقيّة الأقوال من الوَهْن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في المختلف في الثالث بعد نقله إنّه قول غريب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قلّتان و مبلغه وزناً ألف و مئتا رطل، و تكسيره بالذراع مئة شبر؛ إذ شيء منها لا يبلغ ذلك، فإنّ اعتبار الأرطال يقارب قول القمیّين </w:t>
      </w:r>
      <w:r>
        <w:rPr>
          <w:rStyle w:val="FootnoteAnchor"/>
          <w:rtl w:val="true"/>
        </w:rPr>
        <w:footnoteReference w:id="560"/>
      </w:r>
      <w:r>
        <w:rPr>
          <w:rFonts w:ascii="IRNazanin" w:hAnsi="IRNazanin" w:eastAsia="IRNazanin"/>
          <w:color w:val="111111"/>
          <w:sz w:val="28"/>
          <w:sz w:val="28"/>
          <w:szCs w:val="28"/>
          <w:rtl w:val="true"/>
          <w:lang w:bidi="fa-IR"/>
        </w:rPr>
        <w:t xml:space="preserve">، و وزنه معلوم </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 و لو قيّده بالمكّي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أراد بالمئة ما كان كذلك في شبر آخر عرضاً و عمقاً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أراد الاكتفاء بها مطلقاً أغرب؛ لأنّ اعتبار المئة على هذا الوجه لا يبلغ رطلاً، و قال الماتن في الذكرى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الشلمغاني مخالف للإجماع، و أراد به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الراوندي </w:t>
      </w:r>
      <w:r>
        <w:rPr>
          <w:rStyle w:val="FootnoteAnchor"/>
          <w:rtl w:val="true"/>
        </w:rPr>
        <w:footnoteReference w:id="563"/>
      </w:r>
      <w:r>
        <w:rPr>
          <w:rFonts w:ascii="Amiri" w:hAnsi="Amiri" w:eastAsia="Amiri" w:cs="Amiri"/>
          <w:color w:val="111111"/>
          <w:sz w:val="28"/>
          <w:sz w:val="28"/>
          <w:szCs w:val="28"/>
          <w:rtl w:val="true"/>
          <w:lang w:bidi="ar-SA"/>
        </w:rPr>
        <w:t xml:space="preserve">لم يتّضح مراده، و الظاهر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تفيد الجمع بمعنى مع، مثلها في قوله تعالى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قَوۡمِهِۦ فِی زِينَتِهِۦ</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فلا يعتبر الضرب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المعيّة تفيد البعد؛ لما في التحديد بذلك من التفاوت، و احتمال قول المعتبر </w:t>
      </w:r>
      <w:r>
        <w:rPr>
          <w:rStyle w:val="FootnoteAnchor"/>
          <w:rtl w:val="true"/>
        </w:rPr>
        <w:footnoteReference w:id="565"/>
      </w:r>
      <w:r>
        <w:rPr>
          <w:rFonts w:ascii="IRNazanin" w:hAnsi="IRNazanin" w:eastAsia="IRNazanin"/>
          <w:color w:val="111111"/>
          <w:sz w:val="28"/>
          <w:sz w:val="28"/>
          <w:szCs w:val="28"/>
          <w:rtl w:val="true"/>
          <w:lang w:bidi="fa-IR"/>
        </w:rPr>
        <w:t xml:space="preserve">عرفت فساده، و قول ابن طاووس </w:t>
      </w:r>
      <w:r>
        <w:rPr>
          <w:rStyle w:val="FootnoteAnchor"/>
          <w:rtl w:val="true"/>
        </w:rPr>
        <w:footnoteReference w:id="566"/>
      </w:r>
      <w:r>
        <w:rPr>
          <w:rFonts w:ascii="Amiri" w:hAnsi="Amiri" w:eastAsia="Amiri" w:cs="Amiri"/>
          <w:color w:val="111111"/>
          <w:sz w:val="28"/>
          <w:sz w:val="28"/>
          <w:szCs w:val="28"/>
          <w:rtl w:val="true"/>
          <w:lang w:bidi="ar-SA"/>
        </w:rPr>
        <w:t xml:space="preserve">وجيه يخرج على الأصول؛ إذ بعد تعارض الأخبار المرجع إلى ما أمر به، أو المدار على الأقلّ و الأكثر مندوب، و نسبه في الوسائل </w:t>
      </w:r>
      <w:r>
        <w:rPr>
          <w:rStyle w:val="FootnoteAnchor"/>
          <w:rtl w:val="true"/>
        </w:rPr>
        <w:footnoteReference w:id="567"/>
      </w:r>
      <w:r>
        <w:rPr>
          <w:rFonts w:ascii="IRNazanin" w:hAnsi="IRNazanin" w:eastAsia="IRNazanin"/>
          <w:color w:val="111111"/>
          <w:sz w:val="28"/>
          <w:sz w:val="28"/>
          <w:szCs w:val="28"/>
          <w:rtl w:val="true"/>
          <w:lang w:bidi="fa-IR"/>
        </w:rPr>
        <w:t>إلى جماعة عقیب اختياره، و عندي أنّه مرضيّ لا في مقام الفتوى و العمل و عسى أن يكنه، و إن ردّ بعدم معقوليّة التخيير بين الأقلّ و الأكثر؛ إذ على الثاني لا وقع لهذه الشُّبهة و إن كان خلاف ظاهر العمل بكلّ ما روي مع جريانه في الوزن و المساحة، فإنّ المشهور على جواز الأخذ بأيهما مع وجود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يُقال في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المساحة فيه على المشهور إن وجدت فهي الكُرّ لا الأقلّ و إن وجد و هكذا، لكن متى كان الأقلّ كرّاً لا معنى لخروجه عنه إذا وقع في ضمن الأكثر إلَّا على التخيير الترتيبي، فالمتمكّن من مساحة المشهور لا يستعمل ما مال إليه في المعتبر بناءً على أنَّه قولٌ مفهوم من الخبر، و المتمكّن منه لا يستعمل السبعة و العشرين، و هكذا الوزن بالثلث إن تفاوتا، غير أنّه يمجّه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الأخذ بالأكثر للاحتياط و التوقّف في الأدلّة المتصادمة لا يخلو من وجاهة، و إليه يرجع كلام المتوقّفين في وجه، و على المشهور في الوزن و المساحة المشهور البناء في التقدير على التحقيق لا التقريب، فلو نقص كان بحكم القليل و لو يسيراً، و استظهر الإجماع عليه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الجواد في أنواره الغرويّة </w:t>
      </w:r>
      <w:r>
        <w:rPr>
          <w:rStyle w:val="FootnoteAnchor"/>
          <w:rtl w:val="true"/>
        </w:rPr>
        <w:footnoteReference w:id="569"/>
      </w:r>
      <w:r>
        <w:rPr>
          <w:rFonts w:ascii="Amiri" w:hAnsi="Amiri" w:eastAsia="Amiri" w:cs="Amiri"/>
          <w:color w:val="111111"/>
          <w:sz w:val="28"/>
          <w:sz w:val="28"/>
          <w:szCs w:val="28"/>
          <w:rtl w:val="true"/>
          <w:lang w:bidi="ar-SA"/>
        </w:rPr>
        <w:t xml:space="preserve">الإجماع عليه للفاضل في التذكرة </w:t>
      </w:r>
      <w:r>
        <w:rPr>
          <w:rStyle w:val="FootnoteAnchor"/>
          <w:rtl w:val="true"/>
        </w:rPr>
        <w:footnoteReference w:id="570"/>
      </w:r>
      <w:r>
        <w:rPr>
          <w:rFonts w:ascii="Amiri" w:hAnsi="Amiri" w:eastAsia="Amiri" w:cs="Amiri"/>
          <w:color w:val="111111"/>
          <w:sz w:val="28"/>
          <w:sz w:val="28"/>
          <w:szCs w:val="28"/>
          <w:rtl w:val="true"/>
          <w:lang w:bidi="ar-SA"/>
        </w:rPr>
        <w:t xml:space="preserve">، حيث ذكر الخلاف فيه لبعض الشافعيّة، فظاهره الإجماع من غيرهم، و لم أجد فيها إلّا ب </w:t>
      </w:r>
      <w:r>
        <w:rPr>
          <w:rStyle w:val="FootnoteAnchor"/>
          <w:rtl w:val="true"/>
        </w:rPr>
        <w:footnoteReference w:id="571"/>
      </w:r>
      <w:r>
        <w:rPr>
          <w:rFonts w:ascii="Amiri" w:hAnsi="Amiri" w:eastAsia="Amiri" w:cs="Amiri"/>
          <w:color w:val="111111"/>
          <w:sz w:val="28"/>
          <w:sz w:val="28"/>
          <w:szCs w:val="28"/>
          <w:rtl w:val="true"/>
          <w:lang w:bidi="ar-SA"/>
        </w:rPr>
        <w:t xml:space="preserve">التقدير </w:t>
      </w:r>
    </w:p>
    <w:p>
      <w:pPr>
        <w:pStyle w:val="BookText"/>
        <w:rPr/>
      </w:pPr>
      <w:r>
        <w:rPr>
          <w:rFonts w:ascii="Amiri" w:hAnsi="Amiri" w:eastAsia="Amiri" w:cs="Amiri"/>
          <w:color w:val="111111"/>
          <w:sz w:val="28"/>
          <w:sz w:val="28"/>
          <w:szCs w:val="28"/>
          <w:rtl w:val="true"/>
          <w:lang w:bidi="ar-SA"/>
        </w:rPr>
        <w:t>تحقيق لا تقريب،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يكون في غيرها، و شهرته لا تُنكر، فهو كغيره من المقادير، فكان الأصل فيها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جدي قدّس سرّه العلّامة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التقدير على التقديرين تحقيق في تقريب، لا تحقيق و لا تقریب </w:t>
      </w:r>
      <w:r>
        <w:rPr>
          <w:rStyle w:val="FootnoteAnchor"/>
          <w:rtl w:val="true"/>
        </w:rPr>
        <w:footnoteReference w:id="5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 معناه عدم جواز نقصان ما جعل حدّاً بعد تعيينه، فلا يضرّ التفاوت اليسير في الحدّ الواحد أو الحدّين لشيء واحد؛ قضاءً لسير الحدود الشرعيّة مثل حدّي محلّ الترخّص و التفاوت الحاصل بين الأيّام باختلاف فصولها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أُنيط بها جملة من الأحكام، و كذا التحديد وزناً أو مساحةً، فإنّه من التحقّقي الذي لا يخلّ فيه تفاوته، فهما أمران أيّهما وجد كان حدّاً، فلا يلزم ثبوت الكرية و عدمها في الماء الواحد، بل هو كُرّ لا اختلاف فيه، و إنّما الاختلاف في التطبيق على الحدّ، و كذا لا ينافيه الاختلاف بين الأشبار لاختلافها بحسب الأعصار، فالمدار على حصول الحدّ المجعول للشارع، و التفاوت في الحدود لا يؤثّر نقصاً في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التقدير فيهما تقريب في أصل الاعتبار و تحقيق فيما قضى به الاعتبار بعد حصوله، فلا يتسامح و لو بالشعرة من الشبر و لا القيراط من الوزن، و مع حصول الاختلاف بالاختيار يؤخذ بالموافق سواء تعدّد المختبرون أو تكرّر من شخص واحد، غير أنّ المختبر يتخيّر في الاختبار بأيّ الطريقين شاء، و مع الاختبار بها أُخذ بالموافق منهما، و منه يظهر أنّ الوزن ليس بأصل كما زعم </w:t>
      </w:r>
      <w:r>
        <w:rPr>
          <w:rStyle w:val="FootnoteAnchor"/>
          <w:rtl w:val="true"/>
        </w:rPr>
        <w:footnoteReference w:id="573"/>
      </w:r>
      <w:r>
        <w:rPr>
          <w:rFonts w:ascii="Amiri" w:hAnsi="Amiri" w:eastAsia="Amiri" w:cs="Amiri"/>
          <w:color w:val="111111"/>
          <w:sz w:val="28"/>
          <w:sz w:val="28"/>
          <w:szCs w:val="28"/>
          <w:rtl w:val="true"/>
          <w:lang w:bidi="ar-SA"/>
        </w:rPr>
        <w:t>، و لا الحكم بالتخيير بالبناء و العزم فيتعيّن ما نوى، بل متى حصل أحد الطرفين كشف عن الكُرّ واقعاً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عمّي في شرح البغية نافياً للبُعد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موافقة أحد الطرفين أمارة ظاهريّة على عدم الكرية فنقطع استصحابها مع الشكّ في بقائها، و لا يلزم الاختبار بكلّ منهما، </w:t>
      </w:r>
    </w:p>
    <w:p>
      <w:pPr>
        <w:pStyle w:val="BookText"/>
        <w:rPr/>
      </w:pPr>
      <w:r>
        <w:rPr>
          <w:rFonts w:ascii="Amiri" w:hAnsi="Amiri" w:eastAsia="Amiri" w:cs="Amiri"/>
          <w:color w:val="111111"/>
          <w:sz w:val="28"/>
          <w:sz w:val="28"/>
          <w:szCs w:val="28"/>
          <w:rtl w:val="true"/>
          <w:lang w:bidi="ar-SA"/>
        </w:rPr>
        <w:t>و يحتمل أنّ المدار على نقض الأمارة السابقة، فلو حكم أوّلاً بكرّيّته بالوزن لم ينقضه إِلَّا الاختبار بنقصان الوزن، و كذا في المساحة، و لو اختبر بها فلا ينقضها إلّا الاختبار بنقصانها، و مع العلم بأحدهما ينقضه الاختبار بنقصان أحدهما،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لطفه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بما حرّرنا الإشكال في البناء على التحقيق بالزيادة و النقيصة بين المساحة و الوزن، إذ لا بدّ من زيادة أحدهما على جميع الأقوال سوى مكسّر المعتبر </w:t>
      </w:r>
      <w:r>
        <w:rPr>
          <w:rStyle w:val="FootnoteAnchor"/>
          <w:rtl w:val="true"/>
        </w:rPr>
        <w:footnoteReference w:id="574"/>
      </w:r>
      <w:r>
        <w:rPr>
          <w:rFonts w:ascii="Amiri" w:hAnsi="Amiri" w:eastAsia="Amiri" w:cs="Amiri"/>
          <w:color w:val="111111"/>
          <w:sz w:val="28"/>
          <w:sz w:val="28"/>
          <w:szCs w:val="28"/>
          <w:rtl w:val="true"/>
          <w:lang w:bidi="ar-SA"/>
        </w:rPr>
        <w:t xml:space="preserve">فقيل بتساويهما في الاختبار، و لا حاجة إلى ما في الجواهر </w:t>
      </w:r>
      <w:r>
        <w:rPr>
          <w:rStyle w:val="FootnoteAnchor"/>
          <w:rtl w:val="true"/>
        </w:rPr>
        <w:footnoteReference w:id="575"/>
      </w:r>
      <w:r>
        <w:rPr>
          <w:rFonts w:ascii="IRNazanin" w:hAnsi="IRNazanin" w:eastAsia="IRNazanin"/>
          <w:color w:val="111111"/>
          <w:sz w:val="28"/>
          <w:sz w:val="28"/>
          <w:szCs w:val="28"/>
          <w:rtl w:val="true"/>
          <w:lang w:bidi="fa-IR"/>
        </w:rPr>
        <w:t>بعدم علم النّبيّ صلّی الله علیه و آله و الأئمة علیهم السلام بذلك، مع أنّهم قدّروه بأذهانهم فأجرى الله تعالى الحكم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في حيص و بيص من هذه النسبة إليهم في غير الأحكام، فكيف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عسى أنّ الإماميّة تنكره قولاً واحداً، و العقل قاض بأنّ كلّ وصف حسن يمكن اتّصاف الممكن فيه و لا يوهم الشركة يجب أن يتّصف به النّبيّ صلّی الله علیه و آله و الإمام علیهم السلام، و هذا مع أنّه كذلك عدمه موجب للنقص المنافي لعلوّ مرتبتهم و جليل قدرهم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الوزن إن قلنا بأصالته و أنّه المدار في الكرية لا بدّ و أن يختلف باختلاف الماء خفّةً و ثقلاً و رقّةً و غلظة، و مع اختلاطه بما لا يخرجه عن إطلاقه يحتمل ملاحظة الوزن بدونه، أو الاكتفاء بالوزن معه، أو التفصيل بين الأجزاء البيّنة و غيرها، و هو غير بعيد، و به أفتى جدّي قّدس سرّه و أبي و عمّي رحمهما الله في زبرهم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من مذهب المحقّة طهارةُ الكرّ و مطهّريّته، و أمّا غيره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 بيانه و لم يكن جارياً على المشهور </w:t>
      </w:r>
      <w:r>
        <w:rPr>
          <w:rStyle w:val="FootnoteAnchor"/>
          <w:rtl w:val="true"/>
        </w:rPr>
        <w:footnoteReference w:id="577"/>
      </w:r>
      <w:r>
        <w:rPr>
          <w:rFonts w:ascii="Amiri" w:hAnsi="Amiri" w:eastAsia="Amiri" w:cs="Amiri"/>
          <w:color w:val="111111"/>
          <w:sz w:val="28"/>
          <w:sz w:val="28"/>
          <w:szCs w:val="28"/>
          <w:rtl w:val="true"/>
          <w:lang w:bidi="ar-SA"/>
        </w:rPr>
        <w:t>، و منهم الشارح، و إطلاقه و إن أوهم موافقة الفاضل لكن الظاهر الجَرْي على مصطلحهم في القليل؛ و لذا وصفناه بالراكد في كلامه</w:t>
      </w:r>
      <w:r>
        <w:rPr>
          <w:rFonts w:eastAsia="Amiri" w:cs="Amiri" w:ascii="Amiri" w:hAnsi="Amiri"/>
          <w:color w:val="111111"/>
          <w:sz w:val="28"/>
          <w:szCs w:val="28"/>
          <w:rtl w:val="true"/>
          <w:lang w:bidi="ar-SA"/>
        </w:rPr>
        <w:t xml:space="preserve">. </w:t>
      </w:r>
      <w:bookmarkStart w:id="45" w:name="pg9146_85802"/>
    </w:p>
    <w:p>
      <w:pPr>
        <w:pStyle w:val="Heading2"/>
        <w:numPr>
          <w:ilvl w:val="1"/>
          <w:numId w:val="1"/>
        </w:numPr>
        <w:rPr/>
      </w:pPr>
      <w:bookmarkStart w:id="46" w:name="__RefHeading___Toc3322552_2870459653"/>
      <w:bookmarkStart w:id="47" w:name="_Toc14"/>
      <w:bookmarkEnd w:id="45"/>
      <w:bookmarkEnd w:id="46"/>
      <w:r>
        <w:rPr>
          <w:rtl w:val="true"/>
        </w:rPr>
        <w:t>[</w:t>
      </w:r>
      <w:r>
        <w:rPr>
          <w:rtl w:val="true"/>
        </w:rPr>
        <w:t>ماء البئر</w:t>
      </w:r>
      <w:r>
        <w:rPr>
          <w:rtl w:val="true"/>
        </w:rPr>
        <w:t>]</w:t>
      </w:r>
      <w:bookmarkEnd w:id="47"/>
    </w:p>
    <w:p>
      <w:pPr>
        <w:pStyle w:val="BookText"/>
        <w:rPr/>
      </w:pPr>
      <w:r>
        <w:rPr>
          <w:rFonts w:ascii="Amiri" w:hAnsi="Amiri" w:eastAsia="Amiri" w:cs="Amiri"/>
          <w:color w:val="111111"/>
          <w:sz w:val="28"/>
          <w:sz w:val="28"/>
          <w:szCs w:val="28"/>
          <w:rtl w:val="true"/>
          <w:lang w:bidi="ar-SA"/>
        </w:rPr>
        <w:t xml:space="preserve">و كذا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عرّفه جدّي قدّس سرّه في كشف الغطاء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النابع من الأرض بواسطة الحفر على وجه مخصوص بحسب الطول و السّعة، و حقيقتهما تُعرَف بالعُرف </w:t>
      </w:r>
      <w:r>
        <w:rPr>
          <w:rStyle w:val="FootnoteAnchor"/>
          <w:rtl w:val="true"/>
        </w:rPr>
        <w:footnoteReference w:id="5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ما حدّه الماتن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مجموع </w:t>
      </w:r>
      <w:r>
        <w:rPr>
          <w:rStyle w:val="FootnoteAnchor"/>
          <w:rtl w:val="true"/>
        </w:rPr>
        <w:footnoteReference w:id="579"/>
      </w:r>
      <w:r>
        <w:rPr>
          <w:rFonts w:ascii="Amiri" w:hAnsi="Amiri" w:eastAsia="Amiri" w:cs="Amiri"/>
          <w:color w:val="111111"/>
          <w:sz w:val="28"/>
          <w:sz w:val="28"/>
          <w:szCs w:val="28"/>
          <w:rtl w:val="true"/>
          <w:lang w:bidi="ar-SA"/>
        </w:rPr>
        <w:t xml:space="preserve">ماء نابع من الأرض، لا يتعدّاها غالباً، و لا يخرج عن مسمّاها عرفاً </w:t>
      </w:r>
      <w:r>
        <w:rPr>
          <w:rStyle w:val="FootnoteAnchor"/>
          <w:rtl w:val="true"/>
        </w:rPr>
        <w:footnoteReference w:id="580"/>
      </w:r>
      <w:r>
        <w:rPr>
          <w:rFonts w:ascii="Amiri" w:hAnsi="Amiri" w:eastAsia="Amiri" w:cs="Amiri"/>
          <w:color w:val="111111"/>
          <w:sz w:val="28"/>
          <w:sz w:val="28"/>
          <w:szCs w:val="28"/>
          <w:rtl w:val="true"/>
          <w:lang w:bidi="ar-SA"/>
        </w:rPr>
        <w:t>، و تذكير الضمير و تأنيثه في الحدّ للخبر و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w:t>
      </w:r>
      <w:r>
        <w:rPr>
          <w:rStyle w:val="FootnoteAnchor"/>
          <w:rtl w:val="true"/>
        </w:rPr>
        <w:footnoteReference w:id="581"/>
      </w:r>
      <w:r>
        <w:rPr>
          <w:rFonts w:ascii="Amiri" w:hAnsi="Amiri" w:eastAsia="Amiri" w:cs="Amiri"/>
          <w:color w:val="111111"/>
          <w:sz w:val="28"/>
          <w:sz w:val="28"/>
          <w:szCs w:val="28"/>
          <w:rtl w:val="true"/>
          <w:lang w:bidi="ar-SA"/>
        </w:rPr>
        <w:t>عليه بإغناء القيد الأخير عمّا قبله،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في العرف بئراً لكفى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خروجه عن الحدّ؛ لإيكاله معرفتها على العرف و المقصد تمييزها عمّا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آبار القنوات تسمّى آباراً عرفاً مع عدم دخولها في هذا الحكم، فبين الأخير و ما قبله عمومٌ من وجه، فلا غناء به، و أيضاً فهو خاصّ بعد عامّ، و هو غير مذموم كعكسه و هو إغناء المتقدّم عن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ثانياً بأنّ المفيد </w:t>
      </w:r>
      <w:r>
        <w:rPr>
          <w:rStyle w:val="FootnoteAnchor"/>
          <w:rtl w:val="true"/>
        </w:rPr>
        <w:footnoteReference w:id="582"/>
      </w:r>
      <w:r>
        <w:rPr>
          <w:rFonts w:ascii="Amiri" w:hAnsi="Amiri" w:eastAsia="Amiri" w:cs="Amiri"/>
          <w:color w:val="111111"/>
          <w:sz w:val="28"/>
          <w:sz w:val="28"/>
          <w:szCs w:val="28"/>
          <w:rtl w:val="true"/>
          <w:lang w:bidi="ar-SA"/>
        </w:rPr>
        <w:t xml:space="preserve">و الشيخ في التهذيب </w:t>
      </w:r>
      <w:r>
        <w:rPr>
          <w:rStyle w:val="FootnoteAnchor"/>
          <w:rtl w:val="true"/>
        </w:rPr>
        <w:footnoteReference w:id="583"/>
      </w:r>
      <w:r>
        <w:rPr>
          <w:rFonts w:ascii="IRNazanin" w:hAnsi="IRNazanin" w:eastAsia="IRNazanin"/>
          <w:color w:val="111111"/>
          <w:sz w:val="28"/>
          <w:sz w:val="28"/>
          <w:szCs w:val="28"/>
          <w:rtl w:val="true"/>
          <w:lang w:bidi="fa-IR"/>
        </w:rPr>
        <w:t xml:space="preserve">و المبسوط </w:t>
      </w:r>
      <w:r>
        <w:rPr>
          <w:rStyle w:val="FootnoteAnchor"/>
          <w:rtl w:val="true"/>
        </w:rPr>
        <w:footnoteReference w:id="584"/>
      </w:r>
      <w:r>
        <w:rPr>
          <w:rFonts w:ascii="Amiri" w:hAnsi="Amiri" w:eastAsia="Amiri" w:cs="Amiri"/>
          <w:color w:val="111111"/>
          <w:sz w:val="28"/>
          <w:sz w:val="28"/>
          <w:szCs w:val="28"/>
          <w:rtl w:val="true"/>
          <w:lang w:bidi="ar-SA"/>
        </w:rPr>
        <w:t>ألحقوا الغدير الذي له مادّة في الحكم بالبئر مع عدم التسمية عرفاً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الشيخين رحمهما الله لها لم يذكروا الحكم، و لا قاطع به، و لو سلّم فالقصد تحديد البئر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أيضاً بإجمال الحدّ؛ لاشتماله على عدم التعدية الغالبيّة، و على التسمية العرفيّة للحوق الحكم إلى الاسم حتّى لو اختلف العرف في الثاني، و بطلانه جلّي، و قصره على عرف </w:t>
      </w:r>
    </w:p>
    <w:p>
      <w:pPr>
        <w:pStyle w:val="BookText"/>
        <w:rPr/>
      </w:pPr>
      <w:r>
        <w:rPr>
          <w:rFonts w:ascii="IRNazanin" w:hAnsi="IRNazanin" w:eastAsia="IRNazanin"/>
          <w:color w:val="111111"/>
          <w:sz w:val="28"/>
          <w:sz w:val="28"/>
          <w:szCs w:val="28"/>
          <w:rtl w:val="true"/>
          <w:lang w:bidi="fa-IR"/>
        </w:rPr>
        <w:t>النَّبيّ صلّی الله علیه و آله محتمل لإرادة العام منه أو الأعمّ من الخاص فهو مجمل، و لإطلاقها على المجمع المتعدّي حال تعدّيه و لو نادراً إن أُريد الغالب بحسب الأزمان، و لو أُريد بحسب الأفراد فكذلك في الفرد النادر في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عدم التعدّي غالباً يوجب خروج ما تعدّى غالباً و إن أُطلق البئر عليه عرفاً في حال عدم تعدّيه أو في الحالين، و خروج البئر من الموصول بينهما بساقية و البئر إذا تعدّت قليلاً بحيث لم يسلب عنها البئر، و خروج الجميع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 </w:t>
      </w:r>
      <w:r>
        <w:rPr>
          <w:rStyle w:val="FootnoteAnchor"/>
          <w:rtl w:val="true"/>
        </w:rPr>
        <w:footnoteReference w:id="585"/>
      </w:r>
      <w:r>
        <w:rPr>
          <w:rFonts w:ascii="IRNazanin" w:hAnsi="IRNazanin" w:eastAsia="IRNazanin"/>
          <w:color w:val="111111"/>
          <w:sz w:val="28"/>
          <w:sz w:val="28"/>
          <w:szCs w:val="28"/>
          <w:rtl w:val="true"/>
          <w:lang w:bidi="fa-IR"/>
        </w:rPr>
        <w:t>عن الثاني بإرادة العُرف العام؛ لكونه المتبادر من لفظه بلا ضميمة، إذ لم يثبت للبئر حقيقة بالثلاث و بأصالة عدم النقل يحكم بتساوي عرفنا و عرف النبي صلّی الله علیه و آله، فالقصر للإطلاق و التساوي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الأوّل بإدخال ما تعدّى من البئر نادراً بحكمها، و إخراج المتعدّي غالباً عن أحكامها حال التعدّي لا مطلقاً، و ما استمرّ جريانه خرج عن حكمها بلا ريب كآبار الغري و الشام، و لا غضاضة في ذلك، فكان لحوق الحكم للاسم في خصوص البئر على وجه مخصوص لا مطلقاً، و لذا لم يكتف الماتن بحدّه في الإيكال على العرف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الأستاذ رحمه الله </w:t>
      </w:r>
      <w:r>
        <w:rPr>
          <w:rStyle w:val="FootnoteAnchor"/>
          <w:rtl w:val="true"/>
        </w:rPr>
        <w:footnoteReference w:id="586"/>
      </w:r>
      <w:r>
        <w:rPr>
          <w:rFonts w:ascii="IRNazanin" w:hAnsi="IRNazanin" w:eastAsia="IRNazanin"/>
          <w:color w:val="111111"/>
          <w:sz w:val="28"/>
          <w:sz w:val="28"/>
          <w:szCs w:val="28"/>
          <w:rtl w:val="true"/>
          <w:lang w:bidi="fa-IR"/>
        </w:rPr>
        <w:t>اكتفى في حدّها بالصدق العرفي فقط، و كأنّه أراد عرف النّبيّ صلّی الله علیه و آله في آبار الحجاز، و إلّا لم يتمّ في الآبار النجفيّة و الشاميّة، و إنكار كونها آباراً عرفاً مطلقاً مشكلٌ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أراد أنّ الحكم هنا معلّق على الاسم فيدور مداره و إن اختلف العرف كالمأكول و المشروب و المكيل و الموزون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الظاهر بين تعليق الحكم على وصف فيختلف الموصوف لاختلاف الزمان كالمثالين فإنّه لا يتبدّل الحكم به، و بين تعليقه على ذات قد وضع لها اللّفظ زمن الصدور فيتبدّل الوضع في زمان آخر لذات أخرى، فإنّ الحكم هنا لا يتبع الاسم؛ لظهور أنّ الأحكام لا تتبع المنقولات الحادثة، و البئر من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احتمال أنّ البئر الآن تطلق على النابع و الجاري كآبار النجف عرفاً على وجه الاشتراك المعنوي، فيكون كذلك لغةً؛ لأصالة عدم النقل احتمالٌ واهٍ؛ لأنّ المفهوم منها لغةً أو في العرف العام بشهادة الاستقراء هو ما كان منها نابعاً لا ما كان جارياً، كذا حقّق الوالد رحمه الله في أنوار فقاهته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فتمّ إلى هنا أنّ المراد بمجمع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 المطلق، فيخرج المجتمع من وسائر المائعات، و أن يكون نابعاً غير محقون أو ماء مطر أو جارياً انحبس في مكان عميق، و الظاهر أنّ النابع هنا يشمل الخارج من ينبوع و من غيره كالنضح و الرّشح و النزّ؛ لحكم العرف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خروجه كالعرق الذي لا يبين للحسّ إبانةً ظاهرة يشكل إدخاله في حكم البئر، بل إلحاقه بالمحقون أولى، و لا بدّ أيضاً من عدم الخروج عن مسمّاها عرفاً، فالمحصور هيئة النهر الطويل و البركة العظيمة المسرّحة الحواشي ليس ببئر، و لا يلحقها الحكم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ذلك ما قلنا من أنّ البئر ليس لها حقيقة شرعيّة، بل يرجع فيها إلى العرف، و اللّغة تستكشف بالعرف عند الشكّ فيها؛ لأصالة عدم النقل إلّا إذا قطع بعدم الصدق اللغوي كآبار النجف، فلا يلحقها الأحكام و إن كانت عرفاً كذلك؛ للقطع بأنّها النابعة زمن الصدور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فهي و ما دون الكرّ الذي هو عبارة عن القليل ينجس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للنجاسة من غير فرق بين الوارد و المورود، و النجس و المتنجّس، و لا بين القليل منها و الكثير مطلقاً، أو خصوص قليل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و تحصيلاً، كذلك نقله ابن زهرة </w:t>
      </w:r>
      <w:r>
        <w:rPr>
          <w:rStyle w:val="FootnoteAnchor"/>
          <w:rtl w:val="true"/>
        </w:rPr>
        <w:footnoteReference w:id="589"/>
      </w:r>
      <w:r>
        <w:rPr>
          <w:rFonts w:ascii="Amiri" w:hAnsi="Amiri" w:eastAsia="Amiri" w:cs="Amiri"/>
          <w:color w:val="111111"/>
          <w:sz w:val="28"/>
          <w:sz w:val="28"/>
          <w:szCs w:val="28"/>
          <w:rtl w:val="true"/>
          <w:lang w:bidi="ar-SA"/>
        </w:rPr>
        <w:t xml:space="preserve">فيهما و ابن إدريس </w:t>
      </w:r>
      <w:r>
        <w:rPr>
          <w:rStyle w:val="FootnoteAnchor"/>
          <w:rtl w:val="true"/>
        </w:rPr>
        <w:footnoteReference w:id="590"/>
      </w:r>
      <w:r>
        <w:rPr>
          <w:rFonts w:ascii="Amiri" w:hAnsi="Amiri" w:eastAsia="Amiri" w:cs="Amiri"/>
          <w:color w:val="111111"/>
          <w:sz w:val="28"/>
          <w:sz w:val="28"/>
          <w:szCs w:val="28"/>
          <w:rtl w:val="true"/>
          <w:lang w:bidi="ar-SA"/>
        </w:rPr>
        <w:t xml:space="preserve">فيها و علم الهدى و الشيخ في </w:t>
      </w:r>
    </w:p>
    <w:p>
      <w:pPr>
        <w:pStyle w:val="BookText"/>
        <w:rPr/>
      </w:pPr>
      <w:r>
        <w:rPr>
          <w:rFonts w:ascii="Amiri" w:hAnsi="Amiri" w:eastAsia="Amiri" w:cs="Amiri"/>
          <w:color w:val="111111"/>
          <w:sz w:val="28"/>
          <w:sz w:val="28"/>
          <w:szCs w:val="28"/>
          <w:rtl w:val="true"/>
          <w:lang w:bidi="ar-SA"/>
        </w:rPr>
        <w:t xml:space="preserve">الناصريّات </w:t>
      </w:r>
      <w:r>
        <w:rPr>
          <w:rStyle w:val="FootnoteAnchor"/>
          <w:rtl w:val="true"/>
        </w:rPr>
        <w:footnoteReference w:id="591"/>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592"/>
      </w:r>
      <w:r>
        <w:rPr>
          <w:rFonts w:ascii="IRNazanin" w:hAnsi="IRNazanin" w:eastAsia="IRNazanin"/>
          <w:color w:val="111111"/>
          <w:sz w:val="28"/>
          <w:sz w:val="28"/>
          <w:szCs w:val="28"/>
          <w:rtl w:val="true"/>
          <w:lang w:bidi="fa-IR"/>
        </w:rPr>
        <w:t xml:space="preserve">و الخلاف </w:t>
      </w:r>
      <w:r>
        <w:rPr>
          <w:rStyle w:val="FootnoteAnchor"/>
          <w:rtl w:val="true"/>
        </w:rPr>
        <w:footnoteReference w:id="593"/>
      </w:r>
      <w:r>
        <w:rPr>
          <w:rFonts w:ascii="Amiri" w:hAnsi="Amiri" w:eastAsia="Amiri" w:cs="Amiri"/>
          <w:color w:val="111111"/>
          <w:sz w:val="28"/>
          <w:sz w:val="28"/>
          <w:szCs w:val="28"/>
          <w:rtl w:val="true"/>
          <w:lang w:bidi="ar-SA"/>
        </w:rPr>
        <w:t xml:space="preserve">فيه، و الأمالي </w:t>
      </w:r>
      <w:r>
        <w:rPr>
          <w:rStyle w:val="FootnoteAnchor"/>
          <w:rtl w:val="true"/>
        </w:rPr>
        <w:footnoteReference w:id="594"/>
      </w:r>
      <w:r>
        <w:rPr>
          <w:rFonts w:ascii="Amiri" w:hAnsi="Amiri" w:eastAsia="Amiri" w:cs="Amiri"/>
          <w:color w:val="111111"/>
          <w:sz w:val="28"/>
          <w:sz w:val="28"/>
          <w:szCs w:val="28"/>
          <w:rtl w:val="true"/>
          <w:lang w:bidi="ar-SA"/>
        </w:rPr>
        <w:t>أنَّه من دين الإماميّة، و الماتن في الشرح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إجماعاً في البئر </w:t>
      </w:r>
      <w:r>
        <w:rPr>
          <w:rStyle w:val="FootnoteAnchor"/>
          <w:rtl w:val="true"/>
        </w:rPr>
        <w:footnoteReference w:id="595"/>
      </w:r>
      <w:r>
        <w:rPr>
          <w:rFonts w:ascii="Amiri" w:hAnsi="Amiri" w:eastAsia="Amiri" w:cs="Amiri"/>
          <w:color w:val="111111"/>
          <w:sz w:val="28"/>
          <w:sz w:val="28"/>
          <w:szCs w:val="28"/>
          <w:rtl w:val="true"/>
          <w:lang w:bidi="ar-SA"/>
        </w:rPr>
        <w:t xml:space="preserve">، و استثنى العماني </w:t>
      </w:r>
      <w:r>
        <w:rPr>
          <w:rStyle w:val="FootnoteAnchor"/>
          <w:rtl w:val="true"/>
        </w:rPr>
        <w:footnoteReference w:id="596"/>
      </w:r>
      <w:r>
        <w:rPr>
          <w:rFonts w:ascii="Amiri" w:hAnsi="Amiri" w:eastAsia="Amiri" w:cs="Amiri"/>
          <w:color w:val="111111"/>
          <w:sz w:val="28"/>
          <w:sz w:val="28"/>
          <w:szCs w:val="28"/>
          <w:rtl w:val="true"/>
          <w:lang w:bidi="ar-SA"/>
        </w:rPr>
        <w:t>بعد نقل الإجماع بعضٌ، و بعض أطلق، و الفاضل في جواب المسائل المهنائيّة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عرفت قولاً لأحد من أصحابنا يوافق ابن أبي عقيل بعده </w:t>
      </w:r>
      <w:r>
        <w:rPr>
          <w:rStyle w:val="FootnoteAnchor"/>
          <w:rtl w:val="true"/>
        </w:rPr>
        <w:footnoteReference w:id="5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لحقه القاساني </w:t>
      </w:r>
      <w:r>
        <w:rPr>
          <w:rStyle w:val="FootnoteAnchor"/>
          <w:rtl w:val="true"/>
        </w:rPr>
        <w:footnoteReference w:id="598"/>
      </w:r>
      <w:r>
        <w:rPr>
          <w:rFonts w:ascii="Amiri" w:hAnsi="Amiri" w:eastAsia="Amiri" w:cs="Amiri"/>
          <w:color w:val="111111"/>
          <w:sz w:val="28"/>
          <w:sz w:val="28"/>
          <w:szCs w:val="28"/>
          <w:rtl w:val="true"/>
          <w:lang w:bidi="ar-SA"/>
        </w:rPr>
        <w:t xml:space="preserve">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الشيخ في المبسوط </w:t>
      </w:r>
      <w:r>
        <w:rPr>
          <w:rStyle w:val="FootnoteAnchor"/>
          <w:rtl w:val="true"/>
        </w:rPr>
        <w:footnoteReference w:id="599"/>
      </w:r>
      <w:r>
        <w:rPr>
          <w:rFonts w:ascii="Amiri" w:hAnsi="Amiri" w:eastAsia="Amiri" w:cs="Amiri"/>
          <w:color w:val="111111"/>
          <w:sz w:val="28"/>
          <w:sz w:val="28"/>
          <w:szCs w:val="28"/>
          <w:rtl w:val="true"/>
          <w:lang w:bidi="ar-SA"/>
        </w:rPr>
        <w:t xml:space="preserve">ذهب إلى أنّه لا ينجس بمثل رؤوس الأُبر من الدّم أو غيره، و في استبصاره </w:t>
      </w:r>
      <w:r>
        <w:rPr>
          <w:rStyle w:val="FootnoteAnchor"/>
          <w:rtl w:val="true"/>
        </w:rPr>
        <w:footnoteReference w:id="600"/>
      </w:r>
      <w:r>
        <w:rPr>
          <w:rFonts w:ascii="Amiri" w:hAnsi="Amiri" w:eastAsia="Amiri" w:cs="Amiri"/>
          <w:color w:val="111111"/>
          <w:sz w:val="28"/>
          <w:sz w:val="28"/>
          <w:szCs w:val="28"/>
          <w:rtl w:val="true"/>
          <w:lang w:bidi="ar-SA"/>
        </w:rPr>
        <w:t>خصّه بالدّم، فهو من المخالفين لا مطلقاً، فههنا موضعان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القليل غير البئر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تصادمت الأخبار في القليل </w:t>
      </w:r>
      <w:r>
        <w:rPr>
          <w:rStyle w:val="FootnoteAnchor"/>
          <w:rtl w:val="true"/>
        </w:rPr>
        <w:footnoteReference w:id="601"/>
      </w:r>
      <w:r>
        <w:rPr>
          <w:rFonts w:ascii="IRNazanin" w:hAnsi="IRNazanin" w:eastAsia="IRNazanin"/>
          <w:color w:val="111111"/>
          <w:sz w:val="28"/>
          <w:sz w:val="28"/>
          <w:szCs w:val="28"/>
          <w:rtl w:val="true"/>
          <w:lang w:bidi="fa-IR"/>
        </w:rPr>
        <w:t xml:space="preserve">فهی بين صريح و ظاهر في النجاسة، و مثلهما في الطهارة </w:t>
      </w:r>
      <w:r>
        <w:rPr>
          <w:rStyle w:val="FootnoteAnchor"/>
          <w:rtl w:val="true"/>
        </w:rPr>
        <w:footnoteReference w:id="602"/>
      </w:r>
      <w:r>
        <w:rPr>
          <w:rFonts w:ascii="Amiri" w:hAnsi="Amiri" w:eastAsia="Amiri" w:cs="Amiri"/>
          <w:color w:val="111111"/>
          <w:sz w:val="28"/>
          <w:sz w:val="28"/>
          <w:szCs w:val="28"/>
          <w:rtl w:val="true"/>
          <w:lang w:bidi="ar-SA"/>
        </w:rPr>
        <w:t xml:space="preserve">، لزمنا البحث و الترجيح لأحد الجانبين و إن كانت الكثرة في الأوّل حتى أنهيت إلى المئة بين صحيح و حسن، مجبورة بعدم إعراض الأصحاب عنها كصلاة الجمعة </w:t>
      </w:r>
      <w:r>
        <w:rPr>
          <w:rStyle w:val="FootnoteAnchor"/>
          <w:rtl w:val="true"/>
        </w:rPr>
        <w:footnoteReference w:id="603"/>
      </w:r>
      <w:r>
        <w:rPr>
          <w:rFonts w:ascii="Amiri" w:hAnsi="Amiri" w:eastAsia="Amiri" w:cs="Amiri"/>
          <w:color w:val="111111"/>
          <w:sz w:val="28"/>
          <w:sz w:val="28"/>
          <w:szCs w:val="28"/>
          <w:rtl w:val="true"/>
          <w:lang w:bidi="ar-SA"/>
        </w:rPr>
        <w:t xml:space="preserve">زمن الغيبة المعرض عن أخبار وجوبها، لكن </w:t>
      </w:r>
    </w:p>
    <w:p>
      <w:pPr>
        <w:pStyle w:val="BookText"/>
        <w:rPr/>
      </w:pPr>
      <w:r>
        <w:rPr>
          <w:rFonts w:ascii="Amiri" w:hAnsi="Amiri" w:eastAsia="Amiri" w:cs="Amiri"/>
          <w:color w:val="111111"/>
          <w:sz w:val="28"/>
          <w:sz w:val="28"/>
          <w:szCs w:val="28"/>
          <w:rtl w:val="true"/>
          <w:lang w:bidi="ar-SA"/>
        </w:rPr>
        <w:t xml:space="preserve">الكثرة بعد صحة المعارض لا تكون مرجّحة بحيث يلغى اعتبار ما صادمها و إن كان مفرداً، بل تكون بمنزلة الخبر الواحد المصادم لمثله كالحكم المكرّر في الخبر ، إذ التكرير لا يرجّحه على معارضة </w:t>
      </w:r>
      <w:r>
        <w:rPr>
          <w:rStyle w:val="FootnoteAnchor"/>
          <w:rtl w:val="true"/>
        </w:rPr>
        <w:footnoteReference w:id="604"/>
      </w:r>
      <w:r>
        <w:rPr>
          <w:rFonts w:ascii="Amiri" w:hAnsi="Amiri" w:eastAsia="Amiri" w:cs="Amiri"/>
          <w:color w:val="111111"/>
          <w:sz w:val="28"/>
          <w:sz w:val="28"/>
          <w:szCs w:val="28"/>
          <w:rtl w:val="true"/>
          <w:lang w:bidi="ar-SA"/>
        </w:rPr>
        <w:t>و لذا يحكم الخبر الصحيح على الأخبار الضعاف و الموثّقات و يوهن اعتبارها، فلو كان للكثرة أثر في الترجيح لما تمّ ذلك، فالمهمّ أوّلاً تأسيس الأصل في القليل؛ ليعمل في المشكوك به منه بأصله من طهارة أو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إطلاق الشهيدين هنا و في غيره كغيرهما </w:t>
      </w:r>
      <w:r>
        <w:rPr>
          <w:rStyle w:val="FootnoteAnchor"/>
          <w:rtl w:val="true"/>
        </w:rPr>
        <w:footnoteReference w:id="605"/>
      </w:r>
      <w:r>
        <w:rPr>
          <w:rFonts w:ascii="Amiri" w:hAnsi="Amiri" w:eastAsia="Amiri" w:cs="Amiri"/>
          <w:color w:val="111111"/>
          <w:sz w:val="28"/>
          <w:sz w:val="28"/>
          <w:szCs w:val="28"/>
          <w:rtl w:val="true"/>
          <w:lang w:bidi="ar-SA"/>
        </w:rPr>
        <w:t>الحكمُ بانفعاله مطلقاً إلّا إذا ثبت خلافه كماء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فحاوي بعض </w:t>
      </w:r>
      <w:r>
        <w:rPr>
          <w:rStyle w:val="FootnoteAnchor"/>
          <w:rtl w:val="true"/>
        </w:rPr>
        <w:footnoteReference w:id="606"/>
      </w:r>
      <w:r>
        <w:rPr>
          <w:rFonts w:ascii="Amiri" w:hAnsi="Amiri" w:eastAsia="Amiri" w:cs="Amiri"/>
          <w:color w:val="111111"/>
          <w:sz w:val="28"/>
          <w:sz w:val="28"/>
          <w:szCs w:val="28"/>
          <w:rtl w:val="true"/>
          <w:lang w:bidi="ar-SA"/>
        </w:rPr>
        <w:t xml:space="preserve">من تقدَّم و صريح جملة ممّن تأخّر </w:t>
      </w:r>
      <w:r>
        <w:rPr>
          <w:rStyle w:val="FootnoteAnchor"/>
          <w:rtl w:val="true"/>
        </w:rPr>
        <w:footnoteReference w:id="607"/>
      </w:r>
      <w:r>
        <w:rPr>
          <w:rFonts w:ascii="Amiri" w:hAnsi="Amiri" w:eastAsia="Amiri" w:cs="Amiri"/>
          <w:color w:val="111111"/>
          <w:sz w:val="28"/>
          <w:sz w:val="28"/>
          <w:szCs w:val="28"/>
          <w:rtl w:val="true"/>
          <w:lang w:bidi="ar-SA"/>
        </w:rPr>
        <w:t xml:space="preserve">خلافه مدّعين عدم عموم دليل انفعال القليل فيوقف فيه على المتيقّن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للأكثر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كرّ لا ينجسه شيء</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و بضميمة عدم القول بالفصل تدلّ جملة من الأخبار </w:t>
      </w:r>
      <w:r>
        <w:rPr>
          <w:rStyle w:val="FootnoteAnchor"/>
          <w:rtl w:val="true"/>
        </w:rPr>
        <w:footnoteReference w:id="609"/>
      </w:r>
      <w:r>
        <w:rPr>
          <w:rFonts w:ascii="Amiri" w:hAnsi="Amiri" w:eastAsia="Amiri" w:cs="Amiri"/>
          <w:color w:val="111111"/>
          <w:sz w:val="28"/>
          <w:sz w:val="28"/>
          <w:szCs w:val="28"/>
          <w:rtl w:val="true"/>
          <w:lang w:bidi="ar-SA"/>
        </w:rPr>
        <w:t>على عدم الفرق بين النجاسات و بين المياه و بين ما يطرو من الأحوال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الاستدلال به بأمور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عموم الماء منطوقاً، فما حال مفهومه؟ </w:t>
      </w:r>
    </w:p>
    <w:p>
      <w:pPr>
        <w:pStyle w:val="BookText"/>
        <w:rPr/>
      </w:pPr>
      <w:r>
        <w:rPr>
          <w:rFonts w:ascii="Amiri" w:hAnsi="Amiri" w:eastAsia="Amiri" w:cs="Amiri"/>
          <w:color w:val="111111"/>
          <w:sz w:val="28"/>
          <w:sz w:val="28"/>
          <w:szCs w:val="28"/>
          <w:rtl w:val="true"/>
          <w:lang w:bidi="ar-SA"/>
        </w:rPr>
        <w:t xml:space="preserve">أُجيب بعموم المفرد المحلّى على رأي الشيخ </w:t>
      </w:r>
      <w:r>
        <w:rPr>
          <w:rStyle w:val="FootnoteAnchor"/>
          <w:rtl w:val="true"/>
        </w:rPr>
        <w:footnoteReference w:id="610"/>
      </w:r>
      <w:r>
        <w:rPr>
          <w:rFonts w:ascii="IRNazanin" w:hAnsi="IRNazanin" w:eastAsia="IRNazanin"/>
          <w:color w:val="111111"/>
          <w:sz w:val="28"/>
          <w:sz w:val="28"/>
          <w:szCs w:val="28"/>
          <w:rtl w:val="true"/>
          <w:lang w:bidi="fa-IR"/>
        </w:rPr>
        <w:t xml:space="preserve">و بعض </w:t>
      </w:r>
      <w:r>
        <w:rPr>
          <w:rStyle w:val="FootnoteAnchor"/>
          <w:rtl w:val="true"/>
        </w:rPr>
        <w:footnoteReference w:id="611"/>
      </w:r>
      <w:r>
        <w:rPr>
          <w:rFonts w:ascii="Amiri" w:hAnsi="Amiri" w:eastAsia="Amiri" w:cs="Amiri"/>
          <w:color w:val="111111"/>
          <w:sz w:val="28"/>
          <w:sz w:val="28"/>
          <w:szCs w:val="28"/>
          <w:rtl w:val="true"/>
          <w:lang w:bidi="ar-SA"/>
        </w:rPr>
        <w:t>، و بأنّ اللّام الداخلة على الأجناس حقيقة في الجنس فتقضي بالعموم؛ لأنّ تعلّق الحكم على الطبيعة يقتضي تحقّقه في جميع الأفراد، و بأنّ الحمل هنا على الاستغراق متعيّن إذ لا فائدة في الحكم بتنجيس فردٍ ما من أفراد المياه، و بأنّ المفرد المحلّى يدلّ على العموم في أمثال المقام التزاماً عرفيّاً، و الثالث وجيه لولا بيان المنكر الفائدة فيؤول بالآخرة إلى التداعي، و أمّا الباقي فلم آلف لها كرامة و لا معنى محصّلاً كما حررناه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إهمال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w:t>
      </w:r>
      <w:r>
        <w:rPr>
          <w:rStyle w:val="FootnoteAnchor"/>
          <w:rtl w:val="true"/>
        </w:rPr>
        <w:footnoteReference w:id="612"/>
      </w:r>
      <w:r>
        <w:rPr>
          <w:rFonts w:ascii="Amiri" w:hAnsi="Amiri" w:eastAsia="Amiri" w:cs="Amiri"/>
          <w:color w:val="111111"/>
          <w:sz w:val="28"/>
          <w:sz w:val="28"/>
          <w:szCs w:val="28"/>
          <w:rtl w:val="true"/>
          <w:lang w:bidi="ar-SA"/>
        </w:rPr>
        <w:t>به، و المهمل لا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بدلالتها عليه؛ لأنها في مقام الخطاب بحكم العرف و شهادة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لأنه إن لم يرجع إلى دلالة الجملة على علّيّة الأوّل للثاني فيجيء العموم مع العلّيّة مع قطع النظر عن الأداة،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المستفاد من الشرط قضى به عراء أداته الفائدة، و عدم ظهور فائدة أخرى لا يقضي بعدمها أصلاً، فيوقف عليها، و في الأصول بانَ فساده فراجع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عموم في المفهوم على فرضه كما ذهب إليه الفاضل في المختلف </w:t>
      </w:r>
      <w:r>
        <w:rPr>
          <w:rStyle w:val="FootnoteAnchor"/>
          <w:rtl w:val="true"/>
        </w:rPr>
        <w:footnoteReference w:id="614"/>
      </w:r>
      <w:r>
        <w:rPr>
          <w:rFonts w:ascii="Amiri" w:hAnsi="Amiri" w:eastAsia="Amiri" w:cs="Amiri"/>
          <w:color w:val="111111"/>
          <w:sz w:val="28"/>
          <w:sz w:val="28"/>
          <w:szCs w:val="28"/>
          <w:rtl w:val="true"/>
          <w:lang w:bidi="ar-SA"/>
        </w:rPr>
        <w:t xml:space="preserve">، و جوابه واضح في محلّه، حتّى أنّ العضدي </w:t>
      </w:r>
      <w:r>
        <w:rPr>
          <w:rStyle w:val="FootnoteAnchor"/>
          <w:rtl w:val="true"/>
        </w:rPr>
        <w:footnoteReference w:id="615"/>
      </w:r>
      <w:r>
        <w:rPr>
          <w:rFonts w:ascii="Amiri" w:hAnsi="Amiri" w:eastAsia="Amiri" w:cs="Amiri"/>
          <w:color w:val="111111"/>
          <w:sz w:val="28"/>
          <w:sz w:val="28"/>
          <w:szCs w:val="28"/>
          <w:rtl w:val="true"/>
          <w:lang w:bidi="ar-SA"/>
        </w:rPr>
        <w:t>أرجع خلاف الغزالي إلى المناقشة اللّفظيّة، و عسى أنّ من فرّق بين المفهوم و عمومه عوّل في إثبات المفهوم على الدلالة العقليّة من جهة العراء عن الفائدة فقط</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حقّقنا أنّ ذلك إنّما يأتي في مفهوم الوصف لا الشرط، و أنّ المفهوم فيه إنّما جاء من </w:t>
      </w:r>
    </w:p>
    <w:p>
      <w:pPr>
        <w:pStyle w:val="BookText"/>
        <w:rPr/>
      </w:pPr>
      <w:r>
        <w:rPr>
          <w:rFonts w:ascii="Amiri" w:hAnsi="Amiri" w:eastAsia="Amiri" w:cs="Amiri"/>
          <w:color w:val="111111"/>
          <w:sz w:val="28"/>
          <w:sz w:val="28"/>
          <w:szCs w:val="28"/>
          <w:rtl w:val="true"/>
          <w:lang w:bidi="ar-SA"/>
        </w:rPr>
        <w:t>دلالة الجملة على سببيّة الأوّل للثاني على وجه الانحصار من جهة استفادته من وضع الجملة أو من إطلاق السببيّة و كونه سبباً مطلقاً في جميع الأحوال، و عليهما فلا معنى للتوقّف في نفي سببية ما عداه، و لا نعني بعموم المفهوم إلّا هذا،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هذه المناقشة لا تجري في صحيحة ابن جابر </w:t>
      </w:r>
      <w:r>
        <w:rPr>
          <w:rStyle w:val="FootnoteAnchor"/>
          <w:rtl w:val="true"/>
        </w:rPr>
        <w:footnoteReference w:id="616"/>
      </w:r>
      <w:r>
        <w:rPr>
          <w:rFonts w:ascii="IRNazanin" w:hAnsi="IRNazanin" w:eastAsia="IRNazanin"/>
          <w:color w:val="111111"/>
          <w:sz w:val="28"/>
          <w:sz w:val="28"/>
          <w:szCs w:val="28"/>
          <w:rtl w:val="true"/>
          <w:lang w:bidi="fa-IR"/>
        </w:rPr>
        <w:t>الذي حدّد الإمام علیه السلام الكُرّ فيها و جعل ميزانه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المفهوم انتفاء حكم المنطوق، و لمّا كان المنطوق عاماً فمفهومه انتفاء هذه العموم، و ليس هو الانفعال بالملاقاة في الجملة، فلا يصحّ سنداً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اُجيب بأنّ النفي و الإثبات في المفهوم و المنطوق إنّما يردان على مداليل الألفاظ مع قطع النظر عن نفسهما و إلّ دار، و العموم المرقوم لم يرد عليه الإثبات في المنطوق، و ليس فيه لفظ يقضي بالعموم لكي يرد النفي عليه، بل إنّما استفيد من مقام الخطاب، فعموم المفهوم كذلك، و كأنَّ الاشتباه نشأ من وقوع النكرة في سياق النفي، و هي تقضي بالعموم في المنطوق و سلبه في المفهوم يقضي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حقّقنا في محلّه أنَّ دلالة النكرة وضعاً في الفرض المرقوم على العموم حريٌّ بالمنع، و لو سلّم فلا يفيد؛ لأنّ دلالة الجملة على سببيّة الشرط للجزاء لازمها انتفاء الحكم من كلّ فرد من أفراد العام عند عدم الاشتراط، و مقتضاه اتّحاد المنطوق و المفهوم في العموم و الخصوص، إذ لا نعني بعموم المفهوم إلّا هذا في الجملة الشرطيّة، و تنقيحه في علم الأصول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بالتوقيت فلا تدلّ على الشرطيّة، فيكون كتعليق الحكم على الألقاب و الأسماء دون الشرط</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بالاختصاص عدم مجيئها للشرط مطلقاً و لو على وجه التضمّن، فبطلانه غير خفيّ لإطباق أهل العربية </w:t>
      </w:r>
      <w:r>
        <w:rPr>
          <w:rStyle w:val="FootnoteAnchor"/>
          <w:rtl w:val="true"/>
        </w:rPr>
        <w:footnoteReference w:id="618"/>
      </w:r>
      <w:r>
        <w:rPr>
          <w:rFonts w:ascii="Amiri" w:hAnsi="Amiri" w:eastAsia="Amiri" w:cs="Amiri"/>
          <w:color w:val="111111"/>
          <w:sz w:val="28"/>
          <w:sz w:val="28"/>
          <w:szCs w:val="28"/>
          <w:rtl w:val="true"/>
          <w:lang w:bidi="ar-SA"/>
        </w:rPr>
        <w:t>عليه، و وروده في الكتاب و السنّة،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w:t>
      </w:r>
    </w:p>
    <w:p>
      <w:pPr>
        <w:pStyle w:val="BookText"/>
        <w:rPr/>
      </w:pPr>
      <w:r>
        <w:rPr>
          <w:rFonts w:ascii="Amiri" w:hAnsi="Amiri" w:eastAsia="Amiri" w:cs="Amiri"/>
          <w:color w:val="111111"/>
          <w:sz w:val="28"/>
          <w:sz w:val="28"/>
          <w:szCs w:val="28"/>
          <w:rtl w:val="true"/>
          <w:lang w:bidi="ar-SA"/>
        </w:rPr>
        <w:t>الصَّلاَةِ فَاغْسِلُوا</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أجمعوا </w:t>
      </w:r>
      <w:r>
        <w:rPr>
          <w:rStyle w:val="FootnoteAnchor"/>
          <w:rtl w:val="true"/>
        </w:rPr>
        <w:footnoteReference w:id="620"/>
      </w:r>
      <w:r>
        <w:rPr>
          <w:rFonts w:ascii="Amiri" w:hAnsi="Amiri" w:eastAsia="Amiri" w:cs="Amiri"/>
          <w:color w:val="111111"/>
          <w:sz w:val="28"/>
          <w:sz w:val="28"/>
          <w:szCs w:val="28"/>
          <w:rtl w:val="true"/>
          <w:lang w:bidi="ar-SA"/>
        </w:rPr>
        <w:t xml:space="preserve">على تضمّنها الشرطية فيها، و مثلها كثير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أُريد عدم تضمّنها للشرط فيما نحن فيه فباطل أيضاً؛ لأنّ صريح القضيّة تعليق عدم النجس على بلوغ الكُرّ و لا نعني بالشرطيّة سوى هذا التعليق، و قياسه بالتعليق على الألقاب و الأسماء اشتباه، إذ ليس فيها هناك تعليق، و إلّا لاعتبر مفهومه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تعلّق، و بينهما فرقٌ، و لعلّ الاشتباه حصل من خيال التساوي،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منطوقاً قضى بأنّ الكُرّ لا ينجّسه شيء من الأشياء، فالمفهوم أنّ غيره ينجّسه شيء، و لعلّ المنجّس في غيره هو التغيير بالنجاسة دون غيره، نسب للقاساني </w:t>
      </w:r>
      <w:r>
        <w:rPr>
          <w:rStyle w:val="FootnoteAnchor"/>
          <w:rtl w:val="true"/>
        </w:rPr>
        <w:footnoteReference w:id="622"/>
      </w:r>
      <w:r>
        <w:rPr>
          <w:rFonts w:ascii="Amiri" w:hAnsi="Amiri" w:eastAsia="Amiri" w:cs="Amiri"/>
          <w:color w:val="111111"/>
          <w:sz w:val="28"/>
          <w:sz w:val="28"/>
          <w:szCs w:val="28"/>
          <w:rtl w:val="true"/>
          <w:lang w:bidi="ar-SA"/>
        </w:rPr>
        <w:t>، و هو غريب، و أقصى ما يتمحّل له بأنّ الكُرّ لا يتغيّر بالنجاسة غالباً؛ لكثرته، دون ما دونه، فخرجت القضية مخرج الغالب، فلا مساواة بين المنطوق و المفهوم في العموم بعد اختصاص المنجّس بما يغيّر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غلبة التغيير و عدمها فيهما طرداً و عكساً، خصوصاً على التحقيق في مقدار الكُرّ دون التسامح و التخمين، و مثله خيال </w:t>
      </w:r>
      <w:r>
        <w:rPr>
          <w:rStyle w:val="FootnoteAnchor"/>
          <w:rtl w:val="true"/>
        </w:rPr>
        <w:footnoteReference w:id="623"/>
      </w:r>
      <w:r>
        <w:rPr>
          <w:rFonts w:ascii="Amiri" w:hAnsi="Amiri" w:eastAsia="Amiri" w:cs="Amiri"/>
          <w:color w:val="111111"/>
          <w:sz w:val="28"/>
          <w:sz w:val="28"/>
          <w:szCs w:val="28"/>
          <w:rtl w:val="true"/>
          <w:lang w:bidi="ar-SA"/>
        </w:rPr>
        <w:t>أنّ المفهوم ورد مورد الغالب في الأخبار، فإنّ غالب ما تبول فيه الدوّاب و تلغ به الكلاب من الماء مياه الغدران التي تتجاوز الكرّ غالباً، فهو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تُكۡرِهُواْ فَتَيَٰتِكُمۡ عَلَی ٱلۡبِغَآءِ إِنۡ أَرَدۡنَ تَحَصُّنًا</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فإنّ سقوطه جلیّ</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مفصّل في الكُرّ، فيشمل المنطوق الكُرّ المتغيّر بعضه بنجس الذي تمّ بغيره من المياه القليلة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رُدّ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بمفهومه بعد عدم القول بالفصل، إذ مقتضاه نجاسة الملاقي ممّا دون الكرّ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المنطوق أقوى مطلقاً، أو في خصوص هذا المفهوم؛ لأنه معركة العلماء و منع بُعد المفهوم لهذا المنطوق، إذ لا تعقل المعارضة بين منطوق و مفهوم في كلام واحد، و أنّ المنطوق منصرف لغير هذا الفرد؛ لندرته، فإنّ تقييد المنطوق أولى من إلغاء المفهوم رأساً؛ لكونه أرجح، و بأنّ الترجيح في جانب المفهوم لجهة اعتضاده بالشهرة، و الكلّ مُحتمل للتأمّل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فالأنسق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المنطوق لا يشمل ذلك البعض و لا يقضي بطهارته؛ لأنّ بعض الكرّ غير الكرّ، و النقضُ بطهارة بعض أجزاء الكرّ مع ملاقاة النجاسة في حال عدم التغيّر و شمول المنطوق له، مدفوعٌ بأنّ الحكم بانفعال البعض حينئذ مستلزم لانفعال الكرّ، فلا جرم أن نقول بطهارته و عموم المنطوق له، بخلاف ما نحن فيه، فإنّ خروجه عن العموم قضى به الإجماع و الضرورة فلا محيص عن تخصيص العموم بالمتغيّر، إذ التغيّر موجب لنجاسة الماء بتّاً، فالفرض من أفراد الخارج دون الباقي، فإنّ الكُرّ الواحد ماء واحد فإذا تنجّس بعضه بالتغيير صدق عليه أنّه ماء متغيّر، فينجس البعض الآخر الذي لم يتغيّر و هو دون الكُرّ؛ لأنه ليس بكُرّ و لا ماء آخر حتى يحكم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اتّحاد المائين و خروج المتغيّر عن عموم المنطوق يوجبان النجاسة في الفرض، و لا يضرّ ذلك بشيء من العموم المستفاد منه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الخبر و ما شاكله على فرضه معارض بمنطوق عمومات الكتاب </w:t>
      </w:r>
      <w:r>
        <w:rPr>
          <w:rStyle w:val="FootnoteAnchor"/>
          <w:rtl w:val="true"/>
        </w:rPr>
        <w:footnoteReference w:id="627"/>
      </w:r>
      <w:r>
        <w:rPr>
          <w:rFonts w:ascii="Amiri" w:hAnsi="Amiri" w:eastAsia="Amiri" w:cs="Amiri"/>
          <w:color w:val="111111"/>
          <w:sz w:val="28"/>
          <w:sz w:val="28"/>
          <w:szCs w:val="28"/>
          <w:rtl w:val="true"/>
          <w:lang w:bidi="ar-SA"/>
        </w:rPr>
        <w:t xml:space="preserve">و السنّة </w:t>
      </w:r>
      <w:r>
        <w:rPr>
          <w:rStyle w:val="FootnoteAnchor"/>
          <w:rtl w:val="true"/>
        </w:rPr>
        <w:footnoteReference w:id="628"/>
      </w:r>
      <w:r>
        <w:rPr>
          <w:rFonts w:ascii="Amiri" w:hAnsi="Amiri" w:eastAsia="Amiri" w:cs="Amiri"/>
          <w:color w:val="111111"/>
          <w:sz w:val="28"/>
          <w:sz w:val="28"/>
          <w:szCs w:val="28"/>
          <w:rtl w:val="true"/>
          <w:lang w:bidi="ar-SA"/>
        </w:rPr>
        <w:t xml:space="preserve">القاضيين بطهارة الماء مطلقاً أو ما لم يتغيّر، فهي من جزئيات جواز تخصيص </w:t>
      </w:r>
    </w:p>
    <w:p>
      <w:pPr>
        <w:pStyle w:val="BookText"/>
        <w:rPr/>
      </w:pPr>
      <w:r>
        <w:rPr>
          <w:rFonts w:ascii="IRNazanin" w:hAnsi="IRNazanin" w:eastAsia="IRNazanin"/>
          <w:color w:val="111111"/>
          <w:sz w:val="28"/>
          <w:sz w:val="28"/>
          <w:szCs w:val="28"/>
          <w:rtl w:val="true"/>
          <w:lang w:bidi="fa-IR"/>
        </w:rPr>
        <w:t>المنطوق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اُجیب بتسليمه و جوازه، و هو على إطلاقه لا نرتضيه، بل المدار على الترجيحات الخفيّة الموجودة في شخص المسألة، و الظاهر ضعف العمومات القاضية بالطهارة؛ لأنّ في أكثرها شَوْب الإهمال و عدم الإطلاق الصالح للاستناد، و الباقي مفاده مفاد أصالة الطهارة التي لا يعارضها مسمّى الدليل و لو كان مفهوماً؛ لحكومته عليها، مضافاً إلى تأييد المفهوم بأخبار </w:t>
      </w:r>
      <w:r>
        <w:rPr>
          <w:rStyle w:val="FootnoteAnchor"/>
          <w:rtl w:val="true"/>
        </w:rPr>
        <w:footnoteReference w:id="629"/>
      </w:r>
      <w:r>
        <w:rPr>
          <w:rFonts w:ascii="Amiri" w:hAnsi="Amiri" w:eastAsia="Amiri" w:cs="Amiri"/>
          <w:color w:val="111111"/>
          <w:sz w:val="28"/>
          <w:sz w:val="28"/>
          <w:szCs w:val="28"/>
          <w:rtl w:val="true"/>
          <w:lang w:bidi="ar-SA"/>
        </w:rPr>
        <w:t>خاصّة واردة في خصوص بعض النجاسات، فإنّ المعاضدة تحصل بها جزماً، و عسى أن تسمع بعض ما يمكن استفادة العموم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المراد من النجس و الخَبَث الواردين في الأخبار </w:t>
      </w:r>
      <w:r>
        <w:rPr>
          <w:rStyle w:val="FootnoteAnchor"/>
          <w:rtl w:val="true"/>
        </w:rPr>
        <w:footnoteReference w:id="630"/>
      </w:r>
      <w:r>
        <w:rPr>
          <w:rFonts w:ascii="Amiri" w:hAnsi="Amiri" w:eastAsia="Amiri" w:cs="Amiri"/>
          <w:color w:val="111111"/>
          <w:sz w:val="28"/>
          <w:sz w:val="28"/>
          <w:szCs w:val="28"/>
          <w:rtl w:val="true"/>
          <w:lang w:bidi="ar-SA"/>
        </w:rPr>
        <w:t>ما هو المتبادر منها في لسان المتشرِّعة و الفقهاء، فيُحملان على لغويّ المعنى؛ لعدم ثبوت الحقيقة الشرعية أو مطلق الاستقذار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منعٌ ظاهر؛ إذ إنكار الحقيقة الشرعيّة فيهما مكابرة، و لو سلّم فمنع كونهما حقيقتين في المعنى العرفي في زمن الأئمة علیهم السلام لا يقبل، على أنّ مساق الخبر و نظيره إفادة الحكم الشرعي و الحمل على معناها اللغوي يأبى ذلك، أو يحمل النّهي على الكراهة في الحكم الوضعي، إذ لم يكن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ينجّسه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يحمل عليها، و هو مشكل في مثله، و أيضاً لا اختصاص للحكم بالكُرّ و في الأخبار إناطة الحكم به، إلّا أن يكون من باب المثال و أنّ المراد بالماء الكثير زاد أو نقص عنه ما لم يخرج عن الكثرة، و هو تأويل من غير حاجة، و أيضاً فدلالة بعض الأخبار </w:t>
      </w:r>
      <w:r>
        <w:rPr>
          <w:rStyle w:val="FootnoteAnchor"/>
          <w:rtl w:val="true"/>
        </w:rPr>
        <w:footnoteReference w:id="631"/>
      </w:r>
      <w:r>
        <w:rPr>
          <w:rFonts w:ascii="Amiri" w:hAnsi="Amiri" w:eastAsia="Amiri" w:cs="Amiri"/>
          <w:color w:val="111111"/>
          <w:sz w:val="28"/>
          <w:sz w:val="28"/>
          <w:szCs w:val="28"/>
          <w:rtl w:val="true"/>
          <w:lang w:bidi="ar-SA"/>
        </w:rPr>
        <w:t>على تحريم الاستعمال في بعض المياه لا يكاد يُنكَر، فحمل الباقي على الكراهة مشكل؛ لتعاضد بعضها ببعض و عدم المفصل، و متى تحقّق انتفاء الكراهة تعيّن المعنى العرفي في النجس و الخَبَث و القذر، و إلَّا كان لغواً، و جلالة قدرهم تأباه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على الله أتّكل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ما يناقش في الخبر هو حيثيّة عموم مفهومه، فلو حكمنا </w:t>
      </w:r>
    </w:p>
    <w:p>
      <w:pPr>
        <w:pStyle w:val="BookText"/>
        <w:rPr/>
      </w:pPr>
      <w:r>
        <w:rPr>
          <w:rFonts w:ascii="Amiri" w:hAnsi="Amiri" w:eastAsia="Amiri" w:cs="Amiri"/>
          <w:color w:val="111111"/>
          <w:sz w:val="28"/>
          <w:sz w:val="28"/>
          <w:szCs w:val="28"/>
          <w:rtl w:val="true"/>
          <w:lang w:bidi="ar-SA"/>
        </w:rPr>
        <w:t xml:space="preserve">به تمّ الأصل المزبور و كفى به دليلاً عليه، و أقصى ما يرد عليه هو أنّ المفهوم نقيض المنطوق، فيدور المفهوم بين سلب العموم أو عموم السلب؛ لاحتمالها في الكلام و لا مرجّح لأحدهما سواء كان العموم في المنطوق مستفاداً من اشتماله على بعض ألفاظ العموم أو من مقام الخطاب، و قد حكم الشيخ رحمه الله </w:t>
      </w:r>
      <w:r>
        <w:rPr>
          <w:rStyle w:val="FootnoteAnchor"/>
          <w:rtl w:val="true"/>
        </w:rPr>
        <w:footnoteReference w:id="632"/>
      </w:r>
      <w:r>
        <w:rPr>
          <w:rFonts w:ascii="IRNazanin" w:hAnsi="IRNazanin" w:eastAsia="IRNazanin"/>
          <w:color w:val="111111"/>
          <w:sz w:val="28"/>
          <w:sz w:val="28"/>
          <w:szCs w:val="28"/>
          <w:rtl w:val="true"/>
          <w:lang w:bidi="fa-IR"/>
        </w:rPr>
        <w:t>بسلب العموم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يؤكل لحمه يتوضّأ منه و يشرب</w:t>
      </w:r>
      <w:r>
        <w:rPr>
          <w:rFonts w:eastAsia="IRNazanin" w:cs="IRNazanin"/>
          <w:color w:val="111111"/>
          <w:sz w:val="28"/>
          <w:szCs w:val="28"/>
          <w:rtl w:val="true"/>
          <w:lang w:bidi="fa-IR"/>
        </w:rPr>
        <w:t xml:space="preserve">» </w:t>
      </w:r>
      <w:r>
        <w:rPr>
          <w:rStyle w:val="FootnoteAnchor"/>
          <w:rtl w:val="true"/>
        </w:rPr>
        <w:footnoteReference w:id="633"/>
      </w:r>
      <w:r>
        <w:rPr>
          <w:rFonts w:ascii="Amiri" w:hAnsi="Amiri" w:eastAsia="Amiri" w:cs="Amiri"/>
          <w:color w:val="111111"/>
          <w:sz w:val="28"/>
          <w:sz w:val="28"/>
          <w:szCs w:val="28"/>
          <w:rtl w:val="true"/>
          <w:lang w:bidi="ar-SA"/>
        </w:rPr>
        <w:t>، و بنى في رفع الكلّيّة بالسلب الجزئي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الفاضل </w:t>
      </w:r>
      <w:r>
        <w:rPr>
          <w:rStyle w:val="FootnoteAnchor"/>
          <w:rtl w:val="true"/>
        </w:rPr>
        <w:footnoteReference w:id="634"/>
      </w:r>
      <w:r>
        <w:rPr>
          <w:rFonts w:ascii="Amiri" w:hAnsi="Amiri" w:eastAsia="Amiri" w:cs="Amiri"/>
          <w:color w:val="111111"/>
          <w:sz w:val="28"/>
          <w:sz w:val="28"/>
          <w:szCs w:val="28"/>
          <w:rtl w:val="true"/>
          <w:lang w:bidi="ar-SA"/>
        </w:rPr>
        <w:t>جعل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غنم سائمة فيها زكاة؛ أنَّه لا ينافيه وجوب الزكاة في بعض المعلوفة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هو نفي ما ثبت في المنطوق، فكلّ خصوصيّة أو قيد في المنطوق يلزم نفيه في المفهوم جزماً، و منها العموم، فنقول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العموم فيه إن استفدناه من مقام الخطاب كان المفهوم عاماً و يُراد به عموم السلب، و مثله الإطلاق، و إن فهمناه ممّا اشتملت عليه الجملة من ألفاظ العموم الواقعة في الشرط أو الجزاء فلا يخلو الأمر؛ فإن كان المتكلّم إنّما جاء بها آلةً مرآةً للتعبير عمّا في نفسه كان العموم مرآتياً فلا بدّ من استغراق الأفراد في منطوقه و مفهومه، و إن أُخذت تلك الألفاظ موضوعاً احتمل الأمران في المفهوم من سلب العموم أو عموم السلب؛ لجواز أن يريد المتكلّم الاستغراق، أو البعض و أتى بلفظ العام؛ لصدق القضيّة، و لا فرق في ذلك بين الألفاظ المفيدة للعموم الاستغراقي أو المجموعي، بدليّاً كان العموم أو غيره، وقع لفظه في الشرط أو الجزاء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فالظاهر من الخطاب العرفي في مقام التجرّد أنّ كلّ واحدٍ من الأفراد هو المناط لإثبات الحكم و نفيه لا بوصف العموم، فيكون مورد الحكم هو الأفراد حال الاجتماع لا بقيد الاجتماع، فالعام آلة و مرآة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یرشد إلى ما قلنا إنّ مداليل ألفاظ العموم و إن استفيد من الهيئة التركيبية أو كان بعض ألفاظه أسماء مداليل عرفيّة قائمة بغيرها، فهي إلى كونها آلة أقرب للاعتبار، و لا ينافيه أصالة الموضوعيّة في قيود الجملة، و لا مقالة المنطقیّين إنّ نقيض الموجبة الكلّية سالبة جزئيّة و العكس </w:t>
      </w:r>
      <w:r>
        <w:rPr>
          <w:rStyle w:val="FootnoteAnchor"/>
          <w:rtl w:val="true"/>
        </w:rPr>
        <w:footnoteReference w:id="635"/>
      </w:r>
      <w:r>
        <w:rPr>
          <w:rFonts w:ascii="Amiri" w:hAnsi="Amiri" w:eastAsia="Amiri" w:cs="Amiri"/>
          <w:color w:val="111111"/>
          <w:sz w:val="28"/>
          <w:sz w:val="28"/>
          <w:szCs w:val="28"/>
          <w:rtl w:val="true"/>
          <w:lang w:bidi="ar-SA"/>
        </w:rPr>
        <w:t>، فإنّه ليس المقصود من قولهم حصر النتيجة بالأمرين، بل مرامهم ذكر المتيقّن من القضيّة، و تفصيل الحال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636"/>
      </w:r>
      <w:r>
        <w:rPr>
          <w:rFonts w:ascii="Amiri" w:hAnsi="Amiri" w:eastAsia="Amiri" w:cs="Amiri"/>
          <w:color w:val="111111"/>
          <w:sz w:val="28"/>
          <w:sz w:val="28"/>
          <w:szCs w:val="28"/>
          <w:rtl w:val="true"/>
          <w:lang w:bidi="ar-SA"/>
        </w:rPr>
        <w:t>هنا و في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قد تكون لبيان حكم المنطوق، و هو عدول عن اعتبار المفهوم الذي هو محطّ النظر، و وقوع التشكيك من الحكيم في الجواب التعرّض لتفصيل الحكم على أيّ صورة، و إلّا كان ناقصاً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استفادة الحكم للمخاطب السائل لم يكن حاصلاً، فانكشف القناع و بانَ أنّ الحق عموم مفهوم الخبر، فسقط قول ابن أبي عقيل </w:t>
      </w:r>
      <w:r>
        <w:rPr>
          <w:rStyle w:val="FootnoteAnchor"/>
          <w:rtl w:val="true"/>
        </w:rPr>
        <w:footnoteReference w:id="638"/>
      </w:r>
      <w:r>
        <w:rPr>
          <w:rFonts w:ascii="Amiri" w:hAnsi="Amiri" w:eastAsia="Amiri" w:cs="Amiri"/>
          <w:color w:val="111111"/>
          <w:sz w:val="28"/>
          <w:sz w:val="28"/>
          <w:szCs w:val="28"/>
          <w:rtl w:val="true"/>
          <w:lang w:bidi="ar-SA"/>
        </w:rPr>
        <w:t xml:space="preserve">، و اتّضحت أصالة النجاسة بملاقاة القليل، و بعده يطالب العماني بتنوير دعواه؛ لمخالفة قوله للأصل، اعتمد رحمه لله على الخبر المتواتر </w:t>
      </w:r>
      <w:r>
        <w:rPr>
          <w:rStyle w:val="FootnoteAnchor"/>
          <w:rtl w:val="true"/>
        </w:rPr>
        <w:footnoteReference w:id="639"/>
      </w:r>
      <w:r>
        <w:rPr>
          <w:rFonts w:ascii="IRNazanin" w:hAnsi="IRNazanin" w:eastAsia="IRNazanin"/>
          <w:color w:val="111111"/>
          <w:sz w:val="28"/>
          <w:sz w:val="28"/>
          <w:szCs w:val="28"/>
          <w:rtl w:val="true"/>
          <w:lang w:bidi="fa-IR"/>
        </w:rPr>
        <w:t>في طهارة الماء عدا ما غيّر الثلاثة من أوصافه، و على قول الصادق علیه السلام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الماء غالباً على النجاسة فيتوضّأ منه و اغتسل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أمره علیه السلام </w:t>
      </w:r>
      <w:r>
        <w:rPr>
          <w:rStyle w:val="FootnoteAnchor"/>
          <w:rtl w:val="true"/>
        </w:rPr>
        <w:footnoteReference w:id="641"/>
      </w:r>
      <w:r>
        <w:rPr>
          <w:rFonts w:ascii="Amiri" w:hAnsi="Amiri" w:eastAsia="Amiri" w:cs="Amiri"/>
          <w:color w:val="111111"/>
          <w:sz w:val="28"/>
          <w:sz w:val="28"/>
          <w:szCs w:val="28"/>
          <w:rtl w:val="true"/>
          <w:lang w:bidi="ar-SA"/>
        </w:rPr>
        <w:t xml:space="preserve">في آخر بالتوضّي و الشرب من بئر خرج منها بالاستسقاء فأر مرّتين أمرَ فيها بالإراقة و الثالثة الخالية بالاستعمال، و كذا حديثا الجرّة </w:t>
      </w:r>
      <w:r>
        <w:rPr>
          <w:rStyle w:val="FootnoteAnchor"/>
          <w:rtl w:val="true"/>
        </w:rPr>
        <w:footnoteReference w:id="642"/>
      </w:r>
      <w:r>
        <w:rPr>
          <w:rFonts w:ascii="IRNazanin" w:hAnsi="IRNazanin" w:eastAsia="IRNazanin"/>
          <w:color w:val="111111"/>
          <w:sz w:val="28"/>
          <w:sz w:val="28"/>
          <w:szCs w:val="28"/>
          <w:rtl w:val="true"/>
          <w:lang w:bidi="fa-IR"/>
        </w:rPr>
        <w:t xml:space="preserve">و أشباهها </w:t>
      </w:r>
      <w:r>
        <w:rPr>
          <w:rStyle w:val="FootnoteAnchor"/>
          <w:rtl w:val="true"/>
        </w:rPr>
        <w:footnoteReference w:id="643"/>
      </w:r>
      <w:r>
        <w:rPr>
          <w:rFonts w:ascii="IRNazanin" w:hAnsi="IRNazanin" w:eastAsia="IRNazanin"/>
          <w:color w:val="111111"/>
          <w:sz w:val="28"/>
          <w:sz w:val="28"/>
          <w:szCs w:val="28"/>
          <w:rtl w:val="true"/>
          <w:lang w:bidi="fa-IR"/>
        </w:rPr>
        <w:t xml:space="preserve">عن الباقر علیه السلام، </w:t>
      </w:r>
    </w:p>
    <w:p>
      <w:pPr>
        <w:pStyle w:val="BookText"/>
        <w:rPr/>
      </w:pPr>
      <w:r>
        <w:rPr>
          <w:rFonts w:ascii="IRNazanin" w:hAnsi="IRNazanin" w:eastAsia="IRNazanin"/>
          <w:color w:val="111111"/>
          <w:sz w:val="28"/>
          <w:sz w:val="28"/>
          <w:szCs w:val="28"/>
          <w:rtl w:val="true"/>
          <w:lang w:bidi="fa-IR"/>
        </w:rPr>
        <w:t>و خبر الرجل بالمدينة مع أبي جعفر محمّد بن عليّ علیهم السلام 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لا يصيب شيئاً إلّا طهّره</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رواية أبي مريم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أبي عبد الله علیه السلام فحضرت الصلاة، فنزح دلواً للوضوء من ركي له، فخرج عليه قطعة عذرة يابسة، فأكفأ رأسه و توضّأ بالباقي</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زرارة؛ إذ نفى البأس فيها عن الماء المخرج بحبل من شعر خنزير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روايته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الدلو إذا كان من جلد 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أبي بصير في الحيّة </w:t>
      </w:r>
      <w:r>
        <w:rPr>
          <w:rStyle w:val="FootnoteAnchor"/>
          <w:rtl w:val="true"/>
        </w:rPr>
        <w:footnoteReference w:id="648"/>
      </w:r>
      <w:r>
        <w:rPr>
          <w:rFonts w:ascii="Amiri" w:hAnsi="Amiri" w:eastAsia="Amiri" w:cs="Amiri"/>
          <w:color w:val="111111"/>
          <w:sz w:val="28"/>
          <w:sz w:val="28"/>
          <w:szCs w:val="28"/>
          <w:rtl w:val="true"/>
          <w:lang w:bidi="ar-SA"/>
        </w:rPr>
        <w:t xml:space="preserve">، و مرسلة الوشّاء في كراهة سؤر ولد الزّنا و اليهودي </w:t>
      </w:r>
      <w:r>
        <w:rPr>
          <w:rStyle w:val="FootnoteAnchor"/>
          <w:rtl w:val="true"/>
        </w:rPr>
        <w:footnoteReference w:id="649"/>
      </w:r>
      <w:r>
        <w:rPr>
          <w:rFonts w:ascii="Amiri" w:hAnsi="Amiri" w:eastAsia="Amiri" w:cs="Amiri"/>
          <w:color w:val="111111"/>
          <w:sz w:val="28"/>
          <w:sz w:val="28"/>
          <w:szCs w:val="28"/>
          <w:rtl w:val="true"/>
          <w:lang w:bidi="ar-SA"/>
        </w:rPr>
        <w:t xml:space="preserve">، و رواية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في الجُنُب </w:t>
      </w:r>
      <w:r>
        <w:rPr>
          <w:rStyle w:val="FootnoteAnchor"/>
          <w:rtl w:val="true"/>
        </w:rPr>
        <w:footnoteReference w:id="651"/>
      </w:r>
      <w:r>
        <w:rPr>
          <w:rFonts w:ascii="Amiri" w:hAnsi="Amiri" w:eastAsia="Amiri" w:cs="Amiri"/>
          <w:color w:val="111111"/>
          <w:sz w:val="28"/>
          <w:sz w:val="28"/>
          <w:szCs w:val="28"/>
          <w:rtl w:val="true"/>
          <w:lang w:bidi="ar-SA"/>
        </w:rPr>
        <w:t xml:space="preserve">، و رواية بكار بن أبي بكر المرسلة الضعيفة في الرجل يضع الكوز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52"/>
      </w:r>
      <w:r>
        <w:rPr>
          <w:rFonts w:ascii="Amiri" w:hAnsi="Amiri" w:eastAsia="Amiri" w:cs="Amiri"/>
          <w:color w:val="111111"/>
          <w:sz w:val="28"/>
          <w:sz w:val="28"/>
          <w:szCs w:val="28"/>
          <w:rtl w:val="true"/>
          <w:lang w:bidi="ar-SA"/>
        </w:rPr>
        <w:t xml:space="preserve">، و رواية عمر بن يزيد في المغتسل الذي يبال فيه </w:t>
      </w:r>
      <w:r>
        <w:rPr>
          <w:rStyle w:val="FootnoteAnchor"/>
          <w:rtl w:val="true"/>
        </w:rPr>
        <w:footnoteReference w:id="653"/>
      </w:r>
      <w:r>
        <w:rPr>
          <w:rFonts w:ascii="IRNazanin" w:hAnsi="IRNazanin" w:eastAsia="IRNazanin"/>
          <w:color w:val="111111"/>
          <w:sz w:val="28"/>
          <w:sz w:val="28"/>
          <w:szCs w:val="28"/>
          <w:rtl w:val="true"/>
          <w:lang w:bidi="fa-IR"/>
        </w:rPr>
        <w:t>، و رواية زرارة عن الباقر علیه السلام في راوية سقطت بها 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العمومات و الإطلاقات منطوقاً أو مفهوماً كبعض ما مرّ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عنه أنّ القول بنجاسة الماء ليس بأولى من القول بطهارة النجاسة بملاقاتها الماء الطاهر مع أنّ الله تعالى جعل الماء مزيلاً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الماء مزيلاً للنجاسة، فجوابه إنّما يزيل النجاسة إذا ورد عليها ثم ينجس بعد انفصاله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عنه فيه أيضاً أنَّه قال في بعض ما مرّ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الأحاديث عامّة في القليل و الكثير، و الأخبار الدالّة على الكثير مقيّدة، و لا يجوز أن يكونا في وقت واحد؛ للتنافي بينهما، بل أحدهما سابق فالمتأخّر ناسخ، و المتأخّر منها مجهول فلا يجوز العمل بأحد الخبرين دون الآخر، و يبقى التعويل على الكتاب الدالّ على طهارة الماء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عن الأحاديث بعد سلامة سندها أنّها مطلقة، و ما ذكرناه مقيّدة، و المطلق يحمل على المقيّد؛ جمعاً بين الأدلّة، و لا منافاة بينها، و ليس بواجب تأخّر المقيّد عن المطلق، و لو تأخّر لم يكن ناسخاً لحكم المطلق، و قد قرّرنا هذه القواعد في الأُصول </w:t>
      </w:r>
      <w:r>
        <w:rPr>
          <w:rStyle w:val="FootnoteAnchor"/>
          <w:rtl w:val="true"/>
        </w:rPr>
        <w:footnoteReference w:id="6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أنّه ليس في الأخبار ما يثبت دعواه؛ فإنّ الأوّلين من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ثبوتهما في المعتبر من كتب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مطلقان بإقراره، فيقيّدان بما قضى باعتبار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النسخ الذي زعمه في الأخبار الإماميّة ساقط من أصله و لو مع العلم بتأخّر أحد المتعارضين عن زمن الحاجة بالآخر، و هو من المسلّم </w:t>
      </w:r>
      <w:r>
        <w:rPr>
          <w:rStyle w:val="FootnoteAnchor"/>
          <w:rtl w:val="true"/>
        </w:rPr>
        <w:footnoteReference w:id="656"/>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الأخبار على عكس مطلوبه أدلّ؛ لأمره بإراقة الدّلو، و حمله على الاستحباب للنظافة العرفيّة ليس بأولى من القول بطهارة البئر، لكونها كرّاً أو لها مادّة، مع أنّها قضيّة في واقعة فلا إطلاق فيها، فيبقى ظهور الصّب في المدّعى سليماً عن المعارض، و أيضاً فلا تدلّ </w:t>
      </w:r>
    </w:p>
    <w:p>
      <w:pPr>
        <w:pStyle w:val="BookText"/>
        <w:rPr/>
      </w:pPr>
      <w:r>
        <w:rPr>
          <w:rFonts w:ascii="Amiri" w:hAnsi="Amiri" w:eastAsia="Amiri" w:cs="Amiri"/>
          <w:color w:val="111111"/>
          <w:sz w:val="28"/>
          <w:sz w:val="28"/>
          <w:szCs w:val="28"/>
          <w:rtl w:val="true"/>
          <w:lang w:bidi="ar-SA"/>
        </w:rPr>
        <w:t>إلّا على عدم تنجيس البئر بالملاقاة و تطهيرها للدلو النجس، و لعلّه من أحكامها، و أيضاً ربّما كانت الفئران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المعتبر </w:t>
      </w:r>
      <w:r>
        <w:rPr>
          <w:rStyle w:val="FootnoteAnchor"/>
          <w:rtl w:val="true"/>
        </w:rPr>
        <w:footnoteReference w:id="657"/>
      </w:r>
      <w:r>
        <w:rPr>
          <w:rFonts w:ascii="Amiri" w:hAnsi="Amiri" w:eastAsia="Amiri" w:cs="Amiri"/>
          <w:color w:val="111111"/>
          <w:sz w:val="28"/>
          <w:sz w:val="28"/>
          <w:szCs w:val="28"/>
          <w:rtl w:val="true"/>
          <w:lang w:bidi="ar-SA"/>
        </w:rPr>
        <w:t xml:space="preserve">و التهذيب </w:t>
      </w:r>
      <w:r>
        <w:rPr>
          <w:rStyle w:val="FootnoteAnchor"/>
          <w:rtl w:val="true"/>
        </w:rPr>
        <w:footnoteReference w:id="658"/>
      </w:r>
      <w:r>
        <w:rPr>
          <w:rFonts w:ascii="Amiri" w:hAnsi="Amiri" w:eastAsia="Amiri" w:cs="Amiri"/>
          <w:color w:val="111111"/>
          <w:sz w:val="28"/>
          <w:sz w:val="28"/>
          <w:szCs w:val="28"/>
          <w:rtl w:val="true"/>
          <w:lang w:bidi="ar-SA"/>
        </w:rPr>
        <w:t xml:space="preserve">أنّ البئر يحمل على الغدير و في المصريّات </w:t>
      </w:r>
      <w:r>
        <w:rPr>
          <w:rStyle w:val="FootnoteAnchor"/>
          <w:rtl w:val="true"/>
        </w:rPr>
        <w:footnoteReference w:id="659"/>
      </w:r>
      <w:r>
        <w:rPr>
          <w:rFonts w:ascii="IRNazanin" w:hAnsi="IRNazanin" w:eastAsia="IRNazanin"/>
          <w:color w:val="111111"/>
          <w:sz w:val="28"/>
          <w:sz w:val="28"/>
          <w:szCs w:val="28"/>
          <w:rtl w:val="true"/>
          <w:lang w:bidi="fa-IR"/>
        </w:rPr>
        <w:t xml:space="preserve">والمعتبر و المنتهى </w:t>
      </w:r>
      <w:r>
        <w:rPr>
          <w:rStyle w:val="FootnoteAnchor"/>
          <w:rtl w:val="true"/>
        </w:rPr>
        <w:footnoteReference w:id="660"/>
      </w:r>
      <w:r>
        <w:rPr>
          <w:rFonts w:ascii="Amiri" w:hAnsi="Amiri" w:eastAsia="Amiri" w:cs="Amiri"/>
          <w:color w:val="111111"/>
          <w:sz w:val="28"/>
          <w:sz w:val="28"/>
          <w:szCs w:val="28"/>
          <w:rtl w:val="true"/>
          <w:lang w:bidi="ar-SA"/>
        </w:rPr>
        <w:t xml:space="preserve">أنّها ضعيفة؛ لضعف علي بن حديد </w:t>
      </w:r>
      <w:r>
        <w:rPr>
          <w:rStyle w:val="FootnoteAnchor"/>
          <w:rtl w:val="true"/>
        </w:rPr>
        <w:footnoteReference w:id="661"/>
      </w:r>
      <w:r>
        <w:rPr>
          <w:rFonts w:ascii="Amiri" w:hAnsi="Amiri" w:eastAsia="Amiri" w:cs="Amiri"/>
          <w:color w:val="111111"/>
          <w:sz w:val="28"/>
          <w:sz w:val="28"/>
          <w:szCs w:val="28"/>
          <w:rtl w:val="true"/>
          <w:lang w:bidi="ar-SA"/>
        </w:rPr>
        <w:t xml:space="preserve">، و الرواية مرسلة، أو يجب للفأرة دلو واحد كما إذا لم تتفسّخ كما ذهب إليه الصدوقان </w:t>
      </w:r>
      <w:r>
        <w:rPr>
          <w:rStyle w:val="FootnoteAnchor"/>
          <w:rtl w:val="true"/>
        </w:rPr>
        <w:footnoteReference w:id="662"/>
      </w:r>
      <w:r>
        <w:rPr>
          <w:rFonts w:ascii="Amiri" w:hAnsi="Amiri" w:eastAsia="Amiri" w:cs="Amiri"/>
          <w:color w:val="111111"/>
          <w:sz w:val="28"/>
          <w:sz w:val="28"/>
          <w:szCs w:val="28"/>
          <w:rtl w:val="true"/>
          <w:lang w:bidi="ar-SA"/>
        </w:rPr>
        <w:t>، على أنها ما زاد على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صبّه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يقضي بجواز استعماله، لكن في المعتبر و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فتوضّأ و 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فتوضّأ منه و اغتسل</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الجرة، و القربة و روايتها، و الراوية و الحِبّ، فطعن فيهما سنداً بعليّ بن حديد و إرساله، أو أنّ الجرّة و القِربَة تحمل على ما يسع كرّاً أو أزيد، و الثانية مع ما فيها من التهافت لظهور الصدر في عدم الانفعال و الذيل به بناءً على مفهوم الشرط و أنّ المراد بالأكثر الكرّ، أنّ التفصيل بين التفسّخ و عدمه مخالف للإجماع </w:t>
      </w:r>
      <w:r>
        <w:rPr>
          <w:rStyle w:val="FootnoteAnchor"/>
          <w:rtl w:val="true"/>
        </w:rPr>
        <w:footnoteReference w:id="664"/>
      </w:r>
      <w:r>
        <w:rPr>
          <w:rFonts w:ascii="IRNazanin" w:hAnsi="IRNazanin" w:eastAsia="IRNazanin"/>
          <w:color w:val="111111"/>
          <w:sz w:val="28"/>
          <w:sz w:val="28"/>
          <w:szCs w:val="28"/>
          <w:rtl w:val="true"/>
          <w:lang w:bidi="fa-IR"/>
        </w:rPr>
        <w:t>، و حمله على التغيير و إن لم يظهر للحسّ للامتزاج و عدم التمييز يأباه قوله علیه السلام في ذيله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يجيء له ريح يغلب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مريداً به التغيير لأنّ حقّ المقابلة بينه و بين التفسّخ أن يكون المراد به ما لا يوجب قطعاً، و يمكن أن يكون الحكم بالتجنّب؛ لأنّ الأواني المرقومة لا تسع غالباً أزيد من الكُرّ إلّا قليلاً فإذا اغترف منها بعد التفسّخ نقصت عن الكرّ فتنجّس بخلافه قبله فتلقى الميتة و يغترف من الماء، أو أنّ </w:t>
      </w:r>
    </w:p>
    <w:p>
      <w:pPr>
        <w:pStyle w:val="BookText"/>
        <w:rPr/>
      </w:pPr>
      <w:r>
        <w:rPr>
          <w:rFonts w:ascii="IRNazanin" w:hAnsi="IRNazanin" w:eastAsia="IRNazanin"/>
          <w:color w:val="111111"/>
          <w:sz w:val="28"/>
          <w:sz w:val="28"/>
          <w:szCs w:val="28"/>
          <w:rtl w:val="true"/>
          <w:lang w:bidi="fa-IR"/>
        </w:rPr>
        <w:t>الأمر به للتنزّه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الذيل فيحتمل أنه كلامٌ آخر لا ارتباط له بما قبله و لا قاله الإمام علیه السلام عند السؤال بل في وقت آخر، فجمع الراوي بين الكلامين، أو أنّه كلام واحد لكن عند التفسّخ في الأكثر من الراوية لا ينجس بالاغتراف لبقاء مقدار الراوية الذي هو الكُرّ فلا ينجس الباقي بخلاف الراوية فإنّ الاغتراف منها بعد التفسّخ ينقص معه الماء عن الكرّ فينجس لملاقاة القليل الباقي للنجاسة فهي حينئذ من أدلّة انفعال القليل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رحمه الله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القول في الجرّة و حبّ الماء و القربة، و ليس لأحدٍ أن يقول إنّ الجرّة و الحب و القربة لا يسع شيء من ذلك كرّاً من الماء؛ لأنه ليس في الخبر أنّ جرّة واحدة ذلك حكمها بل ذكرها بالألف و اللّام و ذلك يدلّ على العموم عند كثير من أهل اللّغة </w:t>
      </w:r>
      <w:r>
        <w:rPr>
          <w:rStyle w:val="FootnoteAnchor"/>
          <w:rtl w:val="true"/>
        </w:rPr>
        <w:footnoteReference w:id="6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أراد بالعموم هنا انتفاء الوحدة التي تفهم من التنكير، فإنّه لو قيل جرّة أو قربة لاستفيد منه الوحدة، فلمّا جيء باللّام أفادت الجنسيّة الشاملة لجرار و قِرَب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يملأ جرّتين أو أزيد، أي ما يكون كرّاً، لكنّه تعسّف بيّن لا ينفع فيه حمل اللّام على الجنس؛ لأنّ إطلاقه يدلّ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الرّجل، فالمشار إليه غير معلوم القلّة، أجاب الأستاذ رحمه الله </w:t>
      </w:r>
      <w:r>
        <w:rPr>
          <w:rStyle w:val="FootnoteAnchor"/>
          <w:rtl w:val="true"/>
        </w:rPr>
        <w:footnoteReference w:id="667"/>
      </w:r>
      <w:r>
        <w:rPr>
          <w:rFonts w:ascii="Amiri" w:hAnsi="Amiri" w:eastAsia="Amiri" w:cs="Amiri"/>
          <w:color w:val="111111"/>
          <w:sz w:val="28"/>
          <w:sz w:val="28"/>
          <w:szCs w:val="28"/>
          <w:rtl w:val="true"/>
          <w:lang w:bidi="ar-SA"/>
        </w:rPr>
        <w:t xml:space="preserve">بالمعارضة بمرسلة علي بن حديد </w:t>
      </w:r>
      <w:r>
        <w:rPr>
          <w:rStyle w:val="FootnoteAnchor"/>
          <w:rtl w:val="true"/>
        </w:rPr>
        <w:footnoteReference w:id="668"/>
      </w:r>
      <w:r>
        <w:rPr>
          <w:rFonts w:ascii="Amiri" w:hAnsi="Amiri" w:eastAsia="Amiri" w:cs="Amiri"/>
          <w:color w:val="111111"/>
          <w:sz w:val="28"/>
          <w:sz w:val="28"/>
          <w:szCs w:val="28"/>
          <w:rtl w:val="true"/>
          <w:lang w:bidi="ar-SA"/>
        </w:rPr>
        <w:t>القاضية بصبّ الدلو الذي فيه الفأرة، و هو حسن لولا أنّ ظهور الاستعمال في الجواز أجلى من حمل الصّب على التحريم، فعساه للاستقدار فلا معارضة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الوسائل حمله الشيخ على عذرة ما يؤكل لحمه،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على التقيّة </w:t>
      </w:r>
      <w:r>
        <w:rPr>
          <w:rStyle w:val="FootnoteAnchor"/>
          <w:rtl w:val="true"/>
        </w:rPr>
        <w:footnoteReference w:id="669"/>
      </w:r>
      <w:r>
        <w:rPr>
          <w:rFonts w:ascii="Amiri" w:hAnsi="Amiri" w:eastAsia="Amiri" w:cs="Amiri"/>
          <w:color w:val="111111"/>
          <w:sz w:val="28"/>
          <w:sz w:val="28"/>
          <w:szCs w:val="28"/>
          <w:rtl w:val="true"/>
          <w:lang w:bidi="ar-SA"/>
        </w:rPr>
        <w:t>، و على أنّ المراد بالباقي ما بقي في البئر، أو أن الدلو يسع الكرّ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الإكفاء قرينته، إذ لو لم يكفّ لنقص بالاغتراف عن الكرّ، لكن حملها على قول الشيخ أولى؛ للجمع بين الأخبار القاضية بالمنع، و قضيّة الجمع بين النصّ و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روايتا زرارة </w:t>
      </w:r>
      <w:r>
        <w:rPr>
          <w:rStyle w:val="FootnoteAnchor"/>
          <w:rtl w:val="true"/>
        </w:rPr>
        <w:footnoteReference w:id="670"/>
      </w:r>
      <w:r>
        <w:rPr>
          <w:rFonts w:ascii="Amiri" w:hAnsi="Amiri" w:eastAsia="Amiri" w:cs="Amiri"/>
          <w:color w:val="111111"/>
          <w:sz w:val="28"/>
          <w:sz w:val="28"/>
          <w:szCs w:val="28"/>
          <w:rtl w:val="true"/>
          <w:lang w:bidi="ar-SA"/>
        </w:rPr>
        <w:t xml:space="preserve">و غيرهما </w:t>
      </w:r>
      <w:r>
        <w:rPr>
          <w:rStyle w:val="FootnoteAnchor"/>
          <w:rtl w:val="true"/>
        </w:rPr>
        <w:footnoteReference w:id="671"/>
      </w:r>
      <w:r>
        <w:rPr>
          <w:rFonts w:ascii="Amiri" w:hAnsi="Amiri" w:eastAsia="Amiri" w:cs="Amiri"/>
          <w:color w:val="111111"/>
          <w:sz w:val="28"/>
          <w:sz w:val="28"/>
          <w:szCs w:val="28"/>
          <w:rtl w:val="true"/>
          <w:lang w:bidi="ar-SA"/>
        </w:rPr>
        <w:t>فقد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 واحد على غير واحد، غير أنَّه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مع العماني </w:t>
      </w:r>
      <w:r>
        <w:rPr>
          <w:rStyle w:val="FootnoteAnchor"/>
          <w:rtl w:val="true"/>
        </w:rPr>
        <w:footnoteReference w:id="672"/>
      </w:r>
      <w:r>
        <w:rPr>
          <w:rFonts w:ascii="Amiri" w:hAnsi="Amiri" w:eastAsia="Amiri" w:cs="Amiri"/>
          <w:color w:val="111111"/>
          <w:sz w:val="28"/>
          <w:sz w:val="28"/>
          <w:szCs w:val="28"/>
          <w:rtl w:val="true"/>
          <w:lang w:bidi="ar-SA"/>
        </w:rPr>
        <w:t xml:space="preserve">فالمرجع القواعد، فإذا كان المعارض لها أكثر منها عدداً و أتقن سنداً و أصرح دلالةً ينبغي الإعراض عنها إمّا بالطرح أو بالحمل على التقيّة؛ لموافقة الحكم للناس مثل الأوزاعي </w:t>
      </w:r>
      <w:r>
        <w:rPr>
          <w:rStyle w:val="FootnoteAnchor"/>
          <w:rtl w:val="true"/>
        </w:rPr>
        <w:footnoteReference w:id="673"/>
      </w:r>
      <w:r>
        <w:rPr>
          <w:rFonts w:ascii="IRNazanin" w:hAnsi="IRNazanin" w:eastAsia="IRNazanin"/>
          <w:color w:val="111111"/>
          <w:sz w:val="28"/>
          <w:sz w:val="28"/>
          <w:szCs w:val="28"/>
          <w:rtl w:val="true"/>
          <w:lang w:bidi="fa-IR"/>
        </w:rPr>
        <w:t xml:space="preserve">و عکرمة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روى عن جماعة من الصحابة، و روى عنه الزهري و عمرو بن دينار و الشعبي و أبو إسحاق السبيعي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سنة سبع و مئة،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رقم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ليلى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مالك </w:t>
      </w:r>
      <w:r>
        <w:rPr>
          <w:rStyle w:val="FootnoteAnchor"/>
          <w:rtl w:val="true"/>
        </w:rPr>
        <w:footnoteReference w:id="675"/>
      </w:r>
      <w:r>
        <w:rPr>
          <w:rFonts w:ascii="Amiri" w:hAnsi="Amiri" w:eastAsia="Amiri" w:cs="Amiri"/>
          <w:color w:val="111111"/>
          <w:sz w:val="28"/>
          <w:sz w:val="28"/>
          <w:szCs w:val="28"/>
          <w:rtl w:val="true"/>
          <w:lang w:bidi="ar-SA"/>
        </w:rPr>
        <w:t xml:space="preserve">و غيرهم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بالتصرّف في الحمل فيها كما حملوا كلّ خبر منها بمحامل، و هو أولى؛ لكونه يجري على قاعدة الجمع في المتعارضات و لو بَعُد الحمل، إذ بعد أن بلغت الأخبار المانعة مطلقها و مقيّدها إلى حدّ الصراحة الذي لا يمكن فيه الحمل و الجمع فما نصنع غير أنّا نجعلها من قبيل النّص و الظاهر و القطعي و الظنّي، فإنّ القدر المتيقّن من مؤدّاها هو القليل، إذ أكثرها يعمّ الكرّ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تفرّد المخالف ممّا يوهِن قوله، فإنّ لسان أصحابنا هو لسان أئمّتنا علیهم السلام، و لا يلتفت بعد ذلك إلى لفيفة القاساني رحمه الله </w:t>
      </w:r>
      <w:r>
        <w:rPr>
          <w:rStyle w:val="FootnoteAnchor"/>
          <w:rtl w:val="true"/>
        </w:rPr>
        <w:footnoteReference w:id="677"/>
      </w:r>
      <w:r>
        <w:rPr>
          <w:rFonts w:ascii="Amiri" w:hAnsi="Amiri" w:eastAsia="Amiri" w:cs="Amiri"/>
          <w:color w:val="111111"/>
          <w:sz w:val="28"/>
          <w:sz w:val="28"/>
          <w:szCs w:val="28"/>
          <w:rtl w:val="true"/>
          <w:lang w:bidi="ar-SA"/>
        </w:rPr>
        <w:t xml:space="preserve">الذي عقبها لما تلونا من الأخبار، زاعماً دلالتها على مختاره مثل أنّ القليل لو كان قابلاً للانفعال لم يكن مزيلاً للنجاسة، و أنّ وجود النجاسة التي لم تغيّر كوجود الكلب في المملحة أو المضاف القليل في المطلق الكثير و العكس لحصول الانقلاب إلى القاهر، و أنّ الاقتصار في عدم النجاسة على الكُرّ من الوسواس المنهيّ عنه، و أنّ اختلاف مقادير الكُرّ في الأخبار </w:t>
      </w:r>
      <w:r>
        <w:rPr>
          <w:rStyle w:val="FootnoteAnchor"/>
          <w:rtl w:val="true"/>
        </w:rPr>
        <w:footnoteReference w:id="678"/>
      </w:r>
      <w:r>
        <w:rPr>
          <w:rFonts w:ascii="Amiri" w:hAnsi="Amiri" w:eastAsia="Amiri" w:cs="Amiri"/>
          <w:color w:val="111111"/>
          <w:sz w:val="28"/>
          <w:sz w:val="28"/>
          <w:szCs w:val="28"/>
          <w:rtl w:val="true"/>
          <w:lang w:bidi="ar-SA"/>
        </w:rPr>
        <w:t>يقضي بالاستحباب جمعاً، فإنّ هذا و نحوه كسراب بقيعة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الحكم ظاهراً بين الوارد و المورود، و عليه إطلاق المصنّفين كما ذكرنا، لكن </w:t>
      </w:r>
    </w:p>
    <w:p>
      <w:pPr>
        <w:pStyle w:val="BookText"/>
        <w:rPr/>
      </w:pPr>
      <w:r>
        <w:rPr>
          <w:rFonts w:ascii="IRNazanin" w:hAnsi="IRNazanin" w:eastAsia="IRNazanin"/>
          <w:color w:val="111111"/>
          <w:sz w:val="28"/>
          <w:sz w:val="28"/>
          <w:szCs w:val="28"/>
          <w:rtl w:val="true"/>
          <w:lang w:bidi="fa-IR"/>
        </w:rPr>
        <w:t xml:space="preserve">علم الهدى </w:t>
      </w:r>
      <w:r>
        <w:rPr>
          <w:rStyle w:val="FootnoteAnchor"/>
          <w:rtl w:val="true"/>
        </w:rPr>
        <w:footnoteReference w:id="679"/>
      </w:r>
      <w:r>
        <w:rPr>
          <w:rFonts w:ascii="Amiri" w:hAnsi="Amiri" w:eastAsia="Amiri" w:cs="Amiri"/>
          <w:color w:val="111111"/>
          <w:sz w:val="28"/>
          <w:sz w:val="28"/>
          <w:szCs w:val="28"/>
          <w:rtl w:val="true"/>
          <w:lang w:bidi="ar-SA"/>
        </w:rPr>
        <w:t xml:space="preserve">تابع الشافعي </w:t>
      </w:r>
      <w:r>
        <w:rPr>
          <w:rStyle w:val="FootnoteAnchor"/>
          <w:rtl w:val="true"/>
        </w:rPr>
        <w:footnoteReference w:id="680"/>
      </w:r>
      <w:r>
        <w:rPr>
          <w:rFonts w:ascii="Amiri" w:hAnsi="Amiri" w:eastAsia="Amiri" w:cs="Amiri"/>
          <w:color w:val="111111"/>
          <w:sz w:val="28"/>
          <w:sz w:val="28"/>
          <w:szCs w:val="28"/>
          <w:rtl w:val="true"/>
          <w:lang w:bidi="ar-SA"/>
        </w:rPr>
        <w:t xml:space="preserve">في تفصيله فحصر الطهارة في الوارد، و لحقه ابن إدريس </w:t>
      </w:r>
      <w:r>
        <w:rPr>
          <w:rStyle w:val="FootnoteAnchor"/>
          <w:rtl w:val="true"/>
        </w:rPr>
        <w:footnoteReference w:id="681"/>
      </w:r>
      <w:r>
        <w:rPr>
          <w:rFonts w:ascii="Amiri" w:hAnsi="Amiri" w:eastAsia="Amiri" w:cs="Amiri"/>
          <w:color w:val="111111"/>
          <w:sz w:val="28"/>
          <w:sz w:val="28"/>
          <w:szCs w:val="28"/>
          <w:rtl w:val="true"/>
          <w:lang w:bidi="ar-SA"/>
        </w:rPr>
        <w:t xml:space="preserve">، و يلوح من بعض كلمات الشيخين ذلك؛ ففي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الوضوء لو رجع إلى بدنه و ثيابه لم ينجّس إلّا أن يقع على نجاسة ظاهرة فيحملها </w:t>
      </w:r>
      <w:r>
        <w:rPr>
          <w:rStyle w:val="FootnoteAnchor"/>
          <w:rtl w:val="true"/>
        </w:rPr>
        <w:footnoteReference w:id="682"/>
      </w:r>
      <w:r>
        <w:rPr>
          <w:rFonts w:ascii="Amiri" w:hAnsi="Amiri" w:eastAsia="Amiri" w:cs="Amiri"/>
          <w:color w:val="111111"/>
          <w:sz w:val="28"/>
          <w:sz w:val="28"/>
          <w:szCs w:val="28"/>
          <w:rtl w:val="true"/>
          <w:lang w:bidi="ar-SA"/>
        </w:rPr>
        <w:t>، فاعتبر في نجاسة الماء حمله للنجاسة دون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اغتسل الجُنب و على بدنه نجاسة صحَّ غسله و عليه إزالته بعد الغُسل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ظاهرهما مع المرتضى و إن حملا على المتنجّس و على الماء الغير المنفعل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في الخلاف </w:t>
      </w:r>
      <w:r>
        <w:rPr>
          <w:rStyle w:val="FootnoteAnchor"/>
          <w:rtl w:val="true"/>
        </w:rPr>
        <w:footnoteReference w:id="684"/>
      </w:r>
      <w:r>
        <w:rPr>
          <w:rFonts w:ascii="Amiri" w:hAnsi="Amiri" w:eastAsia="Amiri" w:cs="Amiri"/>
          <w:color w:val="111111"/>
          <w:sz w:val="28"/>
          <w:sz w:val="28"/>
          <w:szCs w:val="28"/>
          <w:rtl w:val="true"/>
          <w:lang w:bidi="ar-SA"/>
        </w:rPr>
        <w:t xml:space="preserve">بعدم وجوب غسل الثوب إذا أصابه الماء الذي يغسل به الإناء من الولوغ مطلقاً، و الفاضل في التذكرة </w:t>
      </w:r>
      <w:r>
        <w:rPr>
          <w:rStyle w:val="FootnoteAnchor"/>
          <w:rtl w:val="true"/>
        </w:rPr>
        <w:footnoteReference w:id="685"/>
      </w:r>
      <w:r>
        <w:rPr>
          <w:rFonts w:ascii="Amiri" w:hAnsi="Amiri" w:eastAsia="Amiri" w:cs="Amiri"/>
          <w:color w:val="111111"/>
          <w:sz w:val="28"/>
          <w:sz w:val="28"/>
          <w:szCs w:val="28"/>
          <w:rtl w:val="true"/>
          <w:lang w:bidi="ar-SA"/>
        </w:rPr>
        <w:t xml:space="preserve">و التبصرة </w:t>
      </w:r>
      <w:r>
        <w:rPr>
          <w:rStyle w:val="FootnoteAnchor"/>
          <w:rtl w:val="true"/>
        </w:rPr>
        <w:footnoteReference w:id="686"/>
      </w:r>
      <w:r>
        <w:rPr>
          <w:rFonts w:ascii="Amiri" w:hAnsi="Amiri" w:eastAsia="Amiri" w:cs="Amiri"/>
          <w:color w:val="111111"/>
          <w:sz w:val="28"/>
          <w:sz w:val="28"/>
          <w:szCs w:val="28"/>
          <w:rtl w:val="true"/>
          <w:lang w:bidi="ar-SA"/>
        </w:rPr>
        <w:t xml:space="preserve">يستشم منه الميل لذلك، و ربّما وافقه ظاهر عنوان الحر </w:t>
      </w:r>
      <w:r>
        <w:rPr>
          <w:rStyle w:val="FootnoteAnchor"/>
          <w:rtl w:val="true"/>
        </w:rPr>
        <w:footnoteReference w:id="687"/>
      </w:r>
      <w:r>
        <w:rPr>
          <w:rFonts w:ascii="Amiri" w:hAnsi="Amiri" w:eastAsia="Amiri" w:cs="Amiri"/>
          <w:color w:val="111111"/>
          <w:sz w:val="28"/>
          <w:sz w:val="28"/>
          <w:szCs w:val="28"/>
          <w:rtl w:val="true"/>
          <w:lang w:bidi="ar-SA"/>
        </w:rPr>
        <w:t xml:space="preserve">في المسألة، و استوجبه مدركه في المدارك </w:t>
      </w:r>
      <w:r>
        <w:rPr>
          <w:rStyle w:val="FootnoteAnchor"/>
          <w:rtl w:val="true"/>
        </w:rPr>
        <w:footnoteReference w:id="688"/>
      </w:r>
      <w:r>
        <w:rPr>
          <w:rFonts w:ascii="Amiri" w:hAnsi="Amiri" w:eastAsia="Amiri" w:cs="Amiri"/>
          <w:color w:val="111111"/>
          <w:sz w:val="28"/>
          <w:sz w:val="28"/>
          <w:szCs w:val="28"/>
          <w:rtl w:val="true"/>
          <w:lang w:bidi="ar-SA"/>
        </w:rPr>
        <w:t xml:space="preserve">، و قوّاه في الحدائق </w:t>
      </w:r>
      <w:r>
        <w:rPr>
          <w:rStyle w:val="FootnoteAnchor"/>
          <w:rtl w:val="true"/>
        </w:rPr>
        <w:footnoteReference w:id="689"/>
      </w:r>
      <w:r>
        <w:rPr>
          <w:rFonts w:ascii="Amiri" w:hAnsi="Amiri" w:eastAsia="Amiri" w:cs="Amiri"/>
          <w:color w:val="111111"/>
          <w:sz w:val="28"/>
          <w:sz w:val="28"/>
          <w:szCs w:val="28"/>
          <w:rtl w:val="true"/>
          <w:lang w:bidi="ar-SA"/>
        </w:rPr>
        <w:t xml:space="preserve">، و صحّح مستنده في المستند </w:t>
      </w:r>
      <w:r>
        <w:rPr>
          <w:rStyle w:val="FootnoteAnchor"/>
          <w:rtl w:val="true"/>
        </w:rPr>
        <w:footnoteReference w:id="690"/>
      </w:r>
      <w:r>
        <w:rPr>
          <w:rFonts w:ascii="Amiri" w:hAnsi="Amiri" w:eastAsia="Amiri" w:cs="Amiri"/>
          <w:color w:val="111111"/>
          <w:sz w:val="28"/>
          <w:sz w:val="28"/>
          <w:szCs w:val="28"/>
          <w:rtl w:val="true"/>
          <w:lang w:bidi="ar-SA"/>
        </w:rPr>
        <w:t xml:space="preserve">، و المشهور إلغاء الفرق بينهما إلَّا في الغسالة استند السيّد رحمه الله </w:t>
      </w:r>
      <w:r>
        <w:rPr>
          <w:rStyle w:val="FootnoteAnchor"/>
          <w:rtl w:val="true"/>
        </w:rPr>
        <w:footnoteReference w:id="691"/>
      </w:r>
      <w:r>
        <w:rPr>
          <w:rFonts w:ascii="Amiri" w:hAnsi="Amiri" w:eastAsia="Amiri" w:cs="Amiri"/>
          <w:color w:val="111111"/>
          <w:sz w:val="28"/>
          <w:sz w:val="28"/>
          <w:szCs w:val="28"/>
          <w:rtl w:val="true"/>
          <w:lang w:bidi="ar-SA"/>
        </w:rPr>
        <w:t>بأنّه لولا ذلك لامتنع حصول التطهير بالماء 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استدلّ </w:t>
      </w:r>
      <w:r>
        <w:rPr>
          <w:rStyle w:val="FootnoteAnchor"/>
          <w:rtl w:val="true"/>
        </w:rPr>
        <w:footnoteReference w:id="692"/>
      </w:r>
      <w:r>
        <w:rPr>
          <w:rFonts w:ascii="Amiri" w:hAnsi="Amiri" w:eastAsia="Amiri" w:cs="Amiri"/>
          <w:color w:val="111111"/>
          <w:sz w:val="28"/>
          <w:sz w:val="28"/>
          <w:szCs w:val="28"/>
          <w:rtl w:val="true"/>
          <w:lang w:bidi="ar-SA"/>
        </w:rPr>
        <w:t xml:space="preserve">له على طهارة الوارد بالأصل و الاستصحاب المؤيّدين بإجماع </w:t>
      </w:r>
      <w:r>
        <w:rPr>
          <w:rStyle w:val="FootnoteAnchor"/>
          <w:rtl w:val="true"/>
        </w:rPr>
        <w:footnoteReference w:id="693"/>
      </w:r>
      <w:r>
        <w:rPr>
          <w:rFonts w:ascii="Amiri" w:hAnsi="Amiri" w:eastAsia="Amiri" w:cs="Amiri"/>
          <w:color w:val="111111"/>
          <w:sz w:val="28"/>
          <w:sz w:val="28"/>
          <w:szCs w:val="28"/>
          <w:rtl w:val="true"/>
          <w:lang w:bidi="ar-SA"/>
        </w:rPr>
        <w:t>الحلّي السالمين عن المعارض، و بعمومات طهارة الماء السالمة عن المعارض بأنواعها المتقدّمة و إطلاقاتها الخالية عن المخصّص و المقيّد؛ لاختصاص أدلّة انفعال القليل بورود النجاسة، و لو عمدت إلى ما حقّقناه في أصالة الانفعال في القليل و عمومه لأفراد الماء و خصوصيّات النجاسة و أحواله سقط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ملازمة بين عدم التطهير و الانفعال، و إلّا لأشكل في حجار الاستجمار و تراب التعفير و أرض القَدَم و النعل، و الخروج بالدليل فرع ثبوت الملازمة، و هو أوّل الدعوى، و لو سلّم أنّ النجس لا يطهر اقتصر فيه على ما كان نجساً بغير العارض الذي حصل من الاستعمال في التطهير لا مطلقاً، و التحكّم بعدم النجاسة ما دام في المحلّ المتنجّس فإذا انفصل نجس تخرّص؛ لعدم معقوليّة الطهارة حال الاجتماع مع النجاسة و هي من غير سبب جديد بعد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يعضده خبر ابن يزيد </w:t>
      </w:r>
      <w:r>
        <w:rPr>
          <w:rStyle w:val="FootnoteAnchor"/>
          <w:rtl w:val="true"/>
        </w:rPr>
        <w:footnoteReference w:id="694"/>
      </w:r>
      <w:r>
        <w:rPr>
          <w:rFonts w:ascii="Amiri" w:hAnsi="Amiri" w:eastAsia="Amiri" w:cs="Amiri"/>
          <w:color w:val="111111"/>
          <w:sz w:val="28"/>
          <w:sz w:val="28"/>
          <w:szCs w:val="28"/>
          <w:rtl w:val="true"/>
          <w:lang w:bidi="ar-SA"/>
        </w:rPr>
        <w:t xml:space="preserve">المشتمل على نفي البأس عن الماء المردود من المغتسل القذر، مضافاً إلى أنّ الجمع بين المطلق من أخبار الانفعال و بين المختصّ بما إذا ورد عليه النجاسة كأخبار الولوغ </w:t>
      </w:r>
      <w:r>
        <w:rPr>
          <w:rStyle w:val="FootnoteAnchor"/>
          <w:rtl w:val="true"/>
        </w:rPr>
        <w:footnoteReference w:id="695"/>
      </w:r>
      <w:r>
        <w:rPr>
          <w:rFonts w:ascii="Amiri" w:hAnsi="Amiri" w:eastAsia="Amiri" w:cs="Amiri"/>
          <w:color w:val="111111"/>
          <w:sz w:val="28"/>
          <w:sz w:val="28"/>
          <w:szCs w:val="28"/>
          <w:rtl w:val="true"/>
          <w:lang w:bidi="ar-SA"/>
        </w:rPr>
        <w:t>و نحوها يكون بحمل مطلقها على المقيّد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الخبر دلالةً و سنداً؛ فإنّ كون المغتسل يُبال فيه لا يستلزم استيعاب النجاسة لكلّ جوانبه التي يصل إليها ماء الغسل، فالسؤال و الجواب ناظران لحكم النزو من غير الموضع المقطوع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تبادر غير ذلك منها كفى إعراض الأصحاب عنها، و لولاه لركن المرتضى إليها و ما عوّل على الوجه الاعتباري، مع معارضتها بخبر عليّ بن جعفر عن أخيه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الكنيف يصبّ فيه الماء فينضح على الثياب؟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جافاً </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اشتراط الجفاف لحصول العلم بنجاسة المحلّ مع الرطوبة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الانفعال عمومات لا مطلقات، و الجمع بين الخاص و العام المتّفقين نفياً و إثباتاً مخالف للقواعد، و أيضاً فالإطلاق و التقييد فيهما مشكل؛ لأنهما من الأحكام الوضعيّة، و التصرّف لا يفيد المستدلّ، على أنّ رواية المركن </w:t>
      </w:r>
      <w:r>
        <w:rPr>
          <w:rStyle w:val="FootnoteAnchor"/>
          <w:rtl w:val="true"/>
        </w:rPr>
        <w:footnoteReference w:id="697"/>
      </w:r>
      <w:r>
        <w:rPr>
          <w:rFonts w:ascii="Amiri" w:hAnsi="Amiri" w:eastAsia="Amiri" w:cs="Amiri"/>
          <w:color w:val="111111"/>
          <w:sz w:val="28"/>
          <w:sz w:val="28"/>
          <w:szCs w:val="28"/>
          <w:rtl w:val="true"/>
          <w:lang w:bidi="ar-SA"/>
        </w:rPr>
        <w:t>كالصريحة في ردّ السيّد إن لم تطرح عنده، بل و سائر من يرى عدم الانفعال في الجملة قبالاً للحسن أو يدّعى أنّ ورود المغسول ثانياً على غاسله لعلّه غير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المجمع </w:t>
      </w:r>
      <w:r>
        <w:rPr>
          <w:rStyle w:val="FootnoteAnchor"/>
          <w:rtl w:val="true"/>
        </w:rPr>
        <w:footnoteReference w:id="698"/>
      </w:r>
      <w:r>
        <w:rPr>
          <w:rFonts w:ascii="Amiri" w:hAnsi="Amiri" w:eastAsia="Amiri" w:cs="Amiri"/>
          <w:color w:val="111111"/>
          <w:sz w:val="28"/>
          <w:sz w:val="28"/>
          <w:szCs w:val="28"/>
          <w:rtl w:val="true"/>
          <w:lang w:bidi="ar-SA"/>
        </w:rPr>
        <w:t>أنّ أخبار المطر ترد هذه الرواية لما فيها من اشتراط الجرّتين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الحقّ من عدم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أخباره على عكس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يعارضهما أخبار الغسالة و لا يلتفت إلى حمل المستند و كأنّ المسألة عارية عن الإشكال لدى الأستاذ، فذكر رحمه الله </w:t>
      </w:r>
      <w:r>
        <w:rPr>
          <w:rStyle w:val="FootnoteAnchor"/>
          <w:rtl w:val="true"/>
        </w:rPr>
        <w:footnoteReference w:id="699"/>
      </w:r>
      <w:r>
        <w:rPr>
          <w:rFonts w:ascii="Amiri" w:hAnsi="Amiri" w:eastAsia="Amiri" w:cs="Amiri"/>
          <w:color w:val="111111"/>
          <w:sz w:val="28"/>
          <w:sz w:val="28"/>
          <w:szCs w:val="28"/>
          <w:rtl w:val="true"/>
          <w:lang w:bidi="ar-SA"/>
        </w:rPr>
        <w:t xml:space="preserve">لذلك وجوهاً يتطرّق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النظر كاختصاص كلام السيّد </w:t>
      </w:r>
      <w:r>
        <w:rPr>
          <w:rStyle w:val="FootnoteAnchor"/>
          <w:rtl w:val="true"/>
        </w:rPr>
        <w:footnoteReference w:id="700"/>
      </w:r>
      <w:r>
        <w:rPr>
          <w:rFonts w:ascii="Amiri" w:hAnsi="Amiri" w:eastAsia="Amiri" w:cs="Amiri"/>
          <w:color w:val="111111"/>
          <w:sz w:val="28"/>
          <w:sz w:val="28"/>
          <w:szCs w:val="28"/>
          <w:rtl w:val="true"/>
          <w:lang w:bidi="ar-SA"/>
        </w:rPr>
        <w:t xml:space="preserve">و الحلّي </w:t>
      </w:r>
      <w:r>
        <w:rPr>
          <w:rStyle w:val="FootnoteAnchor"/>
          <w:rtl w:val="true"/>
        </w:rPr>
        <w:footnoteReference w:id="701"/>
      </w:r>
      <w:r>
        <w:rPr>
          <w:rFonts w:ascii="Amiri" w:hAnsi="Amiri" w:eastAsia="Amiri" w:cs="Amiri"/>
          <w:color w:val="111111"/>
          <w:sz w:val="28"/>
          <w:sz w:val="28"/>
          <w:szCs w:val="28"/>
          <w:rtl w:val="true"/>
          <w:lang w:bidi="ar-SA"/>
        </w:rPr>
        <w:t xml:space="preserve">في الغسالة، و الفاضل </w:t>
      </w:r>
      <w:r>
        <w:rPr>
          <w:rStyle w:val="FootnoteAnchor"/>
          <w:rtl w:val="true"/>
        </w:rPr>
        <w:footnoteReference w:id="702"/>
      </w:r>
      <w:r>
        <w:rPr>
          <w:rFonts w:ascii="Amiri" w:hAnsi="Amiri" w:eastAsia="Amiri" w:cs="Amiri"/>
          <w:color w:val="111111"/>
          <w:sz w:val="28"/>
          <w:sz w:val="28"/>
          <w:szCs w:val="28"/>
          <w:rtl w:val="true"/>
          <w:lang w:bidi="ar-SA"/>
        </w:rPr>
        <w:t>حكاه عنه في بابها، و الماتن عنهما فيها مدعياً بدعوى الإجماع منه على نجاسة غسالة الحمّام مطلقاً مع أنّها تشمل المياه الواردة و بقوله في ماء الاستنجاء و الاغتسال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متى انفصل و وقع على نجاسة و رجع إليه وجب إزالته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كلامه رحمه الله في ردّ القول بتعدّي النجاسة عن ملاقي الميّت إلى ما يلاقيه بأنّه لو كان </w:t>
      </w:r>
    </w:p>
    <w:p>
      <w:pPr>
        <w:pStyle w:val="BookText"/>
        <w:rPr/>
      </w:pPr>
      <w:r>
        <w:rPr>
          <w:rFonts w:ascii="Amiri" w:hAnsi="Amiri" w:eastAsia="Amiri" w:cs="Amiri"/>
          <w:color w:val="111111"/>
          <w:sz w:val="28"/>
          <w:sz w:val="28"/>
          <w:szCs w:val="28"/>
          <w:rtl w:val="true"/>
          <w:lang w:bidi="ar-SA"/>
        </w:rPr>
        <w:t>كذلك لزم نجاسة الماء الذي يستعمله ماسّ الميّت في غسل المسّ، مع أنّ المستعمل في رفع الأحداث طاهر إجماعاً، بل و في عموم منقول الإجماع عليه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شمولها لورود الماء على النجاسة كدعوى العكس في بداهة الفساد، و أيضاً لا ريب في عدم تطهير القليل لمثله إذا ورد عليه، فلو لم ينفعل طهّره كالكثير، إذ دليله جارٍ في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فهذا القول أضعف من قول العماني و إن قال به أو مال إليه جملة من متأخّري المتأخّرين </w:t>
      </w:r>
      <w:r>
        <w:rPr>
          <w:rStyle w:val="FootnoteAnchor"/>
          <w:rtl w:val="true"/>
        </w:rPr>
        <w:footnoteReference w:id="7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الاختصاص المزبور فلا دليل عليه، و إلّا لما كان الحكم به من السيّد في بادئ النظر، و المعروف من الشافعي العموم و ظاهر الموافقة يقضي به أيضاً، و كلام الماتن في الذكرى </w:t>
      </w:r>
      <w:r>
        <w:rPr>
          <w:rStyle w:val="FootnoteAnchor"/>
          <w:rtl w:val="true"/>
        </w:rPr>
        <w:footnoteReference w:id="705"/>
      </w:r>
      <w:r>
        <w:rPr>
          <w:rFonts w:ascii="Amiri" w:hAnsi="Amiri" w:eastAsia="Amiri" w:cs="Amiri"/>
          <w:color w:val="111111"/>
          <w:sz w:val="28"/>
          <w:sz w:val="28"/>
          <w:szCs w:val="28"/>
          <w:rtl w:val="true"/>
          <w:lang w:bidi="ar-SA"/>
        </w:rPr>
        <w:t>ظاهر بأنّ الغسالة من أفراد المسألة لا أنّ البحث فيها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الإجماع و تالياه ممّا نقله السيّد و حكم به فهو خارج بدليله لو سلم، بل نقله الإجماع في خصوص غسالة الحمّام كان قرينة على خروجه به و إلّا فمفهومه إذا كان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في ردّ العماني فيه الكفاية، و عليك بالتأمّل في جملة كلامه فإنّه لا يفي بإتمام الحجّة، و المسألة لا تخلو عن إشكال؛ لَميل مشاهير الأصحاب إليها، و يأتي في الغسالة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المرتضى كفاية التطهير بأوّل أزمنة الورود سواء استقرّ في الزمن الثاني في المحلّ المغسول مثل الإناء أو كان مارّاً عليه كاليد، و حينئذ يشكل الحال بالقطرة على العذرة و بالكلاب الممطورة إلّا أن يفرّق أو يتمحّل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تفصيل الشيخ على اختلاف عباراته فكأنّه غير واضح؛ لضعف دليله؛ ففي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يمكن التحرّز عنه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أفهم معناه، و رواية الراعف </w:t>
      </w:r>
      <w:r>
        <w:rPr>
          <w:rStyle w:val="FootnoteAnchor"/>
          <w:rtl w:val="true"/>
        </w:rPr>
        <w:footnoteReference w:id="707"/>
      </w:r>
      <w:r>
        <w:rPr>
          <w:rFonts w:ascii="Amiri" w:hAnsi="Amiri" w:eastAsia="Amiri" w:cs="Amiri"/>
          <w:color w:val="111111"/>
          <w:sz w:val="28"/>
          <w:sz w:val="28"/>
          <w:szCs w:val="28"/>
          <w:rtl w:val="true"/>
          <w:lang w:bidi="ar-SA"/>
        </w:rPr>
        <w:t xml:space="preserve">فيها محمّد بن أحمد </w:t>
      </w:r>
    </w:p>
    <w:p>
      <w:pPr>
        <w:pStyle w:val="BookText"/>
        <w:rPr/>
      </w:pPr>
      <w:r>
        <w:rPr>
          <w:rFonts w:ascii="Amiri" w:hAnsi="Amiri" w:eastAsia="Amiri" w:cs="Amiri"/>
          <w:color w:val="111111"/>
          <w:sz w:val="28"/>
          <w:sz w:val="28"/>
          <w:szCs w:val="28"/>
          <w:rtl w:val="true"/>
          <w:lang w:bidi="ar-SA"/>
        </w:rPr>
        <w:t xml:space="preserve">العلوي صحّحه الفاضل </w:t>
      </w:r>
      <w:r>
        <w:rPr>
          <w:rStyle w:val="FootnoteAnchor"/>
          <w:rtl w:val="true"/>
        </w:rPr>
        <w:footnoteReference w:id="708"/>
      </w:r>
      <w:r>
        <w:rPr>
          <w:rFonts w:ascii="Amiri" w:hAnsi="Amiri" w:eastAsia="Amiri" w:cs="Amiri"/>
          <w:color w:val="111111"/>
          <w:sz w:val="28"/>
          <w:sz w:val="28"/>
          <w:szCs w:val="28"/>
          <w:rtl w:val="true"/>
          <w:lang w:bidi="ar-SA"/>
        </w:rPr>
        <w:t xml:space="preserve">و طعن فيه غيره </w:t>
      </w:r>
      <w:r>
        <w:rPr>
          <w:rStyle w:val="FootnoteAnchor"/>
          <w:rtl w:val="true"/>
        </w:rPr>
        <w:footnoteReference w:id="709"/>
      </w:r>
      <w:r>
        <w:rPr>
          <w:rFonts w:ascii="Amiri" w:hAnsi="Amiri" w:eastAsia="Amiri" w:cs="Amiri"/>
          <w:color w:val="111111"/>
          <w:sz w:val="28"/>
          <w:sz w:val="28"/>
          <w:szCs w:val="28"/>
          <w:rtl w:val="true"/>
          <w:lang w:bidi="ar-SA"/>
        </w:rPr>
        <w:t xml:space="preserve">،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تحتمل النقصان و التمام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فيه الخبريّة على الأوّل و الوصفيّة على الثاني، و على التقديرين فنفي البأس إمّا عن الوجود المعلوم أو عن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لا دلالة فيها، إذ الحكم علّق فيها على العلم فهو يقضي بالطهارة الظاهريّة عند الشكّ، و على الثاني يتمّ الاستناد إليهما نظراً إلى رجوع الحكم إلى القيد الأخير، و قد تعلّق نفي البأس على خصوص عدم الظهور، فيعمّ ما لو لم يكن في الماء شيء أصلاً، أو كان و لم يكن ظاهراً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أن يكون الظهور كناية عن أصل الوجود؛ لأنّ التعبير عن وجود الشيء بالعلم به نفياً و إثباتاً أمرٌ شائع،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شيئاً موجوداً في الماء، فلا تصلح دليلاً للشيخ أيضاً، إلّا أنّ الأظهر في الخبر هو كلام الشيخ، و إلّا لغا إصابة الدّم في السؤال؛ لأنّ رجوع النفي إلى أصل وجود الشيء بأن يكون الظهور كناية عن وجوده المعلوم أو عن أصل وجوده مع فرض السؤال عن إصابة الدّم للماء غير ملتئم الأطراف، فلا بدّ من الرجوع لصفة الظهور بعد الفراغ عن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التشكيك في إصابة الدّم للماء، و الرواية ليست صريحة فيه، و ربّما نافى ظاهر الكلام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يكن شيء يستبين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 و عليه يتعيّن النقصان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تجري فيها الاحتمالات، لكن وجود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فيها بناءً على إرجاع النفي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ظهور الشيء على وجه يعتبر وصفاً زائداً بعد الفراغ عن أصل الوجود في كلام الإمام علیه السلام دون السائل، و إلّا فنفي الزائد لا يجدي؛ لانطباقه على غير كلام الشيخ رحمه الله، </w:t>
      </w:r>
    </w:p>
    <w:p>
      <w:pPr>
        <w:pStyle w:val="BookText"/>
        <w:rPr/>
      </w:pPr>
      <w:r>
        <w:rPr>
          <w:rFonts w:ascii="Amiri" w:hAnsi="Amiri" w:eastAsia="Amiri" w:cs="Amiri"/>
          <w:color w:val="111111"/>
          <w:sz w:val="28"/>
          <w:sz w:val="28"/>
          <w:szCs w:val="28"/>
          <w:rtl w:val="true"/>
          <w:lang w:bidi="ar-SA"/>
        </w:rPr>
        <w:t xml:space="preserve">على أنّه لو كان صحيحاً طرح؛ لإجماع السرائر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و قد غبر نقل الإجماع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نجاستها بالملاقاة ما لم تتغيّر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عن الماتن و غيره حتى أُنهيت الإجماعات إلى فوق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w:t>
      </w:r>
      <w:r>
        <w:rPr>
          <w:rStyle w:val="FootnoteAnchor"/>
          <w:rtl w:val="true"/>
        </w:rPr>
        <w:footnoteReference w:id="714"/>
      </w:r>
      <w:r>
        <w:rPr>
          <w:rFonts w:ascii="Amiri" w:hAnsi="Amiri" w:eastAsia="Amiri" w:cs="Amiri"/>
          <w:color w:val="111111"/>
          <w:sz w:val="28"/>
          <w:sz w:val="28"/>
          <w:szCs w:val="28"/>
          <w:rtl w:val="true"/>
          <w:lang w:bidi="ar-SA"/>
        </w:rPr>
        <w:t xml:space="preserve">نفى الخلاف، لكن مشهور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جملتهم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بالطهارة مطلقاً، و في المصابيح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استقرّ رأي الأصحاب بعد الشارح، و أنّ فقهاءنا في عام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يفتون بذلك و لا يختلفون فيه، و قد استقرّ عليه مذهبهم مُذ مئتي سنة أو أكثر، و يظهر منه أنّ إجماع كلّ عصر حجّة؛ لطريقة اللُّطف، و إلّا فالإجماع كذلك لمخالفينا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بعض مشايخنا </w:t>
      </w:r>
      <w:r>
        <w:rPr>
          <w:rStyle w:val="FootnoteAnchor"/>
          <w:rtl w:val="true"/>
        </w:rPr>
        <w:footnoteReference w:id="716"/>
      </w:r>
      <w:r>
        <w:rPr>
          <w:rFonts w:ascii="Amiri" w:hAnsi="Amiri" w:eastAsia="Amiri" w:cs="Amiri"/>
          <w:color w:val="111111"/>
          <w:sz w:val="28"/>
          <w:sz w:val="28"/>
          <w:szCs w:val="28"/>
          <w:rtl w:val="true"/>
          <w:lang w:bidi="ar-SA"/>
        </w:rPr>
        <w:t xml:space="preserve">في انقلاب شهرة النجاسة إلى الطهارة مع معروفيّة الطهارة في الصدر الأوَّل؛ فقد نقل عن زرارة </w:t>
      </w:r>
      <w:r>
        <w:rPr>
          <w:rStyle w:val="FootnoteAnchor"/>
          <w:rtl w:val="true"/>
        </w:rPr>
        <w:footnoteReference w:id="717"/>
      </w:r>
      <w:r>
        <w:rPr>
          <w:rFonts w:ascii="Amiri" w:hAnsi="Amiri" w:eastAsia="Amiri" w:cs="Amiri"/>
          <w:color w:val="111111"/>
          <w:sz w:val="28"/>
          <w:sz w:val="28"/>
          <w:szCs w:val="28"/>
          <w:rtl w:val="true"/>
          <w:lang w:bidi="ar-SA"/>
        </w:rPr>
        <w:t xml:space="preserve">و أبي بصير </w:t>
      </w:r>
      <w:r>
        <w:rPr>
          <w:rStyle w:val="FootnoteAnchor"/>
          <w:rtl w:val="true"/>
        </w:rPr>
        <w:footnoteReference w:id="718"/>
      </w:r>
      <w:r>
        <w:rPr>
          <w:rFonts w:ascii="Amiri" w:hAnsi="Amiri" w:eastAsia="Amiri" w:cs="Amiri"/>
          <w:color w:val="111111"/>
          <w:sz w:val="28"/>
          <w:sz w:val="28"/>
          <w:szCs w:val="28"/>
          <w:rtl w:val="true"/>
          <w:lang w:bidi="ar-SA"/>
        </w:rPr>
        <w:t xml:space="preserve">و غيرهما </w:t>
      </w:r>
      <w:r>
        <w:rPr>
          <w:rStyle w:val="FootnoteAnchor"/>
          <w:rtl w:val="true"/>
        </w:rPr>
        <w:footnoteReference w:id="719"/>
      </w:r>
      <w:r>
        <w:rPr>
          <w:rFonts w:ascii="Amiri" w:hAnsi="Amiri" w:eastAsia="Amiri" w:cs="Amiri"/>
          <w:color w:val="111111"/>
          <w:sz w:val="28"/>
          <w:sz w:val="28"/>
          <w:szCs w:val="28"/>
          <w:rtl w:val="true"/>
          <w:lang w:bidi="ar-SA"/>
        </w:rPr>
        <w:t xml:space="preserve">، و يؤيّده قول المحقّق في المصريّات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اختيار جماعة من القدماء، و في المختلف </w:t>
      </w:r>
      <w:r>
        <w:rPr>
          <w:rStyle w:val="FootnoteAnchor"/>
          <w:rtl w:val="true"/>
        </w:rPr>
        <w:footnoteReference w:id="721"/>
      </w:r>
      <w:r>
        <w:rPr>
          <w:rFonts w:ascii="Amiri" w:hAnsi="Amiri" w:eastAsia="Amiri" w:cs="Amiri"/>
          <w:color w:val="111111"/>
          <w:sz w:val="28"/>
          <w:sz w:val="28"/>
          <w:szCs w:val="28"/>
          <w:rtl w:val="true"/>
          <w:lang w:bidi="ar-SA"/>
        </w:rPr>
        <w:t xml:space="preserve">نسبته لغير الأكثر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 </w:t>
      </w:r>
      <w:r>
        <w:rPr>
          <w:rStyle w:val="FootnoteAnchor"/>
          <w:rtl w:val="true"/>
        </w:rPr>
        <w:footnoteReference w:id="722"/>
      </w:r>
      <w:r>
        <w:rPr>
          <w:rFonts w:ascii="Amiri" w:hAnsi="Amiri" w:eastAsia="Amiri" w:cs="Amiri"/>
          <w:color w:val="111111"/>
          <w:sz w:val="28"/>
          <w:sz w:val="28"/>
          <w:szCs w:val="28"/>
          <w:rtl w:val="true"/>
          <w:lang w:bidi="ar-SA"/>
        </w:rPr>
        <w:t xml:space="preserve">لبعضهم تحريم الاستعمال ما لم ينزح منها ما قدّر و إيجاب النزح، و عليه </w:t>
      </w:r>
    </w:p>
    <w:p>
      <w:pPr>
        <w:pStyle w:val="BookText"/>
        <w:rPr/>
      </w:pPr>
      <w:r>
        <w:rPr>
          <w:rFonts w:ascii="Amiri" w:hAnsi="Amiri" w:eastAsia="Amiri" w:cs="Amiri"/>
          <w:color w:val="111111"/>
          <w:sz w:val="28"/>
          <w:sz w:val="28"/>
          <w:szCs w:val="28"/>
          <w:rtl w:val="true"/>
          <w:lang w:bidi="ar-SA"/>
        </w:rPr>
        <w:t xml:space="preserve">الفاضل في ظاهر المنتهى </w:t>
      </w:r>
      <w:r>
        <w:rPr>
          <w:rStyle w:val="FootnoteAnchor"/>
          <w:rtl w:val="true"/>
        </w:rPr>
        <w:footnoteReference w:id="723"/>
      </w:r>
      <w:r>
        <w:rPr>
          <w:rFonts w:ascii="Amiri" w:hAnsi="Amiri" w:eastAsia="Amiri" w:cs="Amiri"/>
          <w:color w:val="111111"/>
          <w:sz w:val="28"/>
          <w:sz w:val="28"/>
          <w:szCs w:val="28"/>
          <w:rtl w:val="true"/>
          <w:lang w:bidi="ar-SA"/>
        </w:rPr>
        <w:t xml:space="preserve">و ابن فهد في الموجز </w:t>
      </w:r>
      <w:r>
        <w:rPr>
          <w:rStyle w:val="FootnoteAnchor"/>
          <w:rtl w:val="true"/>
        </w:rPr>
        <w:footnoteReference w:id="724"/>
      </w:r>
      <w:r>
        <w:rPr>
          <w:rFonts w:ascii="IRNazanin" w:hAnsi="IRNazanin" w:eastAsia="IRNazanin"/>
          <w:color w:val="111111"/>
          <w:sz w:val="28"/>
          <w:sz w:val="28"/>
          <w:szCs w:val="28"/>
          <w:rtl w:val="true"/>
          <w:lang w:bidi="fa-IR"/>
        </w:rPr>
        <w:t xml:space="preserve">و المحرر </w:t>
      </w:r>
      <w:r>
        <w:rPr>
          <w:rStyle w:val="FootnoteAnchor"/>
          <w:rtl w:val="true"/>
        </w:rPr>
        <w:footnoteReference w:id="725"/>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لم ينجس، و يجب النزح بحسب ما نصّ عليه الشرع، و لو استعملها قبل النزح أثم و صحّ التطهير بمائها،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إليه في التنقيح </w:t>
      </w:r>
      <w:r>
        <w:rPr>
          <w:rStyle w:val="FootnoteAnchor"/>
          <w:rtl w:val="true"/>
        </w:rPr>
        <w:footnoteReference w:id="726"/>
      </w:r>
      <w:r>
        <w:rPr>
          <w:rFonts w:ascii="Amiri" w:hAnsi="Amiri" w:eastAsia="Amiri" w:cs="Amiri"/>
          <w:color w:val="111111"/>
          <w:sz w:val="28"/>
          <w:sz w:val="28"/>
          <w:szCs w:val="28"/>
          <w:rtl w:val="true"/>
          <w:lang w:bidi="ar-SA"/>
        </w:rPr>
        <w:t xml:space="preserve">، و عزاه المحقّق في معتبره </w:t>
      </w:r>
      <w:r>
        <w:rPr>
          <w:rStyle w:val="FootnoteAnchor"/>
          <w:rtl w:val="true"/>
        </w:rPr>
        <w:footnoteReference w:id="727"/>
      </w:r>
      <w:r>
        <w:rPr>
          <w:rFonts w:ascii="Amiri" w:hAnsi="Amiri" w:eastAsia="Amiri" w:cs="Amiri"/>
          <w:color w:val="111111"/>
          <w:sz w:val="28"/>
          <w:sz w:val="28"/>
          <w:szCs w:val="28"/>
          <w:rtl w:val="true"/>
          <w:lang w:bidi="ar-SA"/>
        </w:rPr>
        <w:t xml:space="preserve">و مصرياته </w:t>
      </w:r>
      <w:r>
        <w:rPr>
          <w:rStyle w:val="FootnoteAnchor"/>
          <w:rtl w:val="true"/>
        </w:rPr>
        <w:footnoteReference w:id="728"/>
      </w:r>
      <w:r>
        <w:rPr>
          <w:rFonts w:ascii="Amiri" w:hAnsi="Amiri" w:eastAsia="Amiri" w:cs="Amiri"/>
          <w:color w:val="111111"/>
          <w:sz w:val="28"/>
          <w:sz w:val="28"/>
          <w:szCs w:val="28"/>
          <w:rtl w:val="true"/>
          <w:lang w:bidi="ar-SA"/>
        </w:rPr>
        <w:t xml:space="preserve">للشيخ في كتابي الأخبار </w:t>
      </w:r>
      <w:r>
        <w:rPr>
          <w:rStyle w:val="FootnoteAnchor"/>
          <w:rtl w:val="true"/>
        </w:rPr>
        <w:footnoteReference w:id="729"/>
      </w:r>
      <w:r>
        <w:rPr>
          <w:rFonts w:ascii="Amiri" w:hAnsi="Amiri" w:eastAsia="Amiri" w:cs="Amiri"/>
          <w:color w:val="111111"/>
          <w:sz w:val="28"/>
          <w:sz w:val="28"/>
          <w:szCs w:val="28"/>
          <w:rtl w:val="true"/>
          <w:lang w:bidi="ar-SA"/>
        </w:rPr>
        <w:t>، و العبارة فيهما ليست نصّاً في المطلوب، بل غاية ما فيها عدم وجوب إعادة الصلاة و الوضوء إن توضّأ بماء بئر لم يتغيّر بالنجاسة و صلّى سهواً، بل كلامه في التهذيب يقضي و إن تهافت بحكمه بالنجاسة، و هو الذي أوهم الجماعة فمالوا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w:t>
      </w:r>
      <w:r>
        <w:rPr>
          <w:rStyle w:val="FootnoteAnchor"/>
          <w:rtl w:val="true"/>
        </w:rPr>
        <w:footnoteReference w:id="730"/>
      </w:r>
      <w:r>
        <w:rPr>
          <w:rFonts w:ascii="Amiri" w:hAnsi="Amiri" w:eastAsia="Amiri" w:cs="Amiri"/>
          <w:color w:val="111111"/>
          <w:sz w:val="28"/>
          <w:sz w:val="28"/>
          <w:szCs w:val="28"/>
          <w:rtl w:val="true"/>
          <w:lang w:bidi="ar-SA"/>
        </w:rPr>
        <w:t xml:space="preserve">في أكثر كتبه غيره قال برجحان النزح المجامع لجواز الترك، و خير ما تُحمَل عليه عبارتا الشيخ رحمه الله إنّه يقول بالنجاسة و الإجزاء في الأمر الظاهري الشرعي عدم الإعادة في الوقت، و أنّه لا تضادّ بين عدم الإعادة و بين النجاسة و عليه جماعة من العلماء </w:t>
      </w:r>
      <w:r>
        <w:rPr>
          <w:rStyle w:val="FootnoteAnchor"/>
          <w:rtl w:val="true"/>
        </w:rPr>
        <w:footnoteReference w:id="731"/>
      </w:r>
      <w:r>
        <w:rPr>
          <w:rFonts w:ascii="Amiri" w:hAnsi="Amiri" w:eastAsia="Amiri" w:cs="Amiri"/>
          <w:color w:val="111111"/>
          <w:sz w:val="28"/>
          <w:sz w:val="28"/>
          <w:szCs w:val="28"/>
          <w:rtl w:val="true"/>
          <w:lang w:bidi="ar-SA"/>
        </w:rPr>
        <w:t>، و قرائن ذلك في عبارتيه ظاهرة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الذي ينبغي أن يعمل عليه هو أنَّه إذا استعمل هذه المياه قبل العلم بحصول النجاسة فيها فإنّه لا يلزم إعادة الوضوء و الصلاة، و متى استعملها مع العلم بذلك لزم إعادتهما </w:t>
      </w:r>
      <w:r>
        <w:rPr>
          <w:rStyle w:val="FootnoteAnchor"/>
          <w:rtl w:val="true"/>
        </w:rPr>
        <w:footnoteReference w:id="7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لخبر إسحاق بن عمّار و جعله مؤيّداً لمقالته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الذي يجد في إنائه فأرة و قد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يتغيّر شيء من ذلك فلا يجب إعادة شيء و إن كان لا يجوز استعماله إلّا بعد تطهيره، و الذي يدلّ على ذلك أنّه مأمور باستعمال المياه الطاهرة في هذه الأشياء، فمتى استعمل النجسة فيجب أن لا يكون مُجزياً عنه؛ لأنه خلاف المأمور به </w:t>
      </w:r>
      <w:r>
        <w:rPr>
          <w:rStyle w:val="FootnoteAnchor"/>
          <w:rtl w:val="true"/>
        </w:rPr>
        <w:footnoteReference w:id="7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الآبار مخالف لحكم الغدران، و إنّما تنجّس بما يقع فيها، و تطهر بنزح شيء منها سواء كان الماء قليلاً أو كثيراً </w:t>
      </w:r>
      <w:r>
        <w:rPr>
          <w:rStyle w:val="FootnoteAnchor"/>
          <w:rtl w:val="true"/>
        </w:rPr>
        <w:footnoteReference w:id="7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ذكرناه و إن لم يجر في غسل الثوب مع أنّ ظاهره مساواته للوضوء بها، لكن من أمعن يرى أنّ غسل الثياب إنّما أتى به للزوم تجديد غسله، أو لبيان بقائه على النجاسة فقط، فهو من الذاهبين إليها جزماً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البصروي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قليلها يتنجّس بالملاقاة كالقليل، و كثيرها كالكثير </w:t>
      </w:r>
      <w:r>
        <w:rPr>
          <w:rStyle w:val="FootnoteAnchor"/>
          <w:rtl w:val="true"/>
        </w:rPr>
        <w:footnoteReference w:id="736"/>
      </w:r>
      <w:r>
        <w:rPr>
          <w:rFonts w:ascii="IRNazanin" w:hAnsi="IRNazanin" w:eastAsia="IRNazanin"/>
          <w:color w:val="111111"/>
          <w:sz w:val="28"/>
          <w:sz w:val="28"/>
          <w:szCs w:val="28"/>
          <w:rtl w:val="true"/>
          <w:lang w:bidi="fa-IR"/>
        </w:rPr>
        <w:t xml:space="preserve">، و لعلّ ظاهر الجمل </w:t>
      </w:r>
      <w:r>
        <w:rPr>
          <w:rStyle w:val="FootnoteAnchor"/>
          <w:rtl w:val="true"/>
        </w:rPr>
        <w:footnoteReference w:id="737"/>
      </w:r>
      <w:r>
        <w:rPr>
          <w:rFonts w:ascii="Amiri" w:hAnsi="Amiri" w:eastAsia="Amiri" w:cs="Amiri"/>
          <w:color w:val="111111"/>
          <w:sz w:val="28"/>
          <w:sz w:val="28"/>
          <w:szCs w:val="28"/>
          <w:rtl w:val="true"/>
          <w:lang w:bidi="ar-SA"/>
        </w:rPr>
        <w:t xml:space="preserve">عليه، فإنّه أطلق تنجيس القليل و عدم تنجيس الكثير بالملاقاة و ما فصّل، و يلزم الفاضل بهذا القول فيها، و الأستاذ </w:t>
      </w:r>
      <w:r>
        <w:rPr>
          <w:rStyle w:val="FootnoteAnchor"/>
          <w:rtl w:val="true"/>
        </w:rPr>
        <w:footnoteReference w:id="738"/>
      </w:r>
      <w:r>
        <w:rPr>
          <w:rFonts w:ascii="Amiri" w:hAnsi="Amiri" w:eastAsia="Amiri" w:cs="Amiri"/>
          <w:color w:val="111111"/>
          <w:sz w:val="28"/>
          <w:sz w:val="28"/>
          <w:szCs w:val="28"/>
          <w:rtl w:val="true"/>
          <w:lang w:bidi="ar-SA"/>
        </w:rPr>
        <w:t xml:space="preserve">نظر في الملازمة المعتضدة بظاهر المنتهى </w:t>
      </w:r>
      <w:r>
        <w:rPr>
          <w:rStyle w:val="FootnoteAnchor"/>
          <w:rtl w:val="true"/>
        </w:rPr>
        <w:footnoteReference w:id="739"/>
      </w:r>
      <w:r>
        <w:rPr>
          <w:rFonts w:ascii="Amiri" w:hAnsi="Amiri" w:eastAsia="Amiri" w:cs="Amiri"/>
          <w:color w:val="111111"/>
          <w:sz w:val="28"/>
          <w:sz w:val="28"/>
          <w:szCs w:val="28"/>
          <w:rtl w:val="true"/>
          <w:lang w:bidi="ar-SA"/>
        </w:rPr>
        <w:t xml:space="preserve">و المؤيّدة باشتراك دليله بين الجاري و البئر و عسى أنّ وجهه ما في الحدائق </w:t>
      </w:r>
      <w:r>
        <w:rPr>
          <w:rStyle w:val="FootnoteAnchor"/>
          <w:rtl w:val="true"/>
        </w:rPr>
        <w:footnoteReference w:id="740"/>
      </w:r>
      <w:r>
        <w:rPr>
          <w:rFonts w:ascii="Amiri" w:hAnsi="Amiri" w:eastAsia="Amiri" w:cs="Amiri"/>
          <w:color w:val="111111"/>
          <w:sz w:val="28"/>
          <w:sz w:val="28"/>
          <w:szCs w:val="28"/>
          <w:rtl w:val="true"/>
          <w:lang w:bidi="ar-SA"/>
        </w:rPr>
        <w:t xml:space="preserve">بأنَّه لو ترتّب </w:t>
      </w:r>
    </w:p>
    <w:p>
      <w:pPr>
        <w:pStyle w:val="BookText"/>
        <w:rPr/>
      </w:pPr>
      <w:r>
        <w:rPr>
          <w:rFonts w:ascii="Amiri" w:hAnsi="Amiri" w:eastAsia="Amiri" w:cs="Amiri"/>
          <w:color w:val="111111"/>
          <w:sz w:val="28"/>
          <w:sz w:val="28"/>
          <w:szCs w:val="28"/>
          <w:rtl w:val="true"/>
          <w:lang w:bidi="ar-SA"/>
        </w:rPr>
        <w:t>حكم البئر على الجاري لورد الإلزام على القول المشهور أيضاً،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انقلاب الشهرة يسقط النظر، و التفكيك في الخبر و إن أمكن لكن خلاف الأصل، و السبيل فيهما به متّحد، و تصريحه </w:t>
      </w:r>
      <w:r>
        <w:rPr>
          <w:rStyle w:val="FootnoteAnchor"/>
          <w:rtl w:val="true"/>
        </w:rPr>
        <w:footnoteReference w:id="741"/>
      </w:r>
      <w:r>
        <w:rPr>
          <w:rFonts w:ascii="Amiri" w:hAnsi="Amiri" w:eastAsia="Amiri" w:cs="Amiri"/>
          <w:color w:val="111111"/>
          <w:sz w:val="28"/>
          <w:sz w:val="28"/>
          <w:szCs w:val="28"/>
          <w:rtl w:val="true"/>
          <w:lang w:bidi="ar-SA"/>
        </w:rPr>
        <w:t>بعدم الفرق في بعض كتبه لو صحّ فهو لعدم القول بالفصل لو صلح دليلاً للتساوي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الماتن </w:t>
      </w:r>
      <w:r>
        <w:rPr>
          <w:rStyle w:val="FootnoteAnchor"/>
          <w:rtl w:val="true"/>
        </w:rPr>
        <w:footnoteReference w:id="742"/>
      </w:r>
      <w:r>
        <w:rPr>
          <w:rFonts w:ascii="Amiri" w:hAnsi="Amiri" w:eastAsia="Amiri" w:cs="Amiri"/>
          <w:color w:val="111111"/>
          <w:sz w:val="28"/>
          <w:sz w:val="28"/>
          <w:szCs w:val="28"/>
          <w:rtl w:val="true"/>
          <w:lang w:bidi="ar-SA"/>
        </w:rPr>
        <w:t>عن الجعفي رحمه الله و هو اعتبار ذراعين في أبعاد البئر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مغلوب على حقّه كالرابع؛ للإطلاقات و العمومات السابقة في القليل و الكثير، و فرديّة قائله لا يوهنه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المنتقى </w:t>
      </w:r>
      <w:r>
        <w:rPr>
          <w:rStyle w:val="FootnoteAnchor"/>
          <w:rtl w:val="true"/>
        </w:rPr>
        <w:footnoteReference w:id="743"/>
      </w:r>
      <w:r>
        <w:rPr>
          <w:rFonts w:ascii="Amiri" w:hAnsi="Amiri" w:eastAsia="Amiri" w:cs="Amiri"/>
          <w:color w:val="111111"/>
          <w:sz w:val="28"/>
          <w:sz w:val="28"/>
          <w:szCs w:val="28"/>
          <w:rtl w:val="true"/>
          <w:lang w:bidi="ar-SA"/>
        </w:rPr>
        <w:t xml:space="preserve">نسبه لجماعة غير البصروي، و الشهرة متعارضة، و الحديث ذو شجون و مؤول إذ انفعال القليل أصلٌ أصيل كعدم انفعال الكثير، و استثناء البئر منهما على القولين عليل، و قضيّة الجمع حمل الحاكم بالطهارة من الأخبار على الكثير و بالنجاسة على القليل، و خبر الزنبيل </w:t>
      </w:r>
      <w:r>
        <w:rPr>
          <w:rStyle w:val="FootnoteAnchor"/>
          <w:rtl w:val="true"/>
        </w:rPr>
        <w:footnoteReference w:id="744"/>
      </w:r>
      <w:r>
        <w:rPr>
          <w:rFonts w:ascii="Amiri" w:hAnsi="Amiri" w:eastAsia="Amiri" w:cs="Amiri"/>
          <w:color w:val="111111"/>
          <w:sz w:val="28"/>
          <w:sz w:val="28"/>
          <w:szCs w:val="28"/>
          <w:rtl w:val="true"/>
          <w:lang w:bidi="ar-SA"/>
        </w:rPr>
        <w:t xml:space="preserve">و الركي </w:t>
      </w:r>
      <w:r>
        <w:rPr>
          <w:rStyle w:val="FootnoteAnchor"/>
          <w:rtl w:val="true"/>
        </w:rPr>
        <w:footnoteReference w:id="745"/>
      </w:r>
      <w:r>
        <w:rPr>
          <w:rFonts w:ascii="IRNazanin" w:hAnsi="IRNazanin" w:eastAsia="IRNazanin"/>
          <w:color w:val="111111"/>
          <w:sz w:val="28"/>
          <w:sz w:val="28"/>
          <w:szCs w:val="28"/>
          <w:rtl w:val="true"/>
          <w:lang w:bidi="fa-IR"/>
        </w:rPr>
        <w:t xml:space="preserve">و عبارة الرّضا عیله السلام في فقهه </w:t>
      </w:r>
      <w:r>
        <w:rPr>
          <w:rStyle w:val="FootnoteAnchor"/>
          <w:rtl w:val="true"/>
        </w:rPr>
        <w:footnoteReference w:id="746"/>
      </w:r>
      <w:r>
        <w:rPr>
          <w:rFonts w:ascii="Amiri" w:hAnsi="Amiri" w:eastAsia="Amiri" w:cs="Amiri"/>
          <w:color w:val="111111"/>
          <w:sz w:val="28"/>
          <w:sz w:val="28"/>
          <w:szCs w:val="28"/>
          <w:rtl w:val="true"/>
          <w:lang w:bidi="ar-SA"/>
        </w:rPr>
        <w:t>أقوى شاهد، و لا ترجيح لأخبار الطهارة بعد قوّة المفهوم و إمكان حملها على الكثير، و شهرة المتأخّرين أو إجماعهم بعد تواتر أخبار النزح الظاهرة بالنجاسة مقبولة لكن في غير القليل، فمن لم يصرّح منهم بالعموم لا شاهد لحمل كلامه عليه إلّا بقول المصرّح به و هو كذلك ليس بقرينة صالحة للحمل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أطنب العلّامة الأكبر جدّي في كشف الغطاء </w:t>
      </w:r>
      <w:r>
        <w:rPr>
          <w:rStyle w:val="FootnoteAnchor"/>
          <w:rtl w:val="true"/>
        </w:rPr>
        <w:footnoteReference w:id="747"/>
      </w:r>
      <w:r>
        <w:rPr>
          <w:rFonts w:ascii="Amiri" w:hAnsi="Amiri" w:eastAsia="Amiri" w:cs="Amiri"/>
          <w:color w:val="111111"/>
          <w:sz w:val="28"/>
          <w:sz w:val="28"/>
          <w:szCs w:val="28"/>
          <w:rtl w:val="true"/>
          <w:lang w:bidi="ar-SA"/>
        </w:rPr>
        <w:t xml:space="preserve">في أحكام ما عليه ظاهر المتأخّرين، و يصلح بعض ما ذكر لنا دليلاً و بعضه بيّن ردّه؛ لأنه يؤول إلى الاستحسان الذي لا يناط به </w:t>
      </w:r>
    </w:p>
    <w:p>
      <w:pPr>
        <w:pStyle w:val="BookText"/>
        <w:rPr/>
      </w:pPr>
      <w:r>
        <w:rPr>
          <w:rFonts w:ascii="IRNazanin" w:hAnsi="IRNazanin" w:eastAsia="IRNazanin"/>
          <w:color w:val="111111"/>
          <w:sz w:val="28"/>
          <w:sz w:val="28"/>
          <w:szCs w:val="28"/>
          <w:rtl w:val="true"/>
          <w:lang w:bidi="fa-IR"/>
        </w:rPr>
        <w:t>الحکم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يكفي في ردّ القولين إعمال أدلّتهما و الجمع بإنكار عمومهما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بابتنائه على الإجزاء في مثله، و هي مسألة أصولية، و الخلاف فيها مذكور هناك </w:t>
      </w:r>
      <w:r>
        <w:rPr>
          <w:rStyle w:val="FootnoteAnchor"/>
          <w:rtl w:val="true"/>
        </w:rPr>
        <w:footnoteReference w:id="748"/>
      </w:r>
      <w:r>
        <w:rPr>
          <w:rFonts w:ascii="Amiri" w:hAnsi="Amiri" w:eastAsia="Amiri" w:cs="Amiri"/>
          <w:color w:val="111111"/>
          <w:sz w:val="28"/>
          <w:sz w:val="28"/>
          <w:szCs w:val="28"/>
          <w:rtl w:val="true"/>
          <w:lang w:bidi="ar-SA"/>
        </w:rPr>
        <w:t xml:space="preserve">، و يحتمل أنّ حكمه بالعفو و الغسل هو في القليل من البئر، فيوافقنا في أصل الحكم، فإنّ المتتبّع يرى الشيخ في كتابي الأخبار </w:t>
      </w:r>
      <w:r>
        <w:rPr>
          <w:rStyle w:val="FootnoteAnchor"/>
          <w:rtl w:val="true"/>
        </w:rPr>
        <w:footnoteReference w:id="749"/>
      </w:r>
      <w:r>
        <w:rPr>
          <w:rFonts w:ascii="Amiri" w:hAnsi="Amiri" w:eastAsia="Amiri" w:cs="Amiri"/>
          <w:color w:val="111111"/>
          <w:sz w:val="28"/>
          <w:sz w:val="28"/>
          <w:szCs w:val="28"/>
          <w:rtl w:val="true"/>
          <w:lang w:bidi="ar-SA"/>
        </w:rPr>
        <w:t xml:space="preserve">و المرتضى في الانتصار </w:t>
      </w:r>
      <w:r>
        <w:rPr>
          <w:rStyle w:val="FootnoteAnchor"/>
          <w:rtl w:val="true"/>
        </w:rPr>
        <w:footnoteReference w:id="750"/>
      </w:r>
      <w:r>
        <w:rPr>
          <w:rFonts w:ascii="Amiri" w:hAnsi="Amiri" w:eastAsia="Amiri" w:cs="Amiri"/>
          <w:color w:val="111111"/>
          <w:sz w:val="28"/>
          <w:sz w:val="28"/>
          <w:szCs w:val="28"/>
          <w:rtl w:val="true"/>
          <w:lang w:bidi="ar-SA"/>
        </w:rPr>
        <w:t xml:space="preserve">ظاهراً و ابن زُهرة في الغنية </w:t>
      </w:r>
      <w:r>
        <w:rPr>
          <w:rStyle w:val="FootnoteAnchor"/>
          <w:rtl w:val="true"/>
        </w:rPr>
        <w:footnoteReference w:id="751"/>
      </w:r>
      <w:r>
        <w:rPr>
          <w:rFonts w:ascii="Amiri" w:hAnsi="Amiri" w:eastAsia="Amiri" w:cs="Amiri"/>
          <w:color w:val="111111"/>
          <w:sz w:val="28"/>
          <w:sz w:val="28"/>
          <w:szCs w:val="28"/>
          <w:rtl w:val="true"/>
          <w:lang w:bidi="ar-SA"/>
        </w:rPr>
        <w:t xml:space="preserve">و المحقّق في المصريّات </w:t>
      </w:r>
      <w:r>
        <w:rPr>
          <w:rStyle w:val="FootnoteAnchor"/>
          <w:rtl w:val="true"/>
        </w:rPr>
        <w:footnoteReference w:id="752"/>
      </w:r>
      <w:r>
        <w:rPr>
          <w:rFonts w:ascii="Amiri" w:hAnsi="Amiri" w:eastAsia="Amiri" w:cs="Amiri"/>
          <w:color w:val="111111"/>
          <w:sz w:val="28"/>
          <w:sz w:val="28"/>
          <w:szCs w:val="28"/>
          <w:rtl w:val="true"/>
          <w:lang w:bidi="ar-SA"/>
        </w:rPr>
        <w:t>صريحاً في دعوى الإجماع على عدم اعتبار الكثرة و القلّة في البئر، فيصلح حمل كلامهما على اختيارنا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لا حجّة له 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حقّقناه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ملاقاته الكُرّ على الوجه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مطلقاً كما هو ظاهر المتن، أو بشروطه الثلاثة،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السابق يشمل القليل و الكثير كان كالتكرير المنافي لإيجازه، و ظاهر إطلاقهما في مطهّريّة الكرّ هو بعد إحرازه موضوعاً بشروطه، فلو شكّ في كون الماء كرّاً فالأصل عدم ترتّب الآثار المترتّبة على موضوعه، فلا يرتفع به الخَبَث المشترط رفعه به سواء كان مسبوقاً بالقلّة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يحكم بالطهارة حالة الشكّ فيها؛ إذ هي ليست من أحكام الكُرّ، فيرتفع الحَدَث بالكرّ المشكوك؛ لأنه من الأحكام المشتركة بين القليل مطلقاً و الكثير بعد إحراز الطهارة مطلقاً و لو بالأصل، و الخَبَث إذا كان كذلك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فلو وجد فيه نجاسة يحتمل الحكم بنجاسته؛ لأصالة عدم الكرّية، أمّا في </w:t>
      </w:r>
    </w:p>
    <w:p>
      <w:pPr>
        <w:pStyle w:val="BookText"/>
        <w:rPr/>
      </w:pPr>
      <w:r>
        <w:rPr>
          <w:rFonts w:ascii="Amiri" w:hAnsi="Amiri" w:eastAsia="Amiri" w:cs="Amiri"/>
          <w:color w:val="111111"/>
          <w:sz w:val="28"/>
          <w:sz w:val="28"/>
          <w:szCs w:val="28"/>
          <w:rtl w:val="true"/>
          <w:lang w:bidi="ar-SA"/>
        </w:rPr>
        <w:t xml:space="preserve">المسبوق بعدمها فوجهه استصحاب عدم الكرّية الظاهر عرفاً شمول أدلّة الاستصحاب </w:t>
      </w:r>
      <w:r>
        <w:rPr>
          <w:rStyle w:val="FootnoteAnchor"/>
          <w:rtl w:val="true"/>
        </w:rPr>
        <w:footnoteReference w:id="753"/>
      </w:r>
      <w:r>
        <w:rPr>
          <w:rFonts w:ascii="Amiri" w:hAnsi="Amiri" w:eastAsia="Amiri" w:cs="Amiri"/>
          <w:color w:val="111111"/>
          <w:sz w:val="28"/>
          <w:sz w:val="28"/>
          <w:szCs w:val="28"/>
          <w:rtl w:val="true"/>
          <w:lang w:bidi="ar-SA"/>
        </w:rPr>
        <w:t>لمثله و إن كان لم يحرز موضوعه عند التدقيق، و أمّا في غيره فلجهة الرجوع إلى ما أحكمناه أصالة الانفعال عند الشكّ في الكرّية شرطاً كان أو شطراً، حصل الشكّ في مصداقه أم مفهومه كما لو لم يعلم مقدار الموجود أو علم، لكن اختلف في مقدار الكرّ أو في اعتبار اجتماعه و اختلاف سطوح أجزائه و لم يكن إطلاق في لفظ الكرّ يرجع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الوجه في الرجوع إلى الأصل المزبور في جميع الصور جليّ؛ لعوده إلى الشكّ فی التخصيص، إذ استثناء الكُرّ من عموم ما قضى بالانفعال لا بدّ و أن يكون بعد إحرازه إلّا في صورة واحدة، و هي إذا لم يكن مسبوقاً بالقلّة بأن وجد دفعة أو جهلت حالته السابقة؛ لترادف حالَتي القلّة و الكرّية عليه، فيمكن أن لا يرجع فيه إلى عموم الانفعال لما ذكر في الأصول </w:t>
      </w:r>
      <w:r>
        <w:rPr>
          <w:rStyle w:val="FootnoteAnchor"/>
          <w:rtl w:val="true"/>
        </w:rPr>
        <w:footnoteReference w:id="754"/>
      </w:r>
      <w:r>
        <w:rPr>
          <w:rFonts w:ascii="Amiri" w:hAnsi="Amiri" w:eastAsia="Amiri" w:cs="Amiri"/>
          <w:color w:val="111111"/>
          <w:sz w:val="28"/>
          <w:sz w:val="28"/>
          <w:szCs w:val="28"/>
          <w:rtl w:val="true"/>
          <w:lang w:bidi="ar-SA"/>
        </w:rPr>
        <w:t>من أنّ الشكّ فيما علم خروجه لا ضَير في إخراجه عن العموم، و لا يلزم بخروجه مجازٌ أو مخالفةُ ظاهرٍ محوجةٌ إلى القرينة، فلو شكّ في فرد أنَّه زيد العالم أو عمرو بعد الأمر بإكرام العلماء يحكم بخروجه عن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ردّه الأستاذ </w:t>
      </w:r>
      <w:r>
        <w:rPr>
          <w:rStyle w:val="FootnoteAnchor"/>
          <w:rtl w:val="true"/>
        </w:rPr>
        <w:footnoteReference w:id="755"/>
      </w:r>
      <w:r>
        <w:rPr>
          <w:rFonts w:ascii="Amiri" w:hAnsi="Amiri" w:eastAsia="Amiri" w:cs="Amiri"/>
          <w:color w:val="111111"/>
          <w:sz w:val="28"/>
          <w:sz w:val="28"/>
          <w:szCs w:val="28"/>
          <w:rtl w:val="true"/>
          <w:lang w:bidi="ar-SA"/>
        </w:rPr>
        <w:t>بأنّ أصالة عدم وجود الكرّ في هذا المكان يكفي في إثبات عدم الكرّية بناءً على الأصل المثبت و إن لم تجر أصالة عدم الكرّية؛ لعدم تحقّقها سابقاً، أو أنّ الشكّ في تحقّق مصداق المخصّص يوجب الشكّ في ثبوت حكم الخاص له، و الأصل عدم ثبوته، فإذا انتفى حكم الخاص و لو بالأصل ثبت حكم العام؛ إذ يكفي في ثبوت حكم العام عدم العلم بثبوت حكم الخاص دون العكس، فتأمل، انتهى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فرّق بأنّ الأمر دائر بين المتباينين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زيداً، لو تردّد زيد بينه و بين عمرو العالم، و بين الأقلّ و الأكثر في المقام المتيقّن خروج المعلوم، أو أنّ المخصّص هنا كالمانع عن الحكم، و عموم الانفعال كالمقتضي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الشكّ في المانع الأصل عدمه و إن لم يسبق </w:t>
      </w:r>
    </w:p>
    <w:p>
      <w:pPr>
        <w:pStyle w:val="BookText"/>
        <w:rPr/>
      </w:pPr>
      <w:r>
        <w:rPr>
          <w:rFonts w:ascii="Amiri" w:hAnsi="Amiri" w:eastAsia="Amiri" w:cs="Amiri"/>
          <w:color w:val="111111"/>
          <w:sz w:val="28"/>
          <w:sz w:val="28"/>
          <w:szCs w:val="28"/>
          <w:rtl w:val="true"/>
          <w:lang w:bidi="ar-SA"/>
        </w:rPr>
        <w:t xml:space="preserve">ذات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و ليس مثال الإكرام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عنوان المخصّص فيه ليس من قبيل المانع بل هو 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العام عند المتكلّم منقسم إلى قسمين كلّ منهما يقتضي حكماً مغايراً لما يقتضيه الآخر، و لأجل ما ذكرنا أفتى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كالفاضلين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الماء المشكوك في كرّيته؛ نظراً إلى أصالة عدم الكرّية الحاكمة على استصحاب طهارة الماء </w:t>
      </w:r>
      <w:r>
        <w:rPr>
          <w:rStyle w:val="FootnoteAnchor"/>
          <w:rtl w:val="true"/>
        </w:rPr>
        <w:footnoteReference w:id="7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رحمه الله أنّ من سهو الجواهر حكمه بأصالة الطهارة و عدم تنجّس المشكوك بالملاقاة، و أنّه لا مانع من رفع الحَدَث به، لكونه ماءً طاهراً، و حكى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 في ذلك أنّ احتمال الكرّية كافية في حفظ طهارته و عدم تنجّسه، ولكن لا يكفي ذلك في الأحكام المتعلّقة بالكُرّ، كالتطهير به من الأخباث، بوضع المتنجّس في وسطه و نحو ذلك، ثمّ جواز التطهير به على هذا الوجه </w:t>
      </w:r>
      <w:r>
        <w:rPr>
          <w:rStyle w:val="FootnoteAnchor"/>
          <w:rtl w:val="true"/>
        </w:rPr>
        <w:footnoteReference w:id="7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 كلامه بقرينته على أنّ الطهارة و الانفعال حكمان للقلّة و الكثرة، و هما وجوديّان، فلو شكّ في الماء المردّد بينهما بنى على ما يقتضيه الأصل من حكميهما؛ فمن بنى على أصالة الاحتياط فيما لا نصّ فيه رجع له، و من بنى على عدمه لزمه أن يعلّق الحكم على وصف القلّة، و لمّا كانت مشكوكة انتفى 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أوهنه بأنّ القلّة أمرٌ عدميّ، لأنّ القليل غير الكثير، ففصله عدميّ، ثمّ ترتّب الحكم علیه مشكل؛ لعدم نهوض الدليل عليه، و إنّما رتّب الشارع الحكم على ما ليس بكرّ، فالسبب في عدم الانفعال هو الكرّية، و مع الشكّ فيها يحكم بعدم المسبّب؛ لأصالة عدم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فلا ينبغي الإشكال في الحكم بالنجاسة مع الشكّ في الكرّية مطلقاً، نعم هذا الحكم في الصورة الأخيرة لا يخلو من إشكال </w:t>
      </w:r>
      <w:r>
        <w:rPr>
          <w:rStyle w:val="FootnoteAnchor"/>
          <w:rtl w:val="true"/>
        </w:rPr>
        <w:footnoteReference w:id="75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أحسن تحقيقه، غير أنّي أرى الطهارة في غير المشكوك المسبوق بالقلّة مطلقاً، لعدم </w:t>
      </w:r>
    </w:p>
    <w:p>
      <w:pPr>
        <w:pStyle w:val="BookText"/>
        <w:rPr/>
      </w:pPr>
      <w:r>
        <w:rPr>
          <w:rFonts w:ascii="Amiri" w:hAnsi="Amiri" w:eastAsia="Amiri" w:cs="Amiri"/>
          <w:color w:val="111111"/>
          <w:sz w:val="28"/>
          <w:sz w:val="28"/>
          <w:szCs w:val="28"/>
          <w:rtl w:val="true"/>
          <w:lang w:bidi="ar-SA"/>
        </w:rPr>
        <w:t xml:space="preserve">العلم بالحالة السابقة، و ليس لأصالة العدم معنى يُعرَف سوى استصحابه الموقوف على إحرازه في السابق، من غير فرق بين جعل القلّة شرطاً أو الكرّية مانعة عن الانفعال، و الأوّل واضح، و الثاني المستفاد من تعليق الحكم بالتنجيس في الخبر على عدم الكرّية فيقضى بمانعيّتها أنَّه مع الشكّ في المانع لا يؤثّر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و إن كان محرزاً كما حُقِّق في محلّه في ردّ القائل بأنّ المقتضي إذا أحرز لا يبطل أثره الشكّ في المانع، و لا يحتاج إلى استصحاب عدمه في إحرازه؛ لبناء العقلاء على ذلك، فإنّا أنكرنا هذا البناء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أنّ الكرّية مانعة، أو أنّ القلّة شرط، و إيكال المسألة على ذلك كما يظهر من الأستاذ، لعلّه قليل الجدوى، و إنّما يجدي في دوران الأمر بين مانعيّة الشيء و شرطيّة ضدّه كالفسق و العدالة لو حكمنا بتضادّهما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إمكان التفرقة بينهما بأنّ أصالة عدم الكرّية غير جارية؛ لعدم سبقها بالعدم على فرض المانعيّة دون ما لو قلنا بشرطيّة القلّة؛ إذ يكون السبب المؤثّر هو الملاقاة حال القلّة، و الأصل عدمه المعلوم في الأزل، مدفوعٌ باقتضاء هذا الأصل الطهارة أيضاً لو جرى، فلا ثمرة عمليّة بالفرق، وبعدم نفعه في المقام إلا على الأصل المثبت؛ إذ المسبوق بالعدم هو ملاقاة النجاسة للماء القليل، وهو لا يثبت عدم ملاقاتها للماء المذكور في حال القلّة؛ لأنه ليس من آثاره ، وكذا لا يترتب عدم كون الماء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ما نعيّة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وجود الكُرّ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الأصول الموضوعيّة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العمومات القاضية باعتبار الكرّية و الدالّة على طهارة الماء فعساها لا تجري هنا من غير فرق أيضاً بين الوجهين، فإنّ العمومات لا تقضي بإحراز الموضوعات،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متغيّر حادث، لا يشخّص ما حصل الشكّ في تغيّره، فلو تبيّن بأصلٍ من الأصول دخل في تلك الكبرى، فالأقوى هو القول بالطهارة إلّا في المسبوق بالقلّة؛ للاستصحاب بين القلّة و عدم الكرّية فالأحرى النجاسة فيه، و الظاهر أيضاً هو الحكم بالطهارة مطلقاً في الكُرّ الذي </w:t>
      </w:r>
    </w:p>
    <w:p>
      <w:pPr>
        <w:pStyle w:val="BookText"/>
        <w:rPr/>
      </w:pPr>
      <w:r>
        <w:rPr>
          <w:rFonts w:ascii="Amiri" w:hAnsi="Amiri" w:eastAsia="Amiri" w:cs="Amiri"/>
          <w:color w:val="111111"/>
          <w:sz w:val="28"/>
          <w:sz w:val="28"/>
          <w:szCs w:val="28"/>
          <w:rtl w:val="true"/>
          <w:lang w:bidi="ar-SA"/>
        </w:rPr>
        <w:t xml:space="preserve">وجدت فيه نجاسة جهل سبقها على الكرّية تبعاً لإطلاق القواعد </w:t>
      </w:r>
      <w:r>
        <w:rPr>
          <w:rStyle w:val="FootnoteAnchor"/>
          <w:rtl w:val="true"/>
        </w:rPr>
        <w:footnoteReference w:id="759"/>
      </w:r>
      <w:r>
        <w:rPr>
          <w:rFonts w:ascii="Amiri" w:hAnsi="Amiri" w:eastAsia="Amiri" w:cs="Amiri"/>
          <w:color w:val="111111"/>
          <w:sz w:val="28"/>
          <w:sz w:val="28"/>
          <w:szCs w:val="28"/>
          <w:rtl w:val="true"/>
          <w:lang w:bidi="ar-SA"/>
        </w:rPr>
        <w:t xml:space="preserve">المسبوق بإجماع السيد </w:t>
      </w:r>
      <w:r>
        <w:rPr>
          <w:rStyle w:val="FootnoteAnchor"/>
          <w:rtl w:val="true"/>
        </w:rPr>
        <w:footnoteReference w:id="760"/>
      </w:r>
      <w:r>
        <w:rPr>
          <w:rFonts w:ascii="Amiri" w:hAnsi="Amiri" w:eastAsia="Amiri" w:cs="Amiri"/>
          <w:color w:val="111111"/>
          <w:sz w:val="28"/>
          <w:sz w:val="28"/>
          <w:szCs w:val="28"/>
          <w:rtl w:val="true"/>
          <w:lang w:bidi="ar-SA"/>
        </w:rPr>
        <w:t>المعترف به، و للأصل من دون معارض و عدم الرَّيب فيه لو يعلم في زمان مّا عدم الكرّية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علم بعدمها في زمان بأن جهل تاريخها فالظاهر دخول ذلك في الإجماع </w:t>
      </w:r>
      <w:r>
        <w:rPr>
          <w:rStyle w:val="FootnoteAnchor"/>
          <w:rtl w:val="true"/>
        </w:rPr>
        <w:footnoteReference w:id="761"/>
      </w:r>
      <w:r>
        <w:rPr>
          <w:rFonts w:ascii="Amiri" w:hAnsi="Amiri" w:eastAsia="Amiri" w:cs="Amiri"/>
          <w:color w:val="111111"/>
          <w:sz w:val="28"/>
          <w:sz w:val="28"/>
          <w:szCs w:val="28"/>
          <w:rtl w:val="true"/>
          <w:lang w:bidi="ar-SA"/>
        </w:rPr>
        <w:t>و شمول كلامهم للصورتين، و عساه لجهة أنّ الأصل في كلّ مجهولَي التاريخ تعارض الأصلين و تساقطهما و الرجوع لثالث، و هو هنا الطهارة، ولكن المعارضة المرقومة تتّجه لو حكمنا بمانعيّة الكرّية و اقتضاء الملاقاة و إلّا فلو كانت القلّة شرطاً، و هي حصّة وجوديّة، فأصالة عدم الملاقاة في حال القلّة سليمة عن المعارض إلّا على الأصل المثبت، فإنّ أصالة عدم الكرّية حين الملاقاة لا يثبت الملاقاة حال القلّة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يشكل الفرق حينئذٍ ما بين الصورة المفروضة و بين ما علم بتاريخ الملاقاة و شكّ في سبق الكرّية و عدمها، فإنّ ظاهرهم الحكم بالنجاسة فيه، و ليس لهم قاضٍ به سوی استصحاب القلّة، و ما ذلك إلَّا لأنّ الحكم إذا كان مركباً من قيدين أحدهما معلوم بالوجدان فإنّه يكفي في ترتّب الحكم استصحاب القيد الآخر كغسل الثوب في الماء المستصحب الطهارة فإنّ، المعلوم هو الغسل، و الطهارة بالاستصحاب و الحكم الشرعي محمول على الغسل بماء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فالمقارنة واسطة، و ما نحن فيه كذلك؛ إذ الملاقاة للنجاسة معلومة، و الشك حصل في التقدّم و التأخّر، فاستصحاب القلّة كافٍ، و الحكم الشرعي هو نجاسة الماء المحمول على يقين الملاقاة و مستصحب القلّة، و لا ضير فيه كسابقه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ذلك قد يجري حتبى لو قلنا بمانعيّة الكرّية مع كون القلّة غير الكثرة كما هو ظاهر خبر البلوغ، و يقرّر بأنّ أصالة عدم الكرّية في زمان الملاقاة موجب للنجاسة، و لا يثبت </w:t>
      </w:r>
    </w:p>
    <w:p>
      <w:pPr>
        <w:pStyle w:val="BookText"/>
        <w:rPr/>
      </w:pPr>
      <w:r>
        <w:rPr>
          <w:rFonts w:ascii="Amiri" w:hAnsi="Amiri" w:eastAsia="Amiri" w:cs="Amiri"/>
          <w:color w:val="111111"/>
          <w:sz w:val="28"/>
          <w:sz w:val="28"/>
          <w:szCs w:val="28"/>
          <w:rtl w:val="true"/>
          <w:lang w:bidi="ar-SA"/>
        </w:rPr>
        <w:t>الكرّية أصالة عدم الملاقاة في زمان القلّة إلَّا بمثبت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النجاسة قويّة للأصل، لكنّه موقوف على منع الإجماع على الطهارة مطلقاً، أو حمله على صورة الشكّ مع عدم العلم بالحالة السابقة مطلقاً، أو يحكم بعدم استفادة مانعيّة الكرّ من الأدلّة، أو أنّ أصالة عدم الكرّية غير جارية؛ لجهلها في زمن الملاقاة، فيرجع إلى الطهارة، إلَّا أنّ التأمّل يقضي بثبوت تعارض الأصلين، فلا محصّل لهذا الكلام، و عليه الأستاذ رحمه الله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لو حصل الشكّ في موضوعه؛ للاشتباه في بلوغه حدّه بعد تشخيص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حصل الشكّ به للاشتباه في معناه، كما لو شكّ في أنّ تساوي السطوح معتبر في صدقه الشرعي أم لا، أو أنّ المعتبر فيه الرطل العراقي أو المدني، فالظاهر أنّ المرجع فيه إلى عموم </w:t>
      </w:r>
      <w:r>
        <w:rPr>
          <w:rStyle w:val="FootnoteAnchor"/>
          <w:rtl w:val="true"/>
        </w:rPr>
        <w:footnoteReference w:id="763"/>
      </w:r>
      <w:r>
        <w:rPr>
          <w:rFonts w:ascii="Amiri" w:hAnsi="Amiri" w:eastAsia="Amiri" w:cs="Amiri"/>
          <w:color w:val="111111"/>
          <w:sz w:val="28"/>
          <w:sz w:val="28"/>
          <w:szCs w:val="28"/>
          <w:rtl w:val="true"/>
          <w:lang w:bidi="ar-SA"/>
        </w:rPr>
        <w:t xml:space="preserve">أدلّة الانفعال دون عمومات </w:t>
      </w:r>
      <w:r>
        <w:rPr>
          <w:rStyle w:val="FootnoteAnchor"/>
          <w:rtl w:val="true"/>
        </w:rPr>
        <w:footnoteReference w:id="764"/>
      </w:r>
      <w:r>
        <w:rPr>
          <w:rFonts w:ascii="Amiri" w:hAnsi="Amiri" w:eastAsia="Amiri" w:cs="Amiri"/>
          <w:color w:val="111111"/>
          <w:sz w:val="28"/>
          <w:sz w:val="28"/>
          <w:szCs w:val="28"/>
          <w:rtl w:val="true"/>
          <w:lang w:bidi="ar-SA"/>
        </w:rPr>
        <w:t>الطهارة التي عرضها التخصيص، و كان هذا أصل أصيل في الأدلّة المتدرّجة، فإنّ المرجع عند الشكّ في كلّ مرتبة إلى ما فوقها حتّى ينتهي إلى أعلى المراتب إذا كان الشكّ المفهومي بين الأقلّ و الأكثر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 أدلّة الانفعال ليست إلّا مفاهيم الصحاح المعلّقة عدم التنجيس على الكرّية، فإذا فرض إجمال مفهوم الكرّ سرى الإجمال إلى منطوق تلك الأخبار، فيلحقه إجمال مفهومه هذه الجهة، مضافاً إلى ما مرّ من توقّف نبذة من الأصحاب في عموم هذا المفهوم، مدفوعٌ بالتفكّر في سالف كلماتنا مع عدم انحصار ما قضى بالانفعال فيها فقط، فإنّ جملة من الأخبار قضَت بانفعال مطلق الماء بملاقاة النجس و الإناء و ما استثنى الكثير فيها، أو اشترطت المادّة في الطهارة بها، بناءً على صحّة السند و على أنّ الاستثناء و الشرط المخصّص بالمنفصل دون المتّصل الساري إجماله إلى العام و على إلغاء خصوص النجاسة، أو الاختصاص بالسؤر، و على عدم ظهورها في القليل، إلى غير ذلك ممّا يسهل الجواب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بملاقاة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أو لم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الكثير المتغيّر، و الجاري قليله و كثيره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بملاقاة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النجاسة بشرط أن يكون ذلك الجاري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التطهير به و لا يطهر إن علا النجس عليه كغير الجاري، لكن الظاهر خلافه و أنّ مطلق رفع الامتياز بينهما يكفي في التطهير، و أيضاً يَطهُرُ و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كُرّاً عند المصنّف و من يقول بمقالته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يطهر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 الغيث عليه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الدلائل </w:t>
      </w:r>
      <w:r>
        <w:rPr>
          <w:rStyle w:val="FootnoteAnchor"/>
          <w:rtl w:val="true"/>
        </w:rPr>
        <w:footnoteReference w:id="765"/>
      </w:r>
      <w:r>
        <w:rPr>
          <w:rFonts w:ascii="Amiri" w:hAnsi="Amiri" w:eastAsia="Amiri" w:cs="Amiri"/>
          <w:color w:val="111111"/>
          <w:sz w:val="28"/>
          <w:sz w:val="28"/>
          <w:szCs w:val="28"/>
          <w:rtl w:val="true"/>
          <w:lang w:bidi="ar-SA"/>
        </w:rPr>
        <w:t>نسبة اعتبار الكرية حال وقوعه إلى الفاضل، فهو كالجاري على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المطر كالجاري حين تقاطره، و في غيرها </w:t>
      </w:r>
      <w:r>
        <w:rPr>
          <w:rStyle w:val="FootnoteAnchor"/>
          <w:rtl w:val="true"/>
        </w:rPr>
        <w:footnoteReference w:id="766"/>
      </w:r>
      <w:r>
        <w:rPr>
          <w:rFonts w:ascii="Amiri" w:hAnsi="Amiri" w:eastAsia="Amiri" w:cs="Amiri"/>
          <w:color w:val="111111"/>
          <w:sz w:val="28"/>
          <w:sz w:val="28"/>
          <w:szCs w:val="28"/>
          <w:rtl w:val="true"/>
          <w:lang w:bidi="ar-SA"/>
        </w:rPr>
        <w:t xml:space="preserve">من زُبره التصريح بأنّ قليله كالكُرّ الجاري، فلا شاهد في التشبيه، و ذيل عبارته ينفي ذلك، و ما أطلقه الشارح هو المشهور الذي عليه العمل و السِّيرَة ولكن قيّده بعض </w:t>
      </w:r>
      <w:r>
        <w:rPr>
          <w:rStyle w:val="FootnoteAnchor"/>
          <w:rtl w:val="true"/>
        </w:rPr>
        <w:footnoteReference w:id="767"/>
      </w:r>
      <w:r>
        <w:rPr>
          <w:rFonts w:ascii="Amiri" w:hAnsi="Amiri" w:eastAsia="Amiri" w:cs="Amiri"/>
          <w:color w:val="111111"/>
          <w:sz w:val="28"/>
          <w:sz w:val="28"/>
          <w:szCs w:val="28"/>
          <w:rtl w:val="true"/>
          <w:lang w:bidi="ar-SA"/>
        </w:rPr>
        <w:t xml:space="preserve">بالتدافع مع فضل و قوّة و إن لم يجرِ من ميزاب بحيث يصدق عليه أنّه ماء مطر، فلا عبرة بالنزول الشامل للقطرة، و عليه جنان الروض </w:t>
      </w:r>
      <w:r>
        <w:rPr>
          <w:rStyle w:val="FootnoteAnchor"/>
          <w:rtl w:val="true"/>
        </w:rPr>
        <w:footnoteReference w:id="768"/>
      </w:r>
      <w:r>
        <w:rPr>
          <w:rFonts w:ascii="Amiri" w:hAnsi="Amiri" w:eastAsia="Amiri" w:cs="Amiri"/>
          <w:color w:val="111111"/>
          <w:sz w:val="28"/>
          <w:sz w:val="28"/>
          <w:szCs w:val="28"/>
          <w:rtl w:val="true"/>
          <w:lang w:bidi="ar-SA"/>
        </w:rPr>
        <w:t xml:space="preserve">و الكركي </w:t>
      </w:r>
      <w:r>
        <w:rPr>
          <w:rStyle w:val="FootnoteAnchor"/>
          <w:rtl w:val="true"/>
        </w:rPr>
        <w:footnoteReference w:id="769"/>
      </w:r>
      <w:r>
        <w:rPr>
          <w:rFonts w:ascii="Amiri" w:hAnsi="Amiri" w:eastAsia="Amiri" w:cs="Amiri"/>
          <w:color w:val="111111"/>
          <w:sz w:val="28"/>
          <w:sz w:val="28"/>
          <w:szCs w:val="28"/>
          <w:rtl w:val="true"/>
          <w:lang w:bidi="ar-SA"/>
        </w:rPr>
        <w:t>في تعليقه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اشترط في الكشف </w:t>
      </w:r>
      <w:r>
        <w:rPr>
          <w:rStyle w:val="FootnoteAnchor"/>
          <w:rtl w:val="true"/>
        </w:rPr>
        <w:footnoteReference w:id="770"/>
      </w:r>
      <w:r>
        <w:rPr>
          <w:rFonts w:ascii="Amiri" w:hAnsi="Amiri" w:eastAsia="Amiri" w:cs="Amiri"/>
          <w:color w:val="111111"/>
          <w:sz w:val="28"/>
          <w:sz w:val="28"/>
          <w:szCs w:val="28"/>
          <w:rtl w:val="true"/>
          <w:lang w:bidi="ar-SA"/>
        </w:rPr>
        <w:t xml:space="preserve">اعتبار جريانه، نحو جريان الماء على الأعضاء من انتقال الأجزاء </w:t>
      </w:r>
    </w:p>
    <w:p>
      <w:pPr>
        <w:pStyle w:val="BookText"/>
        <w:rPr/>
      </w:pPr>
      <w:r>
        <w:rPr>
          <w:rFonts w:ascii="Amiri" w:hAnsi="Amiri" w:eastAsia="Amiri" w:cs="Amiri"/>
          <w:color w:val="111111"/>
          <w:sz w:val="28"/>
          <w:sz w:val="28"/>
          <w:szCs w:val="28"/>
          <w:rtl w:val="true"/>
          <w:lang w:bidi="ar-SA"/>
        </w:rPr>
        <w:t xml:space="preserve">بعضها إلى مكان بعض، و في الحدائق </w:t>
      </w:r>
      <w:r>
        <w:rPr>
          <w:rStyle w:val="FootnoteAnchor"/>
          <w:rtl w:val="true"/>
        </w:rPr>
        <w:footnoteReference w:id="771"/>
      </w:r>
      <w:r>
        <w:rPr>
          <w:rFonts w:ascii="Amiri" w:hAnsi="Amiri" w:eastAsia="Amiri" w:cs="Amiri"/>
          <w:color w:val="111111"/>
          <w:sz w:val="28"/>
          <w:sz w:val="28"/>
          <w:szCs w:val="28"/>
          <w:rtl w:val="true"/>
          <w:lang w:bidi="ar-SA"/>
        </w:rPr>
        <w:t xml:space="preserve">الاكتفاء به، أو الكثرة و إن لم تستلزمه لكن يصلح لأن يجري و إن لم يحصل ذلك بالفعل، و المقدّس </w:t>
      </w:r>
      <w:r>
        <w:rPr>
          <w:rStyle w:val="FootnoteAnchor"/>
          <w:rtl w:val="true"/>
        </w:rPr>
        <w:footnoteReference w:id="772"/>
      </w:r>
      <w:r>
        <w:rPr>
          <w:rFonts w:ascii="Amiri" w:hAnsi="Amiri" w:eastAsia="Amiri" w:cs="Amiri"/>
          <w:color w:val="111111"/>
          <w:sz w:val="28"/>
          <w:sz w:val="28"/>
          <w:szCs w:val="28"/>
          <w:rtl w:val="true"/>
          <w:lang w:bidi="ar-SA"/>
        </w:rPr>
        <w:t xml:space="preserve">كذلك، و عزي للشيخ و ابن حمزة و ابن سعيد في المبسوط </w:t>
      </w:r>
      <w:r>
        <w:rPr>
          <w:rStyle w:val="FootnoteAnchor"/>
          <w:rtl w:val="true"/>
        </w:rPr>
        <w:footnoteReference w:id="773"/>
      </w:r>
      <w:r>
        <w:rPr>
          <w:rFonts w:ascii="Amiri" w:hAnsi="Amiri" w:eastAsia="Amiri" w:cs="Amiri"/>
          <w:color w:val="111111"/>
          <w:sz w:val="28"/>
          <w:sz w:val="28"/>
          <w:szCs w:val="28"/>
          <w:rtl w:val="true"/>
          <w:lang w:bidi="ar-SA"/>
        </w:rPr>
        <w:t xml:space="preserve">و التهذيب </w:t>
      </w:r>
      <w:r>
        <w:rPr>
          <w:rStyle w:val="FootnoteAnchor"/>
          <w:rtl w:val="true"/>
        </w:rPr>
        <w:footnoteReference w:id="774"/>
      </w:r>
      <w:r>
        <w:rPr>
          <w:rFonts w:ascii="Amiri" w:hAnsi="Amiri" w:eastAsia="Amiri" w:cs="Amiri"/>
          <w:color w:val="111111"/>
          <w:sz w:val="28"/>
          <w:sz w:val="28"/>
          <w:szCs w:val="28"/>
          <w:rtl w:val="true"/>
          <w:lang w:bidi="ar-SA"/>
        </w:rPr>
        <w:t xml:space="preserve">و الوسيلة </w:t>
      </w:r>
      <w:r>
        <w:rPr>
          <w:rStyle w:val="FootnoteAnchor"/>
          <w:rtl w:val="true"/>
        </w:rPr>
        <w:footnoteReference w:id="775"/>
      </w:r>
      <w:r>
        <w:rPr>
          <w:rFonts w:ascii="Amiri" w:hAnsi="Amiri" w:eastAsia="Amiri" w:cs="Amiri"/>
          <w:color w:val="111111"/>
          <w:sz w:val="28"/>
          <w:sz w:val="28"/>
          <w:szCs w:val="28"/>
          <w:rtl w:val="true"/>
          <w:lang w:bidi="ar-SA"/>
        </w:rPr>
        <w:t>، و مع اشتراط الجريان من ميزاب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الميزاب في كلامهم كناية عن مطلق الجريان على ما أرى، و التعبير به لوروده في الخبر </w:t>
      </w:r>
      <w:r>
        <w:rPr>
          <w:rStyle w:val="FootnoteAnchor"/>
          <w:rtl w:val="true"/>
        </w:rPr>
        <w:footnoteReference w:id="776"/>
      </w:r>
      <w:r>
        <w:rPr>
          <w:rFonts w:ascii="Amiri" w:hAnsi="Amiri" w:eastAsia="Amiri" w:cs="Amiri"/>
          <w:color w:val="111111"/>
          <w:sz w:val="28"/>
          <w:sz w:val="28"/>
          <w:szCs w:val="28"/>
          <w:rtl w:val="true"/>
          <w:lang w:bidi="ar-SA"/>
        </w:rPr>
        <w:t>، فهم يريدون مطلق الانصباب القابل للجريان من ميزاب و مشعب و إن لم يجرِ فعلاً، و لعلّ الأردبيلي رحمه الله فهم ذلك منهم فاختاره، و إلّا لبطل الانتفاع بطهره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فمحصّل ما اعتبرته هذه الفرقة هو عدم اعتبار الجريان بمعانيه و اعتبار التدافق و الفضل و القوّة في الجملة دون اليسير من القطرات؛ لعدم انصراف ماء المطر الموجود في النصوص </w:t>
      </w:r>
      <w:r>
        <w:rPr>
          <w:rStyle w:val="FootnoteAnchor"/>
          <w:rtl w:val="true"/>
        </w:rPr>
        <w:footnoteReference w:id="777"/>
      </w:r>
      <w:r>
        <w:rPr>
          <w:rFonts w:ascii="Amiri" w:hAnsi="Amiri" w:eastAsia="Amiri" w:cs="Amiri"/>
          <w:color w:val="111111"/>
          <w:sz w:val="28"/>
          <w:sz w:val="28"/>
          <w:szCs w:val="28"/>
          <w:rtl w:val="true"/>
          <w:lang w:bidi="ar-SA"/>
        </w:rPr>
        <w:t xml:space="preserve">لمثل القطرات، فإنّ الإصابة لا تكاد تتحقّق بها قطعاً، بل هو القَدر المتيقّن من الشرط المجمع عليه؛ إذ معتبر الجريان بأيّ وجه كان يعتبره و زيادة، و تفرّد </w:t>
      </w:r>
      <w:r>
        <w:rPr>
          <w:rStyle w:val="FootnoteAnchor"/>
          <w:rtl w:val="true"/>
        </w:rPr>
        <w:footnoteReference w:id="778"/>
      </w:r>
      <w:r>
        <w:rPr>
          <w:rFonts w:ascii="Amiri" w:hAnsi="Amiri" w:eastAsia="Amiri" w:cs="Amiri"/>
          <w:color w:val="111111"/>
          <w:sz w:val="28"/>
          <w:sz w:val="28"/>
          <w:szCs w:val="28"/>
          <w:rtl w:val="true"/>
          <w:lang w:bidi="ar-SA"/>
        </w:rPr>
        <w:t xml:space="preserve">القائل بكفاية القطرات لا يخلّ بالإجماع، كما أنّ اشتراط الجريان مخالف للأصل و الإجماع </w:t>
      </w:r>
      <w:r>
        <w:rPr>
          <w:rStyle w:val="FootnoteAnchor"/>
          <w:rtl w:val="true"/>
        </w:rPr>
        <w:footnoteReference w:id="779"/>
      </w:r>
      <w:r>
        <w:rPr>
          <w:rFonts w:ascii="Amiri" w:hAnsi="Amiri" w:eastAsia="Amiri" w:cs="Amiri"/>
          <w:color w:val="111111"/>
          <w:sz w:val="28"/>
          <w:sz w:val="28"/>
          <w:szCs w:val="28"/>
          <w:rtl w:val="true"/>
          <w:lang w:bidi="ar-SA"/>
        </w:rPr>
        <w:t xml:space="preserve">غير الشيخ </w:t>
      </w:r>
      <w:r>
        <w:rPr>
          <w:rStyle w:val="FootnoteAnchor"/>
          <w:rtl w:val="true"/>
        </w:rPr>
        <w:footnoteReference w:id="780"/>
      </w:r>
      <w:r>
        <w:rPr>
          <w:rFonts w:ascii="Amiri" w:hAnsi="Amiri" w:eastAsia="Amiri" w:cs="Amiri"/>
          <w:color w:val="111111"/>
          <w:sz w:val="28"/>
          <w:sz w:val="28"/>
          <w:szCs w:val="28"/>
          <w:rtl w:val="true"/>
          <w:lang w:bidi="ar-SA"/>
        </w:rPr>
        <w:t>، و عبائر غيره ممّن ظنّ فيه الموافقة له تحتمل الأمرين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الترجيح بحملها على عدم اعتباره مضافاً إلى الاكتفاء في التطهير مع عدمه في ظاهر عدّة أخبار فيها الصحيح كإطلاق عدم التوقّي من طين المطر في بعضها و ظاهر رواية أبي </w:t>
      </w:r>
    </w:p>
    <w:p>
      <w:pPr>
        <w:pStyle w:val="BookText"/>
        <w:rPr/>
      </w:pPr>
      <w:r>
        <w:rPr>
          <w:rFonts w:ascii="Amiri" w:hAnsi="Amiri" w:eastAsia="Amiri" w:cs="Amiri"/>
          <w:color w:val="111111"/>
          <w:sz w:val="28"/>
          <w:sz w:val="28"/>
          <w:szCs w:val="28"/>
          <w:rtl w:val="true"/>
          <w:lang w:bidi="ar-SA"/>
        </w:rPr>
        <w:t xml:space="preserve">بصير </w:t>
      </w:r>
      <w:r>
        <w:rPr>
          <w:rStyle w:val="FootnoteAnchor"/>
          <w:rtl w:val="true"/>
        </w:rPr>
        <w:footnoteReference w:id="781"/>
      </w:r>
      <w:r>
        <w:rPr>
          <w:rFonts w:ascii="Amiri" w:hAnsi="Amiri" w:eastAsia="Amiri" w:cs="Amiri"/>
          <w:color w:val="111111"/>
          <w:sz w:val="28"/>
          <w:sz w:val="28"/>
          <w:szCs w:val="28"/>
          <w:rtl w:val="true"/>
          <w:lang w:bidi="ar-SA"/>
        </w:rPr>
        <w:t xml:space="preserve">، و ذيل مرسلة الكاهلي </w:t>
      </w:r>
      <w:r>
        <w:rPr>
          <w:rStyle w:val="FootnoteAnchor"/>
          <w:rtl w:val="true"/>
        </w:rPr>
        <w:footnoteReference w:id="782"/>
      </w:r>
      <w:r>
        <w:rPr>
          <w:rFonts w:ascii="Amiri" w:hAnsi="Amiri" w:eastAsia="Amiri" w:cs="Amiri"/>
          <w:color w:val="111111"/>
          <w:sz w:val="28"/>
          <w:sz w:val="28"/>
          <w:szCs w:val="28"/>
          <w:rtl w:val="true"/>
          <w:lang w:bidi="ar-SA"/>
        </w:rPr>
        <w:t xml:space="preserve">، و صحيحة علي بن جعفر </w:t>
      </w:r>
      <w:r>
        <w:rPr>
          <w:rStyle w:val="FootnoteAnchor"/>
          <w:rtl w:val="true"/>
        </w:rPr>
        <w:footnoteReference w:id="783"/>
      </w:r>
      <w:r>
        <w:rPr>
          <w:rFonts w:ascii="Amiri" w:hAnsi="Amiri" w:eastAsia="Amiri" w:cs="Amiri"/>
          <w:color w:val="111111"/>
          <w:sz w:val="28"/>
          <w:sz w:val="28"/>
          <w:szCs w:val="28"/>
          <w:rtl w:val="true"/>
          <w:lang w:bidi="ar-SA"/>
        </w:rPr>
        <w:t xml:space="preserve">عن أخيه الان، و لا يعارضها خبرا هشام </w:t>
      </w:r>
      <w:r>
        <w:rPr>
          <w:rStyle w:val="FootnoteAnchor"/>
          <w:rtl w:val="true"/>
        </w:rPr>
        <w:footnoteReference w:id="784"/>
      </w:r>
      <w:r>
        <w:rPr>
          <w:rFonts w:ascii="Amiri" w:hAnsi="Amiri" w:eastAsia="Amiri" w:cs="Amiri"/>
          <w:color w:val="111111"/>
          <w:sz w:val="28"/>
          <w:sz w:val="28"/>
          <w:szCs w:val="28"/>
          <w:rtl w:val="true"/>
          <w:lang w:bidi="ar-SA"/>
        </w:rPr>
        <w:t xml:space="preserve">و محمّد </w:t>
      </w:r>
      <w:r>
        <w:rPr>
          <w:rStyle w:val="FootnoteAnchor"/>
          <w:rtl w:val="true"/>
        </w:rPr>
        <w:footnoteReference w:id="785"/>
      </w:r>
      <w:r>
        <w:rPr>
          <w:rFonts w:ascii="Amiri" w:hAnsi="Amiri" w:eastAsia="Amiri" w:cs="Amiri"/>
          <w:color w:val="111111"/>
          <w:sz w:val="28"/>
          <w:sz w:val="28"/>
          <w:szCs w:val="28"/>
          <w:rtl w:val="true"/>
          <w:lang w:bidi="ar-SA"/>
        </w:rPr>
        <w:t>بن مروان في الميزابين، فإنّ غايتهما طهارة السائل، و لا دلالة لها بوجه على نجاسة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خَبرَي عليّ بن جعفر </w:t>
      </w:r>
      <w:r>
        <w:rPr>
          <w:rStyle w:val="FootnoteAnchor"/>
          <w:rtl w:val="true"/>
        </w:rPr>
        <w:footnoteReference w:id="786"/>
      </w:r>
      <w:r>
        <w:rPr>
          <w:rFonts w:ascii="Amiri" w:hAnsi="Amiri" w:eastAsia="Amiri" w:cs="Amiri"/>
          <w:color w:val="111111"/>
          <w:sz w:val="28"/>
          <w:sz w:val="28"/>
          <w:szCs w:val="28"/>
          <w:rtl w:val="true"/>
          <w:lang w:bidi="ar-SA"/>
        </w:rPr>
        <w:t xml:space="preserve">المتضمّن لنفي البأس حال الجريان، و خبر الحميري </w:t>
      </w:r>
      <w:r>
        <w:rPr>
          <w:rStyle w:val="FootnoteAnchor"/>
          <w:rtl w:val="true"/>
        </w:rPr>
        <w:footnoteReference w:id="787"/>
      </w:r>
      <w:r>
        <w:rPr>
          <w:rFonts w:ascii="Amiri" w:hAnsi="Amiri" w:eastAsia="Amiri" w:cs="Amiri"/>
          <w:color w:val="111111"/>
          <w:sz w:val="28"/>
          <w:sz w:val="28"/>
          <w:szCs w:val="28"/>
          <w:rtl w:val="true"/>
          <w:lang w:bidi="ar-SA"/>
        </w:rPr>
        <w:t xml:space="preserve">صلاحيةٌ لاحتمال اعتباره، لكن ضعف السند في أحدهما؛ لعدم ثبوت نسبة الكتاب إليه، و قوّة احتمال ورود شرط الجريان فيها مورد الواقع؛ للتصريح بفرضه في السؤال، و ظهور رواية الحميري في الاحتراز عن أن يجري من ماء الكنيف ممّا يُوهِن الركون إليها، و حمل الفاضل </w:t>
      </w:r>
      <w:r>
        <w:rPr>
          <w:rStyle w:val="FootnoteAnchor"/>
          <w:rtl w:val="true"/>
        </w:rPr>
        <w:footnoteReference w:id="788"/>
      </w:r>
      <w:r>
        <w:rPr>
          <w:rFonts w:ascii="Amiri" w:hAnsi="Amiri" w:eastAsia="Amiri" w:cs="Amiri"/>
          <w:color w:val="111111"/>
          <w:sz w:val="28"/>
          <w:sz w:val="28"/>
          <w:szCs w:val="28"/>
          <w:rtl w:val="true"/>
          <w:lang w:bidi="ar-SA"/>
        </w:rPr>
        <w:t>في منتهاه الجريان فيها على النزول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استبعده الشارح في روضه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إصابة المطر في السؤال صريح في النزول، فيعرى القيد عن الفائدة </w:t>
      </w:r>
      <w:r>
        <w:rPr>
          <w:rStyle w:val="FootnoteAnchor"/>
          <w:rtl w:val="true"/>
        </w:rPr>
        <w:footnoteReference w:id="7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كذلك؛ لعدم تبادر النزول من لفظ الجري فيبعد إرادته لا لما ذكره من عراء الشرط عن الفائدة، فكان العلّامة رحمه الله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ظرفيّة لا شرطيّة و أراد بالجري النزول، لكن الفاضل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شرط بلا طائل </w:t>
      </w:r>
      <w:r>
        <w:rPr>
          <w:rStyle w:val="FootnoteAnchor"/>
          <w:rtl w:val="true"/>
        </w:rPr>
        <w:footnoteReference w:id="790"/>
      </w:r>
      <w:r>
        <w:rPr>
          <w:rFonts w:ascii="Amiri" w:hAnsi="Amiri" w:eastAsia="Amiri" w:cs="Amiri"/>
          <w:color w:val="111111"/>
          <w:sz w:val="28"/>
          <w:sz w:val="28"/>
          <w:szCs w:val="28"/>
          <w:rtl w:val="true"/>
          <w:lang w:bidi="ar-SA"/>
        </w:rPr>
        <w:t>، ثمّ حمل كلامه على التعليل لا الشرط، و هو 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المفهوم لا يعارض المنطوق، و بأنّ نفي البأس أعمّ من النجاسة و الكراهة، فلعلّ المراد كراهة الوضوء، و بأنّ الجريان يصدق مع المماسّة نحو جريان الماء على الأعضاء، و بأنّ حجّيّة المفهوم إذا لم يظهر للشرط فائدة أُخرى، و هي هنا موافقة الجواب للسؤال بناءً على تضمّن السؤال و لو بتكلّف للجريان، و إلّا فما كان السؤال يفيد ذلك صريحاً، و كلّ ذلك تمحّل لا حاجة له بعد فرض أنّ مطلقات الأخبار مشهورة بين الأصحاب و عليها العمل، فلا بدّ من تقييدها بالجريان من دليل مقاوم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تحقّق الطهر به مطلقاً للماء و غيره، نجساً أو متنجساً، ورد على النجاسة أو وردت عليه، كثيراً كان أو قليلاً، جرى من ميزاب و غيره أم لا، تدافَقَ بقوّة أو لا، صَلُح للجريان و إن لم يحصل أو لا، نزل من سحابة واحدة أو أكثر، حصل الامتزاج بتقاطره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على النجاسة بنفسه أو سالَ عليها بعد أن استقرّ على مكان آخر، لكن مع بقاء التقاطر على 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يشك في الصدق عليه كالقطرة و القطرتين من الأبخرة السماويّة، و ما حجبه عن السماء حاجب كالغمام الداخل ببعض بيوت الجبال، و ما تقاطر من السقف بعد نفوذه في أعماقه إن لم يدخل فيما له مادّة، لا يحكم عليه بحكمه ظاهراً، كلّ ذلك لعموم الآية </w:t>
      </w:r>
      <w:r>
        <w:rPr>
          <w:rStyle w:val="FootnoteAnchor"/>
          <w:rtl w:val="true"/>
        </w:rPr>
        <w:footnoteReference w:id="791"/>
      </w:r>
      <w:r>
        <w:rPr>
          <w:rFonts w:ascii="Amiri" w:hAnsi="Amiri" w:eastAsia="Amiri" w:cs="Amiri"/>
          <w:color w:val="111111"/>
          <w:sz w:val="28"/>
          <w:sz w:val="28"/>
          <w:szCs w:val="28"/>
          <w:rtl w:val="true"/>
          <w:lang w:bidi="ar-SA"/>
        </w:rPr>
        <w:t xml:space="preserve">و الرواية </w:t>
      </w:r>
      <w:r>
        <w:rPr>
          <w:rStyle w:val="FootnoteAnchor"/>
          <w:rtl w:val="true"/>
        </w:rPr>
        <w:footnoteReference w:id="792"/>
      </w:r>
      <w:r>
        <w:rPr>
          <w:rFonts w:ascii="Amiri" w:hAnsi="Amiri" w:eastAsia="Amiri" w:cs="Amiri"/>
          <w:color w:val="111111"/>
          <w:sz w:val="28"/>
          <w:sz w:val="28"/>
          <w:szCs w:val="28"/>
          <w:rtl w:val="true"/>
          <w:lang w:bidi="ar-SA"/>
        </w:rPr>
        <w:t>على اعتباره، و إطلاق الشارح هنا ظاهر فيه، و في الروض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فضل قوّة للمطر المطهّر بحيث يصدق عليه اسمه، فلا يعتدّ بنحو القطرات اليسيرة </w:t>
      </w:r>
      <w:r>
        <w:rPr>
          <w:rStyle w:val="FootnoteAnchor"/>
          <w:rtl w:val="true"/>
        </w:rPr>
        <w:footnoteReference w:id="7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عن بعض </w:t>
      </w:r>
      <w:r>
        <w:rPr>
          <w:rStyle w:val="FootnoteAnchor"/>
          <w:rtl w:val="true"/>
        </w:rPr>
        <w:footnoteReference w:id="794"/>
      </w:r>
      <w:r>
        <w:rPr>
          <w:rFonts w:ascii="Amiri" w:hAnsi="Amiri" w:eastAsia="Amiri" w:cs="Amiri"/>
          <w:color w:val="111111"/>
          <w:sz w:val="28"/>
          <w:sz w:val="28"/>
          <w:szCs w:val="28"/>
          <w:rtl w:val="true"/>
          <w:lang w:bidi="ar-SA"/>
        </w:rPr>
        <w:t>الاكتفاء في تطهيره لغيره بوقوع قطرة واحدة عليه و لم يبعّده لولا أنّ العمل على خلافه،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الأرض النجسة </w:t>
      </w:r>
      <w:r>
        <w:rPr>
          <w:rStyle w:val="FootnoteAnchor"/>
          <w:rtl w:val="true"/>
        </w:rPr>
        <w:footnoteReference w:id="795"/>
      </w:r>
      <w:r>
        <w:rPr>
          <w:rFonts w:ascii="Amiri" w:hAnsi="Amiri" w:eastAsia="Amiri" w:cs="Amiri"/>
          <w:color w:val="111111"/>
          <w:sz w:val="28"/>
          <w:sz w:val="28"/>
          <w:szCs w:val="28"/>
          <w:rtl w:val="true"/>
          <w:lang w:bidi="ar-SA"/>
        </w:rPr>
        <w:t xml:space="preserve">و شبهها فلا بدّ من استيعاب المطر </w:t>
      </w:r>
    </w:p>
    <w:p>
      <w:pPr>
        <w:pStyle w:val="BookText"/>
        <w:rPr/>
      </w:pPr>
      <w:r>
        <w:rPr>
          <w:rFonts w:ascii="Amiri" w:hAnsi="Amiri" w:eastAsia="Amiri" w:cs="Amiri"/>
          <w:color w:val="111111"/>
          <w:sz w:val="28"/>
          <w:sz w:val="28"/>
          <w:szCs w:val="28"/>
          <w:rtl w:val="true"/>
          <w:lang w:bidi="ar-SA"/>
        </w:rPr>
        <w:t xml:space="preserve">لما نجس منها كما يطهّرها الجاري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 المكتفى بالقطرة و القطرات القليلة ولده رحمه الله </w:t>
      </w:r>
      <w:r>
        <w:rPr>
          <w:rStyle w:val="FootnoteAnchor"/>
          <w:rtl w:val="true"/>
        </w:rPr>
        <w:footnoteReference w:id="797"/>
      </w:r>
      <w:r>
        <w:rPr>
          <w:rFonts w:ascii="Amiri" w:hAnsi="Amiri" w:eastAsia="Amiri" w:cs="Amiri"/>
          <w:color w:val="111111"/>
          <w:sz w:val="28"/>
          <w:sz w:val="28"/>
          <w:szCs w:val="28"/>
          <w:rtl w:val="true"/>
          <w:lang w:bidi="ar-SA"/>
        </w:rPr>
        <w:t xml:space="preserve">بأنّ ذلك إمّا أن يستند إلى مساواته للجاري أو إلى ظاهر الآيتين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فاسد؛ لبطلان التساوي؛ فإنّ الباعث على تطهير الماء المتّصل بالكثير و الجاري إنّما هو لأنّ الجزء الملاقي لأحدهما يطهر بملاقاته له؛ لعموم ما قضى بمطهّريّة الماء و بعد طهارته يتّصل بالجزء الثاني، و هو متقوّ بالكثير و الجاري الذي طهّره فيطهّر الجزء الثاني و هكذا إلى تمام الأجزاء، و هذا لا يجري في المقام، فإنّ أقصاه مطهّريّة القطرة لما وقعت عليه و لاقته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عدم انفكاك الانقطاع عن ملاقاتها فهي بالانفكاك في حكم القليل، فليس للجزء الذي طهر بها تَقَوِّ ليستعين به على تطهير ما يليه، بل هو معها حين الانقطاع ماء قليل فيعود إلى الانفعال بملاقاة باقي الأجزاء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فهما إنّما يدلّان على طهوريّة فرد من أفراد المطر، فلا عموم فيهما و لا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لا بدّ من إصابة المطر للمحلّ النجس حيث لا كثرة، و مثل القطرة لا يتحقّق فيها ذلك، و التقريب في الكثير لا يجري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لا وجه له، فإنّ الماء النجس إن لم يطهر بقطرة من المطر لا يطهر به أصلاً و إن كثر؛ لتفاصل قطرات الغيث و عدم تواصلها كالجاري و الكثير، فإذا أصابت قطرة منها الماء النجس فهي إمّا أن تنفعل بالملاقاة أو تورث التطهير، أو لا تطهّر و لا تنجّس، و غير الوسط ساقط بلا شبهة، و إلّا لجرى ذلك في كلّ جزء جزء فلا يطهر الماء أصلاً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إمّا أن ينحصر التطهير بملاقي تلك القطرة دون باقي الأجزاء أو يطهر الكلّ، </w:t>
      </w:r>
    </w:p>
    <w:p>
      <w:pPr>
        <w:pStyle w:val="BookText"/>
        <w:rPr/>
      </w:pPr>
      <w:r>
        <w:rPr>
          <w:rFonts w:ascii="Amiri" w:hAnsi="Amiri" w:eastAsia="Amiri" w:cs="Amiri"/>
          <w:color w:val="111111"/>
          <w:sz w:val="28"/>
          <w:sz w:val="28"/>
          <w:szCs w:val="28"/>
          <w:rtl w:val="true"/>
          <w:lang w:bidi="ar-SA"/>
        </w:rPr>
        <w:t>و الأوّل يستلزم تبعّض الماء الواحد بالطهارة و النجاسة من غير تغيير و قد مرَّ بطلانه مع مطالبة القائل الفرق بين طهارة العمق دون الطول و العرض، و بالثاني تنجّم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زعمه أنَّه لا بدّ من إصابة المطر لجميع المحلّ النجس إذ لا كثرة ممنوعٌ في المطر، و إن ادّعى أنّ المطر لا بدّ من كونه قاهراً على النجس، و القهر لا يتحقّق في اليسير من القطرات، و عند تكاثرها تكون كماء واحد كثير؛ إذ التتابع في المطر نازل منزلة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بأنّ المطر حينئذٍ لا بدّ أن يكثر حتّى يبلغ الكُرّ أو يكون جارياً، و لا قائل بالأوّل، و الثاني خلاف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لم يعتبر في الغيث الجريان، و لا الكثرة، و لا قاضٍ بلزوم استيعابه وجه الماء النجس، يعسر الفرق بين القطرة منه و الكثير، و أمّا إطلاق آيتي المطر </w:t>
      </w:r>
      <w:r>
        <w:rPr>
          <w:rStyle w:val="FootnoteAnchor"/>
          <w:rtl w:val="true"/>
        </w:rPr>
        <w:footnoteReference w:id="799"/>
      </w:r>
      <w:r>
        <w:rPr>
          <w:rFonts w:ascii="Amiri" w:hAnsi="Amiri" w:eastAsia="Amiri" w:cs="Amiri"/>
          <w:color w:val="111111"/>
          <w:sz w:val="28"/>
          <w:sz w:val="28"/>
          <w:szCs w:val="28"/>
          <w:rtl w:val="true"/>
          <w:lang w:bidi="ar-SA"/>
        </w:rPr>
        <w:t>فلعلّه يتمّ إذا لم يعتبر الجريان و لا الممازجة و الكثرة، فيفيدان أنّ ماء المطر مطهّر مطلقاً، فلا فرق بين قطرته و قطراته إلَّا إذا ثبت أنَّه لا بدّ من استيعاب وجه النجس، و هو عار عن البرهان، بل و لو اعتبرنا الممازجة يكفي ممازجة بعض أجزاء النجس للمطهّر كطهر أضعاف الكرّ النجس</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الاكتفاء بالقطرة في مختارنا أنّها تطهّر ما أصابته إذا كان هناك مطر نازل من السماء جارياً كان أو لا على القولين لا أنّ القطرة الواحدة فقط النازلة مطهّرة للماء النجس فإنّه كالمقطوع بفساده، و ابن الشارح بمعالمه فهم ذلك من هذا القول و من مقالة والده إنّ العمل على خلافه كأنّه يريد المعنى الأوَّل، إذ لا مجال لدعوى استقرار العمل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مرّ من القول في الامتزاج و غيره في سابق المباحث يعلم الحال فيه هنا، فلا فائدة في الإطالة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من الجواهر </w:t>
      </w:r>
      <w:r>
        <w:rPr>
          <w:rStyle w:val="FootnoteAnchor"/>
          <w:rtl w:val="true"/>
        </w:rPr>
        <w:footnoteReference w:id="800"/>
      </w:r>
      <w:r>
        <w:rPr>
          <w:rFonts w:ascii="Amiri" w:hAnsi="Amiri" w:eastAsia="Amiri" w:cs="Amiri"/>
          <w:color w:val="111111"/>
          <w:sz w:val="28"/>
          <w:sz w:val="28"/>
          <w:szCs w:val="28"/>
          <w:rtl w:val="true"/>
          <w:lang w:bidi="ar-SA"/>
        </w:rPr>
        <w:t xml:space="preserve">و المصابيح </w:t>
      </w:r>
      <w:r>
        <w:rPr>
          <w:rStyle w:val="FootnoteAnchor"/>
          <w:rtl w:val="true"/>
        </w:rPr>
        <w:footnoteReference w:id="801"/>
      </w:r>
      <w:r>
        <w:rPr>
          <w:rFonts w:ascii="Amiri" w:hAnsi="Amiri" w:eastAsia="Amiri" w:cs="Amiri"/>
          <w:color w:val="111111"/>
          <w:sz w:val="28"/>
          <w:sz w:val="28"/>
          <w:szCs w:val="28"/>
          <w:rtl w:val="true"/>
          <w:lang w:bidi="ar-SA"/>
        </w:rPr>
        <w:t xml:space="preserve">اتّفاقهما في تطهير المطر النازل على النجس </w:t>
      </w:r>
    </w:p>
    <w:p>
      <w:pPr>
        <w:pStyle w:val="BookText"/>
        <w:rPr/>
      </w:pPr>
      <w:r>
        <w:rPr>
          <w:rFonts w:ascii="Amiri" w:hAnsi="Amiri" w:eastAsia="Amiri" w:cs="Amiri"/>
          <w:color w:val="111111"/>
          <w:sz w:val="28"/>
          <w:sz w:val="28"/>
          <w:szCs w:val="28"/>
          <w:rtl w:val="true"/>
          <w:lang w:bidi="ar-SA"/>
        </w:rPr>
        <w:t>مطلقاً بنفسه، و اختلافهما في المطر في الملاقي لجسم ثمّ سالَ منه إلى نجس من بقاء صدق المطريّة عليه مع استمرار التقاطر عند الأوَّل، و عدمه و اختيار أنَّه من المحقون الملاقي فله حكم عند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الانقطاع في القطرات النازلة بملاقاتها الجسم و لو قبل الاستقرار على الأرض، فلو لاقت في الجوّ شيئاً ثمّ سقطت على نجس نجست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ماء الغيث نازلاً أو حال نزوله كالجاري ضرورة انتهاء النزول بملاقاة الجسم الأوّل و إلّا لزم بقاء الاسم و إن وضعوه في آنية ممّا يعضد المهديّ؛ و لذا جعله المسلّمات، و الحكم بالطهر في خبر الميزابين </w:t>
      </w:r>
      <w:r>
        <w:rPr>
          <w:rStyle w:val="FootnoteAnchor"/>
          <w:rtl w:val="true"/>
        </w:rPr>
        <w:footnoteReference w:id="802"/>
      </w:r>
      <w:r>
        <w:rPr>
          <w:rFonts w:ascii="Amiri" w:hAnsi="Amiri" w:eastAsia="Amiri" w:cs="Amiri"/>
          <w:color w:val="111111"/>
          <w:sz w:val="28"/>
          <w:sz w:val="28"/>
          <w:szCs w:val="28"/>
          <w:rtl w:val="true"/>
          <w:lang w:bidi="ar-SA"/>
        </w:rPr>
        <w:t xml:space="preserve">و الكنيف و السطح </w:t>
      </w:r>
      <w:r>
        <w:rPr>
          <w:rStyle w:val="FootnoteAnchor"/>
          <w:rtl w:val="true"/>
        </w:rPr>
        <w:footnoteReference w:id="803"/>
      </w:r>
      <w:r>
        <w:rPr>
          <w:rFonts w:ascii="Amiri" w:hAnsi="Amiri" w:eastAsia="Amiri" w:cs="Amiri"/>
          <w:color w:val="111111"/>
          <w:sz w:val="28"/>
          <w:sz w:val="28"/>
          <w:szCs w:val="28"/>
          <w:rtl w:val="true"/>
          <w:lang w:bidi="ar-SA"/>
        </w:rPr>
        <w:t>، ظاهره أنّ الاعتصام للمطريّة، لا لكونه محقوناً معتصماً به، يؤيّد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السيد رحمه الله </w:t>
      </w:r>
      <w:r>
        <w:rPr>
          <w:rStyle w:val="FootnoteAnchor"/>
          <w:rtl w:val="true"/>
        </w:rPr>
        <w:footnoteReference w:id="804"/>
      </w:r>
      <w:r>
        <w:rPr>
          <w:rFonts w:ascii="Amiri" w:hAnsi="Amiri" w:eastAsia="Amiri" w:cs="Amiri"/>
          <w:color w:val="111111"/>
          <w:sz w:val="28"/>
          <w:sz w:val="28"/>
          <w:szCs w:val="28"/>
          <w:rtl w:val="true"/>
          <w:lang w:bidi="ar-SA"/>
        </w:rPr>
        <w:t>بظاهرها إفراط و لا موافق له؛ فإنّ كون خصوصيّة هذا الماء الموجبة لحكمه في نظر الشارح هي حيثيّة نزوله غيرُ ثابت حتّى يجب انقطاعه بانقطاع حالة النزول، و آيات الطهارة كأخبارها فيه مع مساعدة الاعتبار تقضي بأنّ الفضل و القوّة في الماء هو الذي يوجب الطهوريّة فيه دون سائر الخصوصيّات، و القوّة تحصل بالاتّصال بالمادّة السماويّة لا حالة النزول جزماً، لكن المجتمع من النازل متى انقطع عنه التقاطر و لو لحظة و إن كان في معرض العَود إليه يصير محقوناً كالجاري المنفصل عن المادّة، فلو عاد التقاطر إليه خرج عن الغيثيّة و كان من المحقون المعتصم بالغيث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فتفريطُ الجواهر بأنّه لو انقطع عنه و كان معرضاً أو متهيّئاً لوقوع التقاطر عليه الظاهر جريان حكم الجاري عليه بنفسه ممنوعٌ و لا دليل عليه، و منه يظهر سقوط جُلّ ما ذكره من الثمرات، فإنّ حكمه بلزوم قول السيد رحمه الله لتنجّس القليل من ماء المطر المنحدر عن جسم مع بقاء التقاطر على ذلك الجسم عند الملاقاة لعلّه تقوّل عليه، إذ غايته لحوق حكم القليل له، </w:t>
      </w:r>
    </w:p>
    <w:p>
      <w:pPr>
        <w:pStyle w:val="BookText"/>
        <w:rPr/>
      </w:pPr>
      <w:r>
        <w:rPr>
          <w:rFonts w:ascii="Amiri" w:hAnsi="Amiri" w:eastAsia="Amiri" w:cs="Amiri"/>
          <w:color w:val="111111"/>
          <w:sz w:val="28"/>
          <w:sz w:val="28"/>
          <w:szCs w:val="28"/>
          <w:rtl w:val="true"/>
          <w:lang w:bidi="ar-SA"/>
        </w:rPr>
        <w:t>و هو لا يقضي بالنجاسة عنده؛ لاحتمال أن يكون كقليل الجاري المعتصم بالمادّة، فهو قليل لا ينفعل، و نحوه ثمرة تطهير الماء النجس بوقوع المعدود من القطرات على قول السيّد و عدمه على اختياره، فإنّ ذلك راجع إلى صدق المطريّة في القطرة والقطرتين و عدمه، فعساه لا يرى الصدق فلا إلزام له بطهارة ما لاقاها، بل إن حصل الصدق طهر على المذهبين، و إلّا نجّس في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إنّ اتباع جدّي الأكبر في موضوع المطر و حكمه هو الأوفق لذوي البصيرة، و بكشف الغطاء </w:t>
      </w:r>
      <w:r>
        <w:rPr>
          <w:rStyle w:val="FootnoteAnchor"/>
          <w:rtl w:val="true"/>
        </w:rPr>
        <w:footnoteReference w:id="805"/>
      </w:r>
      <w:r>
        <w:rPr>
          <w:rFonts w:ascii="Amiri" w:hAnsi="Amiri" w:eastAsia="Amiri" w:cs="Amiri"/>
          <w:color w:val="111111"/>
          <w:sz w:val="28"/>
          <w:sz w:val="28"/>
          <w:szCs w:val="28"/>
          <w:rtl w:val="true"/>
          <w:lang w:bidi="ar-SA"/>
        </w:rPr>
        <w:t>يُكشَف الغطاء، و إن أشكل علينا تخريج بعض فروعه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كما في الرياض </w:t>
      </w:r>
      <w:r>
        <w:rPr>
          <w:rStyle w:val="FootnoteAnchor"/>
          <w:rtl w:val="true"/>
        </w:rPr>
        <w:footnoteReference w:id="806"/>
      </w:r>
      <w:r>
        <w:rPr>
          <w:rFonts w:ascii="Amiri" w:hAnsi="Amiri" w:eastAsia="Amiri" w:cs="Amiri"/>
          <w:color w:val="111111"/>
          <w:sz w:val="28"/>
          <w:sz w:val="28"/>
          <w:szCs w:val="28"/>
          <w:rtl w:val="true"/>
          <w:lang w:bidi="ar-SA"/>
        </w:rPr>
        <w:t xml:space="preserve">الإجماع محقّقاً على عدم التفرقة في المطر بين وروده على النجس أو العكس، ولكن ابن الشارح </w:t>
      </w:r>
      <w:r>
        <w:rPr>
          <w:rStyle w:val="FootnoteAnchor"/>
          <w:rtl w:val="true"/>
        </w:rPr>
        <w:footnoteReference w:id="807"/>
      </w:r>
      <w:r>
        <w:rPr>
          <w:rFonts w:ascii="Amiri" w:hAnsi="Amiri" w:eastAsia="Amiri" w:cs="Amiri"/>
          <w:color w:val="111111"/>
          <w:sz w:val="28"/>
          <w:sz w:val="28"/>
          <w:szCs w:val="28"/>
          <w:rtl w:val="true"/>
          <w:lang w:bidi="ar-SA"/>
        </w:rPr>
        <w:t>تردّد في إلحاقه بالجاري مع ورود النجاسة عليه، و محطّ نظره أصالة انفعال القليل، المحقّق خروج صورة وروده على النجس منها، فتبقى الأخرى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منافاته لما أحكمه من عدم الطهر بالقطرة و القطرتين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المخرج من الأدلّة لماء الغيث لا ريب في عمومه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في المصابيح </w:t>
      </w:r>
      <w:r>
        <w:rPr>
          <w:rStyle w:val="FootnoteAnchor"/>
          <w:rtl w:val="true"/>
        </w:rPr>
        <w:footnoteReference w:id="808"/>
      </w:r>
      <w:r>
        <w:rPr>
          <w:rFonts w:ascii="Amiri" w:hAnsi="Amiri" w:eastAsia="Amiri" w:cs="Amiri"/>
          <w:color w:val="111111"/>
          <w:sz w:val="28"/>
          <w:sz w:val="28"/>
          <w:szCs w:val="28"/>
          <w:rtl w:val="true"/>
          <w:lang w:bidi="ar-SA"/>
        </w:rPr>
        <w:t xml:space="preserve">يشكل فرض ورود النجاسة عليه؛ لاعتبار التقاطر على النجس في المطريّة فلا يكون إلّا وارداً، و تصريحهم </w:t>
      </w:r>
      <w:r>
        <w:rPr>
          <w:rStyle w:val="FootnoteAnchor"/>
          <w:rtl w:val="true"/>
        </w:rPr>
        <w:footnoteReference w:id="809"/>
      </w:r>
      <w:r>
        <w:rPr>
          <w:rFonts w:ascii="Amiri" w:hAnsi="Amiri" w:eastAsia="Amiri" w:cs="Amiri"/>
          <w:color w:val="111111"/>
          <w:sz w:val="28"/>
          <w:sz w:val="28"/>
          <w:szCs w:val="28"/>
          <w:rtl w:val="true"/>
          <w:lang w:bidi="ar-SA"/>
        </w:rPr>
        <w:t xml:space="preserve">بعدم الفرق قرينة على عموم ماء المطر حتّى في الجاري بعد استقراره على جسم ما لم ينقطع الودق عنه، ولكن الانفعال بالملاقاة لا يلزمه؛ لأنه و إن خرج من موضوع الغيث، لكن مع بقاء التقاطر معتصم به، و كلّ معتصم يعطي حكم المعتصم به فلا ينجس و إن وردت عليه النجاسة؛ لأنه بمنزلته، و يحتمل ضعيفاً أنَّه </w:t>
      </w:r>
    </w:p>
    <w:p>
      <w:pPr>
        <w:pStyle w:val="BookText"/>
        <w:rPr/>
      </w:pPr>
      <w:r>
        <w:rPr>
          <w:rFonts w:ascii="Amiri" w:hAnsi="Amiri" w:eastAsia="Amiri" w:cs="Amiri"/>
          <w:color w:val="111111"/>
          <w:sz w:val="28"/>
          <w:sz w:val="28"/>
          <w:szCs w:val="28"/>
          <w:rtl w:val="true"/>
          <w:lang w:bidi="ar-SA"/>
        </w:rPr>
        <w:t>يقول بالنجاسة، و 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ذكرناه من إطلاق مطهّريّته للماء و غيره نجساً كان أو متنجساً عمدة الدليل عليه هو عمل الفقهاء، و سيرة الناس الكاشفة قطعاً بوقوع ذلك في الصدر الأوّل، و ظهور عموم الآيتين، و غيرها من القرائن، و إلّا فلا دلالة للأخبار على تطهيره الماء النجس إلّا روايتا هشام ابن الحكم و محمد ابن مروان و عموم مرسلة الكاهلي، و الأولان لا يفيدان تطهير البول إِلَّا إذا حصل الجريان للمطر و الامتزاج مع البول، و بضميمة عدم الفرق بين البول و غيره من النجاسات و لا بينها، و المتنجّس يثبت تطهيره لكلّ ماء متنجّس بأيّ نجاسة كانت، لكن إذا حصل الجريان و الامتزاج؛ فيبقى طهارة المجتمع من الماء النجس كرّاً كان أو أكثر أو أقلّ بمجرّد نزول المطر و إن قلّ عليه أو جريانه له غير مشمول للخبرين؛ لاحتمال أنّ الحكم بالطهارة فيهما لكون المطر أكثر من البول كما هو المعهود عادةً أو مساوياً له، و الأخيرة </w:t>
      </w:r>
      <w:r>
        <w:rPr>
          <w:rStyle w:val="FootnoteAnchor"/>
          <w:rtl w:val="true"/>
        </w:rPr>
        <w:footnoteReference w:id="810"/>
      </w:r>
      <w:r>
        <w:rPr>
          <w:rFonts w:ascii="Amiri" w:hAnsi="Amiri" w:eastAsia="Amiri" w:cs="Amiri"/>
          <w:color w:val="111111"/>
          <w:sz w:val="28"/>
          <w:sz w:val="28"/>
          <w:szCs w:val="28"/>
          <w:rtl w:val="true"/>
          <w:lang w:bidi="ar-SA"/>
        </w:rPr>
        <w:t xml:space="preserve">لا وثوق على عمومها لإرسالها، أو أنّ السؤال قرينة على أنّ المراد بكلّ شيء فيها ممّا سأل السائل عنه، فلا يعمّ الماء النجس المفقود فيها السؤال عن مطهّريّته، على أنّها حكمت بأنّ كلّ ما يراه المطر فقد طهر </w:t>
      </w:r>
      <w:r>
        <w:rPr>
          <w:rStyle w:val="FootnoteAnchor"/>
          <w:rtl w:val="true"/>
        </w:rPr>
        <w:footnoteReference w:id="811"/>
      </w:r>
      <w:r>
        <w:rPr>
          <w:rFonts w:ascii="Amiri" w:hAnsi="Amiri" w:eastAsia="Amiri" w:cs="Amiri"/>
          <w:color w:val="111111"/>
          <w:sz w:val="28"/>
          <w:sz w:val="28"/>
          <w:szCs w:val="28"/>
          <w:rtl w:val="true"/>
          <w:lang w:bidi="ar-SA"/>
        </w:rPr>
        <w:t>، و الإراءة كذلك لا تحصل إلّا بإصابة المطر لجميع أجزاء الماء، إذ البعض الذي لم يخالطه المطر لا يصدق عليه قطعاً أنَّه رأى المطر، و قد علّق التطهير على الإراءة فلا يطهر الغيث أضعافه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إجماع الأصحاب على تطهيره قولاً و فعلاً و إن اختلفوا في اعتبار الجريان و عدمه في التطهير نظراً إلى الانفصال القاضي بالنجاسة، أو إلى أنّ الحكم بتطهير ما يجري منه ليس لجهة الجريان، بل إنّما هو لجعل ما ينزل من السماء منزلة الجاري فلا ينفعل بما يصيبه و يطهّر ما أصابه، و انفصال النازل بالتقاطر لا يقدح؛ لأنه بمنزلة المتّصل، ثمّ إنّ النازل منه على النجس من الماء بالملاقاة فهو خلاف الإجماع </w:t>
      </w:r>
      <w:r>
        <w:rPr>
          <w:rStyle w:val="FootnoteAnchor"/>
          <w:rtl w:val="true"/>
        </w:rPr>
        <w:footnoteReference w:id="812"/>
      </w:r>
      <w:r>
        <w:rPr>
          <w:rFonts w:ascii="Amiri" w:hAnsi="Amiri" w:eastAsia="Amiri" w:cs="Amiri"/>
          <w:color w:val="111111"/>
          <w:sz w:val="28"/>
          <w:sz w:val="28"/>
          <w:szCs w:val="28"/>
          <w:rtl w:val="true"/>
          <w:lang w:bidi="ar-SA"/>
        </w:rPr>
        <w:t>و من البعيد عدم انفعاله بملاقاة النجس مثل البول و انفعاله بالماء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بقي على الطهارة يحكم بطهارة ما لاقاه؛ لعدم جواز </w:t>
      </w:r>
      <w:bookmarkStart w:id="48" w:name="pg9146_85891"/>
    </w:p>
    <w:p>
      <w:pPr>
        <w:pStyle w:val="BookText"/>
        <w:rPr/>
      </w:pPr>
      <w:bookmarkEnd w:id="48"/>
      <w:r>
        <w:rPr>
          <w:rFonts w:ascii="Amiri" w:hAnsi="Amiri" w:eastAsia="Amiri" w:cs="Amiri"/>
          <w:color w:val="111111"/>
          <w:sz w:val="28"/>
          <w:sz w:val="28"/>
          <w:szCs w:val="28"/>
          <w:rtl w:val="true"/>
          <w:lang w:bidi="ar-SA"/>
        </w:rPr>
        <w:t>تبعّض الماء بالطهارة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عدم مطهّريّته </w:t>
      </w:r>
      <w:r>
        <w:rPr>
          <w:rStyle w:val="FootnoteAnchor"/>
          <w:rtl w:val="true"/>
        </w:rPr>
        <w:footnoteReference w:id="813"/>
      </w:r>
      <w:r>
        <w:rPr>
          <w:rFonts w:ascii="Amiri" w:hAnsi="Amiri" w:eastAsia="Amiri" w:cs="Amiri"/>
          <w:color w:val="111111"/>
          <w:sz w:val="28"/>
          <w:sz w:val="28"/>
          <w:szCs w:val="28"/>
          <w:rtl w:val="true"/>
          <w:lang w:bidi="ar-SA"/>
        </w:rPr>
        <w:t>كما ذكرنا، و سهولة الشريعة و تسامح الشرع في مسألة الطهارة دليل واضح عليه، فلا يلتفت لبعض التشكيكات الناشئة من الاعوجاج</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3322554_2870459653"/>
      <w:bookmarkStart w:id="50" w:name="_Toc15"/>
      <w:bookmarkEnd w:id="49"/>
      <w:r>
        <w:rPr>
          <w:rtl w:val="true"/>
        </w:rPr>
        <w:t>[</w:t>
      </w:r>
      <w:r>
        <w:rPr>
          <w:rtl w:val="true"/>
        </w:rPr>
        <w:t>كيفية تطهير البئر</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النجاسة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ماؤها؛ فصلح تذكير الضمير،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بالتنوين أو مجرّداً عن الإضافة أو الوصفية، و على الأوّل معناه لا يطهّر البئرَ مثلُها كما إذا تواصلتا مثلاً و لو بساقية و إن كانت الطاهرة كرّاً؛ للإطلاق، و على الثاني لبيان تطهيرها بسائر ما سبق من المطهّرات من إلقاء الكُرّ و ملاقاة الجاري و وقوع الغيث مطلقاً، و إطلاقه إن تعلّق بالمطهّر كان لشمول تلك الأفراد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أنّ الطهارة بما ذكرنا من المطهّرات لا تشترط بشرط كما في النزح الذي إنّما يطهّرها بالتفصيل الآتي، أو الإطلاق حينئذ قبال تفصيل الماتن في الدروس و الذكرى </w:t>
      </w:r>
      <w:r>
        <w:rPr>
          <w:rStyle w:val="FootnoteAnchor"/>
          <w:rtl w:val="true"/>
        </w:rPr>
        <w:footnoteReference w:id="814"/>
      </w:r>
      <w:r>
        <w:rPr>
          <w:rFonts w:ascii="Amiri" w:hAnsi="Amiri" w:eastAsia="Amiri" w:cs="Amiri"/>
          <w:color w:val="111111"/>
          <w:sz w:val="28"/>
          <w:sz w:val="28"/>
          <w:szCs w:val="28"/>
          <w:rtl w:val="true"/>
          <w:lang w:bidi="ar-SA"/>
        </w:rPr>
        <w:t>فإنّه بعد أن حكم بطهرها بالجاري و الكثير شرطَ الامتزاج و عدم علوّهما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تسنّما عليها من أعلى فالأولى عدم التطهير؛ لعدم الاتّحاد في المسمّى،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ببیانه كهنا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التطهير المذكور في العبارة إنّما هو من نجاسة الملاقاة لإتيان حكم نجاسة التغيير في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المحصّل من كلماتهم في المقام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الشهيدان هنا و في البيان </w:t>
      </w:r>
      <w:r>
        <w:rPr>
          <w:rStyle w:val="FootnoteAnchor"/>
          <w:rtl w:val="true"/>
        </w:rPr>
        <w:footnoteReference w:id="815"/>
      </w:r>
      <w:r>
        <w:rPr>
          <w:rFonts w:ascii="Amiri" w:hAnsi="Amiri" w:eastAsia="Amiri" w:cs="Amiri"/>
          <w:color w:val="111111"/>
          <w:sz w:val="28"/>
          <w:sz w:val="28"/>
          <w:szCs w:val="28"/>
          <w:rtl w:val="true"/>
          <w:lang w:bidi="ar-SA"/>
        </w:rPr>
        <w:t>من أنّها تطهر بما يطهر بها غيرها مطلقاً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ماء البئر مبائن لسائر المياه في طهره أو طيبه بالنزح إجماعاً، </w:t>
      </w:r>
    </w:p>
    <w:p>
      <w:pPr>
        <w:pStyle w:val="BookText"/>
        <w:rPr/>
      </w:pPr>
      <w:r>
        <w:rPr>
          <w:rFonts w:ascii="Amiri" w:hAnsi="Amiri" w:eastAsia="Amiri" w:cs="Amiri"/>
          <w:color w:val="111111"/>
          <w:sz w:val="28"/>
          <w:sz w:val="28"/>
          <w:szCs w:val="28"/>
          <w:rtl w:val="true"/>
          <w:lang w:bidi="ar-SA"/>
        </w:rPr>
        <w:t xml:space="preserve">و يساويها فيما عدا ذلك من المطهّرات كوصول الجاري إليه و وقوع ماء الغيث عليه و إلقاء كُرّ فصاعداً على ما مرّ </w:t>
      </w:r>
      <w:r>
        <w:rPr>
          <w:rStyle w:val="FootnoteAnchor"/>
          <w:rtl w:val="true"/>
        </w:rPr>
        <w:footnoteReference w:id="81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فيه بموضع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البئر يطهر بمطهّر غيره، و بالنزح عند الأكثر </w:t>
      </w:r>
      <w:r>
        <w:rPr>
          <w:rStyle w:val="FootnoteAnchor"/>
          <w:rtl w:val="true"/>
        </w:rPr>
        <w:footnoteReference w:id="81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كأنّه 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النزح للتخفيف أو لجهة أنّ التطهير بغيره متعذّر أو متعسّر غالباً، ثمّ إنّ علّة تطهيره؛ لأنه سبب لخروج المادّة من المنبع، فالمطهّر المادّة الخارجة الجارية، فالجاري من خارج أولى بالتطهير و في علوّها و قهرها لها زيادة تأكيد فيه، و أمّا الكرّ المتّصل و الملقى بها و عليها فلا ريب بعدم انفعاله بملاقاتها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طهّرها فهو المطلوب و إن بقي كلّ على حكمه تبعّض الماء من غير تغيير فيه، ثمّ إنّه لا فارق بين إلقائه على البئر أو الحوض إلّا بُعد المسافة، و هو ممّا لا دخل له في المنع من التطهير، بل الحوض المساوي بالمسافة لها يطهر به قولاً واحداً، على أنّ مناط الطهر الاتّحاد مع الكثير أو الجاري و هو حاصل، بل لو كان بمكان مائها عين النجاسة لطهرت بذلك، فالمتنجّس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تراه من متنجّس مطهّره قليل الماء و لا يطهر الماء الملاقي له إلّا بأحد المطهّرات الثلاثة، فربّما كان المتنجّس أقوى حكماً؛ فذلك لجهة انفصال المطهّر الوارد من غير الماء انفصاله عنه، و هو متين لولا اختصاص البئر دون سائر المياه بأحكام خاصّة، و بناءً على جمع المختلفات و تفريق المؤتلفات، و الاحتياط بالوقوف على المنصوص من تطهّرها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تطهيرها بالمنصوص من النزح، فإنّ منها ما يفيد حُرمة الاستعمال بدونه،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إليها الماء المتّصل بالجاري لم يطهر؛ لأنّ الحكم متعلّق بالنزح و لم يحصل </w:t>
      </w:r>
      <w:r>
        <w:rPr>
          <w:rStyle w:val="FootnoteAnchor"/>
          <w:rtl w:val="true"/>
        </w:rPr>
        <w:footnoteReference w:id="81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وصلها بالجاري و الكُرّ المورث لاتّحاد المائين فتطهر، و بين ما </w:t>
      </w:r>
    </w:p>
    <w:p>
      <w:pPr>
        <w:pStyle w:val="BookText"/>
        <w:rPr/>
      </w:pPr>
      <w:r>
        <w:rPr>
          <w:rFonts w:ascii="Amiri" w:hAnsi="Amiri" w:eastAsia="Amiri" w:cs="Amiri"/>
          <w:color w:val="111111"/>
          <w:sz w:val="28"/>
          <w:sz w:val="28"/>
          <w:szCs w:val="28"/>
          <w:rtl w:val="true"/>
          <w:lang w:bidi="ar-SA"/>
        </w:rPr>
        <w:t xml:space="preserve">لو تسنّما عليها فلا؛ للحوقها اسماً و حُكماً في الأوّل و بقاء اسمه في الثاني، و عليه الماتن في الكتابين </w:t>
      </w:r>
      <w:r>
        <w:rPr>
          <w:rStyle w:val="FootnoteAnchor"/>
          <w:rtl w:val="true"/>
        </w:rPr>
        <w:footnoteReference w:id="819"/>
      </w:r>
      <w:r>
        <w:rPr>
          <w:rFonts w:ascii="Amiri" w:hAnsi="Amiri" w:eastAsia="Amiri" w:cs="Amiri"/>
          <w:color w:val="111111"/>
          <w:sz w:val="28"/>
          <w:sz w:val="28"/>
          <w:szCs w:val="28"/>
          <w:rtl w:val="true"/>
          <w:lang w:bidi="ar-SA"/>
        </w:rPr>
        <w:t xml:space="preserve">، و الفاضل في القواعد </w:t>
      </w:r>
      <w:r>
        <w:rPr>
          <w:rStyle w:val="FootnoteAnchor"/>
          <w:rtl w:val="true"/>
        </w:rPr>
        <w:footnoteReference w:id="820"/>
      </w:r>
      <w:r>
        <w:rPr>
          <w:rFonts w:ascii="Amiri" w:hAnsi="Amiri" w:eastAsia="Amiri" w:cs="Amiri"/>
          <w:color w:val="111111"/>
          <w:sz w:val="28"/>
          <w:sz w:val="28"/>
          <w:szCs w:val="28"/>
          <w:rtl w:val="true"/>
          <w:lang w:bidi="ar-SA"/>
        </w:rPr>
        <w:t xml:space="preserve">و التحرير </w:t>
      </w:r>
      <w:r>
        <w:rPr>
          <w:rStyle w:val="FootnoteAnchor"/>
          <w:rtl w:val="true"/>
        </w:rPr>
        <w:footnoteReference w:id="821"/>
      </w:r>
      <w:r>
        <w:rPr>
          <w:rFonts w:ascii="IRNazanin" w:hAnsi="IRNazanin" w:eastAsia="IRNazanin"/>
          <w:color w:val="111111"/>
          <w:sz w:val="28"/>
          <w:sz w:val="28"/>
          <w:szCs w:val="28"/>
          <w:rtl w:val="true"/>
          <w:lang w:bidi="fa-IR"/>
        </w:rPr>
        <w:t xml:space="preserve">و المنتهى </w:t>
      </w:r>
      <w:r>
        <w:rPr>
          <w:rStyle w:val="FootnoteAnchor"/>
          <w:rtl w:val="true"/>
        </w:rPr>
        <w:footnoteReference w:id="822"/>
      </w:r>
      <w:r>
        <w:rPr>
          <w:rFonts w:ascii="Amiri" w:hAnsi="Amiri" w:eastAsia="Amiri" w:cs="Amiri"/>
          <w:color w:val="111111"/>
          <w:sz w:val="28"/>
          <w:sz w:val="28"/>
          <w:szCs w:val="28"/>
          <w:rtl w:val="true"/>
          <w:lang w:bidi="ar-SA"/>
        </w:rPr>
        <w:t xml:space="preserve">اعتبر الاتّصال في تطهيرها بالجاري؛ معلّلاً في الأخير بأنّ المتّصل بالجاري كأحد أجزائه فيخرج عنه حكم البئر، و ظاهر التذكرة </w:t>
      </w:r>
      <w:r>
        <w:rPr>
          <w:rStyle w:val="FootnoteAnchor"/>
          <w:rtl w:val="true"/>
        </w:rPr>
        <w:footnoteReference w:id="823"/>
      </w:r>
      <w:r>
        <w:rPr>
          <w:rFonts w:ascii="Amiri" w:hAnsi="Amiri" w:eastAsia="Amiri" w:cs="Amiri"/>
          <w:color w:val="111111"/>
          <w:sz w:val="28"/>
          <w:sz w:val="28"/>
          <w:szCs w:val="28"/>
          <w:rtl w:val="true"/>
          <w:lang w:bidi="ar-SA"/>
        </w:rPr>
        <w:t>الاكتفاء بوقوع الجاري عليها، و لم يتعرّض في هذه الكتب لإلقاء الكرّ عليها أو اتّصاله، و لا لوقوع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زال بإلقاء كُرّ عليها على إشكال </w:t>
      </w:r>
      <w:r>
        <w:rPr>
          <w:rStyle w:val="FootnoteAnchor"/>
          <w:rtl w:val="true"/>
        </w:rPr>
        <w:footnoteReference w:id="82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العليّة تأمّل في طهرها بماء الغيث؛ لخبر كردويه </w:t>
      </w:r>
      <w:r>
        <w:rPr>
          <w:rStyle w:val="FootnoteAnchor"/>
          <w:rtl w:val="true"/>
        </w:rPr>
        <w:footnoteReference w:id="825"/>
      </w:r>
      <w:r>
        <w:rPr>
          <w:rFonts w:ascii="IRNazanin" w:hAnsi="IRNazanin" w:eastAsia="IRNazanin"/>
          <w:color w:val="111111"/>
          <w:sz w:val="28"/>
          <w:sz w:val="28"/>
          <w:szCs w:val="28"/>
          <w:rtl w:val="true"/>
          <w:lang w:bidi="fa-IR"/>
        </w:rPr>
        <w:t>في النزح لوقوعه، و اُجیب عنه بوجود عين النجاسة أو انقطاع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سلف بيانه من كون قليل البئر كالقليل في الانفعال و التطهير، و كثيرها كالكثير في جميع الأحكام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البصروي </w:t>
      </w:r>
      <w:r>
        <w:rPr>
          <w:rStyle w:val="FootnoteAnchor"/>
          <w:rtl w:val="true"/>
        </w:rPr>
        <w:footnoteReference w:id="826"/>
      </w:r>
      <w:r>
        <w:rPr>
          <w:rFonts w:ascii="IRNazanin" w:hAnsi="IRNazanin" w:eastAsia="IRNazanin"/>
          <w:color w:val="111111"/>
          <w:sz w:val="28"/>
          <w:sz w:val="28"/>
          <w:szCs w:val="28"/>
          <w:rtl w:val="true"/>
          <w:lang w:bidi="fa-IR"/>
        </w:rPr>
        <w:t xml:space="preserve">و الفاضل </w:t>
      </w:r>
      <w:r>
        <w:rPr>
          <w:rStyle w:val="FootnoteAnchor"/>
          <w:rtl w:val="true"/>
        </w:rPr>
        <w:footnoteReference w:id="827"/>
      </w:r>
      <w:r>
        <w:rPr>
          <w:rFonts w:ascii="Amiri" w:hAnsi="Amiri" w:eastAsia="Amiri" w:cs="Amiri"/>
          <w:color w:val="111111"/>
          <w:sz w:val="28"/>
          <w:sz w:val="28"/>
          <w:szCs w:val="28"/>
          <w:rtl w:val="true"/>
          <w:lang w:bidi="ar-SA"/>
        </w:rPr>
        <w:t xml:space="preserve">صريحاً و غيرهما </w:t>
      </w:r>
      <w:r>
        <w:rPr>
          <w:rStyle w:val="FootnoteAnchor"/>
          <w:rtl w:val="true"/>
        </w:rPr>
        <w:footnoteReference w:id="828"/>
      </w:r>
      <w:r>
        <w:rPr>
          <w:rFonts w:ascii="Amiri" w:hAnsi="Amiri" w:eastAsia="Amiri" w:cs="Amiri"/>
          <w:color w:val="111111"/>
          <w:sz w:val="28"/>
          <w:sz w:val="28"/>
          <w:szCs w:val="28"/>
          <w:rtl w:val="true"/>
          <w:lang w:bidi="ar-SA"/>
        </w:rPr>
        <w:t xml:space="preserve">ظاهراً، و هو الذي يساعده الدليل </w:t>
      </w:r>
      <w:r>
        <w:rPr>
          <w:rStyle w:val="FootnoteAnchor"/>
          <w:rtl w:val="true"/>
        </w:rPr>
        <w:footnoteReference w:id="829"/>
      </w:r>
      <w:r>
        <w:rPr>
          <w:rFonts w:ascii="Amiri" w:hAnsi="Amiri" w:eastAsia="Amiri" w:cs="Amiri"/>
          <w:color w:val="111111"/>
          <w:sz w:val="28"/>
          <w:sz w:val="28"/>
          <w:szCs w:val="28"/>
          <w:rtl w:val="true"/>
          <w:lang w:bidi="ar-SA"/>
        </w:rPr>
        <w:t>، و لم يثبت إعراض غير المصرّح به من الأصحاب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النزح طريق رابع لتطهيرها بالخصوص قضى به الشرع في قليلها و متغيّرها مطلقاً، و ما لم يتغيّر من كثيرها يندب فيه ذلك أو يجب تعبّداً أو أنّ حرمة الاستعمال بدونه لا تنافي طهارتها مطلقاً، كلّ ذلك لعموم ما دلّ على انفعال القليل مطلقاً الذي لا يعارضه عموم أدلّة طهارة البئر المنصرف بحكم الغالب إلى ما كان منها كُرّاً و غيره من غير تقييد بكون الماء كثيراً أو احتمال منع عموم أدلّة الكُرّ لإمكان مدخليّة عدم البئريّة في مفهومه الشرعي فيرجع الشكّ إلى مفهوم الكُرّ المترتّب عليه الحكم، و المتيقّن ما كان منه غير بئر كاحتمال إهمال تلك الإطلاقات من هذه الجهة بقصر ورودها على التفرقة بين الكُرّ و القليل في الانفعال و عدمه، لا أنّ الكرّيّة كافية مطلقاً في الطهارة، احتمالان واهيان فسادهما بيّن ممّا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عِبرة أيضاً بما يظهر من بعض روايات الباب من عدم انفعال قليل البئر؛ فإنّ صحیحة ابن بزیع </w:t>
      </w:r>
      <w:r>
        <w:rPr>
          <w:rStyle w:val="FootnoteAnchor"/>
          <w:rtl w:val="true"/>
        </w:rPr>
        <w:footnoteReference w:id="830"/>
      </w:r>
      <w:r>
        <w:rPr>
          <w:rFonts w:ascii="Amiri" w:hAnsi="Amiri" w:eastAsia="Amiri" w:cs="Amiri"/>
          <w:color w:val="111111"/>
          <w:sz w:val="28"/>
          <w:sz w:val="28"/>
          <w:szCs w:val="28"/>
          <w:rtl w:val="true"/>
          <w:lang w:bidi="ar-SA"/>
        </w:rPr>
        <w:t xml:space="preserve">ظاهرها كما فهمه جماعة </w:t>
      </w:r>
      <w:r>
        <w:rPr>
          <w:rStyle w:val="FootnoteAnchor"/>
          <w:rtl w:val="true"/>
        </w:rPr>
        <w:footnoteReference w:id="831"/>
      </w:r>
      <w:r>
        <w:rPr>
          <w:rFonts w:ascii="IRNazanin" w:hAnsi="IRNazanin" w:eastAsia="IRNazanin"/>
          <w:color w:val="111111"/>
          <w:sz w:val="28"/>
          <w:sz w:val="28"/>
          <w:szCs w:val="28"/>
          <w:rtl w:val="true"/>
          <w:lang w:bidi="fa-IR"/>
        </w:rPr>
        <w:t>عدم إفساد شيء من ماء البئر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مشتركة بين كثيرة و قليلة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ما دلّ على طهر المتغيّر بالنزح؛ إذ لولا كفاية المادّة في الاعتصام ملطقاً للزم تنجّس ما ينبع منه بالملاقاة لمكان القلّة في المتجدّد؛ لأنّ النزح في البئر يمكن أن يكون مطهّراً تعبداً، كذا أجابَ الأُستاذ </w:t>
      </w:r>
      <w:r>
        <w:rPr>
          <w:rStyle w:val="FootnoteAnchor"/>
          <w:rtl w:val="true"/>
        </w:rPr>
        <w:footnoteReference w:id="832"/>
      </w:r>
      <w:r>
        <w:rPr>
          <w:rFonts w:ascii="Amiri" w:hAnsi="Amiri" w:eastAsia="Amiri" w:cs="Amiri"/>
          <w:color w:val="111111"/>
          <w:sz w:val="28"/>
          <w:sz w:val="28"/>
          <w:szCs w:val="28"/>
          <w:rtl w:val="true"/>
          <w:lang w:bidi="ar-SA"/>
        </w:rPr>
        <w:t>بشرحه، و هو بظاهره مشكل؛ لأنّ صريحها انحصار فائدة النزح مقدّمة لحصول المطهّر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نفس زوال التغيّر ليس من المطهّرات لزم أن يكون هناك مطهّر آخر و ليس إلَّا الاتّصال بالمادّة و خروج جديد الماء شبه تكاثر الجاري، لكن معنى تعبّديّته إنّه شرطٌ تعبّدي للمطهّر، فالمطهّر المادّة و هو شرطٌ فيها، لا أنّه مطهّر تعبّدي، و به يتمّ المدّعى إذ بعد عدم اعتصام مائها بالمادّة فقط و افتقاره إلى شيء آخر يتّجه الحكم بانفعال قليله فيها، و هو المطلوب، إلّا أن يقوم قاطع من إجماع و نحوه على عدم توقّف الطهارة في المتغيّر على النزح، </w:t>
      </w:r>
    </w:p>
    <w:p>
      <w:pPr>
        <w:pStyle w:val="BookText"/>
        <w:rPr/>
      </w:pPr>
      <w:r>
        <w:rPr>
          <w:rFonts w:ascii="Amiri" w:hAnsi="Amiri" w:eastAsia="Amiri" w:cs="Amiri"/>
          <w:color w:val="111111"/>
          <w:sz w:val="28"/>
          <w:sz w:val="28"/>
          <w:szCs w:val="28"/>
          <w:rtl w:val="true"/>
          <w:lang w:bidi="ar-SA"/>
        </w:rPr>
        <w:t>بل مطلق الزوال كاف و لو حصل بذهاب المتغيّر منه إلى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فالمطهّر ليس إلّا المادّة العارية عن الاشتراط بشيء غير زوال التغيّر بأيّ نحوٍ اتّفق و نبع جديد الماء العاصم، و هي كذلك مشتركة بين القليل و الكثير، و دون إثبات قيام القاطع المدّعى خرط القتاد، إذ غاية ما يستفاد من الاعتصام بالمادّة لو سلّم هو رفع النجاسة، و أمّا الدفع الذي هو عدم انفعال القليل ممّا اعتصم بها المجدي في المقام فلم يثبت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نسلّم التلازم بين الرفع و الدّفع شرعاً و لا الأولويّة؛ إذ البئر بالدّفع شبيه الواقف من الجاري و بالرفع بالجاري المتدافع لجهة فيضان الماء الجديد من المادّة و عدمه في صورة الدّفع، مضافاً إلى حمل الوسعة في المستفيضة على معناها الحقيقي، و هي الكثرة الفعليّة، و جعل القضيّة محمولة على الغالب و ظهور المقيّدات في الاستحباب و نحوه ممّا يوهن إطلاقها، و قاعدة الجمع هو الحمل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متانة هذا القول، و بعده بالقوّة هو الطهارة مطلقاً؛ لقلّة السالم من أخبار النجاسة عن المعارض، و اجتمع في بعضها </w:t>
      </w:r>
      <w:r>
        <w:rPr>
          <w:rStyle w:val="FootnoteAnchor"/>
          <w:rtl w:val="true"/>
        </w:rPr>
        <w:footnoteReference w:id="833"/>
      </w:r>
      <w:r>
        <w:rPr>
          <w:rFonts w:ascii="Amiri" w:hAnsi="Amiri" w:eastAsia="Amiri" w:cs="Amiri"/>
          <w:color w:val="111111"/>
          <w:sz w:val="28"/>
          <w:sz w:val="28"/>
          <w:szCs w:val="28"/>
          <w:rtl w:val="true"/>
          <w:lang w:bidi="ar-SA"/>
        </w:rPr>
        <w:t xml:space="preserve">نزح الجميع و الاكتفاء بالدّلاء </w:t>
      </w:r>
      <w:r>
        <w:rPr>
          <w:rStyle w:val="FootnoteAnchor"/>
          <w:rtl w:val="true"/>
        </w:rPr>
        <w:footnoteReference w:id="834"/>
      </w:r>
      <w:r>
        <w:rPr>
          <w:rFonts w:ascii="IRNazanin" w:hAnsi="IRNazanin" w:eastAsia="IRNazanin"/>
          <w:color w:val="111111"/>
          <w:sz w:val="28"/>
          <w:sz w:val="28"/>
          <w:szCs w:val="28"/>
          <w:rtl w:val="true"/>
          <w:lang w:bidi="fa-IR"/>
        </w:rPr>
        <w:t xml:space="preserve">و الدّلو الواحد </w:t>
      </w:r>
      <w:r>
        <w:rPr>
          <w:rStyle w:val="FootnoteAnchor"/>
          <w:rtl w:val="true"/>
        </w:rPr>
        <w:footnoteReference w:id="835"/>
      </w:r>
      <w:r>
        <w:rPr>
          <w:rFonts w:ascii="Amiri" w:hAnsi="Amiri" w:eastAsia="Amiri" w:cs="Amiri"/>
          <w:color w:val="111111"/>
          <w:sz w:val="28"/>
          <w:sz w:val="28"/>
          <w:szCs w:val="28"/>
          <w:rtl w:val="true"/>
          <w:lang w:bidi="ar-SA"/>
        </w:rPr>
        <w:t xml:space="preserve">، و عدم تعيين </w:t>
      </w:r>
      <w:r>
        <w:rPr>
          <w:rStyle w:val="FootnoteAnchor"/>
          <w:rtl w:val="true"/>
        </w:rPr>
        <w:footnoteReference w:id="836"/>
      </w:r>
      <w:r>
        <w:rPr>
          <w:rFonts w:ascii="Amiri" w:hAnsi="Amiri" w:eastAsia="Amiri" w:cs="Amiri"/>
          <w:color w:val="111111"/>
          <w:sz w:val="28"/>
          <w:sz w:val="28"/>
          <w:szCs w:val="28"/>
          <w:rtl w:val="true"/>
          <w:lang w:bidi="ar-SA"/>
        </w:rPr>
        <w:t xml:space="preserve">الدّلاء و التخيير </w:t>
      </w:r>
      <w:r>
        <w:rPr>
          <w:rStyle w:val="FootnoteAnchor"/>
          <w:rtl w:val="true"/>
        </w:rPr>
        <w:footnoteReference w:id="837"/>
      </w:r>
      <w:r>
        <w:rPr>
          <w:rFonts w:ascii="Amiri" w:hAnsi="Amiri" w:eastAsia="Amiri" w:cs="Amiri"/>
          <w:color w:val="111111"/>
          <w:sz w:val="28"/>
          <w:sz w:val="28"/>
          <w:szCs w:val="28"/>
          <w:rtl w:val="true"/>
          <w:lang w:bidi="ar-SA"/>
        </w:rPr>
        <w:t>، بين الأعداد و شدّة الاختلاف في المقادير، فلا جرم من التّصرف و حمل الظاهر على النّص و الرجوع إلى القواعد الأوليّة و إن أَبَت القدماء ذلك، و عليه فلا حاجة إلى الإطناب في كيفيّة النّزح، بل نقتصر على ما ذكره الشهيدان رحمهما الله هنا مع توضيح كلامها</w:t>
      </w:r>
      <w:r>
        <w:rPr>
          <w:rFonts w:eastAsia="Amiri" w:cs="Amiri" w:ascii="Amiri" w:hAnsi="Amiri"/>
          <w:color w:val="111111"/>
          <w:sz w:val="28"/>
          <w:szCs w:val="28"/>
          <w:rtl w:val="true"/>
          <w:lang w:bidi="ar-SA"/>
        </w:rPr>
        <w:t xml:space="preserve">. </w:t>
      </w:r>
      <w:bookmarkStart w:id="51" w:name="pg9146_85902"/>
    </w:p>
    <w:p>
      <w:pPr>
        <w:pStyle w:val="Heading2"/>
        <w:numPr>
          <w:ilvl w:val="1"/>
          <w:numId w:val="1"/>
        </w:numPr>
        <w:rPr/>
      </w:pPr>
      <w:bookmarkStart w:id="52" w:name="__RefHeading___Toc3322556_2870459653"/>
      <w:bookmarkStart w:id="53" w:name="_Toc16"/>
      <w:bookmarkEnd w:id="51"/>
      <w:bookmarkEnd w:id="52"/>
      <w:r>
        <w:rPr>
          <w:rtl w:val="true"/>
        </w:rPr>
        <w:t>[</w:t>
      </w:r>
      <w:r>
        <w:rPr>
          <w:rtl w:val="true"/>
        </w:rPr>
        <w:t>موت البعير</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عندهما مضافاً للثلاثة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بنزح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فلا عِبرَة باليسير الباقي كالفاضل بعد انفصال الغسالة و في حكمه علاج إخراج مائها بغيره مطلقاً في رأي؛ لاحتمال نجاسة المتجدّد بملاقاة أرضها التي يشكّ في تطهير غير النزح لها، فيسلم استصحاب النجاسة و يتمّ في غير صورة الإخراج المساوي للنزح حكماً؛ لعموم دليله له، و بعدم الفصل بينهما تقوى الطهارة،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الغُنية </w:t>
      </w:r>
      <w:r>
        <w:rPr>
          <w:rStyle w:val="FootnoteAnchor"/>
          <w:rtl w:val="true"/>
        </w:rPr>
        <w:footnoteReference w:id="838"/>
      </w:r>
      <w:r>
        <w:rPr>
          <w:rFonts w:ascii="Amiri" w:hAnsi="Amiri" w:eastAsia="Amiri" w:cs="Amiri"/>
          <w:color w:val="111111"/>
          <w:sz w:val="28"/>
          <w:sz w:val="28"/>
          <w:szCs w:val="28"/>
          <w:rtl w:val="true"/>
          <w:lang w:bidi="ar-SA"/>
        </w:rPr>
        <w:t xml:space="preserve">و غيره </w:t>
      </w:r>
      <w:r>
        <w:rPr>
          <w:rStyle w:val="FootnoteAnchor"/>
          <w:rtl w:val="true"/>
        </w:rPr>
        <w:footnoteReference w:id="839"/>
      </w:r>
      <w:r>
        <w:rPr>
          <w:rFonts w:ascii="Amiri" w:hAnsi="Amiri" w:eastAsia="Amiri" w:cs="Amiri"/>
          <w:color w:val="111111"/>
          <w:sz w:val="28"/>
          <w:sz w:val="28"/>
          <w:szCs w:val="28"/>
          <w:rtl w:val="true"/>
          <w:lang w:bidi="ar-SA"/>
        </w:rPr>
        <w:t xml:space="preserve">، و رواية الجمل </w:t>
      </w:r>
      <w:r>
        <w:rPr>
          <w:rStyle w:val="FootnoteAnchor"/>
          <w:rtl w:val="true"/>
        </w:rPr>
        <w:footnoteReference w:id="840"/>
      </w:r>
      <w:r>
        <w:rPr>
          <w:rFonts w:ascii="Amiri" w:hAnsi="Amiri" w:eastAsia="Amiri" w:cs="Amiri"/>
          <w:color w:val="111111"/>
          <w:sz w:val="28"/>
          <w:sz w:val="28"/>
          <w:szCs w:val="28"/>
          <w:rtl w:val="true"/>
          <w:lang w:bidi="ar-SA"/>
        </w:rPr>
        <w:t>مَرمِيّة بجهالة الطريق أو مخالفة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 بمنزلة الإنسان يشمل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اللّغويين كما في شرح الفاضل لقواعد الفاضل </w:t>
      </w:r>
      <w:r>
        <w:rPr>
          <w:rStyle w:val="FootnoteAnchor"/>
          <w:rtl w:val="true"/>
        </w:rPr>
        <w:footnoteReference w:id="841"/>
      </w:r>
      <w:r>
        <w:rPr>
          <w:rFonts w:ascii="Amiri" w:hAnsi="Amiri" w:eastAsia="Amiri" w:cs="Amiri"/>
          <w:color w:val="111111"/>
          <w:sz w:val="28"/>
          <w:sz w:val="28"/>
          <w:szCs w:val="28"/>
          <w:rtl w:val="true"/>
          <w:lang w:bidi="ar-SA"/>
        </w:rPr>
        <w:t xml:space="preserve">، و الأزهري خالف </w:t>
      </w:r>
      <w:r>
        <w:rPr>
          <w:rStyle w:val="FootnoteAnchor"/>
          <w:rtl w:val="true"/>
        </w:rPr>
        <w:footnoteReference w:id="842"/>
      </w:r>
      <w:r>
        <w:rPr>
          <w:rFonts w:ascii="IRNazanin" w:hAnsi="IRNazanin" w:eastAsia="IRNazanin"/>
          <w:color w:val="111111"/>
          <w:sz w:val="28"/>
          <w:sz w:val="28"/>
          <w:szCs w:val="28"/>
          <w:rtl w:val="true"/>
          <w:lang w:bidi="fa-IR"/>
        </w:rPr>
        <w:t xml:space="preserve">، و القاموس إنّه الجمل البازل </w:t>
      </w:r>
      <w:r>
        <w:rPr>
          <w:rStyle w:val="FootnoteAnchor"/>
          <w:rtl w:val="true"/>
        </w:rPr>
        <w:footnoteReference w:id="843"/>
      </w:r>
      <w:r>
        <w:rPr>
          <w:rFonts w:ascii="Amiri" w:hAnsi="Amiri" w:eastAsia="Amiri" w:cs="Amiri"/>
          <w:color w:val="111111"/>
          <w:sz w:val="28"/>
          <w:sz w:val="28"/>
          <w:szCs w:val="28"/>
          <w:rtl w:val="true"/>
          <w:lang w:bidi="ar-SA"/>
        </w:rPr>
        <w:t xml:space="preserve">، و الشافعي في الوصيّة </w:t>
      </w:r>
      <w:r>
        <w:rPr>
          <w:rStyle w:val="FootnoteAnchor"/>
          <w:rtl w:val="true"/>
        </w:rPr>
        <w:footnoteReference w:id="844"/>
      </w:r>
      <w:r>
        <w:rPr>
          <w:rFonts w:ascii="Amiri" w:hAnsi="Amiri" w:eastAsia="Amiri" w:cs="Amiri"/>
          <w:color w:val="111111"/>
          <w:sz w:val="28"/>
          <w:sz w:val="28"/>
          <w:szCs w:val="28"/>
          <w:rtl w:val="true"/>
          <w:lang w:bidi="ar-SA"/>
        </w:rPr>
        <w:t xml:space="preserve">كذلك كالبسيط </w:t>
      </w:r>
      <w:r>
        <w:rPr>
          <w:rStyle w:val="FootnoteAnchor"/>
          <w:rtl w:val="true"/>
        </w:rPr>
        <w:footnoteReference w:id="845"/>
      </w:r>
      <w:r>
        <w:rPr>
          <w:rFonts w:ascii="Amiri" w:hAnsi="Amiri" w:eastAsia="Amiri" w:cs="Amiri"/>
          <w:color w:val="111111"/>
          <w:sz w:val="28"/>
          <w:sz w:val="28"/>
          <w:szCs w:val="28"/>
          <w:rtl w:val="true"/>
          <w:lang w:bidi="ar-SA"/>
        </w:rPr>
        <w:t xml:space="preserve">من عدم دخول الناقَة فيه، و في الخلاف </w:t>
      </w:r>
      <w:r>
        <w:rPr>
          <w:rStyle w:val="FootnoteAnchor"/>
          <w:rtl w:val="true"/>
        </w:rPr>
        <w:footnoteReference w:id="846"/>
      </w:r>
      <w:r>
        <w:rPr>
          <w:rFonts w:ascii="Amiri" w:hAnsi="Amiri" w:eastAsia="Amiri" w:cs="Amiri"/>
          <w:color w:val="111111"/>
          <w:sz w:val="28"/>
          <w:sz w:val="28"/>
          <w:szCs w:val="28"/>
          <w:rtl w:val="true"/>
          <w:lang w:bidi="ar-SA"/>
        </w:rPr>
        <w:t xml:space="preserve">البعير الجمل، فكأن استعماله سائغ في فرده لو قلنا بوضعه مطلقاً، و عليه فتدخل الناقة بما لا نَصّ فيه عند عدم القرينة، و مثله الإنسان في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الأوّل كالثاني في الاندراج و عدمه و لحوقه لما لا نَصَّ فيه على القول الثاني في الثاني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المستندة إلى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لا إلى جَلَله، فلو سبق الموت </w:t>
      </w:r>
      <w:bookmarkStart w:id="54" w:name="pg9146_85904"/>
    </w:p>
    <w:p>
      <w:pPr>
        <w:pStyle w:val="BookText"/>
        <w:rPr/>
      </w:pPr>
      <w:bookmarkEnd w:id="54"/>
      <w:r>
        <w:rPr>
          <w:rFonts w:ascii="Amiri" w:hAnsi="Amiri" w:eastAsia="Amiri" w:cs="Amiri"/>
          <w:color w:val="111111"/>
          <w:sz w:val="28"/>
          <w:sz w:val="28"/>
          <w:szCs w:val="28"/>
          <w:rtl w:val="true"/>
          <w:lang w:bidi="ar-SA"/>
        </w:rPr>
        <w:t xml:space="preserve">الوقوع فظاهر خبر زرارة </w:t>
      </w:r>
      <w:r>
        <w:rPr>
          <w:rStyle w:val="FootnoteAnchor"/>
          <w:rtl w:val="true"/>
        </w:rPr>
        <w:footnoteReference w:id="847"/>
      </w:r>
      <w:r>
        <w:rPr>
          <w:rFonts w:ascii="Amiri" w:hAnsi="Amiri" w:eastAsia="Amiri" w:cs="Amiri"/>
          <w:color w:val="111111"/>
          <w:sz w:val="28"/>
          <w:sz w:val="28"/>
          <w:szCs w:val="28"/>
          <w:rtl w:val="true"/>
          <w:lang w:bidi="ar-SA"/>
        </w:rPr>
        <w:t xml:space="preserve">من نزح عشرين للميتة مطلقاً و هو منها يوجب التفصيل، و لعدم العلم به مطلقاً فيتساويان، و القوّة للأخير لعلّيّة ملاقاة الميتة للحكم في الأخبار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3322558_2870459653"/>
      <w:bookmarkStart w:id="56" w:name="_Toc17"/>
      <w:bookmarkEnd w:id="55"/>
      <w:r>
        <w:rPr>
          <w:rtl w:val="true"/>
        </w:rPr>
        <w:t>[</w:t>
      </w:r>
      <w:r>
        <w:rPr>
          <w:rtl w:val="true"/>
        </w:rPr>
        <w:t>موت الثور</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نزح الجميع أو ما بحكمه؛ 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للصّدوق </w:t>
      </w:r>
      <w:r>
        <w:rPr>
          <w:rStyle w:val="FootnoteAnchor"/>
          <w:rtl w:val="true"/>
        </w:rPr>
        <w:footnoteReference w:id="849"/>
      </w:r>
      <w:r>
        <w:rPr>
          <w:rFonts w:ascii="Amiri" w:hAnsi="Amiri" w:eastAsia="Amiri" w:cs="Amiri"/>
          <w:color w:val="111111"/>
          <w:sz w:val="28"/>
          <w:sz w:val="28"/>
          <w:szCs w:val="28"/>
          <w:rtl w:val="true"/>
          <w:lang w:bidi="ar-SA"/>
        </w:rPr>
        <w:t xml:space="preserve">و غيره </w:t>
      </w:r>
      <w:r>
        <w:rPr>
          <w:rStyle w:val="FootnoteAnchor"/>
          <w:rtl w:val="true"/>
        </w:rPr>
        <w:footnoteReference w:id="850"/>
      </w:r>
      <w:r>
        <w:rPr>
          <w:rFonts w:ascii="IRNazanin" w:hAnsi="IRNazanin" w:eastAsia="IRNazanin"/>
          <w:color w:val="111111"/>
          <w:sz w:val="28"/>
          <w:sz w:val="28"/>
          <w:szCs w:val="28"/>
          <w:rtl w:val="true"/>
          <w:lang w:bidi="fa-IR"/>
        </w:rPr>
        <w:t xml:space="preserve">، و خلافاً للسرائر </w:t>
      </w:r>
      <w:r>
        <w:rPr>
          <w:rStyle w:val="FootnoteAnchor"/>
          <w:rtl w:val="true"/>
        </w:rPr>
        <w:footnoteReference w:id="851"/>
      </w:r>
      <w:r>
        <w:rPr>
          <w:rFonts w:ascii="Amiri" w:hAnsi="Amiri" w:eastAsia="Amiri" w:cs="Amiri"/>
          <w:color w:val="111111"/>
          <w:sz w:val="28"/>
          <w:sz w:val="28"/>
          <w:szCs w:val="28"/>
          <w:rtl w:val="true"/>
          <w:lang w:bidi="ar-SA"/>
        </w:rPr>
        <w:t xml:space="preserve">، و في المعتبر </w:t>
      </w:r>
      <w:r>
        <w:rPr>
          <w:rStyle w:val="FootnoteAnchor"/>
          <w:rtl w:val="true"/>
        </w:rPr>
        <w:footnoteReference w:id="852"/>
      </w:r>
      <w:r>
        <w:rPr>
          <w:rFonts w:ascii="Amiri" w:hAnsi="Amiri" w:eastAsia="Amiri" w:cs="Amiri"/>
          <w:color w:val="111111"/>
          <w:sz w:val="28"/>
          <w:sz w:val="28"/>
          <w:szCs w:val="28"/>
          <w:rtl w:val="true"/>
          <w:lang w:bidi="ar-SA"/>
        </w:rPr>
        <w:t xml:space="preserve">ألحقه، و في الشرائع </w:t>
      </w:r>
      <w:r>
        <w:rPr>
          <w:rStyle w:val="FootnoteAnchor"/>
          <w:rtl w:val="true"/>
        </w:rPr>
        <w:footnoteReference w:id="853"/>
      </w:r>
      <w:r>
        <w:rPr>
          <w:rFonts w:ascii="Amiri" w:hAnsi="Amiri" w:eastAsia="Amiri" w:cs="Amiri"/>
          <w:color w:val="111111"/>
          <w:sz w:val="28"/>
          <w:sz w:val="28"/>
          <w:szCs w:val="28"/>
          <w:rtl w:val="true"/>
          <w:lang w:bidi="ar-SA"/>
        </w:rPr>
        <w:t>لم يتعرّض له، و الأقرب اللّحوق؛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فيدخل العِجل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اعتبار إطلاق اسمه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 الحكم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الذُّكُوريّة، و كأنّه لا يرى لحوق العِجل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فيلحق بما لا نصّ فيه، و يتساويان حكماً فلا فائدة و في شمولها للوحشيّين، و الحق عدمه؛ للانصراف إلى الأهليّ في كلّ و حشيّ و أهلي إن لم يكن عطف و نحوه بالنّص قرينة للشمول</w:t>
      </w:r>
      <w:r>
        <w:rPr>
          <w:rFonts w:eastAsia="Amiri" w:cs="Amiri" w:ascii="Amiri" w:hAnsi="Amiri"/>
          <w:color w:val="111111"/>
          <w:sz w:val="28"/>
          <w:szCs w:val="28"/>
          <w:rtl w:val="true"/>
          <w:lang w:bidi="ar-SA"/>
        </w:rPr>
        <w:t xml:space="preserve">. </w:t>
      </w:r>
      <w:bookmarkStart w:id="57" w:name="pg9146_85906"/>
    </w:p>
    <w:p>
      <w:pPr>
        <w:pStyle w:val="Heading2"/>
        <w:numPr>
          <w:ilvl w:val="1"/>
          <w:numId w:val="1"/>
        </w:numPr>
        <w:rPr/>
      </w:pPr>
      <w:bookmarkStart w:id="58" w:name="__RefHeading___Toc3322560_2870459653"/>
      <w:bookmarkStart w:id="59" w:name="_Toc18"/>
      <w:bookmarkEnd w:id="57"/>
      <w:bookmarkEnd w:id="58"/>
      <w:r>
        <w:rPr>
          <w:rtl w:val="true"/>
        </w:rPr>
        <w:t>[</w:t>
      </w:r>
      <w:r>
        <w:rPr>
          <w:rtl w:val="true"/>
        </w:rPr>
        <w:t>الخمر</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قليله و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بالضمير على الإضافة و تذكير الخمر، و بالتاء منکّرين على الحاليّة، و التأنيث فيه أشيع، و إجماع الغُنية </w:t>
      </w:r>
      <w:r>
        <w:rPr>
          <w:rStyle w:val="FootnoteAnchor"/>
          <w:rtl w:val="true"/>
        </w:rPr>
        <w:footnoteReference w:id="855"/>
      </w:r>
      <w:r>
        <w:rPr>
          <w:rFonts w:ascii="Amiri" w:hAnsi="Amiri" w:eastAsia="Amiri" w:cs="Amiri"/>
          <w:color w:val="111111"/>
          <w:sz w:val="28"/>
          <w:sz w:val="28"/>
          <w:szCs w:val="28"/>
          <w:rtl w:val="true"/>
          <w:lang w:bidi="ar-SA"/>
        </w:rPr>
        <w:t xml:space="preserve">على عموم الحكم كالشارح، و غيره استثنى قليله و قدّر له ثلاثين أو عشرين، و إطلاق الصحيح </w:t>
      </w:r>
      <w:r>
        <w:rPr>
          <w:rStyle w:val="FootnoteAnchor"/>
          <w:rtl w:val="true"/>
        </w:rPr>
        <w:footnoteReference w:id="856"/>
      </w:r>
      <w:r>
        <w:rPr>
          <w:rFonts w:ascii="IRNazanin" w:hAnsi="IRNazanin" w:eastAsia="IRNazanin"/>
          <w:color w:val="111111"/>
          <w:sz w:val="28"/>
          <w:sz w:val="28"/>
          <w:szCs w:val="28"/>
          <w:rtl w:val="true"/>
          <w:lang w:bidi="fa-IR"/>
        </w:rPr>
        <w:t xml:space="preserve">و منقول الإجماع </w:t>
      </w:r>
      <w:r>
        <w:rPr>
          <w:rStyle w:val="FootnoteAnchor"/>
          <w:rtl w:val="true"/>
        </w:rPr>
        <w:footnoteReference w:id="857"/>
      </w:r>
      <w:r>
        <w:rPr>
          <w:rFonts w:ascii="Amiri" w:hAnsi="Amiri" w:eastAsia="Amiri" w:cs="Amiri"/>
          <w:color w:val="111111"/>
          <w:sz w:val="28"/>
          <w:sz w:val="28"/>
          <w:szCs w:val="28"/>
          <w:rtl w:val="true"/>
          <w:lang w:bidi="ar-SA"/>
        </w:rPr>
        <w:t xml:space="preserve">لولا ظهور الصّب في الكثير يقضي به، و الحقّ عدم التفرقة في كلّ أحكامه، و في المختلف </w:t>
      </w:r>
      <w:r>
        <w:rPr>
          <w:rStyle w:val="FootnoteAnchor"/>
          <w:rtl w:val="true"/>
        </w:rPr>
        <w:footnoteReference w:id="858"/>
      </w:r>
      <w:r>
        <w:rPr>
          <w:rFonts w:ascii="Amiri" w:hAnsi="Amiri" w:eastAsia="Amiri" w:cs="Amiri"/>
          <w:color w:val="111111"/>
          <w:sz w:val="28"/>
          <w:sz w:val="28"/>
          <w:szCs w:val="28"/>
          <w:rtl w:val="true"/>
          <w:lang w:bidi="ar-SA"/>
        </w:rPr>
        <w:t>مفهوم الوقوع لذي الأجزاء على الاتّصال قَلَّ أو كَثُر، انتهى</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3322562_2870459653"/>
      <w:bookmarkStart w:id="61" w:name="_Toc19"/>
      <w:bookmarkEnd w:id="60"/>
      <w:r>
        <w:rPr>
          <w:rtl w:val="true"/>
        </w:rPr>
        <w:t>[</w:t>
      </w:r>
      <w:r>
        <w:rPr>
          <w:rtl w:val="true"/>
        </w:rPr>
        <w:t>المُسكِر المائع</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يلحقه في حكمه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عرى عن النصّ بلفظه، لكن حمل عليه الخمر في النّصوص 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جمد لبرد و نحوه بالعرض، فلا عِبرَة بوقوع الحشيش و لا البنج المُداف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أفتى بالحكم الثلاثة </w:t>
      </w:r>
      <w:r>
        <w:rPr>
          <w:rStyle w:val="FootnoteAnchor"/>
          <w:rtl w:val="true"/>
        </w:rPr>
        <w:footnoteReference w:id="859"/>
      </w:r>
      <w:r>
        <w:rPr>
          <w:rFonts w:ascii="Amiri" w:hAnsi="Amiri" w:eastAsia="Amiri" w:cs="Amiri"/>
          <w:color w:val="111111"/>
          <w:sz w:val="28"/>
          <w:sz w:val="28"/>
          <w:szCs w:val="28"/>
          <w:rtl w:val="true"/>
          <w:lang w:bidi="ar-SA"/>
        </w:rPr>
        <w:t>إمّا لشمول لفظ الخمر له أو للحوقه بما لا نصّ فيه فيتّحد الحكم و يخلو إفراده بالذّكر عن الفائدة</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3322564_2870459653"/>
      <w:bookmarkStart w:id="63" w:name="_Toc20"/>
      <w:bookmarkEnd w:id="62"/>
      <w:r>
        <w:rPr>
          <w:rtl w:val="true"/>
        </w:rPr>
        <w:t>[</w:t>
      </w:r>
      <w:r>
        <w:rPr>
          <w:rtl w:val="true"/>
        </w:rPr>
        <w:t>دم الحَدث</w:t>
      </w:r>
      <w:r>
        <w:rPr>
          <w:rtl w:val="true"/>
        </w:rPr>
        <w:t>]</w:t>
      </w:r>
      <w:bookmarkEnd w:id="6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دم الحيض و النفاس و الاستحاضة،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المُسْكِر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لسانهم، و للإجماع المنقول عن ابن زُهرة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64" w:name="pg9146_85908"/>
    </w:p>
    <w:p>
      <w:pPr>
        <w:pStyle w:val="Heading2"/>
        <w:numPr>
          <w:ilvl w:val="1"/>
          <w:numId w:val="1"/>
        </w:numPr>
        <w:rPr/>
      </w:pPr>
      <w:bookmarkStart w:id="65" w:name="__RefHeading___Toc3322566_2870459653"/>
      <w:bookmarkStart w:id="66" w:name="_Toc21"/>
      <w:bookmarkEnd w:id="64"/>
      <w:bookmarkEnd w:id="65"/>
      <w:r>
        <w:rPr>
          <w:rtl w:val="true"/>
        </w:rPr>
        <w:t>[</w:t>
      </w:r>
      <w:r>
        <w:rPr>
          <w:rtl w:val="true"/>
        </w:rPr>
        <w:t>الفُقاع</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القاف كرمّان، و هو ما اتّخذ من الشعير و الزبيب حتّى وجد فيه النشيش و الحركة، و بمساواته للخمر من النزح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الغُنية الإجماع عليه </w:t>
      </w:r>
      <w:r>
        <w:rPr>
          <w:rStyle w:val="FootnoteAnchor"/>
          <w:rtl w:val="true"/>
        </w:rPr>
        <w:footnoteReference w:id="861"/>
      </w:r>
      <w:r>
        <w:rPr>
          <w:rFonts w:ascii="Amiri" w:hAnsi="Amiri" w:eastAsia="Amiri" w:cs="Amiri"/>
          <w:color w:val="111111"/>
          <w:sz w:val="28"/>
          <w:sz w:val="28"/>
          <w:szCs w:val="28"/>
          <w:rtl w:val="true"/>
          <w:lang w:bidi="ar-SA"/>
        </w:rPr>
        <w:t xml:space="preserve">، و حمل على الخمر في الأخبار </w:t>
      </w:r>
      <w:r>
        <w:rPr>
          <w:rStyle w:val="FootnoteAnchor"/>
          <w:rtl w:val="true"/>
        </w:rPr>
        <w:footnoteReference w:id="862"/>
      </w:r>
      <w:r>
        <w:rPr>
          <w:rFonts w:ascii="Amiri" w:hAnsi="Amiri" w:eastAsia="Amiri" w:cs="Amiri"/>
          <w:color w:val="111111"/>
          <w:sz w:val="28"/>
          <w:sz w:val="28"/>
          <w:szCs w:val="28"/>
          <w:rtl w:val="true"/>
          <w:lang w:bidi="ar-SA"/>
        </w:rPr>
        <w:t>، و إفراده مع شمول المسكر له يقضي بأنّ الحكم يلحق الاسم فيه هنا و إن لم يُسكِر، و كذا النجاسة، فهو مطلقاً حرام نجس</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3322568_2870459653"/>
      <w:bookmarkStart w:id="68" w:name="_Toc22"/>
      <w:bookmarkEnd w:id="67"/>
      <w:r>
        <w:rPr>
          <w:rtl w:val="true"/>
        </w:rPr>
        <w:t>[</w:t>
      </w:r>
      <w:r>
        <w:rPr>
          <w:rtl w:val="true"/>
        </w:rPr>
        <w:t>العصير العنبي</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ألحقَ به في وجوب نزح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في الذكرى العصيرَ العنبي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دخول العصير بعد الاشتداد في حكم الخمر؛ لشبهه به إن قلنا بنجاسته </w:t>
      </w:r>
      <w:r>
        <w:rPr>
          <w:rStyle w:val="FootnoteAnchor"/>
          <w:rtl w:val="true"/>
        </w:rPr>
        <w:footnoteReference w:id="8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فالضمير المجرور في كلام الشارح يرجع إلى ما يجب نزح الكلّ له لا إلى الفقاع؛ لقضيّة الإلحاق ككون إلحاقه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اشتداده بالغليان قبل ذهاب ثُلثيه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القول بنجاسته؛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لانحصار دليله رحمه الله بشبه الخمر، و الشبه في الاسم أو الإسكار أو النجاسة باطل، و بكونهما عصير عنب غلى و نجس ممكن لكن مجردّه لا يورث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رحمه الله هل هنا المنيّ ممّا له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إطلاقه شامل لغير الإنسان و إن خصّه به بعضهم، و مثله عرق الإبل الجلّالة، و الجُنب من الحرام، و بول ما حظر أكل لحمه و خرؤه، إلَّا الرَّجُل و الصّبي و خروج الكلب و الخنزير حيّين و الفيل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الغنية </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قطع المصنّف في المختصرين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Style w:val="FootnoteAnchor"/>
          <w:rtl w:val="true"/>
        </w:rPr>
        <w:footnoteReference w:id="866"/>
      </w:r>
      <w:bookmarkStart w:id="69" w:name="pg9146_85910"/>
    </w:p>
    <w:p>
      <w:pPr>
        <w:pStyle w:val="BookText"/>
        <w:rPr/>
      </w:pPr>
      <w:bookmarkEnd w:id="69"/>
      <w:r>
        <w:rPr>
          <w:rFonts w:ascii="Amiri" w:hAnsi="Amiri" w:eastAsia="Amiri" w:cs="Amiri"/>
          <w:color w:val="111111"/>
          <w:sz w:val="28"/>
          <w:sz w:val="28"/>
          <w:szCs w:val="28"/>
          <w:rtl w:val="true"/>
          <w:lang w:bidi="ar-SA"/>
        </w:rPr>
        <w:t xml:space="preserve">و دروسه،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الذكرى </w:t>
      </w:r>
      <w:r>
        <w:rPr>
          <w:rStyle w:val="FootnoteAnchor"/>
          <w:rtl w:val="true"/>
        </w:rPr>
        <w:footnoteReference w:id="867"/>
      </w:r>
      <w:r>
        <w:rPr>
          <w:rFonts w:ascii="Amiri" w:hAnsi="Amiri" w:eastAsia="Amiri" w:cs="Amiri"/>
          <w:color w:val="111111"/>
          <w:sz w:val="28"/>
          <w:sz w:val="28"/>
          <w:szCs w:val="28"/>
          <w:rtl w:val="true"/>
          <w:lang w:bidi="ar-SA"/>
        </w:rPr>
        <w:t>إلى المشهور معترفاً فيه بعدم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أبي علي أنّ القطع بالطهارة يتوقّف عليه، و لا اختصاص للدليل به فقط، بل يجري بما لا نصّ به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السبب في تركه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غيره ممّا ألحقنا، 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لإفراده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بالذِّكر من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 لما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 لدم الحَدَث، و تركه للمني و غيره غير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المنصوص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 المسكر و الفقاع بالخمر المنصوص؛ لإطلاقه عليهما و ثلاثة الدّماء بمطلق الدّم المنصوص، فلولا إفرادها للحقت بحكمه المنصوص، أو لروايتي مساواته للخمر في الذكر الملغى مقدار النزح فيهما، فيعمل بالصّدر و يترك العجز</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3322570_2870459653"/>
      <w:bookmarkStart w:id="71" w:name="_Toc23"/>
      <w:bookmarkEnd w:id="70"/>
      <w:r>
        <w:rPr>
          <w:rtl w:val="true"/>
        </w:rPr>
        <w:t>[</w:t>
      </w:r>
      <w:r>
        <w:rPr>
          <w:rtl w:val="true"/>
        </w:rPr>
        <w:t>مقدار النزح</w:t>
      </w:r>
      <w:r>
        <w:rPr>
          <w:rtl w:val="true"/>
        </w:rPr>
        <w:t>]</w:t>
      </w:r>
      <w:bookmarkEnd w:id="71"/>
    </w:p>
    <w:p>
      <w:pPr>
        <w:pStyle w:val="BookText"/>
        <w:rPr/>
      </w:pPr>
      <w:r>
        <w:rPr>
          <w:rFonts w:ascii="Amiri" w:hAnsi="Amiri" w:eastAsia="Amiri" w:cs="Amiri"/>
          <w:color w:val="111111"/>
          <w:sz w:val="28"/>
          <w:sz w:val="28"/>
          <w:szCs w:val="28"/>
          <w:rtl w:val="true"/>
          <w:lang w:bidi="ar-SA"/>
        </w:rPr>
        <w:t xml:space="preserve">و أمّا نزح المقدّر ففي النّص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كرّ للدّابة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لعطفه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الحمار و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كتبه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w:t>
      </w:r>
      <w:r>
        <w:rPr>
          <w:rStyle w:val="FootnoteAnchor"/>
          <w:rtl w:val="true"/>
        </w:rPr>
        <w:footnoteReference w:id="869"/>
      </w:r>
      <w:r>
        <w:rPr>
          <w:rFonts w:ascii="Amiri" w:hAnsi="Amiri" w:eastAsia="Amiri" w:cs="Amiri"/>
          <w:color w:val="111111"/>
          <w:sz w:val="28"/>
          <w:sz w:val="28"/>
          <w:szCs w:val="28"/>
          <w:rtl w:val="true"/>
          <w:lang w:bidi="ar-SA"/>
        </w:rPr>
        <w:t xml:space="preserve">و البيان </w:t>
      </w:r>
      <w:r>
        <w:rPr>
          <w:rStyle w:val="FootnoteAnchor"/>
          <w:rtl w:val="true"/>
        </w:rPr>
        <w:footnoteReference w:id="870"/>
      </w:r>
      <w:r>
        <w:rPr>
          <w:rFonts w:ascii="IRNazanin" w:hAnsi="IRNazanin" w:eastAsia="IRNazanin"/>
          <w:color w:val="111111"/>
          <w:sz w:val="28"/>
          <w:sz w:val="28"/>
          <w:szCs w:val="28"/>
          <w:rtl w:val="true"/>
          <w:lang w:bidi="fa-IR"/>
        </w:rPr>
        <w:t xml:space="preserve">و الدروس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في الأوّل شبه الفرس و البقر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المستندة إلى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كالبعير و الثور،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 عبّر ببعضها بعضهم، و إجماع الغنية </w:t>
      </w:r>
      <w:r>
        <w:rPr>
          <w:rStyle w:val="FootnoteAnchor"/>
          <w:rtl w:val="true"/>
        </w:rPr>
        <w:footnoteReference w:id="872"/>
      </w:r>
      <w:r>
        <w:rPr>
          <w:rFonts w:ascii="Amiri" w:hAnsi="Amiri" w:eastAsia="Amiri" w:cs="Amiri"/>
          <w:color w:val="111111"/>
          <w:sz w:val="28"/>
          <w:sz w:val="28"/>
          <w:szCs w:val="28"/>
          <w:rtl w:val="true"/>
          <w:lang w:bidi="ar-SA"/>
        </w:rPr>
        <w:t xml:space="preserve">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المنصوص</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p>
    <w:p>
      <w:pPr>
        <w:pStyle w:val="BookText"/>
        <w:rPr/>
      </w:pPr>
      <w:r>
        <w:rPr>
          <w:rFonts w:ascii="IRNazanin" w:hAnsi="IRNazanin" w:eastAsia="IRNazanin"/>
          <w:color w:val="111111"/>
          <w:sz w:val="28"/>
          <w:sz w:val="28"/>
          <w:szCs w:val="28"/>
          <w:rtl w:val="true"/>
          <w:lang w:bidi="fa-IR"/>
        </w:rPr>
        <w:t xml:space="preserve">مع ضعف </w:t>
      </w:r>
      <w:r>
        <w:rPr>
          <w:rStyle w:val="FootnoteAnchor"/>
          <w:rtl w:val="true"/>
        </w:rPr>
        <w:footnoteReference w:id="874"/>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جعفر علیه السلام و عدم الوثوق 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 و 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غايته أن ينجبر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فليسلم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فيبقى إلحاق الدّابة و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نصّ فيه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مصباح المرتضى رحمه الله بعد إنكاره على المفيد الحكم بإلحاق الفرس و البقرة بالحمار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المقلّدة مَن لو طالبته بدليل ذلك لادّعى الإجماع لوجوده في كتب الثلاثة، و هو غلط و جهالة إن لم يكن تجاهلاً ، فالأجود </w:t>
      </w:r>
      <w:r>
        <w:rPr>
          <w:rStyle w:val="FootnoteAnchor"/>
          <w:rtl w:val="true"/>
        </w:rPr>
        <w:footnoteReference w:id="875"/>
      </w:r>
      <w:r>
        <w:rPr>
          <w:rFonts w:ascii="Amiri" w:hAnsi="Amiri" w:eastAsia="Amiri" w:cs="Amiri"/>
          <w:color w:val="111111"/>
          <w:sz w:val="28"/>
          <w:sz w:val="28"/>
          <w:szCs w:val="28"/>
          <w:rtl w:val="true"/>
          <w:lang w:bidi="ar-SA"/>
        </w:rPr>
        <w:t xml:space="preserve">أن يجعل الفرس و البقرة في قسم ما لم يتناوله نصّ على الخصوص </w:t>
      </w:r>
      <w:r>
        <w:rPr>
          <w:rStyle w:val="FootnoteAnchor"/>
          <w:rtl w:val="true"/>
        </w:rPr>
        <w:footnoteReference w:id="8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يجب أو يندب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سبعين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 الشيخ </w:t>
      </w:r>
      <w:r>
        <w:rPr>
          <w:rStyle w:val="FootnoteAnchor"/>
          <w:rtl w:val="true"/>
        </w:rPr>
        <w:footnoteReference w:id="877"/>
      </w:r>
      <w:r>
        <w:rPr>
          <w:rFonts w:ascii="Amiri" w:hAnsi="Amiri" w:eastAsia="Amiri" w:cs="Amiri"/>
          <w:color w:val="111111"/>
          <w:sz w:val="28"/>
          <w:sz w:val="28"/>
          <w:szCs w:val="28"/>
          <w:rtl w:val="true"/>
          <w:lang w:bidi="ar-SA"/>
        </w:rPr>
        <w:t xml:space="preserve">و غيره </w:t>
      </w:r>
      <w:r>
        <w:rPr>
          <w:rStyle w:val="FootnoteAnchor"/>
          <w:rtl w:val="true"/>
        </w:rPr>
        <w:footnoteReference w:id="878"/>
      </w:r>
      <w:r>
        <w:rPr>
          <w:rFonts w:ascii="Amiri" w:hAnsi="Amiri" w:eastAsia="Amiri" w:cs="Amiri"/>
          <w:color w:val="111111"/>
          <w:sz w:val="28"/>
          <w:sz w:val="28"/>
          <w:szCs w:val="28"/>
          <w:rtl w:val="true"/>
          <w:lang w:bidi="ar-SA"/>
        </w:rPr>
        <w:t xml:space="preserve">، و قيّدها المحقّق </w:t>
      </w:r>
      <w:r>
        <w:rPr>
          <w:rStyle w:val="FootnoteAnchor"/>
          <w:rtl w:val="true"/>
        </w:rPr>
        <w:footnoteReference w:id="879"/>
      </w:r>
      <w:r>
        <w:rPr>
          <w:rFonts w:ascii="IRNazanin" w:hAnsi="IRNazanin" w:eastAsia="IRNazanin"/>
          <w:color w:val="111111"/>
          <w:sz w:val="28"/>
          <w:sz w:val="28"/>
          <w:szCs w:val="28"/>
          <w:rtl w:val="true"/>
          <w:lang w:bidi="fa-IR"/>
        </w:rPr>
        <w:t xml:space="preserve">و الشارح </w:t>
      </w:r>
      <w:r>
        <w:rPr>
          <w:rStyle w:val="FootnoteAnchor"/>
          <w:rtl w:val="true"/>
        </w:rPr>
        <w:footnoteReference w:id="880"/>
      </w:r>
      <w:r>
        <w:rPr>
          <w:rFonts w:ascii="Amiri" w:hAnsi="Amiri" w:eastAsia="Amiri" w:cs="Amiri"/>
          <w:color w:val="111111"/>
          <w:sz w:val="28"/>
          <w:sz w:val="28"/>
          <w:szCs w:val="28"/>
          <w:rtl w:val="true"/>
          <w:lang w:bidi="ar-SA"/>
        </w:rPr>
        <w:t xml:space="preserve">و غيره </w:t>
      </w:r>
      <w:r>
        <w:rPr>
          <w:rStyle w:val="FootnoteAnchor"/>
          <w:rtl w:val="true"/>
        </w:rPr>
        <w:footnoteReference w:id="881"/>
      </w:r>
      <w:r>
        <w:rPr>
          <w:rFonts w:ascii="IRNazanin" w:hAnsi="IRNazanin" w:eastAsia="IRNazanin"/>
          <w:color w:val="111111"/>
          <w:sz w:val="28"/>
          <w:sz w:val="28"/>
          <w:szCs w:val="28"/>
          <w:rtl w:val="true"/>
          <w:lang w:bidi="fa-IR"/>
        </w:rPr>
        <w:t xml:space="preserve">بما 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تلك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الإحالة على الإطلاق مُبهَم فلا يصلح لتعليق الحكم، إذ الشارع لم يقدّر للدلو مقداراً كاللّغة، و لا نريد به المعتاد في زمن الأئمة علیهم السلام؛ لجهله، و لعدم تقديره عند الأصحاب، و لتوقّفهم بنزح دلو يفي بمقدار المقدّر في الامتثال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يعتبر ما يطلق عليه اسمه عرفاً، فلا يكفي اعتياد آنية فخار و نحوها، و يكفي مسمّى الدّلو فيما لم يعتد فيها دلو، و اعتيد و جهل، وفاقاً لروضه، و خلافاً لمعتبر </w:t>
      </w:r>
      <w:r>
        <w:rPr>
          <w:rStyle w:val="FootnoteAnchor"/>
          <w:rtl w:val="true"/>
        </w:rPr>
        <w:footnoteReference w:id="882"/>
      </w:r>
      <w:r>
        <w:rPr>
          <w:rFonts w:ascii="Amiri" w:hAnsi="Amiri" w:eastAsia="Amiri" w:cs="Amiri"/>
          <w:color w:val="111111"/>
          <w:sz w:val="28"/>
          <w:sz w:val="28"/>
          <w:szCs w:val="28"/>
          <w:rtl w:val="true"/>
          <w:lang w:bidi="ar-SA"/>
        </w:rPr>
        <w:t xml:space="preserve">الدّلاء </w:t>
      </w:r>
    </w:p>
    <w:p>
      <w:pPr>
        <w:pStyle w:val="BookText"/>
        <w:rPr/>
      </w:pPr>
      <w:r>
        <w:rPr>
          <w:rFonts w:ascii="Amiri" w:hAnsi="Amiri" w:eastAsia="Amiri" w:cs="Amiri"/>
          <w:color w:val="111111"/>
          <w:sz w:val="28"/>
          <w:sz w:val="28"/>
          <w:szCs w:val="28"/>
          <w:rtl w:val="true"/>
          <w:lang w:bidi="ar-SA"/>
        </w:rPr>
        <w:t xml:space="preserve">الهجريّة </w:t>
      </w:r>
      <w:r>
        <w:rPr>
          <w:rStyle w:val="FootnoteAnchor"/>
          <w:rtl w:val="true"/>
        </w:rPr>
        <w:footnoteReference w:id="883"/>
      </w:r>
      <w:r>
        <w:rPr>
          <w:rFonts w:ascii="Amiri" w:hAnsi="Amiri" w:eastAsia="Amiri" w:cs="Amiri"/>
          <w:color w:val="111111"/>
          <w:sz w:val="28"/>
          <w:sz w:val="28"/>
          <w:szCs w:val="28"/>
          <w:rtl w:val="true"/>
          <w:lang w:bidi="ar-SA"/>
        </w:rPr>
        <w:t xml:space="preserve">التي هي ثلاثون أو أربعون رطلاً،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الدلاء المعتادة عليها أو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لنجاسته المستندة إلى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كفره و لا تنجّسه؛ لإجماع </w:t>
      </w:r>
      <w:r>
        <w:rPr>
          <w:rStyle w:val="FootnoteAnchor"/>
          <w:rtl w:val="true"/>
        </w:rPr>
        <w:footnoteReference w:id="884"/>
      </w:r>
      <w:r>
        <w:rPr>
          <w:rFonts w:ascii="Amiri" w:hAnsi="Amiri" w:eastAsia="Amiri" w:cs="Amiri"/>
          <w:color w:val="111111"/>
          <w:sz w:val="28"/>
          <w:sz w:val="28"/>
          <w:szCs w:val="28"/>
          <w:rtl w:val="true"/>
          <w:lang w:bidi="ar-SA"/>
        </w:rPr>
        <w:t xml:space="preserve">مدّعي النجاسة عليه، و رواية الساباطي </w:t>
      </w:r>
      <w:r>
        <w:rPr>
          <w:rStyle w:val="FootnoteAnchor"/>
          <w:rtl w:val="true"/>
        </w:rPr>
        <w:footnoteReference w:id="885"/>
      </w:r>
      <w:r>
        <w:rPr>
          <w:rFonts w:ascii="Amiri" w:hAnsi="Amiri" w:eastAsia="Amiri" w:cs="Amiri"/>
          <w:color w:val="111111"/>
          <w:sz w:val="28"/>
          <w:sz w:val="28"/>
          <w:szCs w:val="28"/>
          <w:rtl w:val="true"/>
          <w:lang w:bidi="ar-SA"/>
        </w:rPr>
        <w:t xml:space="preserve">التي لا يقدح فطحيّة رواتها للوثوق بهم، و سَلامة المعارض في المعتبر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ذلك الحكم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الصغير و الكبير و المسلم مطلقاً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لغير السرائر </w:t>
      </w:r>
      <w:r>
        <w:rPr>
          <w:rStyle w:val="FootnoteAnchor"/>
          <w:rtl w:val="true"/>
        </w:rPr>
        <w:footnoteReference w:id="887"/>
      </w:r>
      <w:r>
        <w:rPr>
          <w:rFonts w:ascii="Amiri" w:hAnsi="Amiri" w:eastAsia="Amiri" w:cs="Amiri"/>
          <w:color w:val="111111"/>
          <w:sz w:val="28"/>
          <w:sz w:val="28"/>
          <w:szCs w:val="28"/>
          <w:rtl w:val="true"/>
          <w:lang w:bidi="ar-SA"/>
        </w:rPr>
        <w:t xml:space="preserve">و أبي علي </w:t>
      </w:r>
      <w:r>
        <w:rPr>
          <w:rStyle w:val="FootnoteAnchor"/>
          <w:rtl w:val="true"/>
        </w:rPr>
        <w:footnoteReference w:id="888"/>
      </w:r>
      <w:r>
        <w:rPr>
          <w:rFonts w:ascii="Amiri" w:hAnsi="Amiri" w:eastAsia="Amiri" w:cs="Amiri"/>
          <w:color w:val="111111"/>
          <w:sz w:val="28"/>
          <w:sz w:val="28"/>
          <w:szCs w:val="28"/>
          <w:rtl w:val="true"/>
          <w:lang w:bidi="ar-SA"/>
        </w:rPr>
        <w:t>و الشارح، و بروضه؛ فإنّ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نوجب الجميع لما لا نصّ فيه و إلّا اختصَّ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مؤدّى عبارة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 حكمنا بنزح الجميع لما لا نصّ فيه فلا بدّ من القول به هنا؛ لثبوته قبل الموت الذي هو مورد النّص عندهم، و إن اكتفينا بنزح ثلاثين أو أربعين فإن حكمنا بالتداخل مع تعدّد النجاسة و لو مختلفة كفت السّبعون، و إلّا وجب لكلّ مقدّره </w:t>
      </w:r>
      <w:r>
        <w:rPr>
          <w:rStyle w:val="FootnoteAnchor"/>
          <w:rtl w:val="true"/>
        </w:rPr>
        <w:footnoteReference w:id="8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فحكم الشارح بنزح السبعين لموته مشروط بعدم وجوب الجميع لغير المنصوص على رأي مَن أوجب ثلاثين أو أربعين لفاقد النّص مع القول بالتداخل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نقل بالتداخل أو نوجب الجميع لغير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الحكم بالمسلم، فعلى الأوّل يكون إمّا مئة، أو هي مع عشرة، و على الثاني يجب نزح الجميع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الروض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منع زيادة نجاسته بعد الموت لزوال الاعتقاد الذي هو سبب نجاسته ففيه منع؛ لأنّ أحكام الكفر باقية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ابن إدريس أوْجَه، نعم لو وقع </w:t>
      </w:r>
    </w:p>
    <w:p>
      <w:pPr>
        <w:pStyle w:val="BookText"/>
        <w:rPr/>
      </w:pPr>
      <w:r>
        <w:rPr>
          <w:rFonts w:ascii="Amiri" w:hAnsi="Amiri" w:eastAsia="Amiri" w:cs="Amiri"/>
          <w:color w:val="111111"/>
          <w:sz w:val="28"/>
          <w:sz w:val="28"/>
          <w:szCs w:val="28"/>
          <w:rtl w:val="true"/>
          <w:lang w:bidi="ar-SA"/>
        </w:rPr>
        <w:t xml:space="preserve">في الماء ميّتاً اتجه ما قالوه و دخل في العموم </w:t>
      </w:r>
      <w:r>
        <w:rPr>
          <w:rStyle w:val="FootnoteAnchor"/>
          <w:rtl w:val="true"/>
        </w:rPr>
        <w:footnoteReference w:id="89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 لأنّ النّص إنّما يتناول بظاهره وقوع ميّت الإنسان فيها لا الموت فيها، ولكنّه محلّ تأمّل كمنعه منع زيادة نجاسته بعد الموت بما ذكر من بقاء أحكام الكفر؛ لأنّ شيئاً من ذلك لا يقضي ببقاء نجاسة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معتادة ندباً أو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القليل، و عليه الشيخ </w:t>
      </w:r>
      <w:r>
        <w:rPr>
          <w:rStyle w:val="FootnoteAnchor"/>
          <w:rtl w:val="true"/>
        </w:rPr>
        <w:footnoteReference w:id="891"/>
      </w:r>
      <w:r>
        <w:rPr>
          <w:rFonts w:ascii="Amiri" w:hAnsi="Amiri" w:eastAsia="Amiri" w:cs="Amiri"/>
          <w:color w:val="111111"/>
          <w:sz w:val="28"/>
          <w:sz w:val="28"/>
          <w:szCs w:val="28"/>
          <w:rtl w:val="true"/>
          <w:lang w:bidi="ar-SA"/>
        </w:rPr>
        <w:t xml:space="preserve">و هو المشهور أو المجمع عليه نقلاً، و المرتضى </w:t>
      </w:r>
      <w:r>
        <w:rPr>
          <w:rStyle w:val="FootnoteAnchor"/>
          <w:rtl w:val="true"/>
        </w:rPr>
        <w:footnoteReference w:id="892"/>
      </w:r>
      <w:r>
        <w:rPr>
          <w:rFonts w:ascii="Amiri" w:hAnsi="Amiri" w:eastAsia="Amiri" w:cs="Amiri"/>
          <w:color w:val="111111"/>
          <w:sz w:val="28"/>
          <w:sz w:val="28"/>
          <w:szCs w:val="28"/>
          <w:rtl w:val="true"/>
          <w:lang w:bidi="ar-SA"/>
        </w:rPr>
        <w:t xml:space="preserve">لم يفصّل فأوجب ما بين دلو واحد إلى عشرين، و في الاستبصار </w:t>
      </w:r>
      <w:r>
        <w:rPr>
          <w:rStyle w:val="FootnoteAnchor"/>
          <w:rtl w:val="true"/>
        </w:rPr>
        <w:footnoteReference w:id="893"/>
      </w:r>
      <w:r>
        <w:rPr>
          <w:rFonts w:ascii="Amiri" w:hAnsi="Amiri" w:eastAsia="Amiri" w:cs="Amiri"/>
          <w:color w:val="111111"/>
          <w:sz w:val="28"/>
          <w:sz w:val="28"/>
          <w:szCs w:val="28"/>
          <w:rtl w:val="true"/>
          <w:lang w:bidi="ar-SA"/>
        </w:rPr>
        <w:t xml:space="preserve">كالمروي من ثلاثين إلى أربعين لكثيره، و عزي للصدوق </w:t>
      </w:r>
      <w:r>
        <w:rPr>
          <w:rStyle w:val="FootnoteAnchor"/>
          <w:rtl w:val="true"/>
        </w:rPr>
        <w:footnoteReference w:id="894"/>
      </w:r>
      <w:r>
        <w:rPr>
          <w:rFonts w:ascii="IRNazanin" w:hAnsi="IRNazanin" w:eastAsia="IRNazanin"/>
          <w:color w:val="111111"/>
          <w:sz w:val="28"/>
          <w:sz w:val="28"/>
          <w:szCs w:val="28"/>
          <w:rtl w:val="true"/>
          <w:lang w:bidi="fa-IR"/>
        </w:rPr>
        <w:t xml:space="preserve">، و قرّبه الفاضلان </w:t>
      </w:r>
      <w:r>
        <w:rPr>
          <w:rStyle w:val="FootnoteAnchor"/>
          <w:rtl w:val="true"/>
        </w:rPr>
        <w:footnoteReference w:id="895"/>
      </w:r>
      <w:r>
        <w:rPr>
          <w:rFonts w:ascii="Amiri" w:hAnsi="Amiri" w:eastAsia="Amiri" w:cs="Amiri"/>
          <w:color w:val="111111"/>
          <w:sz w:val="28"/>
          <w:sz w:val="28"/>
          <w:szCs w:val="28"/>
          <w:rtl w:val="true"/>
          <w:lang w:bidi="ar-SA"/>
        </w:rPr>
        <w:t xml:space="preserve">، و قوّاه في الموجز </w:t>
      </w:r>
      <w:r>
        <w:rPr>
          <w:rStyle w:val="FootnoteAnchor"/>
          <w:rtl w:val="true"/>
        </w:rPr>
        <w:footnoteReference w:id="896"/>
      </w:r>
      <w:r>
        <w:rPr>
          <w:rFonts w:ascii="Amiri" w:hAnsi="Amiri" w:eastAsia="Amiri" w:cs="Amiri"/>
          <w:color w:val="111111"/>
          <w:sz w:val="28"/>
          <w:sz w:val="28"/>
          <w:szCs w:val="28"/>
          <w:rtl w:val="true"/>
          <w:lang w:bidi="ar-SA"/>
        </w:rPr>
        <w:t xml:space="preserve">و الجعفريّة </w:t>
      </w:r>
      <w:r>
        <w:rPr>
          <w:rStyle w:val="FootnoteAnchor"/>
          <w:rtl w:val="true"/>
        </w:rPr>
        <w:footnoteReference w:id="897"/>
      </w:r>
      <w:r>
        <w:rPr>
          <w:rFonts w:ascii="Amiri" w:hAnsi="Amiri" w:eastAsia="Amiri" w:cs="Amiri"/>
          <w:color w:val="111111"/>
          <w:sz w:val="28"/>
          <w:sz w:val="28"/>
          <w:szCs w:val="28"/>
          <w:rtl w:val="true"/>
          <w:lang w:bidi="ar-SA"/>
        </w:rPr>
        <w:t xml:space="preserve">، و استحسنه الماتن في الذكرى </w:t>
      </w:r>
      <w:r>
        <w:rPr>
          <w:rStyle w:val="FootnoteAnchor"/>
          <w:rtl w:val="true"/>
        </w:rPr>
        <w:footnoteReference w:id="898"/>
      </w:r>
      <w:r>
        <w:rPr>
          <w:rFonts w:ascii="IRNazanin" w:hAnsi="IRNazanin" w:eastAsia="IRNazanin"/>
          <w:color w:val="111111"/>
          <w:sz w:val="28"/>
          <w:sz w:val="28"/>
          <w:szCs w:val="28"/>
          <w:rtl w:val="true"/>
          <w:lang w:bidi="fa-IR"/>
        </w:rPr>
        <w:t xml:space="preserve">، و جزم به الشارح بروضه </w:t>
      </w:r>
      <w:r>
        <w:rPr>
          <w:rStyle w:val="FootnoteAnchor"/>
          <w:rtl w:val="true"/>
        </w:rPr>
        <w:footnoteReference w:id="899"/>
      </w:r>
      <w:r>
        <w:rPr>
          <w:rFonts w:ascii="Amiri" w:hAnsi="Amiri" w:eastAsia="Amiri" w:cs="Amiri"/>
          <w:color w:val="111111"/>
          <w:sz w:val="28"/>
          <w:sz w:val="28"/>
          <w:szCs w:val="28"/>
          <w:rtl w:val="true"/>
          <w:lang w:bidi="ar-SA"/>
        </w:rPr>
        <w:t xml:space="preserve">، و المفيد </w:t>
      </w:r>
      <w:r>
        <w:rPr>
          <w:rStyle w:val="FootnoteAnchor"/>
          <w:rtl w:val="true"/>
        </w:rPr>
        <w:footnoteReference w:id="900"/>
      </w:r>
      <w:r>
        <w:rPr>
          <w:rFonts w:ascii="Amiri" w:hAnsi="Amiri" w:eastAsia="Amiri" w:cs="Amiri"/>
          <w:color w:val="111111"/>
          <w:sz w:val="28"/>
          <w:sz w:val="28"/>
          <w:szCs w:val="28"/>
          <w:rtl w:val="true"/>
          <w:lang w:bidi="ar-SA"/>
        </w:rPr>
        <w:t xml:space="preserve">أوجب عشراً و ضمّا </w:t>
      </w:r>
      <w:r>
        <w:rPr>
          <w:rStyle w:val="FootnoteAnchor"/>
          <w:rtl w:val="true"/>
        </w:rPr>
        <w:footnoteReference w:id="901"/>
      </w:r>
      <w:r>
        <w:rPr>
          <w:rFonts w:ascii="Amiri" w:hAnsi="Amiri" w:eastAsia="Amiri" w:cs="Amiri"/>
          <w:color w:val="111111"/>
          <w:sz w:val="28"/>
          <w:sz w:val="28"/>
          <w:szCs w:val="28"/>
          <w:rtl w:val="true"/>
          <w:lang w:bidi="ar-SA"/>
        </w:rPr>
        <w:t>لكثيره و قليله، و المتوسّطان لم يفرّقوا بين دم الشاة و غيره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w:t>
      </w:r>
      <w:r>
        <w:rPr>
          <w:rStyle w:val="FootnoteAnchor"/>
          <w:rtl w:val="true"/>
        </w:rPr>
        <w:footnoteReference w:id="902"/>
      </w:r>
      <w:r>
        <w:rPr>
          <w:rFonts w:ascii="Amiri" w:hAnsi="Amiri" w:eastAsia="Amiri" w:cs="Amiri"/>
          <w:color w:val="111111"/>
          <w:sz w:val="28"/>
          <w:sz w:val="28"/>
          <w:szCs w:val="28"/>
          <w:rtl w:val="true"/>
          <w:lang w:bidi="ar-SA"/>
        </w:rPr>
        <w:t xml:space="preserve">لا تقتضي الإطلاق فليقتصر على موردها، و الكثير ما كان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نفسه </w:t>
      </w:r>
    </w:p>
    <w:p>
      <w:pPr>
        <w:pStyle w:val="BookText"/>
        <w:rPr/>
      </w:pP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إضافة إلى البئر، و إن احتمله في الذكرى </w:t>
      </w:r>
      <w:r>
        <w:rPr>
          <w:rStyle w:val="FootnoteAnchor"/>
          <w:rtl w:val="true"/>
        </w:rPr>
        <w:footnoteReference w:id="903"/>
      </w:r>
      <w:r>
        <w:rPr>
          <w:rFonts w:ascii="Amiri" w:hAnsi="Amiri" w:eastAsia="Amiri" w:cs="Amiri"/>
          <w:color w:val="111111"/>
          <w:sz w:val="28"/>
          <w:sz w:val="28"/>
          <w:szCs w:val="28"/>
          <w:rtl w:val="true"/>
          <w:lang w:bidi="ar-SA"/>
        </w:rPr>
        <w:t>باعتبار أنّ القلّة و الكثرة إضافيّان، فإنّا لا نسلّمه هنا و لو سلّمنا الإضافية لمخالفة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فالكثير ما يسمّى به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كدم الشاة المذبوحة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الأقلّ منه في السرائر </w:t>
      </w:r>
      <w:r>
        <w:rPr>
          <w:rStyle w:val="FootnoteAnchor"/>
          <w:rtl w:val="true"/>
        </w:rPr>
        <w:footnoteReference w:id="904"/>
      </w:r>
      <w:r>
        <w:rPr>
          <w:rFonts w:ascii="Amiri" w:hAnsi="Amiri" w:eastAsia="Amiri" w:cs="Amiri"/>
          <w:color w:val="111111"/>
          <w:sz w:val="28"/>
          <w:sz w:val="28"/>
          <w:szCs w:val="28"/>
          <w:rtl w:val="true"/>
          <w:lang w:bidi="ar-SA"/>
        </w:rPr>
        <w:t xml:space="preserve">من قليله و الحكم في المشهور </w:t>
      </w:r>
      <w:r>
        <w:rPr>
          <w:rStyle w:val="FootnoteAnchor"/>
          <w:rtl w:val="true"/>
        </w:rPr>
        <w:footnoteReference w:id="905"/>
      </w:r>
      <w:r>
        <w:rPr>
          <w:rFonts w:ascii="Amiri" w:hAnsi="Amiri" w:eastAsia="Amiri" w:cs="Amiri"/>
          <w:color w:val="111111"/>
          <w:sz w:val="28"/>
          <w:sz w:val="28"/>
          <w:szCs w:val="28"/>
          <w:rtl w:val="true"/>
          <w:lang w:bidi="ar-SA"/>
        </w:rPr>
        <w:t xml:space="preserve">مقصور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الدّماء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دم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إلحاق دم نجس العين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إيجاب نزح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لمساواته للثلاثة في تغليظ الحكم، لعدم العفو عن قليله و كثيره في الصلاة، و لاشتراكهما في قوّة النجاسة، كذا في حاشية الرّوض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الذكرى </w:t>
      </w:r>
      <w:r>
        <w:rPr>
          <w:rStyle w:val="FootnoteAnchor"/>
          <w:rtl w:val="true"/>
        </w:rPr>
        <w:footnoteReference w:id="907"/>
      </w:r>
      <w:r>
        <w:rPr>
          <w:rFonts w:ascii="Amiri" w:hAnsi="Amiri" w:eastAsia="Amiri" w:cs="Amiri"/>
          <w:color w:val="111111"/>
          <w:sz w:val="28"/>
          <w:sz w:val="28"/>
          <w:szCs w:val="28"/>
          <w:rtl w:val="true"/>
          <w:lang w:bidi="ar-SA"/>
        </w:rPr>
        <w:t>أنّه شكّ في شكّ من استثناء الثلاثة من مطلق حكم الدّم و من الإلحاق المرقوم، و يقوى عدمه لو قلنا بالعفو في دَم نجس العَين كما هو الظاهر فلا اشتراك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الكثير منهما مُلحق بما لا نصّ فيه؛ لاختصاص النّص </w:t>
      </w:r>
      <w:r>
        <w:rPr>
          <w:rStyle w:val="FootnoteAnchor"/>
          <w:rtl w:val="true"/>
        </w:rPr>
        <w:footnoteReference w:id="908"/>
      </w:r>
      <w:r>
        <w:rPr>
          <w:rFonts w:ascii="Amiri" w:hAnsi="Amiri" w:eastAsia="Amiri" w:cs="Amiri"/>
          <w:color w:val="111111"/>
          <w:sz w:val="28"/>
          <w:sz w:val="28"/>
          <w:szCs w:val="28"/>
          <w:rtl w:val="true"/>
          <w:lang w:bidi="ar-SA"/>
        </w:rPr>
        <w:t>بالقطرات و دم الشاة</w:t>
      </w:r>
      <w:r>
        <w:rPr>
          <w:rFonts w:eastAsia="Amiri" w:cs="Amiri" w:ascii="Amiri" w:hAnsi="Amiri"/>
          <w:color w:val="111111"/>
          <w:sz w:val="28"/>
          <w:szCs w:val="28"/>
          <w:rtl w:val="true"/>
          <w:lang w:bidi="ar-SA"/>
        </w:rPr>
        <w:t xml:space="preserve">. </w:t>
      </w:r>
      <w:bookmarkStart w:id="72" w:name="pg9146_85920"/>
    </w:p>
    <w:p>
      <w:pPr>
        <w:pStyle w:val="Heading2"/>
        <w:numPr>
          <w:ilvl w:val="1"/>
          <w:numId w:val="1"/>
        </w:numPr>
        <w:rPr/>
      </w:pPr>
      <w:bookmarkStart w:id="73" w:name="__RefHeading___Toc3322572_2870459653"/>
      <w:bookmarkStart w:id="74" w:name="_Toc24"/>
      <w:bookmarkEnd w:id="72"/>
      <w:bookmarkEnd w:id="73"/>
      <w:r>
        <w:rPr>
          <w:rtl w:val="true"/>
        </w:rPr>
        <w:t>[</w:t>
      </w:r>
      <w:r>
        <w:rPr>
          <w:rtl w:val="true"/>
        </w:rPr>
        <w:t>العذرة الرّطبة</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تلحق الدّمَ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 الرطبة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عمّمها في المعتبر </w:t>
      </w:r>
      <w:r>
        <w:rPr>
          <w:rStyle w:val="FootnoteAnchor"/>
          <w:rtl w:val="true"/>
        </w:rPr>
        <w:footnoteReference w:id="909"/>
      </w:r>
      <w:r>
        <w:rPr>
          <w:rFonts w:ascii="Amiri" w:hAnsi="Amiri" w:eastAsia="Amiri" w:cs="Amiri"/>
          <w:color w:val="111111"/>
          <w:sz w:val="28"/>
          <w:sz w:val="28"/>
          <w:szCs w:val="28"/>
          <w:rtl w:val="true"/>
          <w:lang w:bidi="ar-SA"/>
        </w:rPr>
        <w:t xml:space="preserve">لكلّ حيوان، و الهروي </w:t>
      </w:r>
      <w:r>
        <w:rPr>
          <w:rStyle w:val="FootnoteAnchor"/>
          <w:rtl w:val="true"/>
        </w:rPr>
        <w:footnoteReference w:id="910"/>
      </w:r>
      <w:r>
        <w:rPr>
          <w:rFonts w:ascii="Amiri" w:hAnsi="Amiri" w:eastAsia="Amiri" w:cs="Amiri"/>
          <w:color w:val="111111"/>
          <w:sz w:val="28"/>
          <w:sz w:val="28"/>
          <w:szCs w:val="28"/>
          <w:rtl w:val="true"/>
          <w:lang w:bidi="ar-SA"/>
        </w:rPr>
        <w:t xml:space="preserve">خصّها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ذوبانها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الجمود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 أجزائها و شيوعها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تخرج عن الجمود و تلحق بالمائع، لكن في السرائر </w:t>
      </w:r>
      <w:r>
        <w:rPr>
          <w:rStyle w:val="FootnoteAnchor"/>
          <w:rtl w:val="true"/>
        </w:rPr>
        <w:footnoteReference w:id="912"/>
      </w:r>
      <w:r>
        <w:rPr>
          <w:rFonts w:ascii="Amiri" w:hAnsi="Amiri" w:eastAsia="Amiri" w:cs="Amiri"/>
          <w:color w:val="111111"/>
          <w:sz w:val="28"/>
          <w:sz w:val="28"/>
          <w:szCs w:val="28"/>
          <w:rtl w:val="true"/>
          <w:lang w:bidi="ar-SA"/>
        </w:rPr>
        <w:t xml:space="preserve">تبعاً لغيره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التقطيع و إن لم يبلغ الذّوبان، و ليس له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تبعاً للروض </w:t>
      </w:r>
      <w:r>
        <w:rPr>
          <w:rStyle w:val="FootnoteAnchor"/>
          <w:rtl w:val="true"/>
        </w:rPr>
        <w:footnoteReference w:id="914"/>
      </w:r>
      <w:r>
        <w:rPr>
          <w:rFonts w:ascii="Amiri" w:hAnsi="Amiri" w:eastAsia="Amiri" w:cs="Amiri"/>
          <w:color w:val="111111"/>
          <w:sz w:val="28"/>
          <w:sz w:val="28"/>
          <w:szCs w:val="28"/>
          <w:rtl w:val="true"/>
          <w:lang w:bidi="ar-SA"/>
        </w:rPr>
        <w:t>كفاية ذوبان البعض من الواقع، إذ لا فرق بين قليلها و كثيرها، و الذائب لو تجرّد نزح له، و لا قاضٍ بتعلّق النّزح على ذوبان الواقع كُلّاً، و لعلّ معرفة ذلك عسير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الرطوبة فلا نصّ على اعتبارها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Style w:val="FootnoteAnchor"/>
          <w:rtl w:val="true"/>
        </w:rPr>
        <w:footnoteReference w:id="915"/>
      </w:r>
      <w:r>
        <w:rPr>
          <w:rFonts w:ascii="IRNazanin" w:hAnsi="IRNazanin" w:eastAsia="IRNazanin"/>
          <w:color w:val="111111"/>
          <w:sz w:val="28"/>
          <w:sz w:val="28"/>
          <w:szCs w:val="28"/>
          <w:rtl w:val="true"/>
          <w:lang w:bidi="fa-IR"/>
        </w:rPr>
        <w:t xml:space="preserve">و المبسوط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الشيخ و تبعه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البيان </w:t>
      </w:r>
      <w:r>
        <w:rPr>
          <w:rStyle w:val="FootnoteAnchor"/>
          <w:rtl w:val="true"/>
        </w:rPr>
        <w:footnoteReference w:id="9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حمزة </w:t>
      </w:r>
      <w:r>
        <w:rPr>
          <w:rStyle w:val="FootnoteAnchor"/>
          <w:rtl w:val="true"/>
        </w:rPr>
        <w:footnoteReference w:id="918"/>
      </w:r>
      <w:r>
        <w:rPr>
          <w:rFonts w:ascii="Amiri" w:hAnsi="Amiri" w:eastAsia="Amiri" w:cs="Amiri"/>
          <w:color w:val="111111"/>
          <w:sz w:val="28"/>
          <w:sz w:val="28"/>
          <w:szCs w:val="28"/>
          <w:rtl w:val="true"/>
          <w:lang w:bidi="ar-SA"/>
        </w:rPr>
        <w:t xml:space="preserve">و سلّار </w:t>
      </w:r>
      <w:r>
        <w:rPr>
          <w:rStyle w:val="FootnoteAnchor"/>
          <w:rtl w:val="true"/>
        </w:rPr>
        <w:footnoteReference w:id="9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اكتفى في </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xml:space="preserve">و الغُنية </w:t>
      </w:r>
      <w:r>
        <w:rPr>
          <w:rStyle w:val="FootnoteAnchor"/>
          <w:rtl w:val="true"/>
        </w:rPr>
        <w:footnoteReference w:id="921"/>
      </w:r>
      <w:r>
        <w:rPr>
          <w:rFonts w:ascii="Amiri" w:hAnsi="Amiri" w:eastAsia="Amiri" w:cs="Amiri"/>
          <w:color w:val="111111"/>
          <w:sz w:val="28"/>
          <w:sz w:val="28"/>
          <w:szCs w:val="28"/>
          <w:rtl w:val="true"/>
          <w:lang w:bidi="ar-SA"/>
        </w:rPr>
        <w:t xml:space="preserve">و المقنعة </w:t>
      </w:r>
      <w:r>
        <w:rPr>
          <w:rStyle w:val="FootnoteAnchor"/>
          <w:rtl w:val="true"/>
        </w:rPr>
        <w:footnoteReference w:id="922"/>
      </w:r>
      <w:r>
        <w:rPr>
          <w:rFonts w:ascii="IRNazanin" w:hAnsi="IRNazanin" w:eastAsia="IRNazanin"/>
          <w:color w:val="111111"/>
          <w:sz w:val="28"/>
          <w:sz w:val="28"/>
          <w:szCs w:val="28"/>
          <w:rtl w:val="true"/>
          <w:lang w:bidi="fa-IR"/>
        </w:rPr>
        <w:t xml:space="preserve">و السرائر </w:t>
      </w:r>
      <w:r>
        <w:rPr>
          <w:rStyle w:val="FootnoteAnchor"/>
          <w:rtl w:val="true"/>
        </w:rPr>
        <w:footnoteReference w:id="923"/>
      </w:r>
      <w:r>
        <w:rPr>
          <w:rFonts w:ascii="Amiri" w:hAnsi="Amiri" w:eastAsia="Amiri" w:cs="Amiri"/>
          <w:color w:val="111111"/>
          <w:sz w:val="28"/>
          <w:sz w:val="28"/>
          <w:szCs w:val="28"/>
          <w:rtl w:val="true"/>
          <w:lang w:bidi="ar-SA"/>
        </w:rPr>
        <w:t xml:space="preserve">و التحرير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خمسين للعذرة الرطبة و الذائبة،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الرطبة هي الذائبة في نفسها، و الذائبة هي يابسة ذابت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 فلا خلاف؛ لأنهما قسمان للذائبة مطلقاً، لكن ظاهر النصّ </w:t>
      </w:r>
      <w:r>
        <w:rPr>
          <w:rStyle w:val="FootnoteAnchor"/>
          <w:rtl w:val="true"/>
        </w:rPr>
        <w:footnoteReference w:id="926"/>
      </w:r>
      <w:r>
        <w:rPr>
          <w:rFonts w:ascii="Amiri" w:hAnsi="Amiri" w:eastAsia="Amiri" w:cs="Amiri"/>
          <w:color w:val="111111"/>
          <w:sz w:val="28"/>
          <w:sz w:val="28"/>
          <w:szCs w:val="28"/>
          <w:rtl w:val="true"/>
          <w:lang w:bidi="ar-SA"/>
        </w:rPr>
        <w:t xml:space="preserve">الذّوبان بعد الجمود، فعبّر في الشرائع </w:t>
      </w:r>
      <w:r>
        <w:rPr>
          <w:rStyle w:val="FootnoteAnchor"/>
          <w:rtl w:val="true"/>
        </w:rPr>
        <w:footnoteReference w:id="927"/>
      </w:r>
      <w:r>
        <w:rPr>
          <w:rFonts w:ascii="Amiri" w:hAnsi="Amiri" w:eastAsia="Amiri" w:cs="Amiri"/>
          <w:color w:val="111111"/>
          <w:sz w:val="28"/>
          <w:sz w:val="28"/>
          <w:szCs w:val="28"/>
          <w:rtl w:val="true"/>
          <w:lang w:bidi="ar-SA"/>
        </w:rPr>
        <w:t>بعذرة يابسة فذابت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تعيين </w:t>
      </w:r>
      <w:r>
        <w:rPr>
          <w:rStyle w:val="FootnoteAnchor"/>
          <w:rtl w:val="true"/>
        </w:rPr>
        <w:footnoteReference w:id="928"/>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w:t>
      </w:r>
      <w:r>
        <w:rPr>
          <w:rStyle w:val="FootnoteAnchor"/>
          <w:rtl w:val="true"/>
        </w:rPr>
        <w:footnoteReference w:id="929"/>
      </w:r>
      <w:r>
        <w:rPr>
          <w:rFonts w:ascii="Amiri" w:hAnsi="Amiri" w:eastAsia="Amiri" w:cs="Amiri"/>
          <w:color w:val="111111"/>
          <w:sz w:val="28"/>
          <w:sz w:val="28"/>
          <w:szCs w:val="28"/>
          <w:rtl w:val="true"/>
          <w:lang w:bidi="ar-SA"/>
        </w:rPr>
        <w:t xml:space="preserve">و لا نصّ عليه، و المروي </w:t>
      </w:r>
      <w:r>
        <w:rPr>
          <w:rStyle w:val="FootnoteAnchor"/>
          <w:rtl w:val="true"/>
        </w:rPr>
        <w:footnoteReference w:id="930"/>
      </w:r>
      <w:r>
        <w:rPr>
          <w:rFonts w:ascii="Amiri" w:hAnsi="Amiri" w:eastAsia="Amiri" w:cs="Amiri"/>
          <w:color w:val="111111"/>
          <w:sz w:val="28"/>
          <w:sz w:val="28"/>
          <w:szCs w:val="28"/>
          <w:rtl w:val="true"/>
          <w:lang w:bidi="ar-SA"/>
        </w:rPr>
        <w:t>أربعون أو 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أفتى المفيد </w:t>
      </w:r>
      <w:r>
        <w:rPr>
          <w:rStyle w:val="FootnoteAnchor"/>
          <w:rtl w:val="true"/>
        </w:rPr>
        <w:footnoteReference w:id="931"/>
      </w:r>
      <w:r>
        <w:rPr>
          <w:rFonts w:ascii="Amiri" w:hAnsi="Amiri" w:eastAsia="Amiri" w:cs="Amiri"/>
          <w:color w:val="111111"/>
          <w:sz w:val="28"/>
          <w:sz w:val="28"/>
          <w:szCs w:val="28"/>
          <w:rtl w:val="true"/>
          <w:lang w:bidi="ar-SA"/>
        </w:rPr>
        <w:t xml:space="preserve">و الصّدوق </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يقتضي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اعتبار الأكثر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واضح، و إليه مالَ الفاضل </w:t>
      </w:r>
      <w:r>
        <w:rPr>
          <w:rStyle w:val="FootnoteAnchor"/>
          <w:rtl w:val="true"/>
        </w:rPr>
        <w:footnoteReference w:id="933"/>
      </w:r>
      <w:r>
        <w:rPr>
          <w:rFonts w:ascii="IRNazanin" w:hAnsi="IRNazanin" w:eastAsia="IRNazanin"/>
          <w:color w:val="111111"/>
          <w:sz w:val="28"/>
          <w:sz w:val="28"/>
          <w:szCs w:val="28"/>
          <w:rtl w:val="true"/>
          <w:lang w:bidi="fa-IR"/>
        </w:rPr>
        <w:t xml:space="preserve">و الماتن </w:t>
      </w:r>
      <w:r>
        <w:rPr>
          <w:rStyle w:val="FootnoteAnchor"/>
          <w:rtl w:val="true"/>
        </w:rPr>
        <w:footnoteReference w:id="934"/>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935"/>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نَصّ عليه المحقّق </w:t>
      </w:r>
      <w:r>
        <w:rPr>
          <w:rStyle w:val="FootnoteAnchor"/>
          <w:rtl w:val="true"/>
        </w:rPr>
        <w:footnoteReference w:id="936"/>
      </w:r>
      <w:r>
        <w:rPr>
          <w:rFonts w:ascii="IRNazanin" w:hAnsi="IRNazanin" w:eastAsia="IRNazanin"/>
          <w:color w:val="111111"/>
          <w:sz w:val="28"/>
          <w:sz w:val="28"/>
          <w:szCs w:val="28"/>
          <w:rtl w:val="true"/>
          <w:lang w:bidi="fa-IR"/>
        </w:rPr>
        <w:t>، و لو فرض أنّ الترديد من كلام الراوي يتعيّن الحكم بنزح الخمسين؛ لاحتمال ذكره منفرداً في كلام الإمام علیه السلام، فالمتّقين هو؛ لشموله للأربعين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على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للثعلب و الأرنب و الشاة و الخنزير و الكلب و 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زاد الحلّى </w:t>
      </w:r>
      <w:r>
        <w:rPr>
          <w:rStyle w:val="FootnoteAnchor"/>
          <w:rtl w:val="true"/>
        </w:rPr>
        <w:footnoteReference w:id="937"/>
      </w:r>
      <w:r>
        <w:rPr>
          <w:rFonts w:ascii="Amiri" w:hAnsi="Amiri" w:eastAsia="Amiri" w:cs="Amiri"/>
          <w:color w:val="111111"/>
          <w:sz w:val="28"/>
          <w:sz w:val="28"/>
          <w:szCs w:val="28"/>
          <w:rtl w:val="true"/>
          <w:lang w:bidi="ar-SA"/>
        </w:rPr>
        <w:t>الغزال و ابن آوى و ابن عرس، و عساه يدخل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المقنعة </w:t>
      </w:r>
      <w:r>
        <w:rPr>
          <w:rStyle w:val="FootnoteAnchor"/>
          <w:rtl w:val="true"/>
        </w:rPr>
        <w:footnoteReference w:id="938"/>
      </w:r>
      <w:r>
        <w:rPr>
          <w:rFonts w:ascii="Amiri" w:hAnsi="Amiri" w:eastAsia="Amiri" w:cs="Amiri"/>
          <w:color w:val="111111"/>
          <w:sz w:val="28"/>
          <w:sz w:val="28"/>
          <w:szCs w:val="28"/>
          <w:rtl w:val="true"/>
          <w:lang w:bidi="ar-SA"/>
        </w:rPr>
        <w:t xml:space="preserve">حصر الشبه بالأوّل و سكت عن شبه الباقي، و الشرائع </w:t>
      </w:r>
      <w:r>
        <w:rPr>
          <w:rStyle w:val="FootnoteAnchor"/>
          <w:rtl w:val="true"/>
        </w:rPr>
        <w:footnoteReference w:id="939"/>
      </w:r>
      <w:r>
        <w:rPr>
          <w:rFonts w:ascii="Amiri" w:hAnsi="Amiri" w:eastAsia="Amiri" w:cs="Amiri"/>
          <w:color w:val="111111"/>
          <w:sz w:val="28"/>
          <w:sz w:val="28"/>
          <w:szCs w:val="28"/>
          <w:rtl w:val="true"/>
          <w:lang w:bidi="ar-SA"/>
        </w:rPr>
        <w:t xml:space="preserve">بالخامس، و النهاية </w:t>
      </w:r>
      <w:r>
        <w:rPr>
          <w:rStyle w:val="FootnoteAnchor"/>
          <w:rtl w:val="true"/>
        </w:rPr>
        <w:footnoteReference w:id="940"/>
      </w:r>
      <w:r>
        <w:rPr>
          <w:rFonts w:ascii="Amiri" w:hAnsi="Amiri" w:eastAsia="Amiri" w:cs="Amiri"/>
          <w:color w:val="111111"/>
          <w:sz w:val="28"/>
          <w:sz w:val="28"/>
          <w:szCs w:val="28"/>
          <w:rtl w:val="true"/>
          <w:lang w:bidi="ar-SA"/>
        </w:rPr>
        <w:t xml:space="preserve">كُهنا، و القواعد </w:t>
      </w:r>
      <w:r>
        <w:rPr>
          <w:rStyle w:val="FootnoteAnchor"/>
          <w:rtl w:val="true"/>
        </w:rPr>
        <w:footnoteReference w:id="941"/>
      </w:r>
      <w:r>
        <w:rPr>
          <w:rFonts w:ascii="Amiri" w:hAnsi="Amiri" w:eastAsia="Amiri" w:cs="Amiri"/>
          <w:color w:val="111111"/>
          <w:sz w:val="28"/>
          <w:sz w:val="28"/>
          <w:szCs w:val="28"/>
          <w:rtl w:val="true"/>
          <w:lang w:bidi="ar-SA"/>
        </w:rPr>
        <w:t>لم يتعرّض للأشباه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الأصحاب كالأخبار مختلفة، و الأوفق ما عليه هاهنا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نجاسته بالموت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لِحَيّ بعضها حُكْماً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جابرة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أنّ هذه الشهرة تقليد للشيخ، لا وقوفاً على تصحيح الخبر، فلا تصلح للجبر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المرجّح لهذا المستند ليس مجرّد الشهرة و إن كَفَت في الجبر للعمل بالخبر قبل الشيخ فأين التقليد؟ و الحلّي على تدقيقه عمل به، بل للأخبار </w:t>
      </w:r>
      <w:r>
        <w:rPr>
          <w:rStyle w:val="FootnoteAnchor"/>
          <w:rtl w:val="true"/>
        </w:rPr>
        <w:footnoteReference w:id="945"/>
      </w:r>
      <w:r>
        <w:rPr>
          <w:rFonts w:ascii="Amiri" w:hAnsi="Amiri" w:eastAsia="Amiri" w:cs="Amiri"/>
          <w:color w:val="111111"/>
          <w:sz w:val="28"/>
          <w:sz w:val="28"/>
          <w:szCs w:val="28"/>
          <w:rtl w:val="true"/>
          <w:lang w:bidi="ar-SA"/>
        </w:rPr>
        <w:t xml:space="preserve">الناصّة على نزح دلاء </w:t>
      </w:r>
    </w:p>
    <w:p>
      <w:pPr>
        <w:pStyle w:val="BookText"/>
        <w:rPr/>
      </w:pPr>
      <w:r>
        <w:rPr>
          <w:rFonts w:ascii="Amiri" w:hAnsi="Amiri" w:eastAsia="Amiri" w:cs="Amiri"/>
          <w:color w:val="111111"/>
          <w:sz w:val="28"/>
          <w:sz w:val="28"/>
          <w:szCs w:val="28"/>
          <w:rtl w:val="true"/>
          <w:lang w:bidi="ar-SA"/>
        </w:rPr>
        <w:t>غير معدودة، و لا نصّ على أكثر من المعدود فيه فينجم الجبر، و ما قضى بالأقلّ منها لا يصلح للمقاومة لفتح باب التخيير هنا إن لم يلغ اعتباره بذكر الزائد، لا أقلّ من الاحتياط أو الأفضلية فيصحّ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سنداً وشهرةً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حمزة </w:t>
      </w:r>
      <w:r>
        <w:rPr>
          <w:rStyle w:val="FootnoteAnchor"/>
          <w:rtl w:val="true"/>
        </w:rPr>
        <w:footnoteReference w:id="947"/>
      </w:r>
      <w:r>
        <w:rPr>
          <w:rFonts w:ascii="IRNazanin" w:hAnsi="IRNazanin" w:eastAsia="IRNazanin"/>
          <w:color w:val="111111"/>
          <w:sz w:val="28"/>
          <w:sz w:val="28"/>
          <w:szCs w:val="28"/>
          <w:rtl w:val="true"/>
          <w:lang w:bidi="fa-IR"/>
        </w:rPr>
        <w:t xml:space="preserve">خلافاً للمنتهى </w:t>
      </w:r>
      <w:r>
        <w:rPr>
          <w:rStyle w:val="FootnoteAnchor"/>
          <w:rtl w:val="true"/>
        </w:rPr>
        <w:footnoteReference w:id="948"/>
      </w:r>
      <w:r>
        <w:rPr>
          <w:rFonts w:ascii="Amiri" w:hAnsi="Amiri" w:eastAsia="Amiri" w:cs="Amiri"/>
          <w:color w:val="111111"/>
          <w:sz w:val="28"/>
          <w:sz w:val="28"/>
          <w:szCs w:val="28"/>
          <w:rtl w:val="true"/>
          <w:lang w:bidi="ar-SA"/>
        </w:rPr>
        <w:t xml:space="preserve">لتحصيل يقين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الرّجل يشمل المسلم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الفاضلين </w:t>
      </w:r>
      <w:r>
        <w:rPr>
          <w:rStyle w:val="FootnoteAnchor"/>
          <w:rtl w:val="true"/>
        </w:rPr>
        <w:footnoteReference w:id="949"/>
      </w:r>
      <w:r>
        <w:rPr>
          <w:rFonts w:ascii="Amiri" w:hAnsi="Amiri" w:eastAsia="Amiri" w:cs="Amiri"/>
          <w:color w:val="111111"/>
          <w:sz w:val="28"/>
          <w:sz w:val="28"/>
          <w:szCs w:val="28"/>
          <w:rtl w:val="true"/>
          <w:lang w:bidi="ar-SA"/>
        </w:rPr>
        <w:t xml:space="preserve">و الحلّي </w:t>
      </w:r>
      <w:r>
        <w:rPr>
          <w:rStyle w:val="FootnoteAnchor"/>
          <w:rtl w:val="true"/>
        </w:rPr>
        <w:footnoteReference w:id="950"/>
      </w:r>
      <w:r>
        <w:rPr>
          <w:rFonts w:ascii="Amiri" w:hAnsi="Amiri" w:eastAsia="Amiri" w:cs="Amiri"/>
          <w:color w:val="111111"/>
          <w:sz w:val="28"/>
          <w:sz w:val="28"/>
          <w:szCs w:val="28"/>
          <w:rtl w:val="true"/>
          <w:lang w:bidi="ar-SA"/>
        </w:rPr>
        <w:t>و إن فصّل في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بأنّ نجاسة البول تزداد لملاقاة بدنه، فله نجاستان يجري فيهما ما سبق من التداخل و التضاعف إن لم نوجب الجميع لفاقد النّص، و ليس البول بأقلّ من الماء المباشر للكافر مع دخوله بفاقد النّص، و هو حسن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المرأة و الخنثى فيلحق بولهما بما لا نصّ فيه، و كذا بول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الحلّي </w:t>
      </w:r>
      <w:r>
        <w:rPr>
          <w:rStyle w:val="FootnoteAnchor"/>
          <w:rtl w:val="true"/>
        </w:rPr>
        <w:footnoteReference w:id="951"/>
      </w:r>
      <w:r>
        <w:rPr>
          <w:rFonts w:ascii="Amiri" w:hAnsi="Amiri" w:eastAsia="Amiri" w:cs="Amiri"/>
          <w:color w:val="111111"/>
          <w:sz w:val="28"/>
          <w:sz w:val="28"/>
          <w:szCs w:val="28"/>
          <w:rtl w:val="true"/>
          <w:lang w:bidi="ar-SA"/>
        </w:rPr>
        <w:t xml:space="preserve">خالف مدعياً ورود النصّ لبول الإنسان مطلقاً، فيشمل ولد آدم مطلقاً، و الفاضل </w:t>
      </w:r>
      <w:r>
        <w:rPr>
          <w:rStyle w:val="FootnoteAnchor"/>
          <w:rtl w:val="true"/>
        </w:rPr>
        <w:footnoteReference w:id="952"/>
      </w:r>
      <w:r>
        <w:rPr>
          <w:rFonts w:ascii="IRNazanin" w:hAnsi="IRNazanin" w:eastAsia="IRNazanin"/>
          <w:color w:val="111111"/>
          <w:sz w:val="28"/>
          <w:sz w:val="28"/>
          <w:szCs w:val="28"/>
          <w:rtl w:val="true"/>
          <w:lang w:bidi="fa-IR"/>
        </w:rPr>
        <w:t>تبعه في تحریره، و أعرضَ المشهور عنه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فسيأتي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حتّى عند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 فيما لا نص فيه بنزح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طاووس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للمرسلة </w:t>
      </w:r>
      <w:r>
        <w:rPr>
          <w:rStyle w:val="FootnoteAnchor"/>
          <w:rtl w:val="true"/>
        </w:rPr>
        <w:footnoteReference w:id="954"/>
      </w:r>
      <w:r>
        <w:rPr>
          <w:rFonts w:ascii="IRNazanin" w:hAnsi="IRNazanin" w:eastAsia="IRNazanin"/>
          <w:color w:val="111111"/>
          <w:sz w:val="28"/>
          <w:sz w:val="28"/>
          <w:szCs w:val="28"/>
          <w:rtl w:val="true"/>
          <w:lang w:bidi="fa-IR"/>
        </w:rPr>
        <w:t xml:space="preserve">العامل بها </w:t>
      </w:r>
    </w:p>
    <w:p>
      <w:pPr>
        <w:pStyle w:val="BookText"/>
        <w:rPr/>
      </w:pPr>
      <w:r>
        <w:rPr>
          <w:rFonts w:ascii="Amiri" w:hAnsi="Amiri" w:eastAsia="Amiri" w:cs="Amiri"/>
          <w:color w:val="111111"/>
          <w:sz w:val="28"/>
          <w:sz w:val="28"/>
          <w:szCs w:val="28"/>
          <w:rtl w:val="true"/>
          <w:lang w:bidi="ar-SA"/>
        </w:rPr>
        <w:t xml:space="preserve">ابن حمزة </w:t>
      </w:r>
      <w:r>
        <w:rPr>
          <w:rStyle w:val="FootnoteAnchor"/>
          <w:rtl w:val="true"/>
        </w:rPr>
        <w:footnoteReference w:id="955"/>
      </w:r>
      <w:r>
        <w:rPr>
          <w:rFonts w:ascii="IRNazanin" w:hAnsi="IRNazanin" w:eastAsia="IRNazanin"/>
          <w:color w:val="111111"/>
          <w:sz w:val="28"/>
          <w:sz w:val="28"/>
          <w:szCs w:val="28"/>
          <w:rtl w:val="true"/>
          <w:lang w:bidi="fa-IR"/>
        </w:rPr>
        <w:t xml:space="preserve">و الفاضل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في بول الخُنثى أكثر الأمرين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القولين في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الاحتمالين فيه، إذ لو أُلحقت بالمرأة دَخَلَت في غير المنصوص، و الأكثريّة لذلك، إلّا إذا حكمنا بتعيين الأربعين، فيتّحدان إن لم نوجب نزح الجميع لغير المنصوص و إلّا اختصّت الخُنثى بالأكثريّة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الاجتزاء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براءة الذمّة من وجوب الزائد، و هو لا يجري قطعاً إِلَّا على القول بتعبّدية النّزح فإنّ استصحاب النّجاسة محكّم و ليس من موارد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اختصاص الحكم بما ردّد من حكم غير المنصوص، و لا ريب بأنّه جارٍ حتّى على القول المشهور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عندهما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ثلاثين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لماء المطر المخالط للبول و العذرة و خرء الكلب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كردويه </w:t>
      </w:r>
      <w:r>
        <w:rPr>
          <w:rStyle w:val="FootnoteAnchor"/>
          <w:rtl w:val="true"/>
        </w:rPr>
        <w:footnoteReference w:id="957"/>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مجهولة الراوي</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على مضمون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خمسين للعذرة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أربعين لبعض الأبوال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الجميع لبعض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خرء الكلب، أو مراده بالبعض الثاني هو ما خالط المطر من الأبوال التي ينزح لها الجميع مثل بول المرأة و الصّبيّة و الخُنثى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المجرور أخيراً لمجرّد التشبيه في التساوي بينهما بنزح الجميع فيما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المطر و عن غيره، فإنّ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وجوب ثلاثين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واحدٍ ممّا ذكر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الباقي كُلاً أو بعضاً بشرط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مخالطاً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بعده </w:t>
      </w:r>
    </w:p>
    <w:p>
      <w:pPr>
        <w:pStyle w:val="BookText"/>
        <w:rPr/>
      </w:pPr>
      <w:r>
        <w:rPr>
          <w:rFonts w:ascii="Amiri" w:hAnsi="Amiri" w:eastAsia="Amiri" w:cs="Amiri"/>
          <w:color w:val="111111"/>
          <w:sz w:val="28"/>
          <w:sz w:val="28"/>
          <w:szCs w:val="28"/>
          <w:rtl w:val="true"/>
          <w:lang w:bidi="ar-SA"/>
        </w:rPr>
        <w:t xml:space="preserve">انقطاع التقاطر أو وقته؛ للإطلاق؛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مبنى حكم البئر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 حكماً كالجمع بين الكلب و الشاة والهرّ و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تفريق المتّفق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كالثور و البقرة و الكلب 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المقدّر الثلاثين و 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إضعاف ماء المطر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ينفرد فربما كان لمخالطته أثر في القلّة في الجميع أو البعض، و الحكم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تذهب أعيان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نَزَّل الخبر على الماء المتنجّس بهذه النجاسات، أو على استهلاكها بالمخالط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بعد في أن يكون ماء النجاسة أخفّ منها </w:t>
      </w:r>
      <w:r>
        <w:rPr>
          <w:rStyle w:val="FootnoteAnchor"/>
          <w:rtl w:val="true"/>
        </w:rPr>
        <w:footnoteReference w:id="960"/>
      </w:r>
      <w:r>
        <w:rPr>
          <w:rFonts w:ascii="Amiri" w:hAnsi="Amiri" w:eastAsia="Amiri" w:cs="Amiri"/>
          <w:color w:val="111111"/>
          <w:sz w:val="28"/>
          <w:sz w:val="28"/>
          <w:szCs w:val="28"/>
          <w:rtl w:val="true"/>
          <w:lang w:bidi="ar-SA"/>
        </w:rPr>
        <w:t>، و هما خلاف ظاهر الرّواية وكلام الأصحاب، مع أنّه لا خصوصيّة لماء المطر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الأحرى اتّباع الحلّي </w:t>
      </w:r>
      <w:r>
        <w:rPr>
          <w:rStyle w:val="FootnoteAnchor"/>
          <w:rtl w:val="true"/>
        </w:rPr>
        <w:footnoteReference w:id="961"/>
      </w:r>
      <w:r>
        <w:rPr>
          <w:rFonts w:ascii="Amiri" w:hAnsi="Amiri" w:eastAsia="Amiri" w:cs="Amiri"/>
          <w:color w:val="111111"/>
          <w:sz w:val="28"/>
          <w:sz w:val="28"/>
          <w:szCs w:val="28"/>
          <w:rtl w:val="true"/>
          <w:lang w:bidi="ar-SA"/>
        </w:rPr>
        <w:t xml:space="preserve">في قوله هنا إنّه قول غير واضح و لا محكي، بل يعتبر النجاسة فيلحقها حكمها من نصّ المقدّر أو الجميع في المنصوص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أو مجتمعاً مع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له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كالأخير، و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الثلاثين كبول الرّجل على المشهور </w:t>
      </w:r>
      <w:r>
        <w:rPr>
          <w:rStyle w:val="FootnoteAnchor"/>
          <w:rtl w:val="true"/>
        </w:rPr>
        <w:footnoteReference w:id="962"/>
      </w:r>
      <w:r>
        <w:rPr>
          <w:rFonts w:ascii="Amiri" w:hAnsi="Amiri" w:eastAsia="Amiri" w:cs="Amiri"/>
          <w:color w:val="111111"/>
          <w:sz w:val="28"/>
          <w:sz w:val="28"/>
          <w:szCs w:val="28"/>
          <w:rtl w:val="true"/>
          <w:lang w:bidi="ar-SA"/>
        </w:rPr>
        <w:t xml:space="preserve">و العذرة في قول </w:t>
      </w:r>
      <w:r>
        <w:rPr>
          <w:rStyle w:val="FootnoteAnchor"/>
          <w:rtl w:val="true"/>
        </w:rPr>
        <w:footnoteReference w:id="9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فيتّحد التقديران كبول الرّجل و المرأة في قول المنتهى </w:t>
      </w:r>
      <w:r>
        <w:rPr>
          <w:rStyle w:val="FootnoteAnchor"/>
          <w:rtl w:val="true"/>
        </w:rPr>
        <w:footnoteReference w:id="964"/>
      </w:r>
      <w:r>
        <w:rPr>
          <w:rFonts w:ascii="IRNazanin" w:hAnsi="IRNazanin" w:eastAsia="IRNazanin"/>
          <w:color w:val="111111"/>
          <w:sz w:val="28"/>
          <w:sz w:val="28"/>
          <w:szCs w:val="28"/>
          <w:rtl w:val="true"/>
          <w:lang w:bidi="fa-IR"/>
        </w:rPr>
        <w:t xml:space="preserve">و المعتبر </w:t>
      </w:r>
      <w:r>
        <w:rPr>
          <w:rStyle w:val="FootnoteAnchor"/>
          <w:rtl w:val="true"/>
        </w:rPr>
        <w:footnoteReference w:id="965"/>
      </w:r>
      <w:r>
        <w:rPr>
          <w:rFonts w:ascii="Amiri" w:hAnsi="Amiri" w:eastAsia="Amiri" w:cs="Amiri"/>
          <w:color w:val="111111"/>
          <w:sz w:val="28"/>
          <w:sz w:val="28"/>
          <w:szCs w:val="28"/>
          <w:rtl w:val="true"/>
          <w:lang w:bidi="ar-SA"/>
        </w:rPr>
        <w:t>في الثاني و الأول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كَفَت الثلاثون لمجموع هذه النجاسات المخالطة فلبعضها المساوي بطريق أولى و إن خصّه عموم نصّه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ماء المطر إنْ لم يخفّف حكم النجاسة لا يزيدها، و أنّ انضمام نجاسة لأخرى لا يفيد خفّة حكمها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كيابس العذرة و بول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الثلاثون؛ لعموم </w:t>
      </w:r>
      <w:r>
        <w:rPr>
          <w:rStyle w:val="FootnoteAnchor"/>
          <w:rtl w:val="true"/>
        </w:rPr>
        <w:footnoteReference w:id="966"/>
      </w:r>
      <w:r>
        <w:rPr>
          <w:rFonts w:ascii="Amiri" w:hAnsi="Amiri" w:eastAsia="Amiri" w:cs="Amiri"/>
          <w:color w:val="111111"/>
          <w:sz w:val="28"/>
          <w:sz w:val="28"/>
          <w:szCs w:val="28"/>
          <w:rtl w:val="true"/>
          <w:lang w:bidi="ar-SA"/>
        </w:rPr>
        <w:t>نصّه الشامل لصورة المخالطة و عدم زيادة النجاسة بماء المطر فينزح المقدّر، ولولا عموم النصّ و قاعدة الشغل لكان الأولى نقص المقدّر في الصورتين؛ لأنّ الممازجة بالمطر تُؤرِث الخفّة، فيحكم بالثلاثين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و الذكرى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بعضها كالكلّ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جازماً به في الأوّل، مرجّحاً بالاحتياط في الثاني كالمسالك </w:t>
      </w:r>
      <w:r>
        <w:rPr>
          <w:rStyle w:val="FootnoteAnchor"/>
          <w:rtl w:val="true"/>
        </w:rPr>
        <w:footnoteReference w:id="968"/>
      </w:r>
      <w:r>
        <w:rPr>
          <w:rFonts w:ascii="Amiri" w:hAnsi="Amiri" w:eastAsia="Amiri" w:cs="Amiri"/>
          <w:color w:val="111111"/>
          <w:sz w:val="28"/>
          <w:sz w:val="28"/>
          <w:szCs w:val="28"/>
          <w:rtl w:val="true"/>
          <w:lang w:bidi="ar-SA"/>
        </w:rPr>
        <w:t>له أيضاً فيما نقص مقدّره عن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الاحتياط غير وجيه إن لم تحمل الرواية على عموم المخالطة بقرينة ذيلها فترتقي العشرة لمثليها ، و غير المصنّف </w:t>
      </w:r>
      <w:r>
        <w:rPr>
          <w:rStyle w:val="FootnoteAnchor"/>
          <w:rtl w:val="true"/>
        </w:rPr>
        <w:footnoteReference w:id="9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بأنّ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w:t>
      </w:r>
      <w:r>
        <w:rPr>
          <w:rStyle w:val="FootnoteAnchor"/>
          <w:rtl w:val="true"/>
        </w:rPr>
        <w:footnoteReference w:id="970"/>
      </w:r>
      <w:r>
        <w:rPr>
          <w:rFonts w:ascii="Amiri" w:hAnsi="Amiri" w:eastAsia="Amiri" w:cs="Amiri"/>
          <w:color w:val="111111"/>
          <w:sz w:val="28"/>
          <w:sz w:val="28"/>
          <w:szCs w:val="28"/>
          <w:rtl w:val="true"/>
          <w:lang w:bidi="ar-SA"/>
        </w:rPr>
        <w:t>بالجميع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البعض المختلط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فقد نصّ المقدّر و أوجبناه لما لا مقدّر له؛ اقتصاراً في الحكم على مَوِضع النصّ، و إبقاءً لحكم الكلّ على عمومه فيما لا يقين بخروجه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ليابس العذرة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ذائبها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غيرهما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المسألة، و إلَّا فالماتن ظاهره ما قابل الذّوبان؛ لأنه ظاهر النّص السابق، و لو أراد غيرها لأضاف الجمود لليبس</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لا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كدم الدّجاجة المذبوحة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دونه </w:t>
      </w:r>
    </w:p>
    <w:p>
      <w:pPr>
        <w:pStyle w:val="BookText"/>
        <w:rPr/>
      </w:pPr>
      <w:r>
        <w:rPr>
          <w:rFonts w:ascii="Amiri" w:hAnsi="Amiri" w:eastAsia="Amiri" w:cs="Amiri"/>
          <w:color w:val="111111"/>
          <w:sz w:val="28"/>
          <w:sz w:val="28"/>
          <w:szCs w:val="28"/>
          <w:rtl w:val="true"/>
          <w:lang w:bidi="ar-SA"/>
        </w:rPr>
        <w:t xml:space="preserve">و ما نقص عن دم الشاة و زاد عليها ليس منه خلافاً للحلّي </w:t>
      </w:r>
      <w:r>
        <w:rPr>
          <w:rStyle w:val="FootnoteAnchor"/>
          <w:rtl w:val="true"/>
        </w:rPr>
        <w:footnoteReference w:id="972"/>
      </w:r>
      <w:r>
        <w:rPr>
          <w:rFonts w:ascii="IRNazanin" w:hAnsi="IRNazanin" w:eastAsia="IRNazanin"/>
          <w:color w:val="111111"/>
          <w:sz w:val="28"/>
          <w:sz w:val="28"/>
          <w:szCs w:val="28"/>
          <w:rtl w:val="true"/>
          <w:lang w:bidi="fa-IR"/>
        </w:rPr>
        <w:t xml:space="preserve">و إجماع </w:t>
      </w:r>
      <w:r>
        <w:rPr>
          <w:rStyle w:val="FootnoteAnchor"/>
          <w:rtl w:val="true"/>
        </w:rPr>
        <w:footnoteReference w:id="973"/>
      </w:r>
      <w:r>
        <w:rPr>
          <w:rFonts w:ascii="Amiri" w:hAnsi="Amiri" w:eastAsia="Amiri" w:cs="Amiri"/>
          <w:color w:val="111111"/>
          <w:sz w:val="28"/>
          <w:sz w:val="28"/>
          <w:szCs w:val="28"/>
          <w:rtl w:val="true"/>
          <w:lang w:bidi="ar-SA"/>
        </w:rPr>
        <w:t xml:space="preserve">الغنية عليه لا أقلّ أنّه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و إن خلا عن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في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قطرات منه 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أكثر عدد يُضاف إلى هذا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أفراد مميّزة إذا زاد، و تعيّن الأخذ بها لحصول يقين الطهارة، و لعلّه للشيخ في التهذيب </w:t>
      </w:r>
      <w:r>
        <w:rPr>
          <w:rStyle w:val="FootnoteAnchor"/>
          <w:rtl w:val="true"/>
        </w:rPr>
        <w:footnoteReference w:id="9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الدلاء كما في المنتهى </w:t>
      </w:r>
      <w:r>
        <w:rPr>
          <w:rStyle w:val="FootnoteAnchor"/>
          <w:rtl w:val="true"/>
        </w:rPr>
        <w:footnoteReference w:id="977"/>
      </w:r>
      <w:r>
        <w:rPr>
          <w:rFonts w:ascii="Amiri" w:hAnsi="Amiri" w:eastAsia="Amiri" w:cs="Amiri"/>
          <w:color w:val="111111"/>
          <w:sz w:val="28"/>
          <w:sz w:val="28"/>
          <w:szCs w:val="28"/>
          <w:rtl w:val="true"/>
          <w:lang w:bidi="ar-SA"/>
        </w:rPr>
        <w:t>إمّا لجهة أنّ الزائد على العشر مشكوك و الأصل عدم وجوبه، أو مُبهَم لم ينضبط إلَّا بالاقتصار على الأقلّ، و تقييدها باليسيرة 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ظاهره أنّ الرّواية المفسّرة في كلام الشيخ و الفاضل رواية التقييد، و الظاهر أنّ كلامهما في الثانية الخالية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w:t>
      </w:r>
      <w:r>
        <w:rPr>
          <w:rStyle w:val="FootnoteAnchor"/>
          <w:rtl w:val="true"/>
        </w:rPr>
        <w:footnoteReference w:id="978"/>
      </w:r>
      <w:r>
        <w:rPr>
          <w:rFonts w:ascii="IRNazanin" w:hAnsi="IRNazanin" w:eastAsia="IRNazanin"/>
          <w:color w:val="111111"/>
          <w:sz w:val="28"/>
          <w:sz w:val="28"/>
          <w:szCs w:val="28"/>
          <w:rtl w:val="true"/>
          <w:lang w:bidi="fa-IR"/>
        </w:rPr>
        <w:t xml:space="preserve">و الروض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لو تَمّ لكان في مميّز العدد المذكور لفظاً، و أمّا إذا لم يذكر إلّا المعدود فلا يجب تقدير عدد أصلاً، فضلاً عن تقديره مضافاً، و الواجب حينئذٍ إمّا حمله على أقلّ ما يسمّى به، أو القول بإبهامه و خلّوه عن البيان مع أنّ ذلك لا ينسجم في رواية التقييد، إذ لا معنى لقولنا عشر دلاء يسيرة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فبأنّ أقلّ مراتب جمع الكثرة ذلك ممنوع، بل هو كغيره أقلّه ثلاثة، و عليه المحقّقون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سلّمنا، لكن أصالة البراءة هنا موقوفة على أنّ النزح واجب تعبّدي لا لحصول الطهارة، و نحن لا نرتضيه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فاستصحاب النجاسة في المشكوك بحاله، و كونه مبهماً لا يعيّن الأقلّ، و لا يكفي فيه تأخير البيان لاحتمال التقيّة، أو أنّه للتنظيف فيتسامح فيه، أو كانت البئر أكثر من كُرّ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الحاشية </w:t>
      </w:r>
      <w:r>
        <w:rPr>
          <w:rStyle w:val="FootnoteAnchor"/>
          <w:rtl w:val="true"/>
        </w:rPr>
        <w:footnoteReference w:id="981"/>
      </w:r>
      <w:r>
        <w:rPr>
          <w:rFonts w:ascii="Amiri" w:hAnsi="Amiri" w:eastAsia="Amiri" w:cs="Amiri"/>
          <w:color w:val="111111"/>
          <w:sz w:val="28"/>
          <w:sz w:val="28"/>
          <w:szCs w:val="28"/>
          <w:rtl w:val="true"/>
          <w:lang w:bidi="ar-SA"/>
        </w:rPr>
        <w:t>في وجه النظر فساد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يظهر منه أنّ دلاء جمع قلّة، فيحمل على أكثره بقرينة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منعه بعدم كونه جمع قلّة أوّلاً، و بأنّ إرادة الأكثر في الجمع لا معنى لها، بل المعروف في أبواب الفقه إرادة الأقلّ كما في الأقارير و غيرها، و بأنّ دليل العلّامة إصابة في الجمع دون مدلوله فإنّ أقلّ جمع الكثرة أحد عشر لا عشرة، ثمّ لا فارق بين الجمعين في جموع الشارع و إن اصطلح بعضهم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وجه نظره كَلَف بيّن، فإنّ ظهور جمع القلّة من عبارة الشيخ غير واضح لو حملت الإضافة فيها على النحويّة كما هو المتبادر، و لو حملت على مجرّد النّسبة بقرينة الإشارة فله وجه لا يُراد، كما أنّ إرادة الأكثر مع الدليل عليه لازمة في الجمع، و استصحاب النجاسة هنا قاضِ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لو كان النّزح واجباً تعبّدياً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فظاهرهم كون الجمع قسمين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حكم بتقديره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نزح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الحمامة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النّعامة، بل و الأكبر منها إذا صدق اسمه؛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الفارة مع انتفاخها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982"/>
      </w:r>
      <w:r>
        <w:rPr>
          <w:rFonts w:ascii="Amiri" w:hAnsi="Amiri" w:eastAsia="Amiri" w:cs="Amiri"/>
          <w:color w:val="111111"/>
          <w:sz w:val="28"/>
          <w:sz w:val="28"/>
          <w:szCs w:val="28"/>
          <w:rtl w:val="true"/>
          <w:lang w:bidi="ar-SA"/>
        </w:rPr>
        <w:t xml:space="preserve">و المروي </w:t>
      </w:r>
      <w:r>
        <w:rPr>
          <w:rStyle w:val="FootnoteAnchor"/>
          <w:rtl w:val="true"/>
        </w:rPr>
        <w:footnoteReference w:id="983"/>
      </w:r>
      <w:r>
        <w:rPr>
          <w:rFonts w:ascii="IRNazanin" w:hAnsi="IRNazanin" w:eastAsia="IRNazanin"/>
          <w:color w:val="111111"/>
          <w:sz w:val="28"/>
          <w:sz w:val="28"/>
          <w:szCs w:val="28"/>
          <w:rtl w:val="true"/>
          <w:lang w:bidi="fa-IR"/>
        </w:rPr>
        <w:t>، و إن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تفسخها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بتوقّف التفسّخ عليه ينزح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في المشهور </w:t>
      </w:r>
      <w:r>
        <w:rPr>
          <w:rStyle w:val="FootnoteAnchor"/>
          <w:rtl w:val="true"/>
        </w:rPr>
        <w:footnoteReference w:id="9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زاد سنّه عن حَوْلَين و لم يبلغ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حكمه الرضيع الذي يغلب أكله على رضاعه أو يساويه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الخالي بدنه عن </w:t>
      </w:r>
      <w:r>
        <w:rPr>
          <w:rStyle w:val="FootnoteAnchor"/>
          <w:rtl w:val="true"/>
        </w:rPr>
        <w:footnoteReference w:id="986"/>
      </w:r>
      <w:r>
        <w:rPr>
          <w:rFonts w:ascii="Amiri" w:hAnsi="Amiri" w:eastAsia="Amiri" w:cs="Amiri"/>
          <w:color w:val="111111"/>
          <w:sz w:val="28"/>
          <w:sz w:val="28"/>
          <w:szCs w:val="28"/>
          <w:rtl w:val="true"/>
          <w:lang w:bidi="ar-SA"/>
        </w:rPr>
        <w:t>نجاسة 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لتعلّق النّص </w:t>
      </w:r>
      <w:r>
        <w:rPr>
          <w:rStyle w:val="FootnoteAnchor"/>
          <w:rtl w:val="true"/>
        </w:rPr>
        <w:footnoteReference w:id="987"/>
      </w:r>
      <w:r>
        <w:rPr>
          <w:rFonts w:ascii="Amiri" w:hAnsi="Amiri" w:eastAsia="Amiri" w:cs="Amiri"/>
          <w:color w:val="111111"/>
          <w:sz w:val="28"/>
          <w:sz w:val="28"/>
          <w:szCs w:val="28"/>
          <w:rtl w:val="true"/>
          <w:lang w:bidi="ar-SA"/>
        </w:rPr>
        <w:t xml:space="preserve">بالاغتسال مطلقاً فيشمل الخالي، و هو لا يساوي المتنجّس فيخصّه الحكم، و ينزح لغير الخالي ما قدّر لنجاسته و لو الجميع، و بالعينيّة أخرج الجنابة و غيرها من الأحداث؛ لأنها حكميّة، و أدرج سائر أنواع النجاسات حتى الذاتيّة كالكُفر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 الفاضل في منتهاه </w:t>
      </w:r>
      <w:r>
        <w:rPr>
          <w:rStyle w:val="FootnoteAnchor"/>
          <w:rtl w:val="true"/>
        </w:rPr>
        <w:footnoteReference w:id="988"/>
      </w:r>
      <w:r>
        <w:rPr>
          <w:rFonts w:ascii="Amiri" w:hAnsi="Amiri" w:eastAsia="Amiri" w:cs="Amiri"/>
          <w:color w:val="111111"/>
          <w:sz w:val="28"/>
          <w:sz w:val="28"/>
          <w:szCs w:val="28"/>
          <w:rtl w:val="true"/>
          <w:lang w:bidi="ar-SA"/>
        </w:rPr>
        <w:t xml:space="preserve">الحكم للخالي و غيره </w:t>
      </w:r>
      <w:r>
        <w:rPr>
          <w:rStyle w:val="FootnoteAnchor"/>
          <w:rtl w:val="true"/>
        </w:rPr>
        <w:footnoteReference w:id="989"/>
      </w:r>
      <w:r>
        <w:rPr>
          <w:rFonts w:ascii="Amiri" w:hAnsi="Amiri" w:eastAsia="Amiri" w:cs="Amiri"/>
          <w:color w:val="111111"/>
          <w:sz w:val="28"/>
          <w:sz w:val="28"/>
          <w:szCs w:val="28"/>
          <w:rtl w:val="true"/>
          <w:lang w:bidi="ar-SA"/>
        </w:rPr>
        <w:t xml:space="preserve">لغَلَبَة عَدم خُلوّ جسد الجُنب عن النجاسة، فهو الظاهر و غيره ملحق به لا أقلّ من المنيّ المُلازم للجُنب غالباً الذي لا نصّ على النزح فيه، و هو مسبوق بالشهرة و ملحوق بالإجماع </w:t>
      </w:r>
      <w:r>
        <w:rPr>
          <w:rStyle w:val="FootnoteAnchor"/>
          <w:rtl w:val="true"/>
        </w:rPr>
        <w:footnoteReference w:id="990"/>
      </w:r>
      <w:r>
        <w:rPr>
          <w:rFonts w:ascii="Amiri" w:hAnsi="Amiri" w:eastAsia="Amiri" w:cs="Amiri"/>
          <w:color w:val="111111"/>
          <w:sz w:val="28"/>
          <w:sz w:val="28"/>
          <w:szCs w:val="28"/>
          <w:rtl w:val="true"/>
          <w:lang w:bidi="ar-SA"/>
        </w:rPr>
        <w:t>على عدمه، مع إلحاق المنيّ بما لا نصّ فيه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الاغتسال أو مطلق المباشرة الشاملة للنّزول و الوقوع، و خصّه </w:t>
      </w:r>
    </w:p>
    <w:p>
      <w:pPr>
        <w:pStyle w:val="BookText"/>
        <w:rPr/>
      </w:pPr>
      <w:r>
        <w:rPr>
          <w:rFonts w:ascii="IRNazanin" w:hAnsi="IRNazanin" w:eastAsia="IRNazanin"/>
          <w:color w:val="111111"/>
          <w:sz w:val="28"/>
          <w:sz w:val="28"/>
          <w:szCs w:val="28"/>
          <w:rtl w:val="true"/>
          <w:lang w:bidi="fa-IR"/>
        </w:rPr>
        <w:t xml:space="preserve">بالارتماس بعض </w:t>
      </w:r>
      <w:r>
        <w:rPr>
          <w:rStyle w:val="FootnoteAnchor"/>
          <w:rtl w:val="true"/>
        </w:rPr>
        <w:footnoteReference w:id="991"/>
      </w:r>
      <w:r>
        <w:rPr>
          <w:rFonts w:ascii="Amiri" w:hAnsi="Amiri" w:eastAsia="Amiri" w:cs="Amiri"/>
          <w:color w:val="111111"/>
          <w:sz w:val="28"/>
          <w:sz w:val="28"/>
          <w:szCs w:val="28"/>
          <w:rtl w:val="true"/>
          <w:lang w:bidi="ar-SA"/>
        </w:rPr>
        <w:t xml:space="preserve">من لا يعضده الدّليل وجب النزح مطلقاً أو ندب؛ لتساوي نصوصه، كما أنّ نصوص نزحه صريحة عند الشارح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الماء بذلك لا سلب الطهوريّة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لانفعال البئر بما لا ينفعل به غيره، و لاقتضاء أوامر النّزح بالنجاسة مطلقاً فيلحق بالأغلب، و لإمكان تساوي النجاسة الحكميّة لغيرها في البئر، و لو أنّ المراد سلب الطّهوريّة فقط لعيّنت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بمنع اقتضاء النّص لذلك، إذ البئر لا تنحطّ عن المياه المُضافة أو القليلة، و منع بأنّه قياس في المقامين و المرجع الإجماع أو النّص، و النهي في خبر ابن أبي يعفور </w:t>
      </w:r>
      <w:r>
        <w:rPr>
          <w:rStyle w:val="FootnoteAnchor"/>
          <w:rtl w:val="true"/>
        </w:rPr>
        <w:footnoteReference w:id="992"/>
      </w:r>
      <w:r>
        <w:rPr>
          <w:rFonts w:ascii="Amiri" w:hAnsi="Amiri" w:eastAsia="Amiri" w:cs="Amiri"/>
          <w:color w:val="111111"/>
          <w:sz w:val="28"/>
          <w:sz w:val="28"/>
          <w:szCs w:val="28"/>
          <w:rtl w:val="true"/>
          <w:lang w:bidi="ar-SA"/>
        </w:rPr>
        <w:t>قاضٍ بالنجاسة بالوقوع؛ لأنّ الإفساد كناية عنها، و لعلّه المعنيّ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فإن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مُرْتَمِساً طَهُرَ بدنه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غُسله؛ لتعليق حكم النزح على الاغتسال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لنجاسة الماء الملاقي له بعده، و على الثاني صحّ غسله و طَهُر بدنه و إن لم يَصحّ غُسل الثاني بعده، و على التعليق على المباشرة مطلقاً يفسد الغسل مطلقاً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اغتسل مرتّباً ففي نجاسة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سلب طهوريّته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غسل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البدن،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اتّصاله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انفصال الماء عن الجزء بعد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وصول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غسل الجزء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امتزاجه بغيره من الماء المُعَد للغسل،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بعدم النجاسة أو سلب الطهوريّة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إكمال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الحكم بأيّهما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احتمله في الجماليّة </w:t>
      </w:r>
      <w:r>
        <w:rPr>
          <w:rStyle w:val="FootnoteAnchor"/>
          <w:rtl w:val="true"/>
        </w:rPr>
        <w:footnoteReference w:id="993"/>
      </w:r>
      <w:r>
        <w:rPr>
          <w:rFonts w:ascii="Amiri" w:hAnsi="Amiri" w:eastAsia="Amiri" w:cs="Amiri"/>
          <w:color w:val="111111"/>
          <w:sz w:val="28"/>
          <w:sz w:val="28"/>
          <w:szCs w:val="28"/>
          <w:rtl w:val="true"/>
          <w:lang w:bidi="ar-SA"/>
        </w:rPr>
        <w:t xml:space="preserve">خيالاً،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المنجّس أو سالب الطّهوريّة هو الاغتسال، و لا يتحقّق عُرفاً إلَّا بتمام غسل البدن، و من أنّ المؤثّر في النجاسة أو انتفاء الطهوريّة هو مجرّد الاستعمال لرفع الحدث، وهو يصدق بالجزء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الأقوى في النجاسة التوقف على الإكمال؛ لأنه خلاف الأصل، فيقتصر على موضع اليقين في مستصحبّ الطهارة و في سلب الطهوريّة عدمه؛ لأنّ كلَّ مَن قال بأنّ ماء الغُسل يسلب عنه الطّهوريّة لم يفرّق بين غُسل الكلّ و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يلحق 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ممن يجب عليه الغسل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لرفع الحَدَث كناذر غُسل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بقاء طهارة الماء و عدم وجوب النزح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للكركي </w:t>
      </w:r>
      <w:r>
        <w:rPr>
          <w:rStyle w:val="FootnoteAnchor"/>
          <w:rtl w:val="true"/>
        </w:rPr>
        <w:footnoteReference w:id="994"/>
      </w:r>
      <w:r>
        <w:rPr>
          <w:rFonts w:ascii="Amiri" w:hAnsi="Amiri" w:eastAsia="Amiri" w:cs="Amiri"/>
          <w:color w:val="111111"/>
          <w:sz w:val="28"/>
          <w:sz w:val="28"/>
          <w:szCs w:val="28"/>
          <w:rtl w:val="true"/>
          <w:lang w:bidi="ar-SA"/>
        </w:rPr>
        <w:t>حيث ألحقه بناءً على اشتراك الكلّ في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الإلحاق متّجه إن كان النزح لإعادة الطّهوريّة؛ لاشتراك الأحداث في سلبها، و غير وجيه إن كان لمجرّد التعبّد، و كذا في النجاسة، لكن كون النزح مطهّراً مطلقاً مشكل، فيؤخذ بمتيقّنه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ينزح سبعاً أيضاً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ماء البئر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Style w:val="FootnoteAnchor"/>
          <w:rtl w:val="true"/>
        </w:rPr>
        <w:footnoteReference w:id="995"/>
      </w:r>
      <w:r>
        <w:rPr>
          <w:rFonts w:ascii="Amiri" w:hAnsi="Amiri" w:eastAsia="Amiri" w:cs="Amiri"/>
          <w:color w:val="111111"/>
          <w:sz w:val="28"/>
          <w:sz w:val="28"/>
          <w:szCs w:val="28"/>
          <w:rtl w:val="true"/>
          <w:lang w:bidi="ar-SA"/>
        </w:rPr>
        <w:t xml:space="preserve">خلافاً للبصروي </w:t>
      </w:r>
      <w:r>
        <w:rPr>
          <w:rStyle w:val="FootnoteAnchor"/>
          <w:rtl w:val="true"/>
        </w:rPr>
        <w:footnoteReference w:id="996"/>
      </w:r>
      <w:r>
        <w:rPr>
          <w:rFonts w:ascii="Amiri" w:hAnsi="Amiri" w:eastAsia="Amiri" w:cs="Amiri"/>
          <w:color w:val="111111"/>
          <w:sz w:val="28"/>
          <w:sz w:val="28"/>
          <w:szCs w:val="28"/>
          <w:rtl w:val="true"/>
          <w:lang w:bidi="ar-SA"/>
        </w:rPr>
        <w:t xml:space="preserve">و الحلّي </w:t>
      </w:r>
      <w:r>
        <w:rPr>
          <w:rStyle w:val="FootnoteAnchor"/>
          <w:rtl w:val="true"/>
        </w:rPr>
        <w:footnoteReference w:id="997"/>
      </w:r>
      <w:r>
        <w:rPr>
          <w:rFonts w:ascii="Amiri" w:hAnsi="Amiri" w:eastAsia="Amiri" w:cs="Amiri"/>
          <w:color w:val="111111"/>
          <w:sz w:val="28"/>
          <w:sz w:val="28"/>
          <w:szCs w:val="28"/>
          <w:rtl w:val="true"/>
          <w:lang w:bidi="ar-SA"/>
        </w:rPr>
        <w:t xml:space="preserve">في نزح الجميع أو الأربعين للأولويّة فيلحق بميّته؛ لضعف نصّه عندهما، و الفاضل أنكره </w:t>
      </w:r>
      <w:r>
        <w:rPr>
          <w:rStyle w:val="FootnoteAnchor"/>
          <w:rtl w:val="true"/>
        </w:rPr>
        <w:footnoteReference w:id="998"/>
      </w:r>
      <w:r>
        <w:rPr>
          <w:rFonts w:ascii="Amiri" w:hAnsi="Amiri" w:eastAsia="Amiri" w:cs="Amiri"/>
          <w:color w:val="111111"/>
          <w:sz w:val="28"/>
          <w:sz w:val="28"/>
          <w:szCs w:val="28"/>
          <w:rtl w:val="true"/>
          <w:lang w:bidi="ar-SA"/>
        </w:rPr>
        <w:t xml:space="preserve">، فهما بالضعف أَجْدَر،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يلحق به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آخاه أو أُطلق عليه؛ لعدم تبادره من لفظه، بل و لا أخوهما </w:t>
      </w:r>
      <w:r>
        <w:rPr>
          <w:rStyle w:val="FootnoteAnchor"/>
          <w:rtl w:val="true"/>
        </w:rPr>
        <w:footnoteReference w:id="999"/>
      </w:r>
      <w:r>
        <w:rPr>
          <w:rFonts w:ascii="Amiri" w:hAnsi="Amiri" w:eastAsia="Amiri" w:cs="Amiri"/>
          <w:color w:val="111111"/>
          <w:sz w:val="28"/>
          <w:sz w:val="28"/>
          <w:szCs w:val="28"/>
          <w:rtl w:val="true"/>
          <w:lang w:bidi="ar-SA"/>
        </w:rPr>
        <w:t xml:space="preserve">مطلقاً حتّى الناصبي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أخوه 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الأربعين فيه للأولويّة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أو يندب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خمس لذرق الدّجاج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مثلّث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الفتح أشهر </w:t>
      </w:r>
      <w:r>
        <w:rPr>
          <w:rStyle w:val="FootnoteAnchor"/>
          <w:rtl w:val="true"/>
        </w:rPr>
        <w:footnoteReference w:id="10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نصّ عليه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الفاعل محتمل للوصفيّة للنصّ أو </w:t>
      </w:r>
    </w:p>
    <w:p>
      <w:pPr>
        <w:pStyle w:val="BookText"/>
        <w:rPr/>
      </w:pPr>
      <w:r>
        <w:rPr>
          <w:rFonts w:ascii="Amiri" w:hAnsi="Amiri" w:eastAsia="Amiri" w:cs="Amiri"/>
          <w:color w:val="111111"/>
          <w:sz w:val="28"/>
          <w:sz w:val="28"/>
          <w:szCs w:val="28"/>
          <w:rtl w:val="true"/>
          <w:lang w:bidi="ar-SA"/>
        </w:rPr>
        <w:t xml:space="preserve">الظرفيّة، و الأوّل أجلى، و احترز به عن إدخاله في العذرة حُكماً أو اسماً فيكون منصوصاً،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بالجلّال كما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رحمه الله </w:t>
      </w:r>
      <w:r>
        <w:rPr>
          <w:rStyle w:val="FootnoteAnchor"/>
          <w:rtl w:val="true"/>
        </w:rPr>
        <w:footnoteReference w:id="1001"/>
      </w:r>
      <w:r>
        <w:rPr>
          <w:rFonts w:ascii="Amiri" w:hAnsi="Amiri" w:eastAsia="Amiri" w:cs="Amiri"/>
          <w:color w:val="111111"/>
          <w:sz w:val="28"/>
          <w:sz w:val="28"/>
          <w:szCs w:val="28"/>
          <w:rtl w:val="true"/>
          <w:lang w:bidi="ar-SA"/>
        </w:rPr>
        <w:t xml:space="preserve">و الحلّي </w:t>
      </w:r>
      <w:r>
        <w:rPr>
          <w:rStyle w:val="FootnoteAnchor"/>
          <w:rtl w:val="true"/>
        </w:rPr>
        <w:footnoteReference w:id="1002"/>
      </w:r>
      <w:r>
        <w:rPr>
          <w:rFonts w:ascii="IRNazanin" w:hAnsi="IRNazanin" w:eastAsia="IRNazanin"/>
          <w:color w:val="111111"/>
          <w:sz w:val="28"/>
          <w:sz w:val="28"/>
          <w:szCs w:val="28"/>
          <w:rtl w:val="true"/>
          <w:lang w:bidi="fa-IR"/>
        </w:rPr>
        <w:t xml:space="preserve">و سلار </w:t>
      </w:r>
      <w:r>
        <w:rPr>
          <w:rStyle w:val="FootnoteAnchor"/>
          <w:rtl w:val="true"/>
        </w:rPr>
        <w:footnoteReference w:id="1003"/>
      </w:r>
      <w:r>
        <w:rPr>
          <w:rFonts w:ascii="IRNazanin" w:hAnsi="IRNazanin" w:eastAsia="IRNazanin"/>
          <w:color w:val="111111"/>
          <w:sz w:val="28"/>
          <w:sz w:val="28"/>
          <w:szCs w:val="28"/>
          <w:rtl w:val="true"/>
          <w:lang w:bidi="fa-IR"/>
        </w:rPr>
        <w:t xml:space="preserve">و الفاضلان </w:t>
      </w:r>
      <w:r>
        <w:rPr>
          <w:rStyle w:val="FootnoteAnchor"/>
          <w:rtl w:val="true"/>
        </w:rPr>
        <w:footnoteReference w:id="10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في البيان </w:t>
      </w:r>
      <w:r>
        <w:rPr>
          <w:rStyle w:val="FootnoteAnchor"/>
          <w:rtl w:val="true"/>
        </w:rPr>
        <w:footnoteReference w:id="1005"/>
      </w:r>
      <w:r>
        <w:rPr>
          <w:rFonts w:ascii="Amiri" w:hAnsi="Amiri" w:eastAsia="Amiri" w:cs="Amiri"/>
          <w:color w:val="111111"/>
          <w:sz w:val="28"/>
          <w:sz w:val="28"/>
          <w:szCs w:val="28"/>
          <w:rtl w:val="true"/>
          <w:lang w:bidi="ar-SA"/>
        </w:rPr>
        <w:t>ليكون 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نجاسة غيره في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حينئذٍ وجوب نزح الجميع إلحاقاً له بما لا نصّ فيه إن لم يثبت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إدخالاً له بالعذرة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أعميّتها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للإجماع </w:t>
      </w:r>
      <w:r>
        <w:rPr>
          <w:rStyle w:val="FootnoteAnchor"/>
          <w:rtl w:val="true"/>
        </w:rPr>
        <w:footnoteReference w:id="1007"/>
      </w:r>
      <w:r>
        <w:rPr>
          <w:rFonts w:ascii="IRNazanin" w:hAnsi="IRNazanin" w:eastAsia="IRNazanin"/>
          <w:color w:val="111111"/>
          <w:sz w:val="28"/>
          <w:sz w:val="28"/>
          <w:szCs w:val="28"/>
          <w:rtl w:val="true"/>
          <w:lang w:bidi="fa-IR"/>
        </w:rPr>
        <w:t>على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إنْ 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الدروس صرّح بإرادة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للجلّال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لإطلاقه لا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تصريحه في الدروس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التخصيص بالجلّال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في الذكرى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للفأرة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هو التفسّخ أو الانتفاخ، أو هما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المأخذ فيها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لحملها على الفأرة في خبر عمّار </w:t>
      </w:r>
      <w:r>
        <w:rPr>
          <w:rStyle w:val="FootnoteAnchor"/>
          <w:rtl w:val="true"/>
        </w:rPr>
        <w:footnoteReference w:id="1010"/>
      </w:r>
      <w:r>
        <w:rPr>
          <w:rFonts w:ascii="Amiri" w:hAnsi="Amiri" w:eastAsia="Amiri" w:cs="Amiri"/>
          <w:color w:val="111111"/>
          <w:sz w:val="28"/>
          <w:sz w:val="28"/>
          <w:szCs w:val="28"/>
          <w:rtl w:val="true"/>
          <w:lang w:bidi="ar-SA"/>
        </w:rPr>
        <w:t xml:space="preserve">، و هو قياسٌ مع الفارق، و لضعف رواية إسحاق </w:t>
      </w:r>
      <w:r>
        <w:rPr>
          <w:rStyle w:val="FootnoteAnchor"/>
          <w:rtl w:val="true"/>
        </w:rPr>
        <w:footnoteReference w:id="1011"/>
      </w:r>
      <w:r>
        <w:rPr>
          <w:rFonts w:ascii="Amiri" w:hAnsi="Amiri" w:eastAsia="Amiri" w:cs="Amiri"/>
          <w:color w:val="111111"/>
          <w:sz w:val="28"/>
          <w:sz w:val="28"/>
          <w:szCs w:val="28"/>
          <w:rtl w:val="true"/>
          <w:lang w:bidi="ar-SA"/>
        </w:rPr>
        <w:t xml:space="preserve">، مع أنّ المماثلة للدّجاجة غير </w:t>
      </w:r>
    </w:p>
    <w:p>
      <w:pPr>
        <w:pStyle w:val="BookText"/>
        <w:rPr/>
      </w:pPr>
      <w:r>
        <w:rPr>
          <w:rFonts w:ascii="Amiri" w:hAnsi="Amiri" w:eastAsia="Amiri" w:cs="Amiri"/>
          <w:color w:val="111111"/>
          <w:sz w:val="28"/>
          <w:sz w:val="28"/>
          <w:szCs w:val="28"/>
          <w:rtl w:val="true"/>
          <w:lang w:bidi="ar-SA"/>
        </w:rPr>
        <w:t xml:space="preserve">مسلَّمة ليعمّها حُكمها مع اختلاف أصنافها، و رواية الحلبي </w:t>
      </w:r>
      <w:r>
        <w:rPr>
          <w:rStyle w:val="FootnoteAnchor"/>
          <w:rtl w:val="true"/>
        </w:rPr>
        <w:footnoteReference w:id="1012"/>
      </w:r>
      <w:r>
        <w:rPr>
          <w:rFonts w:ascii="Amiri" w:hAnsi="Amiri" w:eastAsia="Amiri" w:cs="Amiri"/>
          <w:color w:val="111111"/>
          <w:sz w:val="28"/>
          <w:sz w:val="28"/>
          <w:szCs w:val="28"/>
          <w:rtl w:val="true"/>
          <w:lang w:bidi="ar-SA"/>
        </w:rPr>
        <w:t>تضعّف بما سبق من حمل الدّلاء على العشر في مثله و إن عيّن القدر بالإجماع كفى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المعتبر </w:t>
      </w:r>
      <w:r>
        <w:rPr>
          <w:rStyle w:val="FootnoteAnchor"/>
          <w:rtl w:val="true"/>
        </w:rPr>
        <w:footnoteReference w:id="1013"/>
      </w:r>
      <w:r>
        <w:rPr>
          <w:rFonts w:ascii="IRNazanin" w:hAnsi="IRNazanin" w:eastAsia="IRNazanin"/>
          <w:color w:val="111111"/>
          <w:sz w:val="28"/>
          <w:sz w:val="28"/>
          <w:szCs w:val="28"/>
          <w:rtl w:val="true"/>
          <w:lang w:bidi="fa-IR"/>
        </w:rPr>
        <w:t xml:space="preserve">و المنتهى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ميتتها نجسة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مع الشك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عدمه،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استلزامه للمدّعى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نزح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الإلحاق لأنه ليس لها نفس 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شاهد له كما اعترف به المصنّف في غير البيان، و قطع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النسبة من طغيان النظر، فإنّ الماتن في الدّروس </w:t>
      </w:r>
      <w:r>
        <w:rPr>
          <w:rStyle w:val="FootnoteAnchor"/>
          <w:rtl w:val="true"/>
        </w:rPr>
        <w:footnoteReference w:id="1016"/>
      </w:r>
      <w:r>
        <w:rPr>
          <w:rFonts w:ascii="Amiri" w:hAnsi="Amiri" w:eastAsia="Amiri" w:cs="Amiri"/>
          <w:color w:val="111111"/>
          <w:sz w:val="28"/>
          <w:sz w:val="28"/>
          <w:szCs w:val="28"/>
          <w:rtl w:val="true"/>
          <w:lang w:bidi="ar-SA"/>
        </w:rPr>
        <w:t xml:space="preserve">و الذكرى </w:t>
      </w:r>
      <w:r>
        <w:rPr>
          <w:rStyle w:val="FootnoteAnchor"/>
          <w:rtl w:val="true"/>
        </w:rPr>
        <w:footnoteReference w:id="1017"/>
      </w:r>
      <w:r>
        <w:rPr>
          <w:rFonts w:ascii="Amiri" w:hAnsi="Amiri" w:eastAsia="Amiri" w:cs="Amiri"/>
          <w:color w:val="111111"/>
          <w:sz w:val="28"/>
          <w:sz w:val="28"/>
          <w:szCs w:val="28"/>
          <w:rtl w:val="true"/>
          <w:lang w:bidi="ar-SA"/>
        </w:rPr>
        <w:t xml:space="preserve">قطعَ به كهُنا، بل أشار في الثاني للشاهد في الوزغة، و هو صحيحتا معاوية </w:t>
      </w:r>
      <w:r>
        <w:rPr>
          <w:rStyle w:val="FootnoteAnchor"/>
          <w:rtl w:val="true"/>
        </w:rPr>
        <w:footnoteReference w:id="1018"/>
      </w:r>
      <w:r>
        <w:rPr>
          <w:rFonts w:ascii="IRNazanin" w:hAnsi="IRNazanin" w:eastAsia="IRNazanin"/>
          <w:color w:val="111111"/>
          <w:sz w:val="28"/>
          <w:sz w:val="28"/>
          <w:szCs w:val="28"/>
          <w:rtl w:val="true"/>
          <w:lang w:bidi="fa-IR"/>
        </w:rPr>
        <w:t xml:space="preserve">و ابن سنان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حكم فيهما بعدم الشاهد للحيّة و العقرب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بالأُولى، أو بالثانية، أو بهما بمعنى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الغنويّ </w:t>
      </w:r>
      <w:r>
        <w:rPr>
          <w:rStyle w:val="FootnoteAnchor"/>
          <w:rtl w:val="true"/>
        </w:rPr>
        <w:footnoteReference w:id="10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بالاستحباب لعدم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لدفع وَهْم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الوجوب لعدم النجاسة و إثبات الاستحباب للدّفع المرقوم، و يمكن أن يكون ردّاً، بمعنى أنّ نفي السبب الخاص و هو النجاسة لا يقتضي نفي سائر أسباب الوجوب، فلعلّه لدفع الضرّر الموهوم من السُّم، إذ دفعه يجب ألبتّة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 للعُصفور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حكي فتحه في الغرائب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دون الحمامة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واسطة بينه و بينها فلا حاجة لذكر الشَّبه كما لغيره، و من أنواعه القبّرة و حسون و البلبل و الصّعوة و الحمّرة و العندليب و المكاء و العصافر و القنوط و الوضع و البراقش و القبعة كما في حياة الحيوان </w:t>
      </w:r>
      <w:r>
        <w:rPr>
          <w:rStyle w:val="FootnoteAnchor"/>
          <w:rtl w:val="true"/>
        </w:rPr>
        <w:footnoteReference w:id="1022"/>
      </w:r>
      <w:r>
        <w:rPr>
          <w:rFonts w:ascii="Amiri" w:hAnsi="Amiri" w:eastAsia="Amiri" w:cs="Amiri"/>
          <w:color w:val="111111"/>
          <w:sz w:val="28"/>
          <w:sz w:val="28"/>
          <w:szCs w:val="28"/>
          <w:rtl w:val="true"/>
          <w:lang w:bidi="ar-SA"/>
        </w:rPr>
        <w:t>، و لا يدخل فيه صغار الطّير مطلقاً؛ لبُعدها عن مفهوم الواجب و دخولها في آبائها اسماً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المعتبر </w:t>
      </w:r>
      <w:r>
        <w:rPr>
          <w:rStyle w:val="FootnoteAnchor"/>
          <w:rtl w:val="true"/>
        </w:rPr>
        <w:footnoteReference w:id="1023"/>
      </w:r>
      <w:r>
        <w:rPr>
          <w:rFonts w:ascii="Amiri" w:hAnsi="Amiri" w:eastAsia="Amiri" w:cs="Amiri"/>
          <w:color w:val="111111"/>
          <w:sz w:val="28"/>
          <w:sz w:val="28"/>
          <w:szCs w:val="28"/>
          <w:rtl w:val="true"/>
          <w:lang w:bidi="ar-SA"/>
        </w:rPr>
        <w:t xml:space="preserve">مطالبة المُعتَبِر بدليل التخطّي للمشابه مطلقاً في الجثّة و النزح المزبور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مأكول اللّحم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وخصّة بالأوّل بعضٌ </w:t>
      </w:r>
      <w:r>
        <w:rPr>
          <w:rStyle w:val="FootnoteAnchor"/>
          <w:rtl w:val="true"/>
        </w:rPr>
        <w:footnoteReference w:id="1024"/>
      </w:r>
      <w:r>
        <w:rPr>
          <w:rFonts w:ascii="Amiri" w:hAnsi="Amiri" w:eastAsia="Amiri" w:cs="Amiri"/>
          <w:color w:val="111111"/>
          <w:sz w:val="28"/>
          <w:sz w:val="28"/>
          <w:szCs w:val="28"/>
          <w:rtl w:val="true"/>
          <w:lang w:bidi="ar-SA"/>
        </w:rPr>
        <w:t>لنجاسة الثاني كالخفّاش، و فرض النجاسة لا يقصر الحكم كيف و البئر جمعت بين نجس العين كالكلب و غيره في حكم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Style w:val="FootnoteAnchor"/>
          <w:rtl w:val="true"/>
        </w:rPr>
        <w:footnoteReference w:id="1025"/>
      </w:r>
      <w:r>
        <w:rPr>
          <w:rFonts w:ascii="Amiri" w:hAnsi="Amiri" w:eastAsia="Amiri" w:cs="Amiri"/>
          <w:color w:val="111111"/>
          <w:sz w:val="28"/>
          <w:sz w:val="28"/>
          <w:szCs w:val="28"/>
          <w:rtl w:val="true"/>
          <w:lang w:bidi="ar-SA"/>
        </w:rPr>
        <w:t xml:space="preserve">و الشيخان </w:t>
      </w:r>
      <w:r>
        <w:rPr>
          <w:rStyle w:val="FootnoteAnchor"/>
          <w:rtl w:val="true"/>
        </w:rPr>
        <w:footnoteReference w:id="10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المعهودة </w:t>
      </w:r>
      <w:r>
        <w:rPr>
          <w:rStyle w:val="FootnoteAnchor"/>
          <w:rtl w:val="true"/>
        </w:rPr>
        <w:footnoteReference w:id="1027"/>
      </w:r>
      <w:r>
        <w:rPr>
          <w:rFonts w:ascii="Amiri" w:hAnsi="Amiri" w:eastAsia="Amiri" w:cs="Amiri"/>
          <w:color w:val="111111"/>
          <w:sz w:val="28"/>
          <w:sz w:val="28"/>
          <w:szCs w:val="28"/>
          <w:rtl w:val="true"/>
          <w:lang w:bidi="ar-SA"/>
        </w:rPr>
        <w:t xml:space="preserve">بلا مشابهة تقتضي الإلحاق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الخبر الفطيم </w:t>
      </w:r>
      <w:r>
        <w:rPr>
          <w:rStyle w:val="FootnoteAnchor"/>
          <w:rtl w:val="true"/>
        </w:rPr>
        <w:footnoteReference w:id="1028"/>
      </w:r>
      <w:r>
        <w:rPr>
          <w:rFonts w:ascii="IRNazanin" w:hAnsi="IRNazanin" w:eastAsia="IRNazanin"/>
          <w:color w:val="111111"/>
          <w:sz w:val="28"/>
          <w:sz w:val="28"/>
          <w:szCs w:val="28"/>
          <w:rtl w:val="true"/>
          <w:lang w:bidi="fa-IR"/>
        </w:rPr>
        <w:t xml:space="preserve">، و الأوّل هو الطفل </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اغتذائه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بالطّعام أو غَلَبة الرّضاع على الاغتذاء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متى جازها دخل في الصّبي و لو لم يَتغذَّ</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تغذّى به فيهما فهو رضيع عرفاً، فليس ذكر القيد إلّا لتوضيح المعنى، إلّا أن يقتصر على لغويّ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إطلاقه كغيره يعمّ رضيع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البيان بابن المسلم</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و أطلق في بَول الرّجل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تركه هنا لعدم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مفهوم الأولويّة كالنّص إذا عمل بالمنطوق، و ظاهرهم حصر نزح الدّلو لبول الرضيع دون الفطيم المنصوص لضعف السند، و في المهذّب </w:t>
      </w:r>
      <w:r>
        <w:rPr>
          <w:rStyle w:val="FootnoteAnchor"/>
          <w:rtl w:val="true"/>
        </w:rPr>
        <w:footnoteReference w:id="1031"/>
      </w:r>
      <w:r>
        <w:rPr>
          <w:rFonts w:ascii="Amiri" w:hAnsi="Amiri" w:eastAsia="Amiri" w:cs="Amiri"/>
          <w:color w:val="111111"/>
          <w:sz w:val="28"/>
          <w:sz w:val="28"/>
          <w:szCs w:val="28"/>
          <w:rtl w:val="true"/>
          <w:lang w:bidi="ar-SA"/>
        </w:rPr>
        <w:t>إنّه هو، و لا عذر لتركه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في الشهرة كغيره ممّا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يذكر سوى المنصوص هنا كان لتركه وجه، و قد ذكر ما لا فرق بينه و بينه في الشهرة لو أسند الترك إليها، و لعلّ عذره اختيار وجوب السبع لبول الصّبي مطلقاً فيشمله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سلّار </w:t>
      </w:r>
      <w:r>
        <w:rPr>
          <w:rStyle w:val="FootnoteAnchor"/>
          <w:rtl w:val="true"/>
        </w:rPr>
        <w:footnoteReference w:id="1032"/>
      </w:r>
      <w:r>
        <w:rPr>
          <w:rFonts w:ascii="Amiri" w:hAnsi="Amiri" w:eastAsia="Amiri" w:cs="Amiri"/>
          <w:color w:val="111111"/>
          <w:sz w:val="28"/>
          <w:sz w:val="28"/>
          <w:szCs w:val="28"/>
          <w:rtl w:val="true"/>
          <w:lang w:bidi="ar-SA"/>
        </w:rPr>
        <w:t xml:space="preserve">، و نَصّ منصور </w:t>
      </w:r>
      <w:r>
        <w:rPr>
          <w:rStyle w:val="FootnoteAnchor"/>
          <w:rtl w:val="true"/>
        </w:rPr>
        <w:footnoteReference w:id="1033"/>
      </w:r>
      <w:r>
        <w:rPr>
          <w:rFonts w:ascii="Amiri" w:hAnsi="Amiri" w:eastAsia="Amiri" w:cs="Amiri"/>
          <w:color w:val="111111"/>
          <w:sz w:val="28"/>
          <w:sz w:val="28"/>
          <w:szCs w:val="28"/>
          <w:rtl w:val="true"/>
          <w:lang w:bidi="ar-SA"/>
        </w:rPr>
        <w:t xml:space="preserve">يعضده بإطلاقه، و ذهب ابن زُهْرَة </w:t>
      </w:r>
      <w:r>
        <w:rPr>
          <w:rStyle w:val="FootnoteAnchor"/>
          <w:rtl w:val="true"/>
        </w:rPr>
        <w:footnoteReference w:id="1034"/>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035"/>
      </w:r>
      <w:r>
        <w:rPr>
          <w:rFonts w:ascii="IRNazanin" w:hAnsi="IRNazanin" w:eastAsia="IRNazanin"/>
          <w:color w:val="111111"/>
          <w:sz w:val="28"/>
          <w:sz w:val="28"/>
          <w:szCs w:val="28"/>
          <w:rtl w:val="true"/>
          <w:lang w:bidi="fa-IR"/>
        </w:rPr>
        <w:t>إلى نزح ثلاث له، و الأوّل أشهر، و هو الأظهر، هذا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أكثر مستند هذه المقدّرات ضعيف، ولكن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المستند أو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036"/>
      </w:r>
      <w:r>
        <w:rPr>
          <w:rFonts w:ascii="Amiri" w:hAnsi="Amiri" w:eastAsia="Amiri" w:cs="Amiri"/>
          <w:color w:val="111111"/>
          <w:sz w:val="28"/>
          <w:sz w:val="28"/>
          <w:szCs w:val="28"/>
          <w:rtl w:val="true"/>
          <w:lang w:bidi="ar-SA"/>
        </w:rPr>
        <w:t>لا قائل بغيره على تقدير القول بالنجاسة</w:t>
      </w:r>
      <w:r>
        <w:rPr>
          <w:rFonts w:eastAsia="Amiri" w:cs="Amiri" w:ascii="Amiri" w:hAnsi="Amiri"/>
          <w:color w:val="111111"/>
          <w:sz w:val="28"/>
          <w:szCs w:val="28"/>
          <w:rtl w:val="true"/>
          <w:lang w:bidi="ar-SA"/>
        </w:rPr>
        <w:t xml:space="preserve">) </w:t>
      </w:r>
      <w:r>
        <w:rPr>
          <w:rStyle w:val="FootnoteAnchor"/>
          <w:rtl w:val="true"/>
        </w:rPr>
        <w:footnoteReference w:id="1037"/>
      </w:r>
      <w:r>
        <w:rPr>
          <w:rFonts w:ascii="IRNazanin" w:hAnsi="IRNazanin" w:eastAsia="IRNazanin"/>
          <w:color w:val="111111"/>
          <w:sz w:val="28"/>
          <w:sz w:val="28"/>
          <w:szCs w:val="28"/>
          <w:rtl w:val="true"/>
          <w:lang w:bidi="fa-IR"/>
        </w:rPr>
        <w:t xml:space="preserve">أو الوجوب </w:t>
      </w:r>
      <w:r>
        <w:rPr>
          <w:rStyle w:val="FootnoteAnchor"/>
          <w:rtl w:val="true"/>
        </w:rPr>
        <w:footnoteReference w:id="1038"/>
      </w:r>
      <w:r>
        <w:rPr>
          <w:rFonts w:ascii="Amiri" w:hAnsi="Amiri" w:eastAsia="Amiri" w:cs="Amiri"/>
          <w:color w:val="111111"/>
          <w:sz w:val="28"/>
          <w:sz w:val="28"/>
          <w:szCs w:val="28"/>
          <w:rtl w:val="true"/>
          <w:lang w:bidi="ar-SA"/>
        </w:rPr>
        <w:t xml:space="preserve">التعبّدي أو الاستحباب </w:t>
      </w:r>
      <w:r>
        <w:rPr>
          <w:rStyle w:val="FootnoteAnchor"/>
          <w:rtl w:val="true"/>
        </w:rPr>
        <w:footnoteReference w:id="10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اللازم من اطّراحه كونه ممّا لا نصّ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الأوّل للمستند أو الأكثر، و الثاني إلى ما فيه ذلك المستند</w:t>
      </w:r>
      <w:r>
        <w:rPr>
          <w:rFonts w:eastAsia="Amiri" w:cs="Amiri" w:ascii="Amiri" w:hAnsi="Amiri"/>
          <w:color w:val="111111"/>
          <w:sz w:val="28"/>
          <w:szCs w:val="28"/>
          <w:rtl w:val="true"/>
          <w:lang w:bidi="ar-SA"/>
        </w:rPr>
        <w:t xml:space="preserve">. </w:t>
      </w:r>
      <w:bookmarkStart w:id="75" w:name="pg9146_85955"/>
    </w:p>
    <w:p>
      <w:pPr>
        <w:pStyle w:val="BookText"/>
        <w:rPr/>
      </w:pPr>
      <w:bookmarkEnd w:id="75"/>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عملوا بهذه الأخبار التي تفيد التقدير و إن ضعفت؛ لأنهم لو طرحوها و قالوا بالنجاسة لزم أن يكون الأغلب مُلحَقاً بما لا نصّ فيه فيجب نزح الجميع له في المشهور، و يلزم من ذلك العُسر و الحَرَج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يصلح حاملاً لهم على الحكم، و إنّما الحامل الإجماع، و السرّ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غرائب الردّ عليه بأنّه ربما اختلفت المقادير بالأخبار، و إلغاء الضعيف منها لا يقضي بإلحاقه بما لا نَصَّ فيه؛ لوجوب الرجوع إلى النصّ الآخر في ثاني المقدار، فإنّ فرض كلامه خلوّه عن النّص مطلقاً بضعف نصوصه مطلقاً، فيلحق حينئذٍ ذلك</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3322574_2870459653"/>
      <w:bookmarkStart w:id="77" w:name="_Toc25"/>
      <w:bookmarkEnd w:id="76"/>
      <w:r>
        <w:rPr>
          <w:rtl w:val="true"/>
        </w:rPr>
        <w:t>[</w:t>
      </w:r>
      <w:r>
        <w:rPr>
          <w:rtl w:val="true"/>
        </w:rPr>
        <w:t>التراوح و كيفيته</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التراوح بأربعة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ينزح له الجميع مطلقاً عند تعذّره لغزارة الماء، و في المنتهى </w:t>
      </w:r>
      <w:r>
        <w:rPr>
          <w:rStyle w:val="FootnoteAnchor"/>
          <w:rtl w:val="true"/>
        </w:rPr>
        <w:footnoteReference w:id="1040"/>
      </w:r>
      <w:r>
        <w:rPr>
          <w:rFonts w:ascii="Amiri" w:hAnsi="Amiri" w:eastAsia="Amiri" w:cs="Amiri"/>
          <w:color w:val="111111"/>
          <w:sz w:val="28"/>
          <w:sz w:val="28"/>
          <w:szCs w:val="28"/>
          <w:rtl w:val="true"/>
          <w:lang w:bidi="ar-SA"/>
        </w:rPr>
        <w:t>لا نعرف فيه خلافاً من المنجّسين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 أن يمتح الدّلو أحد الاثنين فوق البئر و الآخر فيها يملؤه كما في شَرْحَي الشرائع </w:t>
      </w:r>
      <w:r>
        <w:rPr>
          <w:rStyle w:val="FootnoteAnchor"/>
          <w:rtl w:val="true"/>
        </w:rPr>
        <w:footnoteReference w:id="1041"/>
      </w:r>
      <w:r>
        <w:rPr>
          <w:rFonts w:ascii="IRNazanin" w:hAnsi="IRNazanin" w:eastAsia="IRNazanin"/>
          <w:color w:val="111111"/>
          <w:sz w:val="28"/>
          <w:sz w:val="28"/>
          <w:szCs w:val="28"/>
          <w:rtl w:val="true"/>
          <w:lang w:bidi="fa-IR"/>
        </w:rPr>
        <w:t xml:space="preserve">و الإرشاد </w:t>
      </w:r>
      <w:r>
        <w:rPr>
          <w:rStyle w:val="FootnoteAnchor"/>
          <w:rtl w:val="true"/>
        </w:rPr>
        <w:footnoteReference w:id="1042"/>
      </w:r>
      <w:r>
        <w:rPr>
          <w:rFonts w:ascii="Amiri" w:hAnsi="Amiri" w:eastAsia="Amiri" w:cs="Amiri"/>
          <w:color w:val="111111"/>
          <w:sz w:val="28"/>
          <w:sz w:val="28"/>
          <w:szCs w:val="28"/>
          <w:rtl w:val="true"/>
          <w:lang w:bidi="ar-SA"/>
        </w:rPr>
        <w:t xml:space="preserve">، و الحِلّي كالموجز </w:t>
      </w:r>
      <w:r>
        <w:rPr>
          <w:rStyle w:val="FootnoteAnchor"/>
          <w:rtl w:val="true"/>
        </w:rPr>
        <w:footnoteReference w:id="1043"/>
      </w:r>
      <w:r>
        <w:rPr>
          <w:rFonts w:ascii="Amiri" w:hAnsi="Amiri" w:eastAsia="Amiri" w:cs="Amiri"/>
          <w:color w:val="111111"/>
          <w:sz w:val="28"/>
          <w:sz w:val="28"/>
          <w:szCs w:val="28"/>
          <w:rtl w:val="true"/>
          <w:lang w:bidi="ar-SA"/>
        </w:rPr>
        <w:t xml:space="preserve">و المحرّر </w:t>
      </w:r>
      <w:r>
        <w:rPr>
          <w:rStyle w:val="FootnoteAnchor"/>
          <w:rtl w:val="true"/>
        </w:rPr>
        <w:footnoteReference w:id="1044"/>
      </w:r>
      <w:r>
        <w:rPr>
          <w:rFonts w:ascii="Amiri" w:hAnsi="Amiri" w:eastAsia="Amiri" w:cs="Amiri"/>
          <w:color w:val="111111"/>
          <w:sz w:val="28"/>
          <w:sz w:val="28"/>
          <w:szCs w:val="28"/>
          <w:rtl w:val="true"/>
          <w:lang w:bidi="ar-SA"/>
        </w:rPr>
        <w:t xml:space="preserve">في كيفيّته أن يستقي اثنان بدلو واحدة إلى أن يتعبا، فإذا تعبا قام الاثنان إلى الاستقاء، و لا يفهم من الخبر إلّا سرعة النزح بكلّ طريق؛ لأنه أقرب، و المتيقّن من تراوحهم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اثنين منهم </w:t>
      </w:r>
      <w:r>
        <w:rPr>
          <w:rStyle w:val="FootnoteAnchor"/>
          <w:rtl w:val="true"/>
        </w:rPr>
        <w:footnoteReference w:id="1045"/>
      </w:r>
      <w:r>
        <w:rPr>
          <w:rFonts w:ascii="Amiri" w:hAnsi="Amiri" w:eastAsia="Amiri" w:cs="Amiri"/>
          <w:color w:val="111111"/>
          <w:sz w:val="28"/>
          <w:sz w:val="28"/>
          <w:szCs w:val="28"/>
          <w:rtl w:val="true"/>
          <w:lang w:bidi="ar-SA"/>
        </w:rPr>
        <w:t>يريحان الآخرين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قيام الآخرين للنزح أوّل زمان التّعب و الكلّ عن النّزح في الأوّلين ليصدق الإراحة، و لا اجتزاء بغير هذه الكيفيّة، فلو قدر الواحد على ما يقدر عليه الاثنان لا يجزي، و يجب أن يُباشروا النزح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متيقّنه الفجر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عند مغرب الشمس كيوم الصّوم، و مقدّماته كمقدّماته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ذلك الطويل و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استحب في روضه </w:t>
      </w:r>
      <w:r>
        <w:rPr>
          <w:rStyle w:val="FootnoteAnchor"/>
          <w:rtl w:val="true"/>
        </w:rPr>
        <w:footnoteReference w:id="1046"/>
      </w:r>
      <w:r>
        <w:rPr>
          <w:rFonts w:ascii="Amiri" w:hAnsi="Amiri" w:eastAsia="Amiri" w:cs="Amiri"/>
          <w:color w:val="111111"/>
          <w:sz w:val="28"/>
          <w:sz w:val="28"/>
          <w:szCs w:val="28"/>
          <w:rtl w:val="true"/>
          <w:lang w:bidi="ar-SA"/>
        </w:rPr>
        <w:t xml:space="preserve">تَحرّي الأوّل استحساناً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تعذّر نزح الجميع بسبب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المانعة من نزحه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نزح الجميع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 الأسباب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التراوح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إدخال جزء من الليل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المقدّمة و تهيئة الأسباب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بحصوله، و يستصحب اللّيل في الابتداء و النهار في الانتهاء لظلمة مُوهِمة، فلو انكشف الإخلال بعد الانتهاء و الاستعمال وجبَ إعادة النّزح؛ لتعليق الطّهارة على نزح اليوم الواقعي و لم يحصل، فالنجاسة بحالها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يجزئ مقدار اليوم من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مقداره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الملفّق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تجاوز أطول الأيّام؛ لخروجها عن منطوق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و حصول التراوح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 على </w:t>
      </w:r>
      <w:r>
        <w:rPr>
          <w:rStyle w:val="FootnoteAnchor"/>
          <w:rtl w:val="true"/>
        </w:rPr>
        <w:footnoteReference w:id="1047"/>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يتصوّر بطلانه من باب مفهوم الموافقة كما في الذكرى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يتمّ المفهوم إذا نزح في كلّ دفعة أكثر من اثنين، أمّا لو اشتغل الأكثر اثنين اثنين فهو من المنطوق، و الاجتزاء بالزائد عليها إذا أوجب زيادة النّزح جيّد؛ للأولويّة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نهض بعملها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لمخالفة النّص، لكن المخالفة و مع عدم ذكر الأربعة فيه مشكل، غايته أنّ المباشر اثنان اثنان و هو يحصل بالثلاثة إذا اشترك واحد في دفعتين، فالإراحة تحصل لكلّ فرد منهم على التعاقب، إلّا أن يستفاد من النّص وجوب تغاير الأخيرين و الأوّلين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النّص بإطلاقه لا يقتضي ظاهراً تعيين الأربعة خصوصاً لو لم نسقط منه لفظ ثمّ، و لو قرئت بالفتح على الأشهر </w:t>
      </w:r>
      <w:r>
        <w:rPr>
          <w:rStyle w:val="FootnoteAnchor"/>
          <w:rtl w:val="true"/>
        </w:rPr>
        <w:footnoteReference w:id="1049"/>
      </w:r>
      <w:r>
        <w:rPr>
          <w:rFonts w:ascii="Amiri" w:hAnsi="Amiri" w:eastAsia="Amiri" w:cs="Amiri"/>
          <w:color w:val="111111"/>
          <w:sz w:val="28"/>
          <w:sz w:val="28"/>
          <w:szCs w:val="28"/>
          <w:rtl w:val="true"/>
          <w:lang w:bidi="ar-SA"/>
        </w:rPr>
        <w:t xml:space="preserve">غير المعتبر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عندهما هنا و في الذكرى </w:t>
      </w:r>
      <w:r>
        <w:rPr>
          <w:rStyle w:val="FootnoteAnchor"/>
          <w:rtl w:val="true"/>
        </w:rPr>
        <w:footnoteReference w:id="105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p>
    <w:p>
      <w:pPr>
        <w:pStyle w:val="BookText"/>
        <w:rPr/>
      </w:pPr>
      <w:r>
        <w:rPr>
          <w:rFonts w:ascii="Amiri" w:hAnsi="Amiri" w:eastAsia="Amiri" w:cs="Amiri"/>
          <w:color w:val="111111"/>
          <w:sz w:val="28"/>
          <w:sz w:val="28"/>
          <w:szCs w:val="28"/>
          <w:rtl w:val="true"/>
          <w:lang w:bidi="ar-SA"/>
        </w:rPr>
        <w:t>لهم الصلاة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قيّد الجواز بروضه </w:t>
      </w:r>
      <w:r>
        <w:rPr>
          <w:rStyle w:val="FootnoteAnchor"/>
          <w:rtl w:val="true"/>
        </w:rPr>
        <w:footnoteReference w:id="1052"/>
      </w:r>
      <w:r>
        <w:rPr>
          <w:rFonts w:ascii="Amiri" w:hAnsi="Amiri" w:eastAsia="Amiri" w:cs="Amiri"/>
          <w:color w:val="111111"/>
          <w:sz w:val="28"/>
          <w:sz w:val="28"/>
          <w:szCs w:val="28"/>
          <w:rtl w:val="true"/>
          <w:lang w:bidi="ar-SA"/>
        </w:rPr>
        <w:t xml:space="preserve">بالاقتصار في الواجب و الندب على المعتاد، فلو قرأ الإمام البقرة لزمهم الانفراد كالأجير يومه و استأنفوا لو كان هو القارئ في غير زمن راحته و صاحبه، و وجه الجواز عموم أدلّة استحبابها </w:t>
      </w:r>
      <w:r>
        <w:rPr>
          <w:rStyle w:val="FootnoteAnchor"/>
          <w:rtl w:val="true"/>
        </w:rPr>
        <w:footnoteReference w:id="1053"/>
      </w:r>
      <w:r>
        <w:rPr>
          <w:rFonts w:ascii="Amiri" w:hAnsi="Amiri" w:eastAsia="Amiri" w:cs="Amiri"/>
          <w:color w:val="111111"/>
          <w:sz w:val="28"/>
          <w:sz w:val="28"/>
          <w:szCs w:val="28"/>
          <w:rtl w:val="true"/>
          <w:lang w:bidi="ar-SA"/>
        </w:rPr>
        <w:t>و بسقوطها عن المعذور يخصّص العموم، و لولاه لسرى الدّليل في المستحبّات مطلقاً، و لأوجب استثناء زمان مقدّمات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وجبت الجماعة و لو لأنهم لا يقدرون على القراءة أو كان النّزح في الجمعة كان من الواجب المستثنى، كما يجوز لهم التناوب فيها فيدرك كلّ منهم ركعة جماعة و الباقي بنية الانفراد، مخفّفاً لصلاته بقدر ركعة الإمام، و من حضر الجواز كذلك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غيره و إن استحبّ كالتشييع مطلقاً و قضاء الحاجة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يجوز من الراحة كلّ ذلك لهما، و نفي الاستثناء من أصله أقوى و أحوط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بإلحاق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القاضية بالتذكير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عدوله عن الجرّ بالباء إلى اللّام بيان أنّ التاء لحقت الأربع لا الأربعة، فهي إمّا للاختصاص و متعلّق الإلحاق مقدّر أي إلحاق التاء بالأربع الذي للأربعة، أو بمعنى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بها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Style w:val="FootnoteAnchor"/>
          <w:rtl w:val="true"/>
        </w:rPr>
        <w:footnoteReference w:id="10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لم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إجزاء الصبيان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المصنّف </w:t>
      </w:r>
      <w:r>
        <w:rPr>
          <w:rStyle w:val="FootnoteAnchor"/>
          <w:rtl w:val="true"/>
        </w:rPr>
        <w:footnoteReference w:id="1056"/>
      </w:r>
      <w:r>
        <w:rPr>
          <w:rFonts w:ascii="Amiri" w:hAnsi="Amiri" w:eastAsia="Amiri" w:cs="Amiri"/>
          <w:color w:val="111111"/>
          <w:sz w:val="28"/>
          <w:sz w:val="28"/>
          <w:szCs w:val="28"/>
          <w:rtl w:val="true"/>
          <w:lang w:bidi="ar-SA"/>
        </w:rPr>
        <w:t>في غير الكتاب باعتباره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الذكرى </w:t>
      </w:r>
      <w:r>
        <w:rPr>
          <w:rStyle w:val="FootnoteAnchor"/>
          <w:rtl w:val="true"/>
        </w:rPr>
        <w:footnoteReference w:id="1057"/>
      </w:r>
      <w:r>
        <w:rPr>
          <w:rFonts w:ascii="Amiri" w:hAnsi="Amiri" w:eastAsia="Amiri" w:cs="Amiri"/>
          <w:color w:val="111111"/>
          <w:sz w:val="28"/>
          <w:sz w:val="28"/>
          <w:szCs w:val="28"/>
          <w:rtl w:val="true"/>
          <w:lang w:bidi="ar-SA"/>
        </w:rPr>
        <w:t xml:space="preserve">كالصريح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المشهور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بمفهوم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فإنّه ظاهر في الرجوليّة و الذَّكُوريّة، و عطف الله النساء عليه يقضي بالمغايرة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و 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اجتزأ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في المعتبر </w:t>
      </w:r>
      <w:r>
        <w:rPr>
          <w:rStyle w:val="FootnoteAnchor"/>
          <w:rtl w:val="true"/>
        </w:rPr>
        <w:footnoteReference w:id="1060"/>
      </w:r>
      <w:r>
        <w:rPr>
          <w:rFonts w:ascii="IRNazanin" w:hAnsi="IRNazanin" w:eastAsia="IRNazanin"/>
          <w:color w:val="111111"/>
          <w:sz w:val="28"/>
          <w:sz w:val="28"/>
          <w:szCs w:val="28"/>
          <w:rtl w:val="true"/>
          <w:lang w:bidi="fa-IR"/>
        </w:rPr>
        <w:t xml:space="preserve">و المنتهى </w:t>
      </w:r>
      <w:r>
        <w:rPr>
          <w:rStyle w:val="FootnoteAnchor"/>
          <w:rtl w:val="true"/>
        </w:rPr>
        <w:footnoteReference w:id="1061"/>
      </w:r>
      <w:r>
        <w:rPr>
          <w:rFonts w:ascii="Amiri" w:hAnsi="Amiri" w:eastAsia="Amiri" w:cs="Amiri"/>
          <w:color w:val="111111"/>
          <w:sz w:val="28"/>
          <w:sz w:val="28"/>
          <w:szCs w:val="28"/>
          <w:rtl w:val="true"/>
          <w:lang w:bidi="ar-SA"/>
        </w:rPr>
        <w:t xml:space="preserve">و التذكرة </w:t>
      </w:r>
      <w:r>
        <w:rPr>
          <w:rStyle w:val="FootnoteAnchor"/>
          <w:rtl w:val="true"/>
        </w:rPr>
        <w:footnoteReference w:id="1062"/>
      </w:r>
      <w:r>
        <w:rPr>
          <w:rFonts w:ascii="IRNazanin" w:hAnsi="IRNazanin" w:eastAsia="IRNazanin"/>
          <w:color w:val="111111"/>
          <w:sz w:val="28"/>
          <w:sz w:val="28"/>
          <w:szCs w:val="28"/>
          <w:rtl w:val="true"/>
          <w:lang w:bidi="fa-IR"/>
        </w:rPr>
        <w:t xml:space="preserve">و الموجز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الثالث الجزم به و قيّده أحدهم </w:t>
      </w:r>
      <w:r>
        <w:rPr>
          <w:rStyle w:val="FootnoteAnchor"/>
          <w:rtl w:val="true"/>
        </w:rPr>
        <w:footnoteReference w:id="1064"/>
      </w:r>
      <w:r>
        <w:rPr>
          <w:rFonts w:ascii="Amiri" w:hAnsi="Amiri" w:eastAsia="Amiri" w:cs="Amiri"/>
          <w:color w:val="111111"/>
          <w:sz w:val="28"/>
          <w:sz w:val="28"/>
          <w:szCs w:val="28"/>
          <w:rtl w:val="true"/>
          <w:lang w:bidi="ar-SA"/>
        </w:rPr>
        <w:t>بما إذا ساوَت قوّتهم للرجال؛ لاشتراك العلّة و عدم مدخلية شخص النازح، فليسوا بأقلّ من الكفّار و المجانين إذا حصل منهم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1065"/>
      </w:r>
      <w:r>
        <w:rPr>
          <w:rFonts w:ascii="Amiri" w:hAnsi="Amiri" w:eastAsia="Amiri" w:cs="Amiri"/>
          <w:color w:val="111111"/>
          <w:sz w:val="28"/>
          <w:sz w:val="28"/>
          <w:szCs w:val="28"/>
          <w:rtl w:val="true"/>
          <w:lang w:bidi="ar-SA"/>
        </w:rPr>
        <w:t xml:space="preserve">اختياره، زاعماً صدق القوم مجرّداً على النساء، و الخبر كذلك، و القاموس </w:t>
      </w:r>
      <w:r>
        <w:rPr>
          <w:rStyle w:val="FootnoteAnchor"/>
          <w:rtl w:val="true"/>
        </w:rPr>
        <w:footnoteReference w:id="1066"/>
      </w:r>
      <w:r>
        <w:rPr>
          <w:rFonts w:ascii="Amiri" w:hAnsi="Amiri" w:eastAsia="Amiri" w:cs="Amiri"/>
          <w:color w:val="111111"/>
          <w:sz w:val="28"/>
          <w:sz w:val="28"/>
          <w:szCs w:val="28"/>
          <w:rtl w:val="true"/>
          <w:lang w:bidi="ar-SA"/>
        </w:rPr>
        <w:t>عليه مع استنباط المناط المتساوي فيه الرجل و غيره مطلقاً إذا كان مقدار ما ينزح مساوياً لمنزوح الرّجل؛ لحصول المقصود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أئمة اللّغة </w:t>
      </w:r>
      <w:r>
        <w:rPr>
          <w:rStyle w:val="FootnoteAnchor"/>
          <w:rtl w:val="true"/>
        </w:rPr>
        <w:footnoteReference w:id="1067"/>
      </w:r>
      <w:r>
        <w:rPr>
          <w:rFonts w:ascii="Amiri" w:hAnsi="Amiri" w:eastAsia="Amiri" w:cs="Amiri"/>
          <w:color w:val="111111"/>
          <w:sz w:val="28"/>
          <w:sz w:val="28"/>
          <w:szCs w:val="28"/>
          <w:rtl w:val="true"/>
          <w:lang w:bidi="ar-SA"/>
        </w:rPr>
        <w:t xml:space="preserve">صرّحوا بعدم الصّدق، و عبارة القاموس محمولة على الإطلاق الشامل للمجاز، و أنّ المُرسَل </w:t>
      </w:r>
      <w:r>
        <w:rPr>
          <w:rStyle w:val="FootnoteAnchor"/>
          <w:rtl w:val="true"/>
        </w:rPr>
        <w:footnoteReference w:id="1068"/>
      </w:r>
      <w:r>
        <w:rPr>
          <w:rFonts w:ascii="IRNazanin" w:hAnsi="IRNazanin" w:eastAsia="IRNazanin"/>
          <w:color w:val="111111"/>
          <w:sz w:val="28"/>
          <w:sz w:val="28"/>
          <w:szCs w:val="28"/>
          <w:rtl w:val="true"/>
          <w:lang w:bidi="fa-IR"/>
        </w:rPr>
        <w:t xml:space="preserve">عن الرّضا علیه السلام مقيّد الخبر </w:t>
      </w:r>
      <w:r>
        <w:rPr>
          <w:rStyle w:val="FootnoteAnchor"/>
          <w:rtl w:val="true"/>
        </w:rPr>
        <w:footnoteReference w:id="1069"/>
      </w:r>
      <w:r>
        <w:rPr>
          <w:rFonts w:ascii="Amiri" w:hAnsi="Amiri" w:eastAsia="Amiri" w:cs="Amiri"/>
          <w:color w:val="111111"/>
          <w:sz w:val="28"/>
          <w:sz w:val="28"/>
          <w:szCs w:val="28"/>
          <w:rtl w:val="true"/>
          <w:lang w:bidi="ar-SA"/>
        </w:rPr>
        <w:t xml:space="preserve">عمّار، و أنّ بناء الأصحاب على مراعاة الخصوصيّات الواردة في المقام كاليوم فلا يجزي الملفّق و إن زاد، بل لو بني على تخريج المناط كان إلغاء خصوصيّة اليوم أولى؛ لكونه وارداً مورد الغالب، لغَلَبَة وقوع الأعمال في </w:t>
      </w:r>
    </w:p>
    <w:p>
      <w:pPr>
        <w:pStyle w:val="BookText"/>
        <w:rPr/>
      </w:pPr>
      <w:r>
        <w:rPr>
          <w:rFonts w:ascii="Amiri" w:hAnsi="Amiri" w:eastAsia="Amiri" w:cs="Amiri"/>
          <w:color w:val="111111"/>
          <w:sz w:val="28"/>
          <w:sz w:val="28"/>
          <w:szCs w:val="28"/>
          <w:rtl w:val="true"/>
          <w:lang w:bidi="ar-SA"/>
        </w:rPr>
        <w:t>النهار و هو منها، مع أنّ الرجل نوعاً أقوى، فلا بأس بقصر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 رحمه الله ألغى جميع الخصوصيّات كما ألغاها الوالد رحمه الله </w:t>
      </w:r>
      <w:r>
        <w:rPr>
          <w:rStyle w:val="FootnoteAnchor"/>
          <w:rtl w:val="true"/>
        </w:rPr>
        <w:footnoteReference w:id="1070"/>
      </w:r>
      <w:r>
        <w:rPr>
          <w:rFonts w:ascii="Amiri" w:hAnsi="Amiri" w:eastAsia="Amiri" w:cs="Amiri"/>
          <w:color w:val="111111"/>
          <w:sz w:val="28"/>
          <w:sz w:val="28"/>
          <w:szCs w:val="28"/>
          <w:rtl w:val="true"/>
          <w:lang w:bidi="ar-SA"/>
        </w:rPr>
        <w:t>حتّى النّزح و جعل المدار على إخراج الماء بمقدار الأربعة المتراوحين بأيّ حيلةٍ تكون و لو بإجراء الماء من تحت لكانَ أولى من نفي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تبدّل حال البئر بأنْ بان إمكان نزح الجميع في أثناء التراوح أو العكس قوى الإستاد النّزح و ترك التراوح في الأوّل؛ لأنّ تطهيره مشروط بعدم إمكان الاستيعاب، و ضمّ للسابق نزح ما بقي من النهار إذا كان السابق جامعاً لشرائط التراوح في الثاني، و الثاني حسن، و الأول مشكل، فإنّ الغلبة لو شرعت التراوح واقعاً لم يؤثِّر عدمها في وقت آخر، و إن لم تكن كذلك كان اللازم نزح الجميع بعد تمام التّراوح لو تبدّل موضوع البئر، و لو امتدّ الفاصل، إلّا أن يكون الأخير من الفرد النادر دون التغيّر في الاثناء فلا يلحقه الحكم،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حكم غير المتغيّر من مائها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تغيّر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أوصافه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عينيّة أو متنجّس فيه، فحكمها على المشهور </w:t>
      </w:r>
      <w:r>
        <w:rPr>
          <w:rStyle w:val="FootnoteAnchor"/>
          <w:rtl w:val="true"/>
        </w:rPr>
        <w:footnoteReference w:id="1071"/>
      </w:r>
      <w:r>
        <w:rPr>
          <w:rFonts w:ascii="Amiri" w:hAnsi="Amiri" w:eastAsia="Amiri" w:cs="Amiri"/>
          <w:color w:val="111111"/>
          <w:sz w:val="28"/>
          <w:sz w:val="28"/>
          <w:szCs w:val="28"/>
          <w:rtl w:val="true"/>
          <w:lang w:bidi="ar-SA"/>
        </w:rPr>
        <w:t xml:space="preserve">من الطهارة و عدم تعبديّة النّزح حكم الجاري و على النجاسة أو النزح التعبّدي، فالحلّي </w:t>
      </w:r>
      <w:r>
        <w:rPr>
          <w:rStyle w:val="FootnoteAnchor"/>
          <w:rtl w:val="true"/>
        </w:rPr>
        <w:footnoteReference w:id="1072"/>
      </w:r>
      <w:r>
        <w:rPr>
          <w:rFonts w:ascii="Amiri" w:hAnsi="Amiri" w:eastAsia="Amiri" w:cs="Amiri"/>
          <w:color w:val="111111"/>
          <w:sz w:val="28"/>
          <w:sz w:val="28"/>
          <w:szCs w:val="28"/>
          <w:rtl w:val="true"/>
          <w:lang w:bidi="ar-SA"/>
        </w:rPr>
        <w:t xml:space="preserve">و المحقّق </w:t>
      </w:r>
      <w:r>
        <w:rPr>
          <w:rStyle w:val="FootnoteAnchor"/>
          <w:rtl w:val="true"/>
        </w:rPr>
        <w:footnoteReference w:id="1073"/>
      </w:r>
      <w:r>
        <w:rPr>
          <w:rFonts w:ascii="Amiri" w:hAnsi="Amiri" w:eastAsia="Amiri" w:cs="Amiri"/>
          <w:color w:val="111111"/>
          <w:sz w:val="28"/>
          <w:sz w:val="28"/>
          <w:szCs w:val="28"/>
          <w:rtl w:val="true"/>
          <w:lang w:bidi="ar-SA"/>
        </w:rPr>
        <w:t xml:space="preserve">و الشهيد الثانيان هنا، و في جامع المقاصد حكموا بأنّ الواقع فيها من النجاسة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بين المقدّر و زوال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تعاقبهما بأن ينزح إلى زوال التغيير ثمّ ينزح المقدّر بمعنى التداخل،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أكثر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قائل بالمنفي و إن احتمل، فإنّ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جمعاً بين المنصوص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زوال التغيير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طهارة ما لا ينفعل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قليله لغير الفاضل،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فههنا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انفعال كثيره يكون اعتباره للحكم بطهارته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كيفيّة الجمع إبقاء نصّ المقدّر على إطلاقه في البئر للمتغيّر و غيره مع العمل بالنصّ المفيد </w:t>
      </w:r>
      <w:r>
        <w:rPr>
          <w:rStyle w:val="FootnoteAnchor"/>
          <w:rtl w:val="true"/>
        </w:rPr>
        <w:footnoteReference w:id="1076"/>
      </w:r>
      <w:r>
        <w:rPr>
          <w:rFonts w:ascii="Amiri" w:hAnsi="Amiri" w:eastAsia="Amiri" w:cs="Amiri"/>
          <w:color w:val="111111"/>
          <w:sz w:val="28"/>
          <w:sz w:val="28"/>
          <w:szCs w:val="28"/>
          <w:rtl w:val="true"/>
          <w:lang w:bidi="ar-SA"/>
        </w:rPr>
        <w:t xml:space="preserve">للنجاسة بالتغيير مطلقاً أيضاً، و حيث يجب نزح المقدّر في غير المتغيّر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زال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مع عدم زواله به يعتبر زوال التغيير، ضرورة عدم طهارة الماء ما دام باقياً بالضرورة، لكن الإشكال في أنّ النجاسة الباقية بعد نزح المقدّر في المتغيّر، إذ لا يزول التغيير بتمام نزح المقدّر يقتضي دخولها في غير المنصوص، فتُعطى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النزح إلى زوال التغيير هو مقدّرها بعد نزح مقدّرها السابق و بقائه، أخذاً بإطلاق نجاسة المتغيّر المغيّى طهارته بزوال تغييره فيها، فتختصّ أوامر التقدير بغير المتغيّر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الإشكال في إكمال المقدّر إذا زال التغيير قبله على القول ببقاء النجاسة بعد الزّوال بها، فيرجع فيه إمّا لإجماع القائلين به عليه، أو بأنّ النّصوص أو جَبَت نزح تلك المقادير لتلك النجاسات، و أمّا الاكتفاء بها في الطّهارة مطلقاً فمهمل بالنّسبة إلى أفراده، فلا يعارضه عدم حصول الطهارة لعارضٍ آخر و إن وجب نزح المقدّر، فيكون حال بقاء التغيير بعد النزح كحال نجاسة ثانية عَرَضت للبئر بعد نزح مقدّر الأولى و لها 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لها مقدّر، ففي الاكتفاء بمزيل التغيير أو وجوب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التّراوح مع تعذره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اكتفى به فيما له مقدّر و إن زال قبل استيفاء الدلاء المنصوصة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زعمه في المتغيِّر مطلقاً و إن زال بأوّل دلو، فالعبرة بنزح الجميع، بل هو ظاهر من أطلق نزح الكلّ لفاقد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إن أوجبنا الجميع لفاقد النصّ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 جبنا فيه ثلاثين أو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العددين أو ما يزول به التغيير كسابقه ببرهانه، و هو عدم نقص حالة التغيير عن سابق حالته، فكلّ ما يجب قَبلُ يجب بَعدُ بالأولويّة مع لزوم إزالة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فدليله عند من خَصّ نجاسة البئر بالتغيير أو من لا يرى نزحاً فيما لا نصّ فيه ظاهر، و صحيحة ابن بزيع </w:t>
      </w:r>
      <w:r>
        <w:rPr>
          <w:rStyle w:val="FootnoteAnchor"/>
          <w:rtl w:val="true"/>
        </w:rPr>
        <w:footnoteReference w:id="1078"/>
      </w:r>
      <w:r>
        <w:rPr>
          <w:rFonts w:ascii="Amiri" w:hAnsi="Amiri" w:eastAsia="Amiri" w:cs="Amiri"/>
          <w:color w:val="111111"/>
          <w:sz w:val="28"/>
          <w:sz w:val="28"/>
          <w:szCs w:val="28"/>
          <w:rtl w:val="true"/>
          <w:lang w:bidi="ar-SA"/>
        </w:rPr>
        <w:t>للثالث، و لا بُعد في وجوب نزح الجميع حالة عدم التغيير دون حالته لكونه من المنصوص كما سبق، أو لأنّ أحكام البئر لا يُستنكر منها ذلك، أو لأنّ عَلامَة النجاسة هو التغيير في المتغيّر فتزول النجاسة بزواله و لا عَلامَة ظاهرة بغيره، فيجب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الصحيحة إن عُمِلَ بها فهي تقضي بانحصار النجاسة في البئر بالتغيير و الطّهر بإزالته كما هو الحقّ في كثيرها أو مطلقاً على الشروط في الجاري من حيث الاتّصال بالمادّة أو النزح أو غيرهما، و ظاهر المماثلة تقضي بالطهارة بالزّوال بنفسه و لو من دون نزح، و هو على المشهور الثاني من عدم الانفعال مطلقاً حَسنٌ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تأمّل بمجمع البرهان </w:t>
      </w:r>
      <w:r>
        <w:rPr>
          <w:rStyle w:val="FootnoteAnchor"/>
          <w:rtl w:val="true"/>
        </w:rPr>
        <w:footnoteReference w:id="1079"/>
      </w:r>
      <w:r>
        <w:rPr>
          <w:rFonts w:ascii="IRNazanin" w:hAnsi="IRNazanin" w:eastAsia="IRNazanin"/>
          <w:color w:val="111111"/>
          <w:sz w:val="28"/>
          <w:sz w:val="28"/>
          <w:szCs w:val="28"/>
          <w:rtl w:val="true"/>
          <w:lang w:bidi="fa-IR"/>
        </w:rPr>
        <w:t>لقوله علیه السلام في الصحيح و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فينزح منه حتّى يذهب الرِّيح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في التذكرة </w:t>
      </w:r>
      <w:r>
        <w:rPr>
          <w:rStyle w:val="FootnoteAnchor"/>
          <w:rtl w:val="true"/>
        </w:rPr>
        <w:footnoteReference w:id="1081"/>
      </w:r>
      <w:r>
        <w:rPr>
          <w:rFonts w:ascii="Amiri" w:hAnsi="Amiri" w:eastAsia="Amiri" w:cs="Amiri"/>
          <w:color w:val="111111"/>
          <w:sz w:val="28"/>
          <w:sz w:val="28"/>
          <w:szCs w:val="28"/>
          <w:rtl w:val="true"/>
          <w:lang w:bidi="ar-SA"/>
        </w:rPr>
        <w:t xml:space="preserve">و النهاية </w:t>
      </w:r>
      <w:r>
        <w:rPr>
          <w:rStyle w:val="FootnoteAnchor"/>
          <w:rtl w:val="true"/>
        </w:rPr>
        <w:footnoteReference w:id="1082"/>
      </w:r>
      <w:r>
        <w:rPr>
          <w:rFonts w:ascii="Amiri" w:hAnsi="Amiri" w:eastAsia="Amiri" w:cs="Amiri"/>
          <w:color w:val="111111"/>
          <w:sz w:val="28"/>
          <w:sz w:val="28"/>
          <w:szCs w:val="28"/>
          <w:rtl w:val="true"/>
          <w:lang w:bidi="ar-SA"/>
        </w:rPr>
        <w:t xml:space="preserve">حكمَ بنزح الجميع و إن زال التغيير بالبعض، و في الرّياض </w:t>
      </w:r>
      <w:r>
        <w:rPr>
          <w:rStyle w:val="FootnoteAnchor"/>
          <w:rtl w:val="true"/>
        </w:rPr>
        <w:footnoteReference w:id="1083"/>
      </w:r>
      <w:r>
        <w:rPr>
          <w:rFonts w:ascii="Amiri" w:hAnsi="Amiri" w:eastAsia="Amiri" w:cs="Amiri"/>
          <w:color w:val="111111"/>
          <w:sz w:val="28"/>
          <w:sz w:val="28"/>
          <w:szCs w:val="28"/>
          <w:rtl w:val="true"/>
          <w:lang w:bidi="ar-SA"/>
        </w:rPr>
        <w:t>مع حكمه بالطّهارة و عدم الانفعال فيها استقرَب عدم الطّهارة إلَّا بالنّزح حتّى يزول التّغيير لا جميع الماء كالفاضل، إلَّا إذا لم يحصل العلم بزواله فالجميع، و ادّعى موافقة الشهيدين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أعثر عليه من ثانيهما في الثلاثة، و في بيان </w:t>
      </w:r>
      <w:r>
        <w:rPr>
          <w:rStyle w:val="FootnoteAnchor"/>
          <w:rtl w:val="true"/>
        </w:rPr>
        <w:footnoteReference w:id="1084"/>
      </w:r>
      <w:r>
        <w:rPr>
          <w:rFonts w:ascii="Amiri" w:hAnsi="Amiri" w:eastAsia="Amiri" w:cs="Amiri"/>
          <w:color w:val="111111"/>
          <w:sz w:val="28"/>
          <w:sz w:val="28"/>
          <w:szCs w:val="28"/>
          <w:rtl w:val="true"/>
          <w:lang w:bidi="ar-SA"/>
        </w:rPr>
        <w:t xml:space="preserve">الأوّل موجود لكن مع القول بالنجاسة فيختلفان، و أين الموافقة، و لا أظنّ أنّ من اعتبر النّزح بعد زوال التغيير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مَرامه توقّف الطَّهر بعده على نزح الجميع، بل خياله أنّ المزج المعتبر في التّطهير متوقّف على نزح ما بعد الزّوال ليحصل كثرة الخارج فيمتزج أو يتدافع أو يعلو على النجس، و متى لم ينزح منه شيء لم يتجدّد الخروج منه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المشهور الأوَّل من النجاسة و انقطاع حكم الجاري عنه يتوقّف على النصّ في الطّهر، و حيث لا مقدّر له تعيّن نزح الجميع، فتأمل</w:t>
      </w:r>
      <w:r>
        <w:rPr>
          <w:rFonts w:eastAsia="Amiri" w:cs="Amiri" w:ascii="Amiri" w:hAnsi="Amiri"/>
          <w:color w:val="111111"/>
          <w:sz w:val="28"/>
          <w:szCs w:val="28"/>
          <w:rtl w:val="true"/>
          <w:lang w:bidi="ar-SA"/>
        </w:rPr>
        <w:t xml:space="preserve">. </w:t>
      </w:r>
      <w:bookmarkStart w:id="78" w:name="pg9146_85973"/>
    </w:p>
    <w:p>
      <w:pPr>
        <w:pStyle w:val="Heading2"/>
        <w:numPr>
          <w:ilvl w:val="1"/>
          <w:numId w:val="1"/>
        </w:numPr>
        <w:rPr/>
      </w:pPr>
      <w:bookmarkStart w:id="79" w:name="__RefHeading___Toc3322576_2870459653"/>
      <w:bookmarkStart w:id="80" w:name="_Toc26"/>
      <w:bookmarkEnd w:id="78"/>
      <w:bookmarkEnd w:id="79"/>
      <w:r>
        <w:rPr>
          <w:rtl w:val="true"/>
        </w:rPr>
        <w:t>[</w:t>
      </w:r>
      <w:r>
        <w:rPr>
          <w:rtl w:val="true"/>
        </w:rPr>
        <w:t>مبحث الماء المضاف</w:t>
      </w:r>
      <w:r>
        <w:rPr>
          <w:rtl w:val="true"/>
        </w:rPr>
        <w:t>]</w:t>
      </w:r>
      <w:bookmarkEnd w:id="80"/>
    </w:p>
    <w:p>
      <w:pPr>
        <w:pStyle w:val="BookText"/>
        <w:rPr/>
      </w:pPr>
      <w:r>
        <w:rPr>
          <w:rFonts w:ascii="IRNazanin" w:hAnsi="IRNazanin" w:eastAsia="IRNazanin"/>
          <w:color w:val="111111"/>
          <w:sz w:val="28"/>
          <w:sz w:val="28"/>
          <w:szCs w:val="28"/>
          <w:rtl w:val="true"/>
          <w:lang w:bidi="fa-IR"/>
        </w:rPr>
        <w:t xml:space="preserve">و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Heading2"/>
        <w:numPr>
          <w:ilvl w:val="1"/>
          <w:numId w:val="1"/>
        </w:numPr>
        <w:rPr/>
      </w:pPr>
      <w:bookmarkStart w:id="81" w:name="__RefHeading___Toc3322578_2870459653"/>
      <w:bookmarkStart w:id="82" w:name="_Toc27"/>
      <w:bookmarkEnd w:id="81"/>
      <w:r>
        <w:rPr>
          <w:rtl w:val="true"/>
        </w:rPr>
        <w:t>[</w:t>
      </w:r>
      <w:r>
        <w:rPr>
          <w:rtl w:val="true"/>
        </w:rPr>
        <w:t>تعريف الماء المضاف</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المضاف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الشيء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عليه اسم الماء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أو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صدقه عليه مع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الرّياض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تفسير الموصوف بالشيء و ما بالموصوليّة غير جيّد منهما، فإنّ المعروف في التعاريف أنّها نكرة موصوفة، فالأحرى أَنْ تُفَسَّر بالماء أو تهمز بالقراءة اسماً صريحاً فيه، إذ المضاف من أقسامه كما مرّ، و أخذ المقسم في حدود الأقسام حسن، مع أنّه من الأجناس القريبة وإن كان لفظيّاً، و الشيء عرضاً عاماً فهو أَولى، و لعلّ ذلك لجهة توقّف المضاف على الماء المتوقّف معرفته عليه، فلو أخذ في التعريف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تعريف كلّ مقسم هو تعريف الوصف المعتبر فيه دونه، و هنا كذلك، أو لجهة أنّ إطلاق الماء عليه مجاز، فلو أخذ قيداً لزم التجوّز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وروده في أصل التقسيم؛ لأنّ المراد بالماء المنقسم إليهما معنى شامل للحقيقي و الإضافي من باب عموم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حمل ما على ما يطلق عليه اسم الماء في الجملة مطلقه و مضافه، إذ هو المقسم، فالتجوّز في التقسيم دون التعريف، و حينئذٍ فلا ينتقض الحدّ طرداً، فيحتاج إلى زيادة القيد الأخير من الثاني؛ لأنه فرع تفسيره، و لو قرئ بما ذكرنا لما شمل الحدّ غير المائعات، أو المائعات التي لا تدخل في اسم الماء مطلقاً، أو مع القيد كالأدهان و الأبوال و العرق و البصاق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الفاضلان حينئذٍ قيد صحّة سلبه عنه </w:t>
      </w:r>
      <w:r>
        <w:rPr>
          <w:rStyle w:val="FootnoteAnchor"/>
          <w:rtl w:val="true"/>
        </w:rPr>
        <w:footnoteReference w:id="1086"/>
      </w:r>
      <w:r>
        <w:rPr>
          <w:rFonts w:ascii="Amiri" w:hAnsi="Amiri" w:eastAsia="Amiri" w:cs="Amiri"/>
          <w:color w:val="111111"/>
          <w:sz w:val="28"/>
          <w:sz w:val="28"/>
          <w:szCs w:val="28"/>
          <w:rtl w:val="true"/>
          <w:lang w:bidi="ar-SA"/>
        </w:rPr>
        <w:t xml:space="preserve">، و كأنّه إشارة إلى تحقّق عَلامَتين للتجوّز فيه من عدم تناول الاسم بإطلاقه، و من صحّة سلب اسم الماء عنه، و إطلاق الماء على مضافه كإطلاق الأسد على الشجاع، أو للاحتراز عن مطلق شاع تقييده، فلا يطلق عليه الماء مجرّداً </w:t>
      </w:r>
    </w:p>
    <w:p>
      <w:pPr>
        <w:pStyle w:val="BookText"/>
        <w:rPr/>
      </w:pPr>
      <w:r>
        <w:rPr>
          <w:rFonts w:ascii="Amiri" w:hAnsi="Amiri" w:eastAsia="Amiri" w:cs="Amiri"/>
          <w:color w:val="111111"/>
          <w:sz w:val="28"/>
          <w:sz w:val="28"/>
          <w:szCs w:val="28"/>
          <w:rtl w:val="true"/>
          <w:lang w:bidi="ar-SA"/>
        </w:rPr>
        <w:t xml:space="preserve">عن القيد مع أنّه من المطلق الذي لا يصحّ سلبه عنه كماء البحر مثلاً، حتّى أنّ ابن المسيّب و ابن عمر حرّما الوضوء به مع وجود غيره </w:t>
      </w:r>
      <w:r>
        <w:rPr>
          <w:rStyle w:val="FootnoteAnchor"/>
          <w:rtl w:val="true"/>
        </w:rPr>
        <w:footnoteReference w:id="1087"/>
      </w:r>
      <w:r>
        <w:rPr>
          <w:rFonts w:ascii="Amiri" w:hAnsi="Amiri" w:eastAsia="Amiri" w:cs="Amiri"/>
          <w:color w:val="111111"/>
          <w:sz w:val="28"/>
          <w:sz w:val="28"/>
          <w:szCs w:val="28"/>
          <w:rtl w:val="true"/>
          <w:lang w:bidi="ar-SA"/>
        </w:rPr>
        <w:t>، و الظاهر دوران الاسم مَدار الحقيقة دون السلب العرفي، فإنّه مَظنّة للتسامح و إلّا لصدق على الماء المصعد من المطلق أنّه ليس منه؛ لتسميته عرقاً، مع إنه فرد منه حقيقةً،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أقسام منه ما يحصل بالتصعيد كماء الورد و شبهه </w:t>
      </w:r>
      <w:r>
        <w:rPr>
          <w:rStyle w:val="FootnoteAnchor"/>
          <w:rtl w:val="true"/>
        </w:rPr>
        <w:footnoteReference w:id="1088"/>
      </w:r>
      <w:r>
        <w:rPr>
          <w:rFonts w:ascii="Amiri" w:hAnsi="Amiri" w:eastAsia="Amiri" w:cs="Amiri"/>
          <w:color w:val="111111"/>
          <w:sz w:val="28"/>
          <w:sz w:val="28"/>
          <w:szCs w:val="28"/>
          <w:rtl w:val="true"/>
          <w:lang w:bidi="ar-SA"/>
        </w:rPr>
        <w:t xml:space="preserve">، أو بالاعتصار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كالمعتصر من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الرطبة مثل الحصرم، و يمكن شموله لسابقه، أو المزج،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الممتزج بها مزجاً يسلبه الإطلاق كالأمراق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الممتزج لا قسيماً له كما يظهر من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الممتزج على وجه لا يسلبه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داخل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تغيّر لونه كالممتزج بالتراب أو طعمه كالممتزج بالملح و إن أُضيف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لظاهر الفقيه و بعض الناس </w:t>
      </w:r>
      <w:r>
        <w:rPr>
          <w:rStyle w:val="FootnoteAnchor"/>
          <w:rtl w:val="true"/>
        </w:rPr>
        <w:footnoteReference w:id="1089"/>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غيّر التمر لون الماء لم يجز الوضوء به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بالتغيير سلب الإطلاق، ثمّ إنّه لا اختصاص لشيء من الممتزجين بشيء من التغييرين، فقد يغيّر التراب الطعم و الملح اللّون أيضاً، و ظاهرهم أيضاً حصر المضاف بالأقسام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بعضهم بأنّ منه المتغيّر بطول مكثه </w:t>
      </w:r>
      <w:r>
        <w:rPr>
          <w:rStyle w:val="FootnoteAnchor"/>
          <w:rtl w:val="true"/>
        </w:rPr>
        <w:footnoteReference w:id="1091"/>
      </w:r>
      <w:r>
        <w:rPr>
          <w:rFonts w:ascii="Amiri" w:hAnsi="Amiri" w:eastAsia="Amiri" w:cs="Amiri"/>
          <w:color w:val="111111"/>
          <w:sz w:val="28"/>
          <w:sz w:val="28"/>
          <w:szCs w:val="28"/>
          <w:rtl w:val="true"/>
          <w:lang w:bidi="ar-SA"/>
        </w:rPr>
        <w:t>،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ليس له نفس سائلة إذا وقع في الماء غيَّر أحد أوصافه سلب عنه الطهوريّة دون الطهارة </w:t>
      </w:r>
      <w:r>
        <w:rPr>
          <w:rStyle w:val="FootnoteAnchor"/>
          <w:rtl w:val="true"/>
        </w:rPr>
        <w:footnoteReference w:id="1092"/>
      </w:r>
      <w:r>
        <w:rPr>
          <w:rFonts w:ascii="Amiri" w:hAnsi="Amiri" w:eastAsia="Amiri" w:cs="Amiri"/>
          <w:color w:val="111111"/>
          <w:sz w:val="28"/>
          <w:sz w:val="28"/>
          <w:szCs w:val="28"/>
          <w:rtl w:val="true"/>
          <w:lang w:bidi="ar-SA"/>
        </w:rPr>
        <w:t>، و هما لا يندرجان بشيء من الثلاثة، و لا الأخير في الممتزج؛ لعدم تلازم التغيير معه، فالحصر بالثلاثة مشكل، كما أنّ شمول المضاف للأخيرين أشكل، فليرجع إلى الحقيقة دون سلب الإطلاق، و إذ يكون الأخير مرجعاً يُوكَل إلى العُرف، فلا عِبرَة بكميّة أحدهما و إن كثُر المضاف و بقي الإطلاق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قد تخفى بعض الأفراد على العرف فيشك في أنّها من المطلق أو المضاف، و اللّازم حينئذٍ الرجوع إلى الأُصول، و مقتضاها انفعال المشكوك و إن كان كثيراً؛ لأنّ النجاسة مقتضية للتنجيس مطلقاً، و إن لم يكن الانفعال مقتضى نفس الملاقاة لمّا كانت الکُرية عاصمة عنه، و عليه فلو شكّ في مقدار الكرّ أو إضافته حين الملاقاة بني على النجاسة؛ لوجود المقتضي و عدم تحقّق المانع، نظير المشكوك في كريّته مع جهل حالته السابقة، و من هنا لا تجري أصالة عدم الانفعال، إذ لم يثبت وجوب إحراز القلّة و شرطيّتها فيه، و قد سلف بيان ذلك و التشكيك فيه، و يسري الحكم المذكور في جميع المائعات، وَ خصّ المُضاف بالذِّكر دون غيره منها لدفع توهّم اندراجه في إطلاقات الماء و لو مجازاً، أو لأجل بيان بعض خواصّه لو مزج، أو اختلط بالمطلق، أو للتنبيه على سراية النّجاسة فيه الجميع أجزائه أو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أنّ الحقيقة المتوسّطة بين الحقيقتين لو فرض حصولها بالامتزاج بين المضاف و المطلق يحكم عليها بحكم المضاف، فلا تستعمل في رفع حَدَثٍ و لا خَبَتْ؛ لأنّ المنع من الاستعمال من أحكام غير الماء مطلقاً لا من أحكام المضاف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المنع في مقابل إطلاقات الوضوء و الغسل، و هو تعلق بالمضاف فيهما، يمكن حينئذٍ التمسّك بتلك الإطلاقات على صحّتهما بالحقيقة التي لا تدخل بأحدهما ممّا هو خارج عن اسم المضاف، و أمّا المشكوك في إطلاقه فالظاهر استصحاب بقاء الإطلاق إذا مزج ببعض الأجسام، و لا يلتفت إلى المداقّة في إحراز الموضوع، و يمكن فيه تعارض أصالة بقاء كلّ من الإطلاق و الإضافة، و للاحتياط وجه، كما أنّ المطلق لو مزج بمشاكله كمّاً و كيفاً من المضاف كان مطلقاً و مضافاً لاستصحاب كلّ منهما، و يحتمل خروجه عن كلّ منها؛ لأنّ المركّب من الدّاخل و الخارج خارج، و على الأوّل الظاهر أنّه لا يرتفع به الحَدَث و الخَبَث و إن اشتمل على المقتضي لذلك، و هو الماء، إلَّا أنّ امتزاجه بالمضاف مانع من تأثيره أثره؛ لأنه بمنزلة الحاجب، أو أنّه معه يخرج عن مُسمّى المطلق و هو شرط في الرفع، و احتمال أنّ الشرط هو عدم صدق المضاف لا صدق المطلق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أفاد الوالد في أنوار فقاهته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اختار الشيخ أنّ الأكثر في كلّ من الممتزجين يغلب غيره اسماً و حكماً، فإن تساويا غَلَب المطلق؛ لأصالة البراءة </w:t>
      </w:r>
      <w:r>
        <w:rPr>
          <w:rStyle w:val="FootnoteAnchor"/>
          <w:rtl w:val="true"/>
        </w:rPr>
        <w:footnoteReference w:id="1094"/>
      </w:r>
      <w:r>
        <w:rPr>
          <w:rFonts w:ascii="Amiri" w:hAnsi="Amiri" w:eastAsia="Amiri" w:cs="Amiri"/>
          <w:color w:val="111111"/>
          <w:sz w:val="28"/>
          <w:sz w:val="28"/>
          <w:szCs w:val="28"/>
          <w:rtl w:val="true"/>
          <w:lang w:bidi="ar-SA"/>
        </w:rPr>
        <w:t xml:space="preserve">، و القاضي حكمَ بالإضافة في المتساويين للاحتياط </w:t>
      </w:r>
      <w:r>
        <w:rPr>
          <w:rStyle w:val="FootnoteAnchor"/>
          <w:rtl w:val="true"/>
        </w:rPr>
        <w:footnoteReference w:id="1095"/>
      </w:r>
      <w:r>
        <w:rPr>
          <w:rFonts w:ascii="IRNazanin" w:hAnsi="IRNazanin" w:eastAsia="IRNazanin"/>
          <w:color w:val="111111"/>
          <w:sz w:val="28"/>
          <w:sz w:val="28"/>
          <w:szCs w:val="28"/>
          <w:rtl w:val="true"/>
          <w:lang w:bidi="fa-IR"/>
        </w:rPr>
        <w:t xml:space="preserve">، و الفاضل </w:t>
      </w:r>
      <w:r>
        <w:rPr>
          <w:rStyle w:val="FootnoteAnchor"/>
          <w:rtl w:val="true"/>
        </w:rPr>
        <w:footnoteReference w:id="1096"/>
      </w:r>
      <w:r>
        <w:rPr>
          <w:rFonts w:ascii="Amiri" w:hAnsi="Amiri" w:eastAsia="Amiri" w:cs="Amiri"/>
          <w:color w:val="111111"/>
          <w:sz w:val="28"/>
          <w:sz w:val="28"/>
          <w:szCs w:val="28"/>
          <w:rtl w:val="true"/>
          <w:lang w:bidi="ar-SA"/>
        </w:rPr>
        <w:t>حكمَ بمراعاة صدق الاسم محقَقاً و مقدَراً كالممتزج بنجس مسلوب الأوصاف، و علّله بعد استضعاف الأوّلين بعدم ورود تحديد من الشارع بأنّ خروج الاسم سالب للطّهورية، و حيث لا يخرج عن الاسم للموافقة في الأوصاف فيقدّر بغيره كما في حكومات الجراح مثل تقدير الحُرّ عَبْداً في ما لا مقدّر له من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اعترف بعدم خروجه عن الاسم مع اعترافه بدوران الحكم مدارَه، فمن الاعترافين يلزم جواز الطّهارة به، إلّا أن يكون مراده بعدم الخروج عن الاسم هو عدم العلم به لأجل الموافقة المرقومة، فقد يتّفق لحوق المضاف للمطلق في الاسم عرفاً إذا شاكله في الصفات، و لا رَيْب في عدم العِبرَة فيه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الكلام فيما علم بقاء صدق اسم الماء محقّقاً، و أنّ الخليط له لو كان غير مسلوب الصّفات لغيّره، و عدّ هذا الفرد من المضاف لا يساعد الدّليل عليه و إن تَمّت الثمرة فيه، بل صريح </w:t>
      </w:r>
      <w:r>
        <w:rPr>
          <w:rStyle w:val="FootnoteAnchor"/>
          <w:rtl w:val="true"/>
        </w:rPr>
        <w:footnoteReference w:id="1097"/>
      </w:r>
      <w:r>
        <w:rPr>
          <w:rFonts w:ascii="Amiri" w:hAnsi="Amiri" w:eastAsia="Amiri" w:cs="Amiri"/>
          <w:color w:val="111111"/>
          <w:sz w:val="28"/>
          <w:sz w:val="28"/>
          <w:szCs w:val="28"/>
          <w:rtl w:val="true"/>
          <w:lang w:bidi="ar-SA"/>
        </w:rPr>
        <w:t>كلماتهم أنّه من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صدق الماء باعتبار الجهل بالحال، أو لمجرّد المشابهة في الظاهر نظراً إلى وجود صفات الماء فيه بحسب الحسّ، فلحوق مثله بالمضاف مسلّم بعد انكشاف الحال فيه عند الكلّ، فلا ثمرة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 الناشئ من الجهل بالحال لا عِبرَة به، و مع العلم فلا ضابط له في فاقد الأوصاف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المناسب في التقدير على هذا القول هو تقدير الأوصاف التي كانت موجودة في المضاف قبل عروض السبب المُزيل، لا الأعلى و لا الوسط و لا الأقلّ، و إن كان للأخير وجه، لكن الظاهر أن يفرض الممزوج باقياً على ما يقتضيه طبيعته الأصليّة، فتقدّر حالته السابقة على المزج و لو جهلت اعتبر فيه الأقلّ استصحاباً لإطلاق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الماء المضاف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النجس محصور </w:t>
      </w:r>
      <w:r>
        <w:rPr>
          <w:rStyle w:val="FootnoteAnchor"/>
          <w:rtl w:val="true"/>
        </w:rPr>
        <w:footnoteReference w:id="1099"/>
      </w:r>
      <w:r>
        <w:rPr>
          <w:rFonts w:ascii="Amiri" w:hAnsi="Amiri" w:eastAsia="Amiri" w:cs="Amiri"/>
          <w:color w:val="111111"/>
          <w:sz w:val="28"/>
          <w:sz w:val="28"/>
          <w:szCs w:val="28"/>
          <w:rtl w:val="true"/>
          <w:lang w:bidi="ar-SA"/>
        </w:rPr>
        <w:t xml:space="preserve">، و ليس المضاف منها،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الأصل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اعتصر منه أو مزج به طاهر لم يتنجّس بغيره، و طاهر الأصل لا ينجس، أمّا طهارته فلا شبهة فيها، نعم يعتبر في طهارة المصعّد عند المشهور </w:t>
      </w:r>
      <w:r>
        <w:rPr>
          <w:rStyle w:val="FootnoteAnchor"/>
          <w:rtl w:val="true"/>
        </w:rPr>
        <w:footnoteReference w:id="1100"/>
      </w:r>
      <w:r>
        <w:rPr>
          <w:rFonts w:ascii="Amiri" w:hAnsi="Amiri" w:eastAsia="Amiri" w:cs="Amiri"/>
          <w:color w:val="111111"/>
          <w:sz w:val="28"/>
          <w:sz w:val="28"/>
          <w:szCs w:val="28"/>
          <w:rtl w:val="true"/>
          <w:lang w:bidi="ar-SA"/>
        </w:rPr>
        <w:t xml:space="preserve">طهارة أصله، فالمصعّد من النجس أو المتنجّس نجس، و في المناهل قوّى الطهارة فيه للأصل </w:t>
      </w:r>
      <w:r>
        <w:rPr>
          <w:rStyle w:val="FootnoteAnchor"/>
          <w:rtl w:val="true"/>
        </w:rPr>
        <w:footnoteReference w:id="1101"/>
      </w:r>
      <w:r>
        <w:rPr>
          <w:rFonts w:ascii="Amiri" w:hAnsi="Amiri" w:eastAsia="Amiri" w:cs="Amiri"/>
          <w:color w:val="111111"/>
          <w:sz w:val="28"/>
          <w:sz w:val="28"/>
          <w:szCs w:val="28"/>
          <w:rtl w:val="true"/>
          <w:lang w:bidi="ar-SA"/>
        </w:rPr>
        <w:t>، و لأنه حقيقة جديدة غير ملاقية للنجاسة، فلا مسرح للحكم بنجاستها لا أقلّ من الشك فيستصحب طهارة البخار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بعدم العِبرَة بالاسم مع بقاء الحقيقة، فإنّ حقيقة المصعّد هي نفس الحقيقة التي صعّد منها، و أمّا طهارة البخار المستصحبة فلجهة أنّ النجاسة و الطّهارة من عوارض الأجسام، و المتبادر من الجسم في كلماتهم، إذ يحكمون بنجاسة الملاقي للنجس من الأجسام غير ذلك، فتراهم لا يحكمون بنجاسة الدّخان الطّاهر الملاقي لجسم رطب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ردّه بأنّ النجاسة تدور مدار الاسم، فبخار البول قبل انقلابه عرقاً لا يصدق عليه اسمه، و بعد انقلابه يصدق البول عليه؛ لأنها 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ينشأ من صدق الاسم و عدمه، فالأولى الركون إلى ما عليه المشهور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القطرات الساقطة من سقف حمّام يكون أرضه نجساً، و كذا يعتبر طهارة الخليط في المخلوط، فلو امتزج كُرّ مطلق مع نجس أو متنجّس حتّى خرج المركّب عن اسم </w:t>
      </w:r>
    </w:p>
    <w:p>
      <w:pPr>
        <w:pStyle w:val="BookText"/>
        <w:rPr/>
      </w:pPr>
      <w:r>
        <w:rPr>
          <w:rFonts w:ascii="Amiri" w:hAnsi="Amiri" w:eastAsia="Amiri" w:cs="Amiri"/>
          <w:color w:val="111111"/>
          <w:sz w:val="28"/>
          <w:sz w:val="28"/>
          <w:szCs w:val="28"/>
          <w:rtl w:val="true"/>
          <w:lang w:bidi="ar-SA"/>
        </w:rPr>
        <w:t xml:space="preserve">الممتزجين قيل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بالطهارة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فالطاهر المتيقّن من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و لا أكبر، و لا حكمهما في مثل السّلس و الاستحاضة، و لا شبههما من القذارات المعنويّة التي يطلب لأجلها الاغسال المسنونة و بعض الوضوءات،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فيهما، بل الإجماع عليه في الأوّل نقل في المبسوط </w:t>
      </w:r>
      <w:r>
        <w:rPr>
          <w:rStyle w:val="FootnoteAnchor"/>
          <w:rtl w:val="true"/>
        </w:rPr>
        <w:footnoteReference w:id="1103"/>
      </w:r>
      <w:r>
        <w:rPr>
          <w:rFonts w:ascii="Amiri" w:hAnsi="Amiri" w:eastAsia="Amiri" w:cs="Amiri"/>
          <w:color w:val="111111"/>
          <w:sz w:val="28"/>
          <w:sz w:val="28"/>
          <w:szCs w:val="28"/>
          <w:rtl w:val="true"/>
          <w:lang w:bidi="ar-SA"/>
        </w:rPr>
        <w:t xml:space="preserve">، و السّرائر </w:t>
      </w:r>
      <w:r>
        <w:rPr>
          <w:rStyle w:val="FootnoteAnchor"/>
          <w:rtl w:val="true"/>
        </w:rPr>
        <w:footnoteReference w:id="1104"/>
      </w:r>
      <w:r>
        <w:rPr>
          <w:rFonts w:ascii="Amiri" w:hAnsi="Amiri" w:eastAsia="Amiri" w:cs="Amiri"/>
          <w:color w:val="111111"/>
          <w:sz w:val="28"/>
          <w:sz w:val="28"/>
          <w:szCs w:val="28"/>
          <w:rtl w:val="true"/>
          <w:lang w:bidi="ar-SA"/>
        </w:rPr>
        <w:t xml:space="preserve">، و الغُنية </w:t>
      </w:r>
      <w:r>
        <w:rPr>
          <w:rStyle w:val="FootnoteAnchor"/>
          <w:rtl w:val="true"/>
        </w:rPr>
        <w:footnoteReference w:id="1105"/>
      </w:r>
      <w:r>
        <w:rPr>
          <w:rFonts w:ascii="IRNazanin" w:hAnsi="IRNazanin" w:eastAsia="IRNazanin"/>
          <w:color w:val="111111"/>
          <w:sz w:val="28"/>
          <w:sz w:val="28"/>
          <w:szCs w:val="28"/>
          <w:rtl w:val="true"/>
          <w:lang w:bidi="fa-IR"/>
        </w:rPr>
        <w:t xml:space="preserve">، و الشرائع </w:t>
      </w:r>
      <w:r>
        <w:rPr>
          <w:rStyle w:val="FootnoteAnchor"/>
          <w:rtl w:val="true"/>
        </w:rPr>
        <w:footnoteReference w:id="1106"/>
      </w:r>
      <w:r>
        <w:rPr>
          <w:rFonts w:ascii="Amiri" w:hAnsi="Amiri" w:eastAsia="Amiri" w:cs="Amiri"/>
          <w:color w:val="111111"/>
          <w:sz w:val="28"/>
          <w:sz w:val="28"/>
          <w:szCs w:val="28"/>
          <w:rtl w:val="true"/>
          <w:lang w:bidi="ar-SA"/>
        </w:rPr>
        <w:t xml:space="preserve">، و نهاية الفاضل </w:t>
      </w:r>
      <w:r>
        <w:rPr>
          <w:rStyle w:val="FootnoteAnchor"/>
          <w:rtl w:val="true"/>
        </w:rPr>
        <w:footnoteReference w:id="1107"/>
      </w:r>
      <w:r>
        <w:rPr>
          <w:rFonts w:ascii="Amiri" w:hAnsi="Amiri" w:eastAsia="Amiri" w:cs="Amiri"/>
          <w:color w:val="111111"/>
          <w:sz w:val="28"/>
          <w:sz w:val="28"/>
          <w:szCs w:val="28"/>
          <w:rtl w:val="true"/>
          <w:lang w:bidi="ar-SA"/>
        </w:rPr>
        <w:t xml:space="preserve">، و تذكرته </w:t>
      </w:r>
      <w:r>
        <w:rPr>
          <w:rStyle w:val="FootnoteAnchor"/>
          <w:rtl w:val="true"/>
        </w:rPr>
        <w:footnoteReference w:id="1108"/>
      </w:r>
      <w:r>
        <w:rPr>
          <w:rFonts w:ascii="Amiri" w:hAnsi="Amiri" w:eastAsia="Amiri" w:cs="Amiri"/>
          <w:color w:val="111111"/>
          <w:sz w:val="28"/>
          <w:sz w:val="28"/>
          <w:szCs w:val="28"/>
          <w:rtl w:val="true"/>
          <w:lang w:bidi="ar-SA"/>
        </w:rPr>
        <w:t xml:space="preserve">، و تحريره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العماني برفعه للحَدَث و جواز الطهارة به حال الضّرورة </w:t>
      </w:r>
      <w:r>
        <w:rPr>
          <w:rStyle w:val="FootnoteAnchor"/>
          <w:rtl w:val="true"/>
        </w:rPr>
        <w:footnoteReference w:id="11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بفقيهه </w:t>
      </w:r>
      <w:r>
        <w:rPr>
          <w:rStyle w:val="FootnoteAnchor"/>
          <w:rtl w:val="true"/>
        </w:rPr>
        <w:footnoteReference w:id="1111"/>
      </w:r>
      <w:r>
        <w:rPr>
          <w:rFonts w:ascii="Amiri" w:hAnsi="Amiri" w:eastAsia="Amiri" w:cs="Amiri"/>
          <w:color w:val="111111"/>
          <w:sz w:val="28"/>
          <w:sz w:val="28"/>
          <w:szCs w:val="28"/>
          <w:rtl w:val="true"/>
          <w:lang w:bidi="ar-SA"/>
        </w:rPr>
        <w:t xml:space="preserve">، و أماليه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الوضوء و غُسل الجنابة بماء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لا مطلق المائعات على الظاهر من كلامه، و حكاه الشيخ في الخلاف عن قوم من أصحاب الحديث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ابن بابويه في حكاية المعتبر </w:t>
      </w:r>
      <w:r>
        <w:rPr>
          <w:rStyle w:val="FootnoteAnchor"/>
          <w:rtl w:val="true"/>
        </w:rPr>
        <w:footnoteReference w:id="1114"/>
      </w:r>
      <w:r>
        <w:rPr>
          <w:rFonts w:ascii="IRNazanin" w:hAnsi="IRNazanin" w:eastAsia="IRNazanin"/>
          <w:color w:val="111111"/>
          <w:sz w:val="28"/>
          <w:sz w:val="28"/>
          <w:szCs w:val="28"/>
          <w:rtl w:val="true"/>
          <w:lang w:bidi="fa-IR"/>
        </w:rPr>
        <w:t xml:space="preserve">، و لعلّ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يونس عن أبي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يغتسل بماء الورد و يتوضّأ به للصّلاة،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w:t>
      </w:r>
      <w:r>
        <w:rPr>
          <w:rFonts w:eastAsia="IRNazanin" w:cs="IRNazanin"/>
          <w:color w:val="111111"/>
          <w:sz w:val="28"/>
          <w:szCs w:val="28"/>
          <w:rtl w:val="true"/>
          <w:lang w:bidi="fa-IR"/>
        </w:rPr>
        <w:t xml:space="preserve">»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أنّها طهارة من نجاسة حكميّة فجاز استعمال ما يشابه الماء فيها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مردودة</w:t>
      </w:r>
      <w:r>
        <w:rPr>
          <w:rFonts w:eastAsia="Amiri" w:cs="Amiri" w:ascii="Amiri" w:hAnsi="Amiri"/>
          <w:color w:val="111111"/>
          <w:sz w:val="28"/>
          <w:szCs w:val="28"/>
          <w:rtl w:val="true"/>
          <w:lang w:bidi="ar-SA"/>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بضعف سندها بسهل </w:t>
      </w:r>
      <w:r>
        <w:rPr>
          <w:rStyle w:val="FootnoteAnchor"/>
          <w:rtl w:val="true"/>
        </w:rPr>
        <w:footnoteReference w:id="1117"/>
      </w:r>
      <w:r>
        <w:rPr>
          <w:rFonts w:ascii="IRNazanin" w:hAnsi="IRNazanin" w:eastAsia="IRNazanin"/>
          <w:color w:val="111111"/>
          <w:sz w:val="28"/>
          <w:sz w:val="28"/>
          <w:szCs w:val="28"/>
          <w:rtl w:val="true"/>
          <w:lang w:bidi="fa-IR"/>
        </w:rPr>
        <w:t xml:space="preserve">و ابن عیسی </w:t>
      </w:r>
      <w:r>
        <w:rPr>
          <w:rStyle w:val="FootnoteAnchor"/>
          <w:rtl w:val="true"/>
        </w:rPr>
        <w:footnoteReference w:id="1118"/>
      </w:r>
      <w:r>
        <w:rPr>
          <w:rFonts w:ascii="Amiri" w:hAnsi="Amiri" w:eastAsia="Amiri" w:cs="Amiri"/>
          <w:color w:val="111111"/>
          <w:sz w:val="28"/>
          <w:sz w:val="28"/>
          <w:szCs w:val="28"/>
          <w:rtl w:val="true"/>
          <w:lang w:bidi="ar-SA"/>
        </w:rPr>
        <w:t xml:space="preserve">، أو بشذوذها و إجماعهم على ترك العمل بها كما في التهذيب </w:t>
      </w:r>
      <w:r>
        <w:rPr>
          <w:rStyle w:val="FootnoteAnchor"/>
          <w:rtl w:val="true"/>
        </w:rPr>
        <w:footnoteReference w:id="1119"/>
      </w:r>
      <w:r>
        <w:rPr>
          <w:rFonts w:ascii="Amiri" w:hAnsi="Amiri" w:eastAsia="Amiri" w:cs="Amiri"/>
          <w:color w:val="111111"/>
          <w:sz w:val="28"/>
          <w:sz w:val="28"/>
          <w:szCs w:val="28"/>
          <w:rtl w:val="true"/>
          <w:lang w:bidi="ar-SA"/>
        </w:rPr>
        <w:t xml:space="preserve">، أو باحتمال إرادة التّنظيف، أو الماء المخلوط بقليل لا يسلبه الإطلاق، أو تقرأ بكسر واو الوِرد فإنّ السؤال عن وِردِه </w:t>
      </w:r>
      <w:r>
        <w:rPr>
          <w:rStyle w:val="FootnoteAnchor"/>
          <w:rtl w:val="true"/>
        </w:rPr>
        <w:footnoteReference w:id="1120"/>
      </w:r>
      <w:r>
        <w:rPr>
          <w:rFonts w:ascii="Amiri" w:hAnsi="Amiri" w:eastAsia="Amiri" w:cs="Amiri"/>
          <w:color w:val="111111"/>
          <w:sz w:val="28"/>
          <w:sz w:val="28"/>
          <w:szCs w:val="28"/>
          <w:rtl w:val="true"/>
          <w:lang w:bidi="ar-SA"/>
        </w:rPr>
        <w:t xml:space="preserve">غير مُستَهجَن، لكنّ حُكْمَ الصدوق، و ردّ الأصحاب له، و فهمهم من الرّواية ذلك ممّا لا يبعّد الأخير، فاحتماله من الجواهر واه </w:t>
      </w:r>
      <w:r>
        <w:rPr>
          <w:rStyle w:val="FootnoteAnchor"/>
          <w:rtl w:val="true"/>
        </w:rPr>
        <w:footnoteReference w:id="1121"/>
      </w:r>
      <w:r>
        <w:rPr>
          <w:rFonts w:ascii="Amiri" w:hAnsi="Amiri" w:eastAsia="Amiri" w:cs="Amiri"/>
          <w:color w:val="111111"/>
          <w:sz w:val="28"/>
          <w:sz w:val="28"/>
          <w:szCs w:val="28"/>
          <w:rtl w:val="true"/>
          <w:lang w:bidi="ar-SA"/>
        </w:rPr>
        <w:t xml:space="preserve">، كاحتماله إمكان إرادة المصعّد دون المعتصر فيجوز في الأوّل الوضوء، و يؤيّده عدم ذِكر الأصحاب للمعتصر في أقسام المضاف، لكن صريح الفاضل </w:t>
      </w:r>
      <w:r>
        <w:rPr>
          <w:rStyle w:val="FootnoteAnchor"/>
          <w:rtl w:val="true"/>
        </w:rPr>
        <w:footnoteReference w:id="1122"/>
      </w:r>
      <w:r>
        <w:rPr>
          <w:rFonts w:ascii="Amiri" w:hAnsi="Amiri" w:eastAsia="Amiri" w:cs="Amiri"/>
          <w:color w:val="111111"/>
          <w:sz w:val="28"/>
          <w:sz w:val="28"/>
          <w:szCs w:val="28"/>
          <w:rtl w:val="true"/>
          <w:lang w:bidi="ar-SA"/>
        </w:rPr>
        <w:t xml:space="preserve">في التذكرة التعميم للمصعّد مع دعوى إجماع </w:t>
      </w:r>
      <w:r>
        <w:rPr>
          <w:rStyle w:val="FootnoteAnchor"/>
          <w:rtl w:val="true"/>
        </w:rPr>
        <w:footnoteReference w:id="1123"/>
      </w:r>
      <w:r>
        <w:rPr>
          <w:rFonts w:ascii="Amiri" w:hAnsi="Amiri" w:eastAsia="Amiri" w:cs="Amiri"/>
          <w:color w:val="111111"/>
          <w:sz w:val="28"/>
          <w:sz w:val="28"/>
          <w:szCs w:val="28"/>
          <w:rtl w:val="true"/>
          <w:lang w:bidi="ar-SA"/>
        </w:rPr>
        <w:t>الإماميّة على عدم جواز رفع الحَدَث به، فالأولى في ردّ الرواية ما في التهذيب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النجاسة حكميّة فجوابه المنع من كونها طهارة من نجاسة حكميّة أو عينيّة، بل هو تعبّد شرعي فيقف على ما ورد به الإذن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أوَّلَ في التذكرة كلام الصدوق رحمه الله بحمل الوضوء على اللّغوي و ماء الورد على ما جاور قليلاً منه كحمله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مخالف في المسألة،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عدم جواز حمل الرّواية على حال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المرتضى</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ورد كان أو غيره ممّا يُطلَق عليه المضاف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كالمحكي </w:t>
      </w:r>
      <w:r>
        <w:rPr>
          <w:rStyle w:val="FootnoteAnchor"/>
          <w:rtl w:val="true"/>
        </w:rPr>
        <w:footnoteReference w:id="1125"/>
      </w:r>
      <w:r>
        <w:rPr>
          <w:rFonts w:ascii="Amiri" w:hAnsi="Amiri" w:eastAsia="Amiri" w:cs="Amiri"/>
          <w:color w:val="111111"/>
          <w:sz w:val="28"/>
          <w:sz w:val="28"/>
          <w:szCs w:val="28"/>
          <w:rtl w:val="true"/>
          <w:lang w:bidi="ar-SA"/>
        </w:rPr>
        <w:t xml:space="preserve">عن خلاف المفيد أيضاً ضعيفٌ؛ لاستقرار المذهب اليوم على خلافه، و لا ينافيه استظهار المحقّق هنا بعد دعوى الإجماع في الأُولى في الشرائع </w:t>
      </w:r>
      <w:r>
        <w:rPr>
          <w:rStyle w:val="FootnoteAnchor"/>
          <w:rtl w:val="true"/>
        </w:rPr>
        <w:footnoteReference w:id="1126"/>
      </w:r>
      <w:r>
        <w:rPr>
          <w:rFonts w:ascii="Amiri" w:hAnsi="Amiri" w:eastAsia="Amiri" w:cs="Amiri"/>
          <w:color w:val="111111"/>
          <w:sz w:val="28"/>
          <w:sz w:val="28"/>
          <w:szCs w:val="28"/>
          <w:rtl w:val="true"/>
          <w:lang w:bidi="ar-SA"/>
        </w:rPr>
        <w:t xml:space="preserve">فإنّه إمّا للاعتناء بشأن السيد رحمه الله أو لوجود المخالف غيره؛ لنسبته في السرائر إلى جماعة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المنقول عن السيّد اختلف، ففي الحدائق أنّ عبارة الناصريّات تقضي بجواز التطهير بكلّ مائع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عبائره تصريح بمساواة الخلّ للماء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المناهل أنّ الجواز مقصور عنده على المضاف </w:t>
      </w:r>
      <w:r>
        <w:rPr>
          <w:rStyle w:val="FootnoteAnchor"/>
          <w:rtl w:val="true"/>
        </w:rPr>
        <w:footnoteReference w:id="1130"/>
      </w:r>
      <w:r>
        <w:rPr>
          <w:rFonts w:ascii="Amiri" w:hAnsi="Amiri" w:eastAsia="Amiri" w:cs="Amiri"/>
          <w:color w:val="111111"/>
          <w:sz w:val="28"/>
          <w:sz w:val="28"/>
          <w:szCs w:val="28"/>
          <w:rtl w:val="true"/>
          <w:lang w:bidi="ar-SA"/>
        </w:rPr>
        <w:t>، و الأكثر فهموا ذلك، و من البعيد أن يكون بول مأكول اللّحم من المطهّرات، بل بعض أدلّته لا تساعد على التعميم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ما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هنا و في غيره </w:t>
      </w:r>
      <w:r>
        <w:rPr>
          <w:rStyle w:val="FootnoteAnchor"/>
          <w:rtl w:val="true"/>
        </w:rPr>
        <w:footnoteReference w:id="1131"/>
      </w:r>
      <w:r>
        <w:rPr>
          <w:rFonts w:ascii="Amiri" w:hAnsi="Amiri" w:eastAsia="Amiri" w:cs="Amiri"/>
          <w:color w:val="111111"/>
          <w:sz w:val="28"/>
          <w:sz w:val="28"/>
          <w:szCs w:val="28"/>
          <w:rtl w:val="true"/>
          <w:lang w:bidi="ar-SA"/>
        </w:rPr>
        <w:t xml:space="preserve">من عدم إزالته لهما مطلقاً، و دليله بعد الإجماع </w:t>
      </w:r>
      <w:r>
        <w:rPr>
          <w:rStyle w:val="FootnoteAnchor"/>
          <w:rtl w:val="true"/>
        </w:rPr>
        <w:footnoteReference w:id="1132"/>
      </w:r>
      <w:r>
        <w:rPr>
          <w:rFonts w:ascii="Amiri" w:hAnsi="Amiri" w:eastAsia="Amiri" w:cs="Amiri"/>
          <w:color w:val="111111"/>
          <w:sz w:val="28"/>
          <w:sz w:val="28"/>
          <w:szCs w:val="28"/>
          <w:rtl w:val="true"/>
          <w:lang w:bidi="ar-SA"/>
        </w:rPr>
        <w:t xml:space="preserve">آية التيمّم </w:t>
      </w:r>
      <w:r>
        <w:rPr>
          <w:rStyle w:val="FootnoteAnchor"/>
          <w:rtl w:val="true"/>
        </w:rPr>
        <w:footnoteReference w:id="1133"/>
      </w:r>
      <w:r>
        <w:rPr>
          <w:rFonts w:ascii="Amiri" w:hAnsi="Amiri" w:eastAsia="Amiri" w:cs="Amiri"/>
          <w:color w:val="111111"/>
          <w:sz w:val="28"/>
          <w:sz w:val="28"/>
          <w:szCs w:val="28"/>
          <w:rtl w:val="true"/>
          <w:lang w:bidi="ar-SA"/>
        </w:rPr>
        <w:t xml:space="preserve">المعلّق فيها على فقدان الماء، و رواية أبي بصير في جواز </w:t>
      </w:r>
    </w:p>
    <w:p>
      <w:pPr>
        <w:pStyle w:val="BookText"/>
        <w:rPr/>
      </w:pPr>
      <w:r>
        <w:rPr>
          <w:rFonts w:ascii="IRNazanin" w:hAnsi="IRNazanin" w:eastAsia="IRNazanin"/>
          <w:color w:val="111111"/>
          <w:sz w:val="28"/>
          <w:sz w:val="28"/>
          <w:szCs w:val="28"/>
          <w:rtl w:val="true"/>
          <w:lang w:bidi="fa-IR"/>
        </w:rPr>
        <w:t>الوضوء باللّبن،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هو الماء و الصّعيد</w:t>
      </w:r>
      <w:r>
        <w:rPr>
          <w:rFonts w:eastAsia="IRNazanin" w:cs="IRNazanin"/>
          <w:color w:val="111111"/>
          <w:sz w:val="28"/>
          <w:szCs w:val="28"/>
          <w:rtl w:val="true"/>
          <w:lang w:bidi="fa-IR"/>
        </w:rPr>
        <w:t xml:space="preserve">»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الطهارة حكمٌ شرعيّ فيقف تحصيلها على الشرع، و المقطوع به منه الماء المطلق، و إنّ مَنعَ المُحدِث من الدّخول في الصلاة شرعيٌّ فلا يزول حكمه قطعاً إلَّا بالطهورين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النبيذ </w:t>
      </w:r>
      <w:r>
        <w:rPr>
          <w:rStyle w:val="FootnoteAnchor"/>
          <w:rtl w:val="true"/>
        </w:rPr>
        <w:footnoteReference w:id="1135"/>
      </w:r>
      <w:r>
        <w:rPr>
          <w:rFonts w:ascii="Amiri" w:hAnsi="Amiri" w:eastAsia="Amiri" w:cs="Amiri"/>
          <w:color w:val="111111"/>
          <w:sz w:val="28"/>
          <w:sz w:val="28"/>
          <w:szCs w:val="28"/>
          <w:rtl w:val="true"/>
          <w:lang w:bidi="ar-SA"/>
        </w:rPr>
        <w:t xml:space="preserve">متروك </w:t>
      </w:r>
      <w:r>
        <w:rPr>
          <w:rStyle w:val="FootnoteAnchor"/>
          <w:rtl w:val="true"/>
        </w:rPr>
        <w:footnoteReference w:id="1136"/>
      </w:r>
      <w:r>
        <w:rPr>
          <w:rFonts w:ascii="IRNazanin" w:hAnsi="IRNazanin" w:eastAsia="IRNazanin"/>
          <w:color w:val="111111"/>
          <w:sz w:val="28"/>
          <w:sz w:val="28"/>
          <w:szCs w:val="28"/>
          <w:rtl w:val="true"/>
          <w:lang w:bidi="fa-IR"/>
        </w:rPr>
        <w:t xml:space="preserve">أو مؤول </w:t>
      </w:r>
      <w:r>
        <w:rPr>
          <w:rStyle w:val="FootnoteAnchor"/>
          <w:rtl w:val="true"/>
        </w:rPr>
        <w:footnoteReference w:id="1137"/>
      </w:r>
      <w:r>
        <w:rPr>
          <w:rFonts w:ascii="Amiri" w:hAnsi="Amiri" w:eastAsia="Amiri" w:cs="Amiri"/>
          <w:color w:val="111111"/>
          <w:sz w:val="28"/>
          <w:sz w:val="28"/>
          <w:szCs w:val="28"/>
          <w:rtl w:val="true"/>
          <w:lang w:bidi="ar-SA"/>
        </w:rPr>
        <w:t xml:space="preserve">، و كثرة الأخبار الآمرة بغسل النجاسات بالماء كخبر الحلبي في بول الصّبي </w:t>
      </w:r>
      <w:r>
        <w:rPr>
          <w:rStyle w:val="FootnoteAnchor"/>
          <w:rtl w:val="true"/>
        </w:rPr>
        <w:footnoteReference w:id="1138"/>
      </w:r>
      <w:r>
        <w:rPr>
          <w:rFonts w:ascii="Amiri" w:hAnsi="Amiri" w:eastAsia="Amiri" w:cs="Amiri"/>
          <w:color w:val="111111"/>
          <w:sz w:val="28"/>
          <w:sz w:val="28"/>
          <w:szCs w:val="28"/>
          <w:rtl w:val="true"/>
          <w:lang w:bidi="ar-SA"/>
        </w:rPr>
        <w:t xml:space="preserve">، و رواية الحسن ابن أبي العلاء عن البول يُصيب الجسد </w:t>
      </w:r>
      <w:r>
        <w:rPr>
          <w:rStyle w:val="FootnoteAnchor"/>
          <w:rtl w:val="true"/>
        </w:rPr>
        <w:footnoteReference w:id="1139"/>
      </w:r>
      <w:r>
        <w:rPr>
          <w:rFonts w:ascii="IRNazanin" w:hAnsi="IRNazanin" w:eastAsia="IRNazanin"/>
          <w:color w:val="111111"/>
          <w:sz w:val="28"/>
          <w:sz w:val="28"/>
          <w:szCs w:val="28"/>
          <w:rtl w:val="true"/>
          <w:lang w:bidi="fa-IR"/>
        </w:rPr>
        <w:t xml:space="preserve">، و ما قال النَّبيّ صلّی الله علیه و آله لأسماء، و غيرها </w:t>
      </w:r>
      <w:r>
        <w:rPr>
          <w:rStyle w:val="FootnoteAnchor"/>
          <w:rtl w:val="true"/>
        </w:rPr>
        <w:footnoteReference w:id="1140"/>
      </w:r>
      <w:r>
        <w:rPr>
          <w:rFonts w:ascii="IRNazanin" w:hAnsi="IRNazanin" w:eastAsia="IRNazanin"/>
          <w:color w:val="111111"/>
          <w:sz w:val="28"/>
          <w:sz w:val="28"/>
          <w:szCs w:val="28"/>
          <w:rtl w:val="true"/>
          <w:lang w:bidi="fa-IR"/>
        </w:rPr>
        <w:t>تقضي باختصاص رفع الخَبَث به أيضاً، فلو كانت الطهارة تحصل بغير الماء كان التخصيص ضيقاً و حرجاً ينفيه الشرع، و لما أسقط الغسل الإمام عند فقدان الماء كما في صحيحة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أجنب بثوبه و ليس معه ثوب غيره،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فيه، فإذا وجد الماء غسله</w:t>
      </w:r>
      <w:r>
        <w:rPr>
          <w:rFonts w:eastAsia="IRNazanin" w:cs="IRNazanin"/>
          <w:color w:val="111111"/>
          <w:sz w:val="28"/>
          <w:szCs w:val="28"/>
          <w:rtl w:val="true"/>
          <w:lang w:bidi="fa-IR"/>
        </w:rPr>
        <w:t xml:space="preserve">»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يعارضها روايات الغسل مطلقاً </w:t>
      </w:r>
      <w:r>
        <w:rPr>
          <w:rStyle w:val="FootnoteAnchor"/>
          <w:rtl w:val="true"/>
        </w:rPr>
        <w:footnoteReference w:id="1142"/>
      </w:r>
      <w:r>
        <w:rPr>
          <w:rFonts w:ascii="Amiri" w:hAnsi="Amiri" w:eastAsia="Amiri" w:cs="Amiri"/>
          <w:color w:val="111111"/>
          <w:sz w:val="28"/>
          <w:sz w:val="28"/>
          <w:szCs w:val="28"/>
          <w:rtl w:val="true"/>
          <w:lang w:bidi="ar-SA"/>
        </w:rPr>
        <w:t xml:space="preserve">لأنّ المتبادر فيها الغسل بالماء المطلق، مع أنّ الإضمار خيرٌ من المجاز </w:t>
      </w:r>
      <w:r>
        <w:rPr>
          <w:rStyle w:val="FootnoteAnchor"/>
          <w:rtl w:val="true"/>
        </w:rPr>
        <w:footnoteReference w:id="1143"/>
      </w:r>
      <w:r>
        <w:rPr>
          <w:rFonts w:ascii="Amiri" w:hAnsi="Amiri" w:eastAsia="Amiri" w:cs="Amiri"/>
          <w:color w:val="111111"/>
          <w:sz w:val="28"/>
          <w:sz w:val="28"/>
          <w:szCs w:val="28"/>
          <w:rtl w:val="true"/>
          <w:lang w:bidi="ar-SA"/>
        </w:rPr>
        <w:t xml:space="preserve">، فإنّا لو عملنا بالمقيّد لزم الإضمار في المطلقات دون العكس؛ للزوم التجوّز في المقيّد بالحمل على النّدب بلا داعي له، على أنّ </w:t>
      </w:r>
    </w:p>
    <w:p>
      <w:pPr>
        <w:pStyle w:val="BookText"/>
        <w:rPr/>
      </w:pPr>
      <w:r>
        <w:rPr>
          <w:rFonts w:ascii="Amiri" w:hAnsi="Amiri" w:eastAsia="Amiri" w:cs="Amiri"/>
          <w:color w:val="111111"/>
          <w:sz w:val="28"/>
          <w:sz w:val="28"/>
          <w:szCs w:val="28"/>
          <w:rtl w:val="true"/>
          <w:lang w:bidi="ar-SA"/>
        </w:rPr>
        <w:t xml:space="preserve">ملاقاة المائع للنجاسة تؤثِّر فيه، و المتنجّس لا يزيل النّجاسة، و قليل الماء خرج بالإجماع </w:t>
      </w:r>
      <w:r>
        <w:rPr>
          <w:rStyle w:val="FootnoteAnchor"/>
          <w:rtl w:val="true"/>
        </w:rPr>
        <w:footnoteReference w:id="1144"/>
      </w:r>
      <w:r>
        <w:rPr>
          <w:rFonts w:ascii="Amiri" w:hAnsi="Amiri" w:eastAsia="Amiri" w:cs="Amiri"/>
          <w:color w:val="111111"/>
          <w:sz w:val="28"/>
          <w:sz w:val="28"/>
          <w:szCs w:val="28"/>
          <w:rtl w:val="true"/>
          <w:lang w:bidi="ar-SA"/>
        </w:rPr>
        <w:t>و ما لا يقوى على رفع النجاسة عن نفسه لا يرفعها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 لِيُطَهِّرَكُمْ بِهِ وَيُذْهِبَ عَنْكُمْ رِجْزَ الشَّيْطَانِ</w:t>
      </w:r>
      <w:r>
        <w:rPr>
          <w:rFonts w:eastAsia="Amiri" w:cs="Amiri" w:ascii="Amiri" w:hAnsi="Amiri"/>
          <w:color w:val="111111"/>
          <w:sz w:val="28"/>
          <w:szCs w:val="28"/>
          <w:rtl w:val="true"/>
          <w:lang w:bidi="ar-SA"/>
        </w:rPr>
        <w:t xml:space="preserve">) </w:t>
      </w:r>
      <w:r>
        <w:rPr>
          <w:rStyle w:val="FootnoteAnchor"/>
          <w:rtl w:val="true"/>
        </w:rPr>
        <w:footnoteReference w:id="1146"/>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يطهر من غير ماء</w:t>
      </w:r>
      <w:r>
        <w:rPr>
          <w:rFonts w:eastAsia="IRNazanin" w:cs="IRNazanin"/>
          <w:color w:val="111111"/>
          <w:sz w:val="28"/>
          <w:szCs w:val="28"/>
          <w:rtl w:val="true"/>
          <w:lang w:bidi="fa-IR"/>
        </w:rPr>
        <w:t xml:space="preserve">» </w:t>
      </w:r>
      <w:r>
        <w:rPr>
          <w:rStyle w:val="FootnoteAnchor"/>
          <w:rtl w:val="true"/>
        </w:rPr>
        <w:footnoteReference w:id="1147"/>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الآية دلّت على أنّ الغرض من تنزيل الماء التطهير، و هو يدلّ على انتفاء التطهير عند انتفائه، و أيضاً الغاية إنّما تدعو الحكيم إلى فعل ما يحصّلها إذا لم يكن حاصلاً بدون فعله و لم يكتفِ عنه بغيره و إلَّا كان الفعل عَبثاً لا يليق بالحكيم، مع أنّ قصر الحكم على الماء في مقام الامتنان يدلّ على انحصار المطهّر فيه، و حيث إنّ الراوندي في فقه القرآن نقل إطباق المُفسِّرين على أنّ المراد برجز الشيطان أثَر الاحتلام </w:t>
      </w:r>
      <w:r>
        <w:rPr>
          <w:rStyle w:val="FootnoteAnchor"/>
          <w:rtl w:val="true"/>
        </w:rPr>
        <w:footnoteReference w:id="1148"/>
      </w:r>
      <w:r>
        <w:rPr>
          <w:rFonts w:ascii="Amiri" w:hAnsi="Amiri" w:eastAsia="Amiri" w:cs="Amiri"/>
          <w:color w:val="111111"/>
          <w:sz w:val="28"/>
          <w:sz w:val="28"/>
          <w:szCs w:val="28"/>
          <w:rtl w:val="true"/>
          <w:lang w:bidi="ar-SA"/>
        </w:rPr>
        <w:t xml:space="preserve">يكون الاستدلال بها على رفع الحَدَث و الخَبَث، فيسقط احتمال أنّ الامتنان يحصل برفع أحدهما، كذا ذكر الأُستاذ رحمه الله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أنّ الامتنان في تعميم المزيل أكمل من الحصر في البعض، لكن ما مرّ مضافاً إلى الأصل و استصحاب النجاسة المقطوع رفعها به دون غيره تقيّد إطلاقات أوامر الغسل لو سلّم عدم ظهورها في كونه بالماء المطلق إمّا بالوضع أو الانصراف، و مع هذا فقد ذكر غير واحدٍ حُججاً للسيّد رحمه الله على ما ادّعاه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جواز الإزالة بكلّ مُزيل للعين، فيجب عند الأمر المطلق جوازه </w:t>
      </w:r>
    </w:p>
    <w:p>
      <w:pPr>
        <w:pStyle w:val="BookText"/>
        <w:rPr/>
      </w:pPr>
      <w:r>
        <w:rPr>
          <w:rFonts w:ascii="Amiri" w:hAnsi="Amiri" w:eastAsia="Amiri" w:cs="Amiri"/>
          <w:color w:val="111111"/>
          <w:sz w:val="28"/>
          <w:sz w:val="28"/>
          <w:szCs w:val="28"/>
          <w:rtl w:val="true"/>
          <w:lang w:bidi="ar-SA"/>
        </w:rPr>
        <w:t xml:space="preserve">تمسكاً بالأصل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في المعتبر عنه بالمعارضة بأصالة المنع عن الدّخول في الصلاة، و نظّر به في الشّرح المرتضى للأستاذ رحمه الله </w:t>
      </w:r>
      <w:r>
        <w:rPr>
          <w:rStyle w:val="FootnoteAnchor"/>
          <w:rtl w:val="true"/>
        </w:rPr>
        <w:footnoteReference w:id="1151"/>
      </w:r>
      <w:r>
        <w:rPr>
          <w:rFonts w:ascii="Amiri" w:hAnsi="Amiri" w:eastAsia="Amiri" w:cs="Amiri"/>
          <w:color w:val="111111"/>
          <w:sz w:val="28"/>
          <w:sz w:val="28"/>
          <w:szCs w:val="28"/>
          <w:rtl w:val="true"/>
          <w:lang w:bidi="ar-SA"/>
        </w:rPr>
        <w:t xml:space="preserve">، و عسى أن يكون وجهه أنّ مرجع أصالة المنع إلى أصالة التوقيفيّة في العبادات أو الأحكام الشرعيّة، و هي ضعيفةٌ؛ لما تقرّر في محلّه من جريان أصالة البراءة، و يحتمل قويّاً أنّ المراد بالأصل المزبور هو استصحاب عدم جواز الدّخول في العبادة الثابت قبل استعمال المضاف، فالمعارضة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حكم المُزيل على المُزال لا معارضة، بل يتعيّن العمل بالثاني، و لعلّه وجه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نقله عنه جماعة </w:t>
      </w:r>
      <w:r>
        <w:rPr>
          <w:rStyle w:val="FootnoteAnchor"/>
          <w:rtl w:val="true"/>
        </w:rPr>
        <w:footnoteReference w:id="1152"/>
      </w:r>
      <w:r>
        <w:rPr>
          <w:rFonts w:ascii="Amiri" w:hAnsi="Amiri" w:eastAsia="Amiri" w:cs="Amiri"/>
          <w:color w:val="111111"/>
          <w:sz w:val="28"/>
          <w:sz w:val="28"/>
          <w:szCs w:val="28"/>
          <w:rtl w:val="true"/>
          <w:lang w:bidi="ar-SA"/>
        </w:rPr>
        <w:t>و منعه عليهما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الأمر بالتطهير و الغسل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يفهم ممّا مرّ من وجود المقيّد لمثل هذه الإطلاقات، فهي قاصرة الدلالة على المدّعى؛ لظهور حصر التطهير بغير المضاف في بعض الأخبار كما ورد في تطهير الأواني و غيرها </w:t>
      </w:r>
      <w:r>
        <w:rPr>
          <w:rStyle w:val="FootnoteAnchor"/>
          <w:rtl w:val="true"/>
        </w:rPr>
        <w:footnoteReference w:id="1154"/>
      </w:r>
      <w:r>
        <w:rPr>
          <w:rFonts w:ascii="Amiri" w:hAnsi="Amiri" w:eastAsia="Amiri" w:cs="Amiri"/>
          <w:color w:val="111111"/>
          <w:sz w:val="28"/>
          <w:sz w:val="28"/>
          <w:szCs w:val="28"/>
          <w:rtl w:val="true"/>
          <w:lang w:bidi="ar-SA"/>
        </w:rPr>
        <w:t>، و الظاهر أنّ الآية واردة في مقام إيجاب التطهير لا في كيفيّته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في الشرح المرتضى للأستاذ رحمه الله </w:t>
      </w:r>
      <w:r>
        <w:rPr>
          <w:rStyle w:val="FootnoteAnchor"/>
          <w:rtl w:val="true"/>
        </w:rPr>
        <w:footnoteReference w:id="1155"/>
      </w:r>
      <w:r>
        <w:rPr>
          <w:rFonts w:ascii="Amiri" w:hAnsi="Amiri" w:eastAsia="Amiri" w:cs="Amiri"/>
          <w:color w:val="111111"/>
          <w:sz w:val="28"/>
          <w:sz w:val="28"/>
          <w:szCs w:val="28"/>
          <w:rtl w:val="true"/>
          <w:lang w:bidi="ar-SA"/>
        </w:rPr>
        <w:t xml:space="preserve">من التمسك بترك الاستفصال فيما قضى بوجوب صرف ف الماء الذي يرفع الحَدَث بوجوب إزالة الخَبَث به، و الفرض حينئذٍ التيمّم في تقييد المطلقات المذكورة مشكل؛ لأنّ ترك الاستفصال دون الإطلاق اللّفظي الغير الناهض بالعموم في مثل المقام المسوق فيه الكلام لبيان حكم آخر، و هو وجوب تقديم رفع الخَبَتْ </w:t>
      </w:r>
    </w:p>
    <w:p>
      <w:pPr>
        <w:pStyle w:val="BookText"/>
        <w:rPr/>
      </w:pPr>
      <w:r>
        <w:rPr>
          <w:rFonts w:ascii="Amiri" w:hAnsi="Amiri" w:eastAsia="Amiri" w:cs="Amiri"/>
          <w:color w:val="111111"/>
          <w:sz w:val="28"/>
          <w:sz w:val="28"/>
          <w:szCs w:val="28"/>
          <w:rtl w:val="true"/>
          <w:lang w:bidi="ar-SA"/>
        </w:rPr>
        <w:t xml:space="preserve">على رفع الحَدَث لمكان البدل، و العمدة في منع العموم هو الانصراف أو الوضع؛ لسهولة المناقشة في غيره، و كأنَّ السيّد تنبّه لذلك فمنع الانصراف بجواز إزالة الخَبَث بماء الكبريت و النفط </w:t>
      </w:r>
      <w:r>
        <w:rPr>
          <w:rStyle w:val="FootnoteAnchor"/>
          <w:rtl w:val="true"/>
        </w:rPr>
        <w:footnoteReference w:id="1156"/>
      </w:r>
      <w:r>
        <w:rPr>
          <w:rFonts w:ascii="Amiri" w:hAnsi="Amiri" w:eastAsia="Amiri" w:cs="Amiri"/>
          <w:color w:val="111111"/>
          <w:sz w:val="28"/>
          <w:sz w:val="28"/>
          <w:szCs w:val="28"/>
          <w:rtl w:val="true"/>
          <w:lang w:bidi="ar-SA"/>
        </w:rPr>
        <w:t>، و غاية ما دفع به أنّه خرج بالإجماع فيقتصر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إمكان دعوى السيّد بما ذكر إنّما هو لبيان استفادة حكمه من تلك الإطلاقات و لو بمعونة القرينة الخارجيّة التي هي بمنزلة رفع المانع الذي هو الظهور فيها، فإنّ ثبوت حكم المطلق لبعض الأفراد النادرة يجري مجرى القرينة الصّارفة عن ظهور المطلق في الأفراد الغالبة، كوجود القرينة الصّارفة للمشترك الشائع في أحد معنييه، فإنّه سبب لحمله على غير الشائع، فإذا امتنع حمل المطلق على الغالب لجهة شموله النادر من أفراده لزم و تعيّن حمله على الطبيعة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الأستاذ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شمول المطلق أو حكمه لبعض الأفراد النادرة لا يوجب التّعدي إلى غيره منها </w:t>
      </w:r>
      <w:r>
        <w:rPr>
          <w:rStyle w:val="FootnoteAnchor"/>
          <w:rtl w:val="true"/>
        </w:rPr>
        <w:footnoteReference w:id="11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 المطلق لبعض الأفراد نظير ثبوت حكمه بالإجماع في عدم اقتضاء التعميم لجميع الأفراد النادرة لجهة أنّ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للطبيعة المهملة لا المطلقة، فيتوقّف عمومه لأفراده و عدمه على بيان المتكلّم و لو بالتعويل على القرائن العامّة كالشّيوع و الغَلَبة، فإنْ لم يكن شيوع قاضٍ بالانصراف حمل على الإطلاق، و إلّا حمل على الشائع من باب تعذّر </w:t>
      </w:r>
      <w:r>
        <w:rPr>
          <w:rStyle w:val="FootnoteAnchor"/>
          <w:rtl w:val="true"/>
        </w:rPr>
        <w:footnoteReference w:id="1158"/>
      </w:r>
      <w:r>
        <w:rPr>
          <w:rFonts w:ascii="Amiri" w:hAnsi="Amiri" w:eastAsia="Amiri" w:cs="Amiri"/>
          <w:color w:val="111111"/>
          <w:sz w:val="28"/>
          <w:sz w:val="28"/>
          <w:szCs w:val="28"/>
          <w:rtl w:val="true"/>
          <w:lang w:bidi="ar-SA"/>
        </w:rPr>
        <w:t>الدّال و المدلول، و هو لا ينافي قيام قرينة أُخرى على إرادة بعض الأفراد النادرة أيضاً نظير مجيء التقييد للمطلق مرّتين، فإنّه شائع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إنّما يتمّ لو كان عدم إرادة الأفراد النادرة من المطلقات الشائعة من جهة الأصل لا من جهة قيام القرينة مثل الشيوع على تعيين غير النّادر منها، فإنّ حمل المطلقات على الأفراد الشائعة و الأخذ بما انصرف له المطلق من باب العمل بالقَدْر المتيقّن من أفراد المطلق، </w:t>
      </w:r>
    </w:p>
    <w:p>
      <w:pPr>
        <w:pStyle w:val="BookText"/>
        <w:rPr/>
      </w:pPr>
      <w:r>
        <w:rPr>
          <w:rFonts w:ascii="Amiri" w:hAnsi="Amiri" w:eastAsia="Amiri" w:cs="Amiri"/>
          <w:color w:val="111111"/>
          <w:sz w:val="28"/>
          <w:sz w:val="28"/>
          <w:szCs w:val="28"/>
          <w:rtl w:val="true"/>
          <w:lang w:bidi="ar-SA"/>
        </w:rPr>
        <w:t>و أمّا على تقدير كونه من جهة قيام القرينة، و هي الشيوع، على إرادة ما سواها، فلا مناص عن الالتزام بالإطلاق عند قيام الدليل على شمول المطلق بعض الأفراد النادرة؛ لعدم جواز إرادة فردين من المشترك المعنوي في استعمال واحد، فالجمع بين شائع الأفراد و نادرها في استعمال واحد لا يتيسّر إلّا باعتبار كونهما فردين من المراد لا كونهما مُرادين على وجه الخصوصيّة، و الالتزام بذلك في المقام مشكل؛ لارتكاب إمّا المجاز أو النقل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الطهارة إزالة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كفاية زوال العين في طهارة الثوب و غيره، و إلّا للزم الاكتفاء بجفاف البول عن تطهيره، و الزوال الحسّي لا يزيل حكمها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غياث بن إبراهيم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يغسل الدّم بالبصاق</w:t>
      </w:r>
      <w:r>
        <w:rPr>
          <w:rFonts w:eastAsia="IRNazanin" w:cs="IRNazanin"/>
          <w:color w:val="111111"/>
          <w:sz w:val="28"/>
          <w:szCs w:val="28"/>
          <w:rtl w:val="true"/>
          <w:lang w:bidi="fa-IR"/>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حسنة حكم الصّيرفي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أصاب يَده بول فمسحه بالحائط و التّراب ثمّ يعرق يَده فيمُسّ بها وجهه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الأُولى و إطّراحُ الثانية على أنّه لا تنصيص فيهما على الطّهارة، فالحقّ ما ذهب إليه المشهور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المائعات و الجوامد الرّطبة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أكراراً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بنجس </w:t>
      </w:r>
      <w:r>
        <w:rPr>
          <w:rStyle w:val="FootnoteAnchor"/>
          <w:rtl w:val="true"/>
        </w:rPr>
        <w:footnoteReference w:id="1161"/>
      </w:r>
      <w:r>
        <w:rPr>
          <w:rFonts w:ascii="Amiri" w:hAnsi="Amiri" w:eastAsia="Amiri" w:cs="Amiri"/>
          <w:color w:val="111111"/>
          <w:sz w:val="28"/>
          <w:sz w:val="28"/>
          <w:szCs w:val="28"/>
          <w:rtl w:val="true"/>
          <w:lang w:bidi="ar-SA"/>
        </w:rPr>
        <w:t xml:space="preserve">أو متنجّس و إنْ قَلّ؛ لأنّ الكثرة غير عاصمة في غير الماء المطلق، و سواء تغيّر أحد أوصافه أم لا، وَرَدَ على النجاسة أم وردت عليه، إلّا على رأي السيد رحمه الله فلا ينجس إذا كان وارداً عليها، كذا ذكر في كشف اللّثام </w:t>
      </w:r>
      <w:r>
        <w:rPr>
          <w:rStyle w:val="FootnoteAnchor"/>
          <w:rtl w:val="true"/>
        </w:rPr>
        <w:footnoteReference w:id="1162"/>
      </w:r>
      <w:r>
        <w:rPr>
          <w:rFonts w:ascii="Amiri" w:hAnsi="Amiri" w:eastAsia="Amiri" w:cs="Amiri"/>
          <w:color w:val="111111"/>
          <w:sz w:val="28"/>
          <w:sz w:val="28"/>
          <w:szCs w:val="28"/>
          <w:rtl w:val="true"/>
          <w:lang w:bidi="ar-SA"/>
        </w:rPr>
        <w:t xml:space="preserve">، و نُوقش بجواز كون النجس مطهّراً فلا قاضي بطهارته كحَجر الاستنجاء و نجاسة الغسالة في رأي </w:t>
      </w:r>
      <w:r>
        <w:rPr>
          <w:rStyle w:val="FootnoteAnchor"/>
          <w:rtl w:val="true"/>
        </w:rPr>
        <w:footnoteReference w:id="1163"/>
      </w:r>
      <w:r>
        <w:rPr>
          <w:rFonts w:ascii="Amiri" w:hAnsi="Amiri" w:eastAsia="Amiri" w:cs="Amiri"/>
          <w:color w:val="111111"/>
          <w:sz w:val="28"/>
          <w:sz w:val="28"/>
          <w:szCs w:val="28"/>
          <w:rtl w:val="true"/>
          <w:lang w:bidi="ar-SA"/>
        </w:rPr>
        <w:t xml:space="preserve">، و يمكن حمله بابتنائه على </w:t>
      </w:r>
    </w:p>
    <w:p>
      <w:pPr>
        <w:pStyle w:val="BookText"/>
        <w:rPr/>
      </w:pPr>
      <w:r>
        <w:rPr>
          <w:rFonts w:ascii="IRNazanin" w:hAnsi="IRNazanin" w:eastAsia="IRNazanin"/>
          <w:color w:val="111111"/>
          <w:sz w:val="28"/>
          <w:sz w:val="28"/>
          <w:szCs w:val="28"/>
          <w:rtl w:val="true"/>
          <w:lang w:bidi="fa-IR"/>
        </w:rPr>
        <w:t>طهارتهما أو خصوص ماء الاستنجاء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ينجس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منقولاً في لسان جمع كابن إدريس </w:t>
      </w:r>
      <w:r>
        <w:rPr>
          <w:rStyle w:val="FootnoteAnchor"/>
          <w:rtl w:val="true"/>
        </w:rPr>
        <w:footnoteReference w:id="1164"/>
      </w:r>
      <w:r>
        <w:rPr>
          <w:rFonts w:ascii="Amiri" w:hAnsi="Amiri" w:eastAsia="Amiri" w:cs="Amiri"/>
          <w:color w:val="111111"/>
          <w:sz w:val="28"/>
          <w:sz w:val="28"/>
          <w:szCs w:val="28"/>
          <w:rtl w:val="true"/>
          <w:lang w:bidi="ar-SA"/>
        </w:rPr>
        <w:t xml:space="preserve">و الفاضل في المنتهى </w:t>
      </w:r>
      <w:r>
        <w:rPr>
          <w:rStyle w:val="FootnoteAnchor"/>
          <w:rtl w:val="true"/>
        </w:rPr>
        <w:footnoteReference w:id="1165"/>
      </w:r>
      <w:r>
        <w:rPr>
          <w:rFonts w:ascii="Amiri" w:hAnsi="Amiri" w:eastAsia="Amiri" w:cs="Amiri"/>
          <w:color w:val="111111"/>
          <w:sz w:val="28"/>
          <w:sz w:val="28"/>
          <w:szCs w:val="28"/>
          <w:rtl w:val="true"/>
          <w:lang w:bidi="ar-SA"/>
        </w:rPr>
        <w:t xml:space="preserve">و التذكرة </w:t>
      </w:r>
      <w:r>
        <w:rPr>
          <w:rStyle w:val="FootnoteAnchor"/>
          <w:rtl w:val="true"/>
        </w:rPr>
        <w:footnoteReference w:id="1166"/>
      </w:r>
      <w:r>
        <w:rPr>
          <w:rFonts w:ascii="Amiri" w:hAnsi="Amiri" w:eastAsia="Amiri" w:cs="Amiri"/>
          <w:color w:val="111111"/>
          <w:sz w:val="28"/>
          <w:sz w:val="28"/>
          <w:szCs w:val="28"/>
          <w:rtl w:val="true"/>
          <w:lang w:bidi="ar-SA"/>
        </w:rPr>
        <w:t xml:space="preserve">و الماتن في الذكرى </w:t>
      </w:r>
      <w:r>
        <w:rPr>
          <w:rStyle w:val="FootnoteAnchor"/>
          <w:rtl w:val="true"/>
        </w:rPr>
        <w:footnoteReference w:id="1167"/>
      </w:r>
      <w:r>
        <w:rPr>
          <w:rFonts w:ascii="Amiri" w:hAnsi="Amiri" w:eastAsia="Amiri" w:cs="Amiri"/>
          <w:color w:val="111111"/>
          <w:sz w:val="28"/>
          <w:sz w:val="28"/>
          <w:szCs w:val="28"/>
          <w:rtl w:val="true"/>
          <w:lang w:bidi="ar-SA"/>
        </w:rPr>
        <w:t>،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مذهب الأصحاب </w:t>
      </w:r>
      <w:r>
        <w:rPr>
          <w:rStyle w:val="FootnoteAnchor"/>
          <w:rtl w:val="true"/>
        </w:rPr>
        <w:footnoteReference w:id="1168"/>
      </w:r>
      <w:r>
        <w:rPr>
          <w:rFonts w:ascii="Amiri" w:hAnsi="Amiri" w:eastAsia="Amiri" w:cs="Amiri"/>
          <w:color w:val="111111"/>
          <w:sz w:val="28"/>
          <w:sz w:val="28"/>
          <w:szCs w:val="28"/>
          <w:rtl w:val="true"/>
          <w:lang w:bidi="ar-SA"/>
        </w:rPr>
        <w:t xml:space="preserve">، بل و محصّلاً كما ذكره الأستاذ رحمه الله </w:t>
      </w:r>
      <w:r>
        <w:rPr>
          <w:rStyle w:val="FootnoteAnchor"/>
          <w:rtl w:val="true"/>
        </w:rPr>
        <w:footnoteReference w:id="1169"/>
      </w:r>
      <w:r>
        <w:rPr>
          <w:rFonts w:ascii="Amiri" w:hAnsi="Amiri" w:eastAsia="Amiri" w:cs="Amiri"/>
          <w:color w:val="111111"/>
          <w:sz w:val="28"/>
          <w:sz w:val="28"/>
          <w:szCs w:val="28"/>
          <w:rtl w:val="true"/>
          <w:lang w:bidi="ar-SA"/>
        </w:rPr>
        <w:t>مستفاداً من مضامين بعض الأخبار القاضية بنجاسة كلّ مائع لاقى نجاسة ممّا هو متفرّق في أبواب النجاسات، و إن لم يرد بعضها في خصوص المضاف، لكن الظاهر بل المحقَّق أنّ الذوبان و الميعان علّة للتأثّر فيجري الحكم في الذائب مطلقاً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مورد هذه الأخبار و إن كان ظاهراً في القليل، لكن الظاهر منها أنّ علّة الانفعال هي ملاقاة المائع للنّجاسة مطلقاً، و قد أشرنا قبل إلى أنّ المستفاد من اعتصام المطلق الكثير أنّ الكرّية عاصمة فيه عن الانفعال، و لولاها لأثّر المقتضى أثره و لو كان كثيراً؛ لوجود مقتضي الانفعال فيه و إلّا لما استند عدم انفعاله إلى الکُرية المانعة منه، و متى استند عدم الشيء إلى وجود مانعه قضى بوجود مقتضيه، و منه يظهر أنّ حصر دليل نجاسة المضاف الكثير بالإجماع فقط كما في رياض الطباطبائي </w:t>
      </w:r>
      <w:r>
        <w:rPr>
          <w:rStyle w:val="FootnoteAnchor"/>
          <w:rtl w:val="true"/>
        </w:rPr>
        <w:footnoteReference w:id="1170"/>
      </w:r>
      <w:r>
        <w:rPr>
          <w:rFonts w:ascii="Amiri" w:hAnsi="Amiri" w:eastAsia="Amiri" w:cs="Amiri"/>
          <w:color w:val="111111"/>
          <w:sz w:val="28"/>
          <w:sz w:val="28"/>
          <w:szCs w:val="28"/>
          <w:rtl w:val="true"/>
          <w:lang w:bidi="ar-SA"/>
        </w:rPr>
        <w:t xml:space="preserve">و غيره </w:t>
      </w:r>
      <w:r>
        <w:rPr>
          <w:rStyle w:val="FootnoteAnchor"/>
          <w:rtl w:val="true"/>
        </w:rPr>
        <w:footnoteReference w:id="1171"/>
      </w:r>
      <w:r>
        <w:rPr>
          <w:rFonts w:ascii="Amiri" w:hAnsi="Amiri" w:eastAsia="Amiri" w:cs="Amiri"/>
          <w:color w:val="111111"/>
          <w:sz w:val="28"/>
          <w:sz w:val="28"/>
          <w:szCs w:val="28"/>
          <w:rtl w:val="true"/>
          <w:lang w:bidi="ar-SA"/>
        </w:rPr>
        <w:t xml:space="preserve">غير سديد، فإنّه و إن لم يقم عليه دليل من حيث كونه مضافاً لاقى نجساً، لكنّه من حيث كونه جسماً رطباً لاقى نجاسة فينجس ممّا قضى به الدّليل </w:t>
      </w:r>
      <w:r>
        <w:rPr>
          <w:rStyle w:val="FootnoteAnchor"/>
          <w:rtl w:val="true"/>
        </w:rPr>
        <w:footnoteReference w:id="1172"/>
      </w:r>
      <w:r>
        <w:rPr>
          <w:rFonts w:ascii="Amiri" w:hAnsi="Amiri" w:eastAsia="Amiri" w:cs="Amiri"/>
          <w:color w:val="111111"/>
          <w:sz w:val="28"/>
          <w:sz w:val="28"/>
          <w:szCs w:val="28"/>
          <w:rtl w:val="true"/>
          <w:lang w:bidi="ar-SA"/>
        </w:rPr>
        <w:t>غير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شرح المفاتيح </w:t>
      </w:r>
      <w:r>
        <w:rPr>
          <w:rStyle w:val="FootnoteAnchor"/>
          <w:rtl w:val="true"/>
        </w:rPr>
        <w:footnoteReference w:id="1173"/>
      </w:r>
      <w:r>
        <w:rPr>
          <w:rFonts w:ascii="Amiri" w:hAnsi="Amiri" w:eastAsia="Amiri" w:cs="Amiri"/>
          <w:color w:val="111111"/>
          <w:sz w:val="28"/>
          <w:sz w:val="28"/>
          <w:szCs w:val="28"/>
          <w:rtl w:val="true"/>
          <w:lang w:bidi="ar-SA"/>
        </w:rPr>
        <w:t>إنّ المفهوم من الأخبار هو كلّية ما ذكرنا، و لعلّ مخصّص البرهان بالإجماع لا ينكره، نعم هذه الكلّيّة لا تقتضي أزيد من الحكم بنجاسة موضع الملاقاة، و أمّا نجاسة المجاور لها من الأجزاء فيجب فيه التماس دليل آخر، فإنّ الكلّيّة غير ناهضة بإثبات عموم المدّعى قليلاً كان الملاقي من المضاف أو كثيراً، و هو مبنيٌّ على سراية النجاسة في غير اليابس لجميع أجزاء الملاقي و عدمها، و قد سبق لنا كلام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المفهوم من جميع كلماتهم هنا و فيما سبق هو السراية مع تساوي السطوح أو انحدار الطّاهر مطلقاً و عدمها مع علوّ الطّاهر على النجس مطلقاً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بروض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السّراية إلى العالي لا تعقل؛ إذ السراية تستدعي حركة الساري و الحركة إلى جهة العلوّ ممتنعة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تأمّل في الأمرين جماعة، للأوّل فحوى أدلّة انفعال الماء القليل بضميمة عدم الفرق بين قليل المضاف وكثيره، و الأمر بصبّ الإناء إذا ولغ الكلب فيه من غير تفصيل بين المطلق و غيره؛ إذ لولا السّراية لأمر بالاجتناب لموضع الملاقاة، أو لفصّل علیه السلام، بينما لو حصل فيه الاختلاط و عدمه نحكم بالصّب في الأوّل، و مثله ما قضى بوجوب الاجتناب عن الأسآر النجسة مطلقاً، و لم يخص الاجتناب بموضع الملاقاة، لكن ما في الرياض </w:t>
      </w:r>
      <w:r>
        <w:rPr>
          <w:rStyle w:val="FootnoteAnchor"/>
          <w:rtl w:val="true"/>
        </w:rPr>
        <w:footnoteReference w:id="1175"/>
      </w:r>
      <w:r>
        <w:rPr>
          <w:rFonts w:ascii="Amiri" w:hAnsi="Amiri" w:eastAsia="Amiri" w:cs="Amiri"/>
          <w:color w:val="111111"/>
          <w:sz w:val="28"/>
          <w:sz w:val="28"/>
          <w:szCs w:val="28"/>
          <w:rtl w:val="true"/>
          <w:lang w:bidi="ar-SA"/>
        </w:rPr>
        <w:t xml:space="preserve">و غيره </w:t>
      </w:r>
      <w:r>
        <w:rPr>
          <w:rStyle w:val="FootnoteAnchor"/>
          <w:rtl w:val="true"/>
        </w:rPr>
        <w:footnoteReference w:id="1176"/>
      </w:r>
      <w:r>
        <w:rPr>
          <w:rFonts w:ascii="Amiri" w:hAnsi="Amiri" w:eastAsia="Amiri" w:cs="Amiri"/>
          <w:color w:val="111111"/>
          <w:sz w:val="28"/>
          <w:sz w:val="28"/>
          <w:szCs w:val="28"/>
          <w:rtl w:val="true"/>
          <w:lang w:bidi="ar-SA"/>
        </w:rPr>
        <w:t xml:space="preserve">من الاستدلال بروايتي الإهراق </w:t>
      </w:r>
      <w:r>
        <w:rPr>
          <w:rStyle w:val="FootnoteAnchor"/>
          <w:rtl w:val="true"/>
        </w:rPr>
        <w:footnoteReference w:id="1177"/>
      </w:r>
      <w:r>
        <w:rPr>
          <w:rFonts w:ascii="IRNazanin" w:hAnsi="IRNazanin" w:eastAsia="IRNazanin"/>
          <w:color w:val="111111"/>
          <w:sz w:val="28"/>
          <w:sz w:val="28"/>
          <w:szCs w:val="28"/>
          <w:rtl w:val="true"/>
          <w:lang w:bidi="fa-IR"/>
        </w:rPr>
        <w:t>لعلّه لا يظهر منها السراية للغليان الباعث إلى الاختلاط، كاختصاص الاستدلال بهما على انفعال قليل المضاف لظهور قلّة ما في القدر، و هو مع وصف السائل له بالكثير الظاهر منه فوق الکُرية أنّ بعض القدور ممّا يزيد على الكُرّ جزماً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كذا ما دلّ على إراقة السّمن و الزّيت إذا وقع فيهما الميتة، فإنّ اللازم على تقدير عدم السراية تخصيص المنع بموضع الملاقاة، و أمّا ما في المعتبر </w:t>
      </w:r>
      <w:r>
        <w:rPr>
          <w:rStyle w:val="FootnoteAnchor"/>
          <w:rtl w:val="true"/>
        </w:rPr>
        <w:footnoteReference w:id="1178"/>
      </w:r>
      <w:r>
        <w:rPr>
          <w:rFonts w:ascii="Amiri" w:hAnsi="Amiri" w:eastAsia="Amiri" w:cs="Amiri"/>
          <w:color w:val="111111"/>
          <w:sz w:val="28"/>
          <w:sz w:val="28"/>
          <w:szCs w:val="28"/>
          <w:rtl w:val="true"/>
          <w:lang w:bidi="ar-SA"/>
        </w:rPr>
        <w:t xml:space="preserve">و غيره </w:t>
      </w:r>
      <w:r>
        <w:rPr>
          <w:rStyle w:val="FootnoteAnchor"/>
          <w:rtl w:val="true"/>
        </w:rPr>
        <w:footnoteReference w:id="1179"/>
      </w:r>
      <w:r>
        <w:rPr>
          <w:rFonts w:ascii="Amiri" w:hAnsi="Amiri" w:eastAsia="Amiri" w:cs="Amiri"/>
          <w:color w:val="111111"/>
          <w:sz w:val="28"/>
          <w:sz w:val="28"/>
          <w:szCs w:val="28"/>
          <w:rtl w:val="true"/>
          <w:lang w:bidi="ar-SA"/>
        </w:rPr>
        <w:t>من الاستدلال على السراية باقتضاء الملاقاة النجاسة مطلقاً، و الكرية مانعة، و أنّ المائع قابل للنجاسة، و هي موجبة لنجاسة ما لاقته، ثمّ تسري النجاسة بممازجة المائع بعضه مع بعض أداءً لحقّ التركيب الحقيقي بين الأجزاء في الجسم الصّقيل فممنوعٌ في أنّ ذلك إنّما يقضي في تأسيس كليّة نجاسة الأشياء الرّطبة بالملاقاة، و أين هو من إثبات السراية في المائعات لباقي الأجزاء غير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هذا الكلام دلالة واضحة على أنّ تلك الكلّيّة من المسلَّمات، و السراية محتاجة إلى الدليل، كيف و من أراد إثباتها ألزمه دعوى أنّ كلّ جسم واحد متّصل و ليس له أجزاء عديدة إذا لاقى أحد جوانبه نجاسة فهو نجس كلّه، و هذا ممّا لم يرد به نصّ و لا إجماع، مع أنّ الرّطوبة المقتضية للتأثير موجود في بعض الجوامد كالدّهن و الدّبس إذا جمدا، و لا قائل بنجاسة غير الملاقي للنجاسة من أجزائها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بشرح الأستاذ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المتلاقي من الجزئين سطحاهما لا تمامهما، فأحد السطحين غير ملاقٍ للنجس، فلا وجه لنجاسته، و هو حسن؛ لبطلان الجزء الذي لا يتجزّأ عقلاً، لكن لمّا كان الحاكم بالتركيب و عدم التجزّي في المقام هو العُرف، و ليس للماء في نظرهم سطحان أحدهما ملاقٍ دون الآخر، بل يحكمون بنجاسة جميع الأجزاء بعد حكم الشارع بنجاسة الملاقي من غير تدريج بين انفعالات الأجزاء، أشكلَ عليه الأمر فدفع ذلك رحمه الله بأنّ هذا رجوع إلى حُكم العرف بتنجّس الجسم و إن لم يلاقِ النجاسة إلّا بعضه، و لا حاجة معه إلى دعوى السراية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الكلام غير متين؛ إذ المحصّل من كلماتهم و لو بمساعدة العرف هو نجاسة مجموع الجسم للسراية ليس إلّا؛ لرقّة أجزاء الجسم و لطافتها، و إلّا لأشكل الفرق بين المائع و غيره، </w:t>
      </w:r>
    </w:p>
    <w:p>
      <w:pPr>
        <w:pStyle w:val="BookText"/>
        <w:rPr/>
      </w:pPr>
      <w:r>
        <w:rPr>
          <w:rFonts w:ascii="Amiri" w:hAnsi="Amiri" w:eastAsia="Amiri" w:cs="Amiri"/>
          <w:color w:val="111111"/>
          <w:sz w:val="28"/>
          <w:sz w:val="28"/>
          <w:szCs w:val="28"/>
          <w:rtl w:val="true"/>
          <w:lang w:bidi="ar-SA"/>
        </w:rPr>
        <w:t>و كأنّ منشأ حكمهم هو الكلّيّة المستفادة من الأخبار بسراية حكم النجاسة في المائع، فيرجع إليها حينئذٍ في مورد الشكّ، ورهو معنى أصالة السراية، و يلغو البحث في أنّ ذلك عموم سببيّة الملاقاة أو من جهة سببيّتها في جزء و التعبّد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1181"/>
      </w:r>
      <w:r>
        <w:rPr>
          <w:rFonts w:ascii="Amiri" w:hAnsi="Amiri" w:eastAsia="Amiri" w:cs="Amiri"/>
          <w:color w:val="111111"/>
          <w:sz w:val="28"/>
          <w:sz w:val="28"/>
          <w:szCs w:val="28"/>
          <w:rtl w:val="true"/>
          <w:lang w:bidi="ar-SA"/>
        </w:rPr>
        <w:t>التشكيك في الأصل المزبور طوراً بالنقض بالجامد الملاقي، و أُخرى بالرّجوع إلى الإجماع لا أصالة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خصوص السراية في المائع مطلقاً و إن ذكر فيها موارد خاصّة، و هو مستند الإجماعين في المائع و الجامد، و لعلّ الميعان هو الفارق في نظر الشارع، و التنجس بالملاقاة حكمٌ شرعيّ يتبع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قوله في توجيه أصالة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لعلّه للصدق عليه أنّه لاقى نجساً، و إن لاقاه بعض أجزائه، فما دلّ على نجاسته بمجرّد الملاقاة يشمله، فإنّه لا معنى للتعبّد به بمجرّد الصدق المزبور و تحكيم الأصل بمجرّده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السّراية في المائع المستفادة من الأخبار معناها عدم الحكم بعد الملاقاة بطهارة جزء منه إلّا بدليل مخرج</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للثاني و هو عدم انفعال العالي من المضاف مطلقاً بملاقاة الأخفض منه للنجاسة الإجماعُ الجاري في لسان فحول العلماء </w:t>
      </w:r>
      <w:r>
        <w:rPr>
          <w:rStyle w:val="FootnoteAnchor"/>
          <w:rtl w:val="true"/>
        </w:rPr>
        <w:footnoteReference w:id="1183"/>
      </w:r>
      <w:r>
        <w:rPr>
          <w:rFonts w:ascii="Amiri" w:hAnsi="Amiri" w:eastAsia="Amiri" w:cs="Amiri"/>
          <w:color w:val="111111"/>
          <w:sz w:val="28"/>
          <w:sz w:val="28"/>
          <w:szCs w:val="28"/>
          <w:rtl w:val="true"/>
          <w:lang w:bidi="ar-SA"/>
        </w:rPr>
        <w:t xml:space="preserve">في عموم المائعات بل و خصوصه و مع ذلك فقد شكّك فيه بعض فضلاء المتأخِّرين </w:t>
      </w:r>
      <w:r>
        <w:rPr>
          <w:rStyle w:val="FootnoteAnchor"/>
          <w:rtl w:val="true"/>
        </w:rPr>
        <w:footnoteReference w:id="1184"/>
      </w:r>
      <w:r>
        <w:rPr>
          <w:rFonts w:ascii="Amiri" w:hAnsi="Amiri" w:eastAsia="Amiri" w:cs="Amiri"/>
          <w:color w:val="111111"/>
          <w:sz w:val="28"/>
          <w:sz w:val="28"/>
          <w:szCs w:val="28"/>
          <w:rtl w:val="true"/>
          <w:lang w:bidi="ar-SA"/>
        </w:rPr>
        <w:t xml:space="preserve">فاحتمل سراية النجاسة إلى العالي في خصوص المضاف، و نسبه إلى بعض فضلاء عصره، نظراً إلى إطلاقات الإجماعات المستفيضة في نجاسة المضاف </w:t>
      </w:r>
    </w:p>
    <w:p>
      <w:pPr>
        <w:pStyle w:val="BookText"/>
        <w:rPr/>
      </w:pPr>
      <w:r>
        <w:rPr>
          <w:rFonts w:ascii="Amiri" w:hAnsi="Amiri" w:eastAsia="Amiri" w:cs="Amiri"/>
          <w:color w:val="111111"/>
          <w:sz w:val="28"/>
          <w:sz w:val="28"/>
          <w:szCs w:val="28"/>
          <w:rtl w:val="true"/>
          <w:lang w:bidi="ar-SA"/>
        </w:rPr>
        <w:t xml:space="preserve">قليلاً أو كثيراً، و عدم تحقّق الإجماع المدّعى في المقام </w:t>
      </w:r>
      <w:r>
        <w:rPr>
          <w:rStyle w:val="FootnoteAnchor"/>
          <w:rtl w:val="true"/>
        </w:rPr>
        <w:footnoteReference w:id="1185"/>
      </w:r>
      <w:r>
        <w:rPr>
          <w:rFonts w:ascii="Amiri" w:hAnsi="Amiri" w:eastAsia="Amiri" w:cs="Amiri"/>
          <w:color w:val="111111"/>
          <w:sz w:val="28"/>
          <w:sz w:val="28"/>
          <w:szCs w:val="28"/>
          <w:rtl w:val="true"/>
          <w:lang w:bidi="ar-SA"/>
        </w:rPr>
        <w:t xml:space="preserve">، و لا القطع الذي في المدارك </w:t>
      </w:r>
      <w:r>
        <w:rPr>
          <w:rStyle w:val="FootnoteAnchor"/>
          <w:rtl w:val="true"/>
        </w:rPr>
        <w:footnoteReference w:id="1186"/>
      </w:r>
      <w:r>
        <w:rPr>
          <w:rFonts w:ascii="Amiri" w:hAnsi="Amiri" w:eastAsia="Amiri" w:cs="Amiri"/>
          <w:color w:val="111111"/>
          <w:sz w:val="28"/>
          <w:sz w:val="28"/>
          <w:szCs w:val="28"/>
          <w:rtl w:val="true"/>
          <w:lang w:bidi="ar-SA"/>
        </w:rPr>
        <w:t xml:space="preserve">، و لا عدم المعقوليّة التي في الروض من المصنف </w:t>
      </w:r>
      <w:r>
        <w:rPr>
          <w:rStyle w:val="FootnoteAnchor"/>
          <w:rtl w:val="true"/>
        </w:rPr>
        <w:footnoteReference w:id="1187"/>
      </w:r>
      <w:r>
        <w:rPr>
          <w:rFonts w:ascii="Amiri" w:hAnsi="Amiri" w:eastAsia="Amiri" w:cs="Amiri"/>
          <w:color w:val="111111"/>
          <w:sz w:val="28"/>
          <w:sz w:val="28"/>
          <w:szCs w:val="28"/>
          <w:rtl w:val="true"/>
          <w:lang w:bidi="ar-SA"/>
        </w:rPr>
        <w:t xml:space="preserve">، و أمّا الإجماعات المطلقة على عدم انفعال العالي بانفعال السافل فمُنزّلة على الماء المطلق، و كون العِبرَة بعموم اللّفظ لا خصوص المحلّ فيهما لو كان في الكلام شيء من ألفاظ العموم لا المطلق، مع أنّ المعرّف بلام الجنس إذا كان قابلاً للعهد يشكل حمله على الإطلاق، و أنّ تعليلهم بلزوم عدم جواز إزالة الخَبَث بالماء القليل، و هو حرج منفيّ، لو انفعل العالي بسافله ممّا يؤيّد انصراف تلك الإطلاقات إلى الماء المطلق، و بعدَ الغَضّ فهي معارضة بالإجماع على تنجيس المضاف مطلقاً بالملاقاة </w:t>
      </w:r>
      <w:r>
        <w:rPr>
          <w:rStyle w:val="FootnoteAnchor"/>
          <w:rtl w:val="true"/>
        </w:rPr>
        <w:footnoteReference w:id="1188"/>
      </w:r>
      <w:r>
        <w:rPr>
          <w:rFonts w:ascii="Amiri" w:hAnsi="Amiri" w:eastAsia="Amiri" w:cs="Amiri"/>
          <w:color w:val="111111"/>
          <w:sz w:val="28"/>
          <w:sz w:val="28"/>
          <w:szCs w:val="28"/>
          <w:rtl w:val="true"/>
          <w:lang w:bidi="ar-SA"/>
        </w:rPr>
        <w:t>، و هو أقوى دلالة؛ لسلامته عن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من دلالة الإجماعات هو نجاسة الجزء المتّصل بالنجاسة فقط، فإنّ الناظر في بعض الفتاوى التي هي مَدْرَك لدعوى الإجماع لا ينكر التعميم فيها لبعض الجهات غير الجزء الملاقي، فلا مسرح لدعوى الإهمال و عدم الإطلاق، و عبارتها هنا ظاهرة إن لم تكن صريحة بما قلنا، و إجماع روض الجنان ضعّفوه </w:t>
      </w:r>
      <w:r>
        <w:rPr>
          <w:rStyle w:val="FootnoteAnchor"/>
          <w:rtl w:val="true"/>
        </w:rPr>
        <w:footnoteReference w:id="1189"/>
      </w:r>
      <w:r>
        <w:rPr>
          <w:rFonts w:ascii="Amiri" w:hAnsi="Amiri" w:eastAsia="Amiri" w:cs="Amiri"/>
          <w:color w:val="111111"/>
          <w:sz w:val="28"/>
          <w:sz w:val="28"/>
          <w:szCs w:val="28"/>
          <w:rtl w:val="true"/>
          <w:lang w:bidi="ar-SA"/>
        </w:rPr>
        <w:t>بعدم العثور على الموافق لا ممّن تقدّمه و لا ممّن عاصره غير سبطه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المسألة في قالب الإشكال و إن جعلها في الدّرة </w:t>
      </w:r>
      <w:r>
        <w:rPr>
          <w:rStyle w:val="FootnoteAnchor"/>
          <w:rtl w:val="true"/>
        </w:rPr>
        <w:footnoteReference w:id="1190"/>
      </w:r>
      <w:r>
        <w:rPr>
          <w:rFonts w:ascii="Amiri" w:hAnsi="Amiri" w:eastAsia="Amiri" w:cs="Amiri"/>
          <w:color w:val="111111"/>
          <w:sz w:val="28"/>
          <w:sz w:val="28"/>
          <w:szCs w:val="28"/>
          <w:rtl w:val="true"/>
          <w:lang w:bidi="ar-SA"/>
        </w:rPr>
        <w:t xml:space="preserve">و المصابيح </w:t>
      </w:r>
      <w:r>
        <w:rPr>
          <w:rStyle w:val="FootnoteAnchor"/>
          <w:rtl w:val="true"/>
        </w:rPr>
        <w:footnoteReference w:id="1191"/>
      </w:r>
      <w:r>
        <w:rPr>
          <w:rFonts w:ascii="IRNazanin" w:hAnsi="IRNazanin" w:eastAsia="IRNazanin"/>
          <w:color w:val="111111"/>
          <w:sz w:val="28"/>
          <w:sz w:val="28"/>
          <w:szCs w:val="28"/>
          <w:rtl w:val="true"/>
          <w:lang w:bidi="fa-IR"/>
        </w:rPr>
        <w:t xml:space="preserve">من المجمع </w:t>
      </w:r>
    </w:p>
    <w:p>
      <w:pPr>
        <w:pStyle w:val="BookText"/>
        <w:rPr/>
      </w:pPr>
      <w:r>
        <w:rPr>
          <w:rFonts w:ascii="Amiri" w:hAnsi="Amiri" w:eastAsia="Amiri" w:cs="Amiri"/>
          <w:color w:val="111111"/>
          <w:sz w:val="28"/>
          <w:sz w:val="28"/>
          <w:szCs w:val="28"/>
          <w:rtl w:val="true"/>
          <w:lang w:bidi="ar-SA"/>
        </w:rPr>
        <w:t xml:space="preserve">عليها على الطّهارة فيها، و الاُستاذ بشرحه </w:t>
      </w:r>
      <w:r>
        <w:rPr>
          <w:rStyle w:val="FootnoteAnchor"/>
          <w:rtl w:val="true"/>
        </w:rPr>
        <w:footnoteReference w:id="1192"/>
      </w:r>
      <w:r>
        <w:rPr>
          <w:rFonts w:ascii="Amiri" w:hAnsi="Amiri" w:eastAsia="Amiri" w:cs="Amiri"/>
          <w:color w:val="111111"/>
          <w:sz w:val="28"/>
          <w:sz w:val="28"/>
          <w:szCs w:val="28"/>
          <w:rtl w:val="true"/>
          <w:lang w:bidi="ar-SA"/>
        </w:rPr>
        <w:t xml:space="preserve">، مضافاً إلى تلك الإجماعات استظهر ذلك الحلّي </w:t>
      </w:r>
      <w:r>
        <w:rPr>
          <w:rStyle w:val="FootnoteAnchor"/>
          <w:rtl w:val="true"/>
        </w:rPr>
        <w:footnoteReference w:id="1193"/>
      </w:r>
      <w:r>
        <w:rPr>
          <w:rFonts w:ascii="Amiri" w:hAnsi="Amiri" w:eastAsia="Amiri" w:cs="Amiri"/>
          <w:color w:val="111111"/>
          <w:sz w:val="28"/>
          <w:sz w:val="28"/>
          <w:szCs w:val="28"/>
          <w:rtl w:val="true"/>
          <w:lang w:bidi="ar-SA"/>
        </w:rPr>
        <w:t xml:space="preserve">و المحقّق </w:t>
      </w:r>
      <w:r>
        <w:rPr>
          <w:rStyle w:val="FootnoteAnchor"/>
          <w:rtl w:val="true"/>
        </w:rPr>
        <w:footnoteReference w:id="1194"/>
      </w:r>
      <w:r>
        <w:rPr>
          <w:rFonts w:ascii="IRNazanin" w:hAnsi="IRNazanin" w:eastAsia="IRNazanin"/>
          <w:color w:val="111111"/>
          <w:sz w:val="28"/>
          <w:sz w:val="28"/>
          <w:szCs w:val="28"/>
          <w:rtl w:val="true"/>
          <w:lang w:bidi="fa-IR"/>
        </w:rPr>
        <w:t xml:space="preserve">و الفاضل </w:t>
      </w:r>
      <w:r>
        <w:rPr>
          <w:rStyle w:val="FootnoteAnchor"/>
          <w:rtl w:val="true"/>
        </w:rPr>
        <w:footnoteReference w:id="1195"/>
      </w:r>
      <w:r>
        <w:rPr>
          <w:rFonts w:ascii="Amiri" w:hAnsi="Amiri" w:eastAsia="Amiri" w:cs="Amiri"/>
          <w:color w:val="111111"/>
          <w:sz w:val="28"/>
          <w:sz w:val="28"/>
          <w:szCs w:val="28"/>
          <w:rtl w:val="true"/>
          <w:lang w:bidi="ar-SA"/>
        </w:rPr>
        <w:t>حيث ساووا بين المطلق و المضاف في نجاسة الملاقي بمقتضى الدليل، لكن الضرورة و الحاجة فرّقت بينهما بطهارة الأوّل دون الثاني، و قضيّة المساواة توجب عدم انفعال العالي فيهما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حكمَ رحمه الله بعدم السراية جازماً بذلك، و لعلّه الأوفق بسهولة الشّريعة؛ إذ بعد البناء على تعارض الإجماعين و تساقطهما، أو البناء على عدم صحّة الإجماع المنقول مطلقاً، أو بشرط العراء عن وصف الظنّ، لا يبقى دليل على النجاسة مطلقاً فيه، فإنّه ليس في الأدلّة ما يقضي بانفعال العالي من السافل كخبر الولوغ </w:t>
      </w:r>
      <w:r>
        <w:rPr>
          <w:rStyle w:val="FootnoteAnchor"/>
          <w:rtl w:val="true"/>
        </w:rPr>
        <w:footnoteReference w:id="1196"/>
      </w:r>
      <w:r>
        <w:rPr>
          <w:rFonts w:ascii="Amiri" w:hAnsi="Amiri" w:eastAsia="Amiri" w:cs="Amiri"/>
          <w:color w:val="111111"/>
          <w:sz w:val="28"/>
          <w:sz w:val="28"/>
          <w:szCs w:val="28"/>
          <w:rtl w:val="true"/>
          <w:lang w:bidi="ar-SA"/>
        </w:rPr>
        <w:t xml:space="preserve">و أدلّة نجاسة الأسآر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الأخبار </w:t>
      </w:r>
      <w:r>
        <w:rPr>
          <w:rStyle w:val="FootnoteAnchor"/>
          <w:rtl w:val="true"/>
        </w:rPr>
        <w:footnoteReference w:id="1198"/>
      </w:r>
      <w:r>
        <w:rPr>
          <w:rFonts w:ascii="Amiri" w:hAnsi="Amiri" w:eastAsia="Amiri" w:cs="Amiri"/>
          <w:color w:val="111111"/>
          <w:sz w:val="28"/>
          <w:sz w:val="28"/>
          <w:szCs w:val="28"/>
          <w:rtl w:val="true"/>
          <w:lang w:bidi="ar-SA"/>
        </w:rPr>
        <w:t xml:space="preserve">الخاصّة التي أمرت بالتجنّب أو الإراقة؛ لاختصاصها بالمائع الوارد عليه النجاسة لا مطلق المائع، و نحوها دليل السراية </w:t>
      </w:r>
      <w:r>
        <w:rPr>
          <w:rStyle w:val="FootnoteAnchor"/>
          <w:rtl w:val="true"/>
        </w:rPr>
        <w:footnoteReference w:id="1199"/>
      </w:r>
      <w:r>
        <w:rPr>
          <w:rFonts w:ascii="Amiri" w:hAnsi="Amiri" w:eastAsia="Amiri" w:cs="Amiri"/>
          <w:color w:val="111111"/>
          <w:sz w:val="28"/>
          <w:sz w:val="28"/>
          <w:szCs w:val="28"/>
          <w:rtl w:val="true"/>
          <w:lang w:bidi="ar-SA"/>
        </w:rPr>
        <w:t>، فسقوطه أوضح، إذ مرجعه إلى نحوٍ من أنحاء الحركة، و مع وجود العائق من حيث العلوّ مطلقاً، أو مع التدافع و الجريان، كيف تحصل تلك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يرجع كلام الرّوض </w:t>
      </w:r>
      <w:r>
        <w:rPr>
          <w:rStyle w:val="FootnoteAnchor"/>
          <w:rtl w:val="true"/>
        </w:rPr>
        <w:footnoteReference w:id="1200"/>
      </w:r>
      <w:r>
        <w:rPr>
          <w:rFonts w:ascii="Amiri" w:hAnsi="Amiri" w:eastAsia="Amiri" w:cs="Amiri"/>
          <w:color w:val="111111"/>
          <w:sz w:val="28"/>
          <w:sz w:val="28"/>
          <w:szCs w:val="28"/>
          <w:rtl w:val="true"/>
          <w:lang w:bidi="ar-SA"/>
        </w:rPr>
        <w:t xml:space="preserve">، فقول المُنْكِر من عدم استلزام السراية إلى الأعلى قبحاً و محالاً عقليّاً سيّما مع كون الطّهارة و النجاسة من الأمور التعبّديّة التي لا مَسْرَح للعقل فيها، إن كان مبنيّاً على إنكار أصل السّراية فله وجه، و إلّا فقد عرفت الاستحالة، </w:t>
      </w:r>
    </w:p>
    <w:p>
      <w:pPr>
        <w:pStyle w:val="BookText"/>
        <w:rPr/>
      </w:pPr>
      <w:r>
        <w:rPr>
          <w:rFonts w:ascii="Amiri" w:hAnsi="Amiri" w:eastAsia="Amiri" w:cs="Amiri"/>
          <w:color w:val="111111"/>
          <w:sz w:val="28"/>
          <w:sz w:val="28"/>
          <w:szCs w:val="28"/>
          <w:rtl w:val="true"/>
          <w:lang w:bidi="ar-SA"/>
        </w:rPr>
        <w:t xml:space="preserve">و حينئذٍ فليس لأصالة الطهارة في العالي معارض سوى الإجماع </w:t>
      </w:r>
      <w:r>
        <w:rPr>
          <w:rStyle w:val="FootnoteAnchor"/>
          <w:rtl w:val="true"/>
        </w:rPr>
        <w:footnoteReference w:id="1201"/>
      </w:r>
      <w:r>
        <w:rPr>
          <w:rFonts w:ascii="Amiri" w:hAnsi="Amiri" w:eastAsia="Amiri" w:cs="Amiri"/>
          <w:color w:val="111111"/>
          <w:sz w:val="28"/>
          <w:sz w:val="28"/>
          <w:szCs w:val="28"/>
          <w:rtl w:val="true"/>
          <w:lang w:bidi="ar-SA"/>
        </w:rPr>
        <w:t xml:space="preserve">المنقول على نجاسة المضاف بالملاقاة مطلقاً، و في شمولها لما ذُكر منع؛ لعدم ورودها إلّا في بيان أصل نجاسة المضاف لا في كيفيّته، لا أقلّ من الشك، فيرجع فيه إلى الأصل، و يكون سند المنع ما ذكروه من عدم السراية في الماء المطلق </w:t>
      </w:r>
      <w:r>
        <w:rPr>
          <w:rStyle w:val="FootnoteAnchor"/>
          <w:rtl w:val="true"/>
        </w:rPr>
        <w:footnoteReference w:id="1202"/>
      </w:r>
      <w:r>
        <w:rPr>
          <w:rFonts w:ascii="Amiri" w:hAnsi="Amiri" w:eastAsia="Amiri" w:cs="Amiri"/>
          <w:color w:val="111111"/>
          <w:sz w:val="28"/>
          <w:sz w:val="28"/>
          <w:szCs w:val="28"/>
          <w:rtl w:val="true"/>
          <w:lang w:bidi="ar-SA"/>
        </w:rPr>
        <w:t>من غير أن يستندوا إلى نَصِّ أو دليلٍ مختصّ به فيجري مجرى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خيال أنّ النسبة بينهما عمومٌ من وجه لا وجه له؛ لأنّ الحكم بعدم السراية هناك مقرون ببعض ما يعلم أو يظنّ التعميم، فإنّ عباراتهم </w:t>
      </w:r>
      <w:r>
        <w:rPr>
          <w:rStyle w:val="FootnoteAnchor"/>
          <w:rtl w:val="true"/>
        </w:rPr>
        <w:footnoteReference w:id="1203"/>
      </w:r>
      <w:r>
        <w:rPr>
          <w:rFonts w:ascii="Amiri" w:hAnsi="Amiri" w:eastAsia="Amiri" w:cs="Amiri"/>
          <w:color w:val="111111"/>
          <w:sz w:val="28"/>
          <w:sz w:val="28"/>
          <w:szCs w:val="28"/>
          <w:rtl w:val="true"/>
          <w:lang w:bidi="ar-SA"/>
        </w:rPr>
        <w:t>صريحة في الماء المطلق بأنّ المانع من السّراية نفس العلوّ من غير مدخليّة لخصوص الماء، كاحتمال أنّ الحكم هناك للزوم الحرج، و لظهور أدلّة الغسل بالماء القليل، إذ لو كان كذلك لما حكموا بطهارة غير الممتزج من الجاري المتغيّر إذا كان فوقه، دون ما انحدر المتغيّر إليه، فإنّهم يرون نجاسته وليس فيه شيء من</w:t>
      </w:r>
    </w:p>
    <w:p>
      <w:pPr>
        <w:pStyle w:val="BookText"/>
        <w:rPr/>
      </w:pP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حكاية التعميم في إجماعات النجاسة في المضاف أو بعض الجهات مثل عدم الفرق بين قليله و كثيره فهو قرينة على عدم الإهمال فيها نظير الاستثناء الذي هو دليل العموم، فموهونة بأنّ التعميم إلى بعض الجهات لا ينافي الإهمال من جهة أخرى، أو إنّ الغرض من التعميم المزبور بيان مغايرة حكم المطلق للمضاف في ما ذكر، فلا شهادة فيه على شموله للمفروض، بل إنّ اقتصارهم في شموله لبعض الجهات دون بعض أقوى شاهد على تساوي حكم المضاف و المطلق فيما لم يذكروه من الجهات، فلو كان بينهما مغايرة في مسألة انفعال العالي لنصّوا عليه كما نصّوا على غيره ممّا يمتاز به المضاف عن المطلق، بل هو أحوج للبيان بعد أن فرّقوا في المطلق بين العالي و السافل، و عسى أن يكون تركهم لذلك هنا من أقوى الأدلّة على إيكاله على ما ذكروه في الماء المطلق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يتّهم الشهيد في دعوى الإجماع بعد كونه اعترف بمذاق مشايخه، فكيف </w:t>
      </w:r>
    </w:p>
    <w:p>
      <w:pPr>
        <w:pStyle w:val="BookText"/>
        <w:rPr/>
      </w:pPr>
      <w:r>
        <w:rPr>
          <w:rFonts w:ascii="Amiri" w:hAnsi="Amiri" w:eastAsia="Amiri" w:cs="Amiri"/>
          <w:color w:val="111111"/>
          <w:sz w:val="28"/>
          <w:sz w:val="28"/>
          <w:szCs w:val="28"/>
          <w:rtl w:val="true"/>
          <w:lang w:bidi="ar-SA"/>
        </w:rPr>
        <w:t>يزعم أن لا موافق له غير سبطه؟</w:t>
      </w:r>
    </w:p>
    <w:p>
      <w:pPr>
        <w:pStyle w:val="BookText"/>
        <w:rPr/>
      </w:pPr>
      <w:r>
        <w:rPr>
          <w:rFonts w:ascii="Amiri" w:hAnsi="Amiri" w:eastAsia="Amiri" w:cs="Amiri"/>
          <w:color w:val="111111"/>
          <w:sz w:val="28"/>
          <w:sz w:val="28"/>
          <w:szCs w:val="28"/>
          <w:rtl w:val="true"/>
          <w:lang w:bidi="ar-SA"/>
        </w:rPr>
        <w:t xml:space="preserve">ثمّ إنّ القَدْر المتيقّن من العالي الذي لا ينفعل هو ما كان له جريان و تدافع، و أمّا غيره ممّا تختلف سطوحه و هو واقف، فظاهر كلماتهم و إطلاق العلوّ يقضي بطهارة العالي مطلقاً، و يشهد لذلك أنّ غير واحد </w:t>
      </w:r>
      <w:r>
        <w:rPr>
          <w:rStyle w:val="FootnoteAnchor"/>
          <w:rtl w:val="true"/>
        </w:rPr>
        <w:footnoteReference w:id="1204"/>
      </w:r>
      <w:r>
        <w:rPr>
          <w:rFonts w:ascii="Amiri" w:hAnsi="Amiri" w:eastAsia="Amiri" w:cs="Amiri"/>
          <w:color w:val="111111"/>
          <w:sz w:val="28"/>
          <w:sz w:val="28"/>
          <w:szCs w:val="28"/>
          <w:rtl w:val="true"/>
          <w:lang w:bidi="ar-SA"/>
        </w:rPr>
        <w:t>اعتبر في التقوّي و السّراية الوحدة العرفيّة في الماء المطلق، و قضيّة ذلك بناءً على عدم الفرق بين المضاف و المطلق القليل هو اختصاص الانفعال في مطلق السّطوح بمحل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شيخ أساتيدنا رحمه الله بشرحه أنّه لا إشكال بالانفعال مع وقوف العالي عن السافل من غير جريان، بل نفى الخلاف فيه و في المطلق أيضاً إذا كان كذلك،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الاحتياط لا ينبغي تركه في موارد الاشتباه في العلوّ المعتدّ به </w:t>
      </w:r>
      <w:r>
        <w:rPr>
          <w:rStyle w:val="FootnoteAnchor"/>
          <w:rtl w:val="true"/>
        </w:rPr>
        <w:footnoteReference w:id="120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يقوى في نفسي هو طهارة العالي من الجاري المتدافع فيهما دون الواقف الملاقي بأنواعه فينجس حينئذٍ لعموم دليل الانفعال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عندهما حيث ينجس بعد الفراغ من قبوله للتطهير مقصورٌ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اتّصاله بالكثير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الصيرورة مقارنة للاتّصال أو بعده أو قبله إذا لم يقو المضاف على التنجيس له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الظاهر من إطلاق الماتن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و الدروس </w:t>
      </w:r>
      <w:r>
        <w:rPr>
          <w:rStyle w:val="FootnoteAnchor"/>
          <w:rtl w:val="true"/>
        </w:rPr>
        <w:footnoteReference w:id="1206"/>
      </w:r>
      <w:r>
        <w:rPr>
          <w:rFonts w:ascii="Amiri" w:hAnsi="Amiri" w:eastAsia="Amiri" w:cs="Amiri"/>
          <w:color w:val="111111"/>
          <w:sz w:val="28"/>
          <w:sz w:val="28"/>
          <w:szCs w:val="28"/>
          <w:rtl w:val="true"/>
          <w:lang w:bidi="ar-SA"/>
        </w:rPr>
        <w:t xml:space="preserve">فلو اتّصل بقليل المطلق نجس الجميع إلّا على رأي مَن </w:t>
      </w:r>
      <w:r>
        <w:rPr>
          <w:rStyle w:val="FootnoteAnchor"/>
          <w:rtl w:val="true"/>
        </w:rPr>
        <w:footnoteReference w:id="1207"/>
      </w:r>
      <w:r>
        <w:rPr>
          <w:rFonts w:ascii="Amiri" w:hAnsi="Amiri" w:eastAsia="Amiri" w:cs="Amiri"/>
          <w:color w:val="111111"/>
          <w:sz w:val="28"/>
          <w:sz w:val="28"/>
          <w:szCs w:val="28"/>
          <w:rtl w:val="true"/>
          <w:lang w:bidi="ar-SA"/>
        </w:rPr>
        <w:t>يرى الطّهارة في الماء إذا تمّم كُرّاً و إن كان نجساً، و منه يظهر أنّ المضاف إذا كان قَدْر كُرّ فصار مطلقاً بنفسه أو بعلاج طهر على ذلك الرأي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عندنا فلا يطهر مطلقاً؛ لاستصحاب حكم النجاسة التي لم نقطع بمطهّر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يجدي انقلابه إلى المطلق في التطهير؛ لعدم تعلّق النجاسة بالاسم فيه فتزول بزواله، </w:t>
      </w:r>
    </w:p>
    <w:p>
      <w:pPr>
        <w:pStyle w:val="BookText"/>
        <w:rPr/>
      </w:pPr>
      <w:r>
        <w:rPr>
          <w:rFonts w:ascii="Amiri" w:hAnsi="Amiri" w:eastAsia="Amiri" w:cs="Amiri"/>
          <w:color w:val="111111"/>
          <w:sz w:val="28"/>
          <w:sz w:val="28"/>
          <w:szCs w:val="28"/>
          <w:rtl w:val="true"/>
          <w:lang w:bidi="ar-SA"/>
        </w:rPr>
        <w:t xml:space="preserve">و بذا يفرّق بين نجس العَين و المتنجّس، خلافاً لابن فهد </w:t>
      </w:r>
      <w:r>
        <w:rPr>
          <w:rStyle w:val="FootnoteAnchor"/>
          <w:rtl w:val="true"/>
        </w:rPr>
        <w:footnoteReference w:id="1208"/>
      </w:r>
      <w:r>
        <w:rPr>
          <w:rFonts w:ascii="IRNazanin" w:hAnsi="IRNazanin" w:eastAsia="IRNazanin"/>
          <w:color w:val="111111"/>
          <w:sz w:val="28"/>
          <w:sz w:val="28"/>
          <w:szCs w:val="28"/>
          <w:rtl w:val="true"/>
          <w:lang w:bidi="fa-IR"/>
        </w:rPr>
        <w:t xml:space="preserve">حيث حكم بطهارة الماء النجس إذا استحال ملحاً، بدليل أنّ نجاسة الماء تقصر عن الكلب فهو أَولى بالطّهارة، و الأولوية ممنوعة بأصالة بقاء الأثر إلى أن يظهر المزيل له أو يقوم دليل على أنّ الاستحالة مطهّرة مطلقاً، أو یتبع المنصوص فيها، و الإطلاق لم يثبت، كما أنّه لا يكفي في تطهيره مجرّد اتّصاله بالكثير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بدّ من صيرورته مطلقاً مع ذلك، وكأنَّ نظرهما إلى أنّ المعتبر في تطهير المائع النجس مطلقاً أن يصيب المطهّر كلّ جزء من أجزاء النّجس مع قهره له، و متى كان المضاف باقياً على إضافته يحصل العلم أو الشكّ في عدم قهر الماء له، و أيضاً لو شاع المضاف في المطلق و لم يصر مطلقاً أخرجه عن كثرته؛ لانفصال أجزائه، فتنجّس بالملاقاة و لا تبقى على وصف الكثرة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أنّه متى متی انقلب إلى الإطلاق كفى اتّصاله بالكثير المطلق كحال سائر المياه القليلة النجسة، و في اعتبار الامتزاج هنا، أو علوّ المطهّر الكلام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كان أصحّ الأقوال عندهما في تطهيره ذلك قال الشارح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طهره بأغلبيّة الكثير المطلق عليه و زوال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مقابلته </w:t>
      </w:r>
      <w:r>
        <w:rPr>
          <w:rStyle w:val="FootnoteAnchor"/>
          <w:rtl w:val="true"/>
        </w:rPr>
        <w:footnoteReference w:id="1209"/>
      </w:r>
      <w:r>
        <w:rPr>
          <w:rFonts w:ascii="Amiri" w:hAnsi="Amiri" w:eastAsia="Amiri" w:cs="Amiri"/>
          <w:color w:val="111111"/>
          <w:sz w:val="28"/>
          <w:sz w:val="28"/>
          <w:szCs w:val="28"/>
          <w:rtl w:val="true"/>
          <w:lang w:bidi="ar-SA"/>
        </w:rPr>
        <w:t>إمّا لجهة اشتراط الأغلبيّة في ما يكفي فيه الاتّصال من دون أغلبيّة، فكأنّ القائل اعتبر شرطاً زائداً على الأصحّ، فهو مقابل باعتبار الجزء الثاني، و هو كفاية مجرّد الاتّصال بعد صيرورته مطلقاً، فضمير أوصافه راجع للمضاف، و هو محتمل لزوال أوصاف النجاسة التي فيه و إن بقيت أوصافه الذّاتيّة أو لهما معاً، فيرجع للقول الأصحّ؛ لاستلزام زوال الوصفين معاً صيرورته مطلقاً، و عود الضمير إلى المطلق هنا و إن احتمل، لكنّه مقطوع بعدمه، و على فرضه يكون المعنى زوال أوصاف المطلق التي لا يزول بها إطلاقه، لكنّ المزج غيّره في الجملة، و تمحّله ظاهر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تبقى المقابلة حينئذٍ بنفس الأغلبيّة المفقودة في مختاره، و الأخير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لجهة عدم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زوال الأوصاف و بقاء الاسم، فالمقابلة للمختار من حيث زوال الأوصاف و إن بقي الاسم، و للأخير باشتراط الأغلبيّة مع الاتّصال المفهوم منها زيادة المطلق عليه، فلا يكفي في التطهير نقصان المطلق عنه و إن كان كُرّاً، و لا تساويهما إذا اتّصلا كما يكفي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فرّق بين المختار و بينه بعود الضّمير للمضاف لكن بحيث لو اجتمعت أجزاؤه و انفرد عن المطلق رجع إلى الإضافة، و حين انفراده لو اتّفق طهر على قول الشيخ </w:t>
      </w:r>
      <w:r>
        <w:rPr>
          <w:rStyle w:val="FootnoteAnchor"/>
          <w:rtl w:val="true"/>
        </w:rPr>
        <w:footnoteReference w:id="1210"/>
      </w:r>
      <w:r>
        <w:rPr>
          <w:rFonts w:ascii="Amiri" w:hAnsi="Amiri" w:eastAsia="Amiri" w:cs="Amiri"/>
          <w:color w:val="111111"/>
          <w:sz w:val="28"/>
          <w:sz w:val="28"/>
          <w:szCs w:val="28"/>
          <w:rtl w:val="true"/>
          <w:lang w:bidi="ar-SA"/>
        </w:rPr>
        <w:t>و نجس على مختارنا؛ لعدم انقلابه إلى الإطلاق و إن كان حين المزج يصدق عليهما الماء المطلق، و عليه لا يتمّ الدفع،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طهره بمطلق الاتّصال به و إن بقي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المضاف، و المقابلة بيّنة، و علّل بأنّه لا سبيل إلى نجاسة الكثير إلا تغيّره بالنجاسة و لم يحصل، و إذا كان باقياً على الطَّهارة لزمه أن يطهّر ما خالطه؛ لعدم تبعّض الماء الواحد بالطّهارة 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أصالة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فحسب، أو فيهما باعتبار رجوع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بقي الاسم لهما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المطهّر لغير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 وصول الماء إلى كلّ جزء من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يتحقّق في المضاف إذا زال اسمه و إن بقيت 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دام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يتصوّر وصول الماء إلى جميع أجزائه النجسة، و إلّا لما بقي كذلك، و سيأتي له تحقيق آخر في باب الأطعمة و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الأخير به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على الاحتمال الأخير فكذلك، و على الأوّل يكون دفعه بالجزء الأوّل من الدفع، و هو اشتراط وُصول الماء إلى كلّ جزء من النّجس، فإنّ وصوله كذلك ممكن بلا اشتراط الأغلبيّة في المطهّر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نقله عبارة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يفهم أنّه كيف يدفع ما ذكره مقابلاً أوّلاً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متّجه على الثاني منها؛ ضرورة أنّ ما جعله أوّلاً مقابلاً هو قول الشيخ في </w:t>
      </w:r>
      <w:bookmarkStart w:id="83" w:name="pg9146_86021"/>
    </w:p>
    <w:p>
      <w:pPr>
        <w:pStyle w:val="BookText"/>
        <w:rPr/>
      </w:pPr>
      <w:bookmarkEnd w:id="83"/>
      <w:r>
        <w:rPr>
          <w:rFonts w:ascii="Amiri" w:hAnsi="Amiri" w:eastAsia="Amiri" w:cs="Amiri"/>
          <w:color w:val="111111"/>
          <w:sz w:val="28"/>
          <w:sz w:val="28"/>
          <w:szCs w:val="28"/>
          <w:rtl w:val="true"/>
          <w:lang w:bidi="ar-SA"/>
        </w:rPr>
        <w:t xml:space="preserve">المبسوط كما نقله الشهيد في الذكرى، و الثاني أحد قَولَي العلّامة، و ما ذكره في اللُّمعة هو قولٌ آخر له أيضاً، و قد عرفت أنّ الشيخ يشترط بقاء الاسم و ذهاب أوصاف المضاف على وجه يزول اسم المضاف، و أنّه متى سلب المضاف إطلاق الاسم أو غيّر أحد أوصافه لم يجز، فكيف يتّجه عليه الردّ بذلك </w:t>
      </w:r>
      <w:r>
        <w:rPr>
          <w:rStyle w:val="FootnoteAnchor"/>
          <w:rtl w:val="true"/>
        </w:rPr>
        <w:footnoteReference w:id="12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احتمال أن لا يكون القول للشيخ رحمه الله و إن لم نعثر على غير الثلاثة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عبارة الشيخ على اختلاف نسخها عدم كفاية الإطلاق و اعتبار بقاء أوصاف الماء كما كانت، و مرجعه إلى أنّ تغيير الكُرّ بالمتنجّس يكفي في نجاسته و لا يعتبر التغيير بعين النجاسة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أخرجوا الزّيادة في كلامه مَخْرَج التساهل فَدلّ هذا المعنى على اشتراط أغلبيّة المطلق على المضاف كي لا يكتسب شيئاً من أوصافه الذاتيّة و العرضيّة إذ مع عدمها يمكن اتّصافه بشيء منهما، فدفع الشارح توهّم اشتراطها بأنّ طريق التّطهير بدونهما حاصل، و هو وصول المطهّر إلى تمام الأجزاء و إن اتّصف بصفات المتنجّس، و حينئذٍ فالردّ متّجه، و هو أيضاً فهم من عبارة الشيخ ذلك، و في الردّ أعرض عنه</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3322580_2870459653"/>
      <w:bookmarkStart w:id="85" w:name="_Toc28"/>
      <w:bookmarkEnd w:id="84"/>
      <w:r>
        <w:rPr>
          <w:rtl w:val="true"/>
        </w:rPr>
        <w:t>[</w:t>
      </w:r>
      <w:r>
        <w:rPr>
          <w:rtl w:val="true"/>
        </w:rPr>
        <w:t>خلاصة الأقوال</w:t>
      </w:r>
      <w:r>
        <w:rPr>
          <w:rtl w:val="true"/>
        </w:rPr>
        <w:t>]</w:t>
      </w:r>
      <w:bookmarkEnd w:id="85"/>
    </w:p>
    <w:p>
      <w:pPr>
        <w:pStyle w:val="BookText"/>
        <w:rPr/>
      </w:pPr>
      <w:r>
        <w:rPr>
          <w:rFonts w:ascii="Amiri" w:hAnsi="Amiri" w:eastAsia="Amiri" w:cs="Amiri"/>
          <w:color w:val="111111"/>
          <w:sz w:val="28"/>
          <w:sz w:val="28"/>
          <w:szCs w:val="28"/>
          <w:rtl w:val="true"/>
          <w:lang w:bidi="ar-SA"/>
        </w:rPr>
        <w:t>فتلخّص أنّ الأقوال ثلاثة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في النّهاية </w:t>
      </w:r>
      <w:r>
        <w:rPr>
          <w:rStyle w:val="FootnoteAnchor"/>
          <w:rtl w:val="true"/>
        </w:rPr>
        <w:footnoteReference w:id="1212"/>
      </w:r>
      <w:r>
        <w:rPr>
          <w:rFonts w:ascii="Amiri" w:hAnsi="Amiri" w:eastAsia="Amiri" w:cs="Amiri"/>
          <w:color w:val="111111"/>
          <w:sz w:val="28"/>
          <w:sz w:val="28"/>
          <w:szCs w:val="28"/>
          <w:rtl w:val="true"/>
          <w:lang w:bidi="ar-SA"/>
        </w:rPr>
        <w:t xml:space="preserve">و التذكرة </w:t>
      </w:r>
      <w:r>
        <w:rPr>
          <w:rStyle w:val="FootnoteAnchor"/>
          <w:rtl w:val="true"/>
        </w:rPr>
        <w:footnoteReference w:id="1213"/>
      </w:r>
      <w:r>
        <w:rPr>
          <w:rFonts w:ascii="Amiri" w:hAnsi="Amiri" w:eastAsia="Amiri" w:cs="Amiri"/>
          <w:color w:val="111111"/>
          <w:sz w:val="28"/>
          <w:sz w:val="28"/>
          <w:szCs w:val="28"/>
          <w:rtl w:val="true"/>
          <w:lang w:bidi="ar-SA"/>
        </w:rPr>
        <w:t>و هو المشهور، و دليله ما مرّ في تطهير القليل مضافاً إلى فحوى ما قضى بعدم انفعال العاصم إذا استهلكت أعيان النجاسة كالبول و الدّم، و كأن ظاهرهم عدم الفرق في ذلك بين الكرّ و ما زاد عليه حتّى نسبوا الشيخ إلى التساهل في اشتراطه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يشكل في الأوّل؛ لأنّ ملاقاة أوّل جزء منه لأوّل أجزاء المضاف توجب نقصانه و انفعال الملاقي، و متى انفعل انفعل به الباقي؛ لكونه ماءً قليلاً لاقى نجاسة، و لا ينفع الركون إلى نفي البأس عن البول في الحياض، فيستدل بفحواه هنا؛ لعدم معلوميّة أنّ الحياض كذلك لا تزيد عن الكرّ، بل الغالب فيها الزّيادة، ثمّ ما في تلك الأخبار شيء من ألفاظ العموم لتشمل الفرد النادر لو فرض جواز انسحاب حكم العام للنادر من أفراده، فالأقوى الاجتناب عن الكُرّ الواقع فيه مائع نجس أو متنجّس غير الماء القليل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رحمه الله في المبسوط </w:t>
      </w:r>
      <w:r>
        <w:rPr>
          <w:rStyle w:val="FootnoteAnchor"/>
          <w:rtl w:val="true"/>
        </w:rPr>
        <w:footnoteReference w:id="1214"/>
      </w:r>
      <w:r>
        <w:rPr>
          <w:rFonts w:ascii="IRNazanin" w:hAnsi="IRNazanin" w:eastAsia="IRNazanin"/>
          <w:color w:val="111111"/>
          <w:sz w:val="28"/>
          <w:sz w:val="28"/>
          <w:szCs w:val="28"/>
          <w:rtl w:val="true"/>
          <w:lang w:bidi="fa-IR"/>
        </w:rPr>
        <w:t>، و في النّسبة إشكال؛ لاختلاف نُسخ المبسوط و اختلاف فهم الأصحاب منها، بل في بعض نسخه عدم الدّلالة صريحاً على المنسوب إليه، فهو ضعيف قائلاً و مقولاً إلَّا إذا رجع إلى المشهور، و أقصى مآله تنزيل المتنجّس مَنْزِلَة النّجس في الحكم و استصحاب بقاء النجاسة في المضاف، و يردّ الأوّل منع عموم المنزلة، و الثاني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في تقريبه، مضافاً إلى الاستهلاك المغيّر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في القواعد </w:t>
      </w:r>
      <w:r>
        <w:rPr>
          <w:rStyle w:val="FootnoteAnchor"/>
          <w:rtl w:val="true"/>
        </w:rPr>
        <w:footnoteReference w:id="1216"/>
      </w:r>
      <w:r>
        <w:rPr>
          <w:rFonts w:ascii="IRNazanin" w:hAnsi="IRNazanin" w:eastAsia="IRNazanin"/>
          <w:color w:val="111111"/>
          <w:sz w:val="28"/>
          <w:sz w:val="28"/>
          <w:szCs w:val="28"/>
          <w:rtl w:val="true"/>
          <w:lang w:bidi="fa-IR"/>
        </w:rPr>
        <w:t xml:space="preserve">و موضع من المنتهى </w:t>
      </w:r>
      <w:r>
        <w:rPr>
          <w:rStyle w:val="FootnoteAnchor"/>
          <w:rtl w:val="true"/>
        </w:rPr>
        <w:footnoteReference w:id="1217"/>
      </w:r>
      <w:r>
        <w:rPr>
          <w:rFonts w:ascii="Amiri" w:hAnsi="Amiri" w:eastAsia="Amiri" w:cs="Amiri"/>
          <w:color w:val="111111"/>
          <w:sz w:val="28"/>
          <w:sz w:val="28"/>
          <w:szCs w:val="28"/>
          <w:rtl w:val="true"/>
          <w:lang w:bidi="ar-SA"/>
        </w:rPr>
        <w:t xml:space="preserve">، لكن إطلاق الشارح كنقل الماتن في الذكرى </w:t>
      </w:r>
      <w:r>
        <w:rPr>
          <w:rStyle w:val="FootnoteAnchor"/>
          <w:rtl w:val="true"/>
        </w:rPr>
        <w:footnoteReference w:id="1218"/>
      </w:r>
      <w:r>
        <w:rPr>
          <w:rFonts w:ascii="Amiri" w:hAnsi="Amiri" w:eastAsia="Amiri" w:cs="Amiri"/>
          <w:color w:val="111111"/>
          <w:sz w:val="28"/>
          <w:sz w:val="28"/>
          <w:szCs w:val="28"/>
          <w:rtl w:val="true"/>
          <w:lang w:bidi="ar-SA"/>
        </w:rPr>
        <w:t xml:space="preserve">عنه من كفاية مجرّد الاتصال و لو من غير مزج في تطهيره دون مطهريّته تسامحٌ بيِّن؛ إذ المتتبع لكتبه لا يرى لذلك أثراً فيها، بل صرّح باعتبار المزج في القواعد </w:t>
      </w:r>
      <w:r>
        <w:rPr>
          <w:rStyle w:val="FootnoteAnchor"/>
          <w:rtl w:val="true"/>
        </w:rPr>
        <w:footnoteReference w:id="1219"/>
      </w:r>
      <w:r>
        <w:rPr>
          <w:rFonts w:ascii="Amiri" w:hAnsi="Amiri" w:eastAsia="Amiri" w:cs="Amiri"/>
          <w:color w:val="111111"/>
          <w:sz w:val="28"/>
          <w:sz w:val="28"/>
          <w:szCs w:val="28"/>
          <w:rtl w:val="true"/>
          <w:lang w:bidi="ar-SA"/>
        </w:rPr>
        <w:t xml:space="preserve">و المنتهى، و في التحرير اعتبر الدّفعة الظاهرة في الامتزاج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يلتئم ردّه باشتراط وصول الماء إلى كلّ جزء من النجس، إذ لا منافاة بين الوصول </w:t>
      </w:r>
    </w:p>
    <w:p>
      <w:pPr>
        <w:pStyle w:val="BookText"/>
        <w:rPr/>
      </w:pPr>
      <w:r>
        <w:rPr>
          <w:rFonts w:ascii="Amiri" w:hAnsi="Amiri" w:eastAsia="Amiri" w:cs="Amiri"/>
          <w:color w:val="111111"/>
          <w:sz w:val="28"/>
          <w:sz w:val="28"/>
          <w:szCs w:val="28"/>
          <w:rtl w:val="true"/>
          <w:lang w:bidi="ar-SA"/>
        </w:rPr>
        <w:t>و صيرورة الماء مضافاً، و دعوى الملازمة ممنوعة على الشارح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بالوُصول الاتّحاد بحيث يقال لهما ماءً واحداً عرفاً تَمَّ الردّ، إذ لا يحصل الاتّحاد هنا إلَّا بعد المزج السالب للإضافة أو الإطلاق، و الثاني مفاده التنجيس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نُخْبَة دليل الفاضل رحمه الله هو سبيّة الكُرية؛ لعدم الانفعال من دون تغيير بالنجاسة، فلا يؤثِّر فيه المضاف و إن أرجعه إليه؛ لقيام السبب المانع، و ليسَ ثَمَّة نجاسة عينيّة معلومة لتقتضي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 </w:t>
      </w:r>
      <w:r>
        <w:rPr>
          <w:rStyle w:val="FootnoteAnchor"/>
          <w:rtl w:val="true"/>
        </w:rPr>
        <w:footnoteReference w:id="1221"/>
      </w:r>
      <w:r>
        <w:rPr>
          <w:rFonts w:ascii="Amiri" w:hAnsi="Amiri" w:eastAsia="Amiri" w:cs="Amiri"/>
          <w:color w:val="111111"/>
          <w:sz w:val="28"/>
          <w:sz w:val="28"/>
          <w:szCs w:val="28"/>
          <w:rtl w:val="true"/>
          <w:lang w:bidi="ar-SA"/>
        </w:rPr>
        <w:t>بأن الكُريّة من أوصاف المطلق، و قد زال وصف الإطلاق بغَلَبَة أوصاف المضاف عليه، فينفعل و لو بالمتنجّس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w:t>
      </w:r>
      <w:r>
        <w:rPr>
          <w:rStyle w:val="FootnoteAnchor"/>
          <w:rtl w:val="true"/>
        </w:rPr>
        <w:footnoteReference w:id="1222"/>
      </w:r>
      <w:r>
        <w:rPr>
          <w:rFonts w:ascii="Amiri" w:hAnsi="Amiri" w:eastAsia="Amiri" w:cs="Amiri"/>
          <w:color w:val="111111"/>
          <w:sz w:val="28"/>
          <w:sz w:val="28"/>
          <w:szCs w:val="28"/>
          <w:rtl w:val="true"/>
          <w:lang w:bidi="ar-SA"/>
        </w:rPr>
        <w:t>بأنّ الملاقاة التي ينفعل فيها هي ما إذا كانت بعد صيرورته مضافاً، و لا نجاسة في ذلك الحال كي تؤثِّر فيه إلّا بالاستصحاب، و هو غير مفيد ؛ لعدم دوران النجاسة مَدارَه، بل هي تدور مَدار الإجماع، و مع عدمه لا يكفي مجرّد الاستصحاب، و هو مفقود هنا، و في جميع هذه الكلمات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هو التمسّك بالاستصحاب مع التسامح في إحراز موضوعه كما هي العادة في سائر المقامات، و لا يتوجّه عليه سوى معارضته باستصحاب طهارة المطلق في أوّل أزمنة الامتزاج الموجب للإضافة فيهما بناءً على عدم تجزّي الماء الواحد في الطّهارة و النجاسة مطلقاً، أو مع المزج و التلاشي، و بعد تساقطهما تسلمُ أصالة الطهارة، فتكون المرجع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الشّك الحاصل من تعارض يقينين، الظاهر أنّه يجب الاحتراز عنه كما يجب الاحتراز عن الحَلال المختلط بالحَرام، و لعلّ بينهما فرقاً، و لو سلّم أصل الطّهارة أشكلَ في مفروض عبارة القواعد من إلقاء الكرّ على المضاف النجس؛ لأنّ محلّ المضاف النجس باقٍ على نجاسته، و يلزمه نجاسة ذلك المضاف الذي اُلقيَ الكُرّ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أشكل أيضاً فيما لو أُلقيَ المضاف في الكُرّ تدريجاً مع خروج الماء عن الإطلاق قبل إكمال الجزء الأخير، فإنّه مضاف ينفعل بالملاقاة، و الظاهر أنّ نجاسته جميعاً أمرٌ مفروغٌ منه، بل كلام الفاضل في القواعد و المنتهى مخصوص بما إذا أُلقيَ الكرّ في المضاف دون العكس مطلقاً، فلا خصوصيّة للتدريجي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نفى الإشكال المرتضى </w:t>
      </w:r>
      <w:r>
        <w:rPr>
          <w:rStyle w:val="FootnoteAnchor"/>
          <w:rtl w:val="true"/>
        </w:rPr>
        <w:footnoteReference w:id="1223"/>
      </w:r>
      <w:r>
        <w:rPr>
          <w:rFonts w:ascii="Amiri" w:hAnsi="Amiri" w:eastAsia="Amiri" w:cs="Amiri"/>
          <w:color w:val="111111"/>
          <w:sz w:val="28"/>
          <w:sz w:val="28"/>
          <w:szCs w:val="28"/>
          <w:rtl w:val="true"/>
          <w:lang w:bidi="ar-SA"/>
        </w:rPr>
        <w:t>بشرحه عن نجاسة الكثير فيما لو سلب المضاف إطلاقه تدريجاً و إن لم يبق للمضاف عنوان أيضاً كما لو أُلقيَ الدّبس المتنجّس في الكُرّ فغيّر بعضه، نجس جميعاً، إذ الباقي قليل لاقى متنجساً فينفعل كلّه؛ لفقدان الدليل على طهره بمماسّة الكرّ لبعض سطوحه و بنفس ملاقاته له، و المستفاد من الأخبار اعتبار غَلَبَة الماء على النجاسة، و هي مفقودة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مطهّريّة الماء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كيفيّة التطهير، بل هو إمّا مُجمَل، أو محمول على ما هو المركوز في الأذهان، فإذا بقي المضاف نجساً نجس به الماء الذي سلب إطلاقه بملاقاته؛ لأنه مضاف لاقى نجساً و ينجس به ما بقي من المطلق إذا كان أقلّ من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أنّ استهلاك المضاف في الماء المطلق و حدوث إضافته صار دفعةً حقيقيّةً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المضاف لم يلاق نجساً، بل الكثير بتلاشيه فيه صار مضافاً، و المفروض حدوث الطّهارة بنفس التلاشي؛ لأنّ الكثير لا ينفعل، فالاختلاط سبب للتطهير و الإضافة معاً، و لو شكّ في طهارة المضاف حينئذٍ شكّ في نجاسة الكُرّ، و الأصل عدمهما فيتساقطان و يرجع إلى قاعدة الطّهارة، لكن فرض الامتزاج دفعة ممّا لم يوجد في الخارج، و بدونه لا مناص عن الالتزام بالنجاسة كما ذكرنا، انتهى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الإضافة في التدريجي بعد وصول الجزء الأخير لا قبله انتفى الفرق بينه و بين الإلقاء دفعة، و دليل النجاسة جارٍ فيهما سواء لا اختصاص له بالتدريجي، و لا بدّ أن يرجع فيهما إلى الأدلّة، فإن قام دليل على اعتصام الكُرّ ما لم يخرج عن الإطلاق لزم </w:t>
      </w:r>
    </w:p>
    <w:p>
      <w:pPr>
        <w:pStyle w:val="BookText"/>
        <w:rPr/>
      </w:pPr>
      <w:r>
        <w:rPr>
          <w:rFonts w:ascii="Amiri" w:hAnsi="Amiri" w:eastAsia="Amiri" w:cs="Amiri"/>
          <w:color w:val="111111"/>
          <w:sz w:val="28"/>
          <w:sz w:val="28"/>
          <w:szCs w:val="28"/>
          <w:rtl w:val="true"/>
          <w:lang w:bidi="ar-SA"/>
        </w:rPr>
        <w:t>القول بالطهارة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قضى الدّليل بنجاسة المائع متى غلب المطهّر مطلقاً، و الاعتبار بغلبة أحدهما نجسَ في المقامين، و لا مسرح فيهما للاستصحاب معاً، و الأحرى أنْ يحكم بدوران النجاسة و الطهارة مَدار تحقّق الإضافة قبل الجزء الأخير و بعده في التدريجي، و حال انقلاب الماء إلى الإضافة بعد الجزء الأخير من الملقى حال الإلقاء دفعة، و إن اختلفا في كون حصول الإضافة مع سلب إطلاق الماء في آنٍ واحد في الدّفعة دائماً دون التّدريج؛ لإمكان حصول الإضافة قبل الجزء الأخير، فلا بدّ فيه حينئذٍ من الحكم بالنجاسة حتّى عند العلّامة؛ لاختصاص كلامه بما لو ألقي الكُرّ على المضاف دون العكس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فمحلّ الكلام بين المشهور و العلّامة فيما لو حصلت الإضافة بين المائين بعد الجزء الأخير من المطهّر في التّدريجي و الدفعة، و المشهور لا يعترفون بالطّهارة، و المرجع حينئذٍ إلى أدلّة التطهير و اعتصام الكرّ، فإن أفادت اعتصامه مطلقاً حتّى لو مازجه النجس و دخل في خلاله أو شكّ في اعتصامه في ذلك الحال اتّجه الحكم بالطّهارة؛ للاستصحاب في الثاني أو الاعتصام في الأوّل، و إن علم منها اعتبار غلبة الماء على النجس في التطهير لزم الحكم بنجاستهما معاً، أمّا المضاف فلعدم الغَلَبة، و أمّا الماء فللملازمة، و لا يجدي الاستهلاك و لو كان دفعة، إذ الاستهلاك إنّما ينفع مع بقاء إطلاق الماء، إذ مع عدمه يشك في ملاقاته للمطهّر؛ لأنه قبل الامتزاج غير ملاقٍ، و بعده لم يبق الإطلاق ليقطع أنّه لاقى 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الأستاذ رحمه الله مع اعترافه بفقدان الغلبة هنا كيف يحكم بالدفعة بالطهارة، فالأشهر هو الأظهر؛ لأنّ المستفاد من الروايات اشتراط التطهير بغلبة الماء، و لا يحصل ذلك إلَّا ببقاء</w:t>
      </w:r>
    </w:p>
    <w:p>
      <w:pPr>
        <w:pStyle w:val="BookText"/>
        <w:rPr/>
      </w:pPr>
      <w:r>
        <w:rPr>
          <w:rFonts w:ascii="IRNazanin" w:hAnsi="IRNazanin" w:eastAsia="IRNazanin"/>
          <w:color w:val="111111"/>
          <w:sz w:val="28"/>
          <w:sz w:val="28"/>
          <w:szCs w:val="28"/>
          <w:rtl w:val="true"/>
          <w:lang w:bidi="fa-IR"/>
        </w:rPr>
        <w:t>الإطلاق بعد الامتزاج</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قرّرنا يظهر سقوط ما ذكره جامع المقاصد </w:t>
      </w:r>
      <w:r>
        <w:rPr>
          <w:rStyle w:val="FootnoteAnchor"/>
          <w:rtl w:val="true"/>
        </w:rPr>
        <w:footnoteReference w:id="1225"/>
      </w:r>
      <w:r>
        <w:rPr>
          <w:rFonts w:ascii="Amiri" w:hAnsi="Amiri" w:eastAsia="Amiri" w:cs="Amiri"/>
          <w:color w:val="111111"/>
          <w:sz w:val="28"/>
          <w:sz w:val="28"/>
          <w:szCs w:val="28"/>
          <w:rtl w:val="true"/>
          <w:lang w:bidi="ar-SA"/>
        </w:rPr>
        <w:t xml:space="preserve">من نجاسة محلّ المضاف في صورة إلقاء الكرّ عليه دفعة، إذ الماء كما يطهّر المضاف يطّهر آنيته و محلّه، فإنّه بمنزلة يَد الغاسل </w:t>
      </w:r>
      <w:bookmarkStart w:id="86" w:name="pg9146_86031"/>
    </w:p>
    <w:p>
      <w:pPr>
        <w:pStyle w:val="BookText"/>
        <w:rPr/>
      </w:pPr>
      <w:bookmarkEnd w:id="86"/>
      <w:r>
        <w:rPr>
          <w:rFonts w:ascii="Amiri" w:hAnsi="Amiri" w:eastAsia="Amiri" w:cs="Amiri"/>
          <w:color w:val="111111"/>
          <w:sz w:val="28"/>
          <w:sz w:val="28"/>
          <w:szCs w:val="28"/>
          <w:rtl w:val="true"/>
          <w:lang w:bidi="ar-SA"/>
        </w:rPr>
        <w:t>و الخشبة و ظروف الخلّ و نحوها في التبعيّة، أو لأنّ امتزاجه بالماء فقط من دون إصابة الإناء ممّا يبعّده الاعتبار، فلا وجه لاختصاص الطّهارة بالمظروف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الحكم بطهارة المضاف إنّما هو للملازمة بين المائين المختلطين بعد الفراغ من اعتصام الأجزاء المائيّة عند العلّامة في جميع الأحوال، و تلك الملازمة مفقودة بالقياس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الملازمة المزبورة دليل إنّي على وجود علّة طهارة المضاف، و ليس سوى الملاقاة مع العاصم فيجري فيهما، و لا أرى وجهاً للفرق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الجواهر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القول إنّ الكُرّ بعد اتّصاله بالمضاف طهّر المضاف و آنيته، واضحُ الفساد،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دليل شرعي و لا اعتباري على تخصيص أحدهما دون الآخر بالطهارة، و ليس في كلام العلّامة ما يقضي بذلك، و ما هو بأعظم من حكمه بطهارة المضاف و إن بقي الاسم، بل فرض كلامه في صورة إلقاء الكرّ على المضاف دون العكس، فقصرُ مذهبه على صورة العكس تقوّلٌ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حصل العاصم لا مانع من تطهيرهما به، فليته أوضحَ لنا فساده</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3322582_2870459653"/>
      <w:bookmarkStart w:id="88" w:name="_Toc29"/>
      <w:bookmarkEnd w:id="87"/>
      <w:r>
        <w:rPr>
          <w:rtl w:val="true"/>
        </w:rPr>
        <w:t>القول في الأسآر</w:t>
      </w:r>
      <w:bookmarkEnd w:id="88"/>
    </w:p>
    <w:p>
      <w:pPr>
        <w:pStyle w:val="BookText"/>
        <w:rPr/>
      </w:pPr>
      <w:r>
        <w:rPr>
          <w:rFonts w:ascii="Amiri" w:hAnsi="Amiri" w:eastAsia="Amiri" w:cs="Amiri"/>
          <w:color w:val="111111"/>
          <w:sz w:val="28"/>
          <w:sz w:val="28"/>
          <w:szCs w:val="28"/>
          <w:rtl w:val="true"/>
          <w:lang w:bidi="ar-SA"/>
        </w:rPr>
        <w:t>و حيث ذكر المطلق و المضاف قال في بيان الأسآر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باب المياه مقابلاً للمطلق و المضاف في عرف الفقهاء </w:t>
      </w:r>
      <w:r>
        <w:rPr>
          <w:rStyle w:val="FootnoteAnchor"/>
          <w:rtl w:val="true"/>
        </w:rPr>
        <w:footnoteReference w:id="1227"/>
      </w:r>
      <w:r>
        <w:rPr>
          <w:rFonts w:ascii="Amiri" w:hAnsi="Amiri" w:eastAsia="Amiri" w:cs="Amiri"/>
          <w:color w:val="111111"/>
          <w:sz w:val="28"/>
          <w:sz w:val="28"/>
          <w:szCs w:val="28"/>
          <w:rtl w:val="true"/>
          <w:lang w:bidi="ar-SA"/>
        </w:rPr>
        <w:t xml:space="preserve">و عندهما هنا و في غيره </w:t>
      </w:r>
      <w:r>
        <w:rPr>
          <w:rStyle w:val="FootnoteAnchor"/>
          <w:rtl w:val="true"/>
        </w:rPr>
        <w:footnoteReference w:id="1228"/>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آخرين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 عن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باشره جسم حيوان</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كذلك سواء شرب منه أو لم يشرب، و خصّه بعضهم بمباشرة الفَم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تعرّضهم لبقيّة وضوء الحائض و ما مات فيه عقرب أو حشار من غير تقييد له بصورة مباشرة الفَم يقتضي الأوّل، و تعميم مبحث الأسآر للجوامد يرجّح الثاني، فيلزم حينئذٍ إمّا تعميم المباشرة مع تخصيص الحكم بالمائعات، أو تخصيص المباشرة بالفَم مع تعميم الحكم للجوامد، و كأن المتبادر اعتبار مباشرة الفَم في موضوعه، بل الظاهر خصوص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تتّضح الثمرة في الأُمور التوقيفيّة الثابتة للسؤر كالكراهة التّعبديّة و الاستشفاء و غيرهما، فلا يثبت شيء من هذه الأحكام لغير ما يبقيه المتناول من الطّعام و الشراب، و ظهور كلام اللّغويين </w:t>
      </w:r>
      <w:r>
        <w:rPr>
          <w:rStyle w:val="FootnoteAnchor"/>
          <w:rtl w:val="true"/>
        </w:rPr>
        <w:footnoteReference w:id="1231"/>
      </w:r>
      <w:r>
        <w:rPr>
          <w:rFonts w:ascii="Amiri" w:hAnsi="Amiri" w:eastAsia="Amiri" w:cs="Amiri"/>
          <w:color w:val="111111"/>
          <w:sz w:val="28"/>
          <w:sz w:val="28"/>
          <w:szCs w:val="28"/>
          <w:rtl w:val="true"/>
          <w:lang w:bidi="ar-SA"/>
        </w:rPr>
        <w:t xml:space="preserve">مؤيّد لما قلنا، و ما تراه من اكتفاء بعضهم </w:t>
      </w:r>
      <w:r>
        <w:rPr>
          <w:rStyle w:val="FootnoteAnchor"/>
          <w:rtl w:val="true"/>
        </w:rPr>
        <w:footnoteReference w:id="1232"/>
      </w:r>
      <w:r>
        <w:rPr>
          <w:rFonts w:ascii="Amiri" w:hAnsi="Amiri" w:eastAsia="Amiri" w:cs="Amiri"/>
          <w:color w:val="111111"/>
          <w:sz w:val="28"/>
          <w:sz w:val="28"/>
          <w:szCs w:val="28"/>
          <w:rtl w:val="true"/>
          <w:lang w:bidi="ar-SA"/>
        </w:rPr>
        <w:t>في حكم الأسآر بمطلق المباشرة لجهة عموم الأدلّة فهو إلحاق حكمي، فيقتصر عند عدم الدّليل على التعميم على حكم الأصل، بل لحوق حكم السّؤر لمثل ما ذكر ممّا باشره الجسم ممّا هو منصوص بالخصوص حكمٌ ثبت بالنّص من غير إناطته بعنوان السّؤر، و لأجل التسوية أطلق عليه شرعاً ذلك، فهو لاستفادة المناط من الأخبار لا لشمول العنوان، فصار الضابط اعتبار مباشرة الفَم خاصّة في الجامد دون المائع، هذا في الأحكام التعبّدية التي ثبتت للسؤر من حيث كونه سؤراً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الطهارة و النجاسة فالحكم في الماء الذي يطلق السؤر عليه بل و غيره </w:t>
      </w:r>
      <w:r>
        <w:rPr>
          <w:rStyle w:val="FootnoteAnchor"/>
          <w:rtl w:val="true"/>
        </w:rPr>
        <w:footnoteReference w:id="1233"/>
      </w:r>
      <w:r>
        <w:rPr>
          <w:rFonts w:ascii="Amiri" w:hAnsi="Amiri" w:eastAsia="Amiri" w:cs="Amiri"/>
          <w:color w:val="111111"/>
          <w:sz w:val="28"/>
          <w:sz w:val="28"/>
          <w:szCs w:val="28"/>
          <w:rtl w:val="true"/>
          <w:lang w:bidi="ar-SA"/>
        </w:rPr>
        <w:t xml:space="preserve">من المائعات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 للحيوان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باشره</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الطهارة و النجاسة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اعتبار </w:t>
      </w:r>
    </w:p>
    <w:p>
      <w:pPr>
        <w:pStyle w:val="BookText"/>
        <w:rPr/>
      </w:pPr>
      <w:r>
        <w:rPr>
          <w:rFonts w:ascii="Amiri" w:hAnsi="Amiri" w:eastAsia="Amiri" w:cs="Amiri"/>
          <w:color w:val="111111"/>
          <w:sz w:val="28"/>
          <w:sz w:val="28"/>
          <w:szCs w:val="28"/>
          <w:rtl w:val="true"/>
          <w:lang w:bidi="ar-SA"/>
        </w:rPr>
        <w:t>القلّة في الماء و عدم الجريان؛ إذ الكثرة عاصمة للماء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أُطلق السؤر على الكثير في الأخبار </w:t>
      </w:r>
      <w:r>
        <w:rPr>
          <w:rStyle w:val="FootnoteAnchor"/>
          <w:rtl w:val="true"/>
        </w:rPr>
        <w:footnoteReference w:id="1235"/>
      </w:r>
      <w:r>
        <w:rPr>
          <w:rFonts w:ascii="Amiri" w:hAnsi="Amiri" w:eastAsia="Amiri" w:cs="Amiri"/>
          <w:color w:val="111111"/>
          <w:sz w:val="28"/>
          <w:sz w:val="28"/>
          <w:szCs w:val="28"/>
          <w:rtl w:val="true"/>
          <w:lang w:bidi="ar-SA"/>
        </w:rPr>
        <w:t>، لكنّه لا يلحقه حكمه حتّى الكراهة فيه،</w:t>
      </w:r>
    </w:p>
    <w:p>
      <w:pPr>
        <w:pStyle w:val="BookText"/>
        <w:rPr/>
      </w:pPr>
      <w:r>
        <w:rPr>
          <w:rFonts w:ascii="Amiri" w:hAnsi="Amiri" w:eastAsia="Amiri" w:cs="Amiri"/>
          <w:color w:val="111111"/>
          <w:sz w:val="28"/>
          <w:sz w:val="28"/>
          <w:szCs w:val="28"/>
          <w:rtl w:val="true"/>
          <w:lang w:bidi="ar-SA"/>
        </w:rPr>
        <w:t xml:space="preserve">فلا إشكال في نجاسة سؤر الكلب و الخنزير و أخيهما </w:t>
      </w:r>
      <w:r>
        <w:rPr>
          <w:rStyle w:val="FootnoteAnchor"/>
          <w:rtl w:val="true"/>
        </w:rPr>
        <w:footnoteReference w:id="1236"/>
      </w:r>
      <w:r>
        <w:rPr>
          <w:rFonts w:ascii="Amiri" w:hAnsi="Amiri" w:eastAsia="Amiri" w:cs="Amiri"/>
          <w:color w:val="111111"/>
          <w:sz w:val="28"/>
          <w:sz w:val="28"/>
          <w:szCs w:val="28"/>
          <w:rtl w:val="true"/>
          <w:lang w:bidi="ar-SA"/>
        </w:rPr>
        <w:t>بجميع أنواعه، و المناط في نجاسة الأخير إذا أنكر ما عَلم أو عُلم بالضرورة كونه من الدّين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غير الثلاثة مطلقاً فسؤره طاهر و إن كره بعضه، وفاقاً لفتوى المشهور </w:t>
      </w:r>
      <w:r>
        <w:rPr>
          <w:rStyle w:val="FootnoteAnchor"/>
          <w:rtl w:val="true"/>
        </w:rPr>
        <w:footnoteReference w:id="1237"/>
      </w:r>
      <w:r>
        <w:rPr>
          <w:rFonts w:ascii="Amiri" w:hAnsi="Amiri" w:eastAsia="Amiri" w:cs="Amiri"/>
          <w:color w:val="111111"/>
          <w:sz w:val="28"/>
          <w:sz w:val="28"/>
          <w:szCs w:val="28"/>
          <w:rtl w:val="true"/>
          <w:lang w:bidi="ar-SA"/>
        </w:rPr>
        <w:t xml:space="preserve">، و الأُصول </w:t>
      </w:r>
      <w:r>
        <w:rPr>
          <w:rStyle w:val="FootnoteAnchor"/>
          <w:rtl w:val="true"/>
        </w:rPr>
        <w:footnoteReference w:id="1238"/>
      </w:r>
      <w:r>
        <w:rPr>
          <w:rFonts w:ascii="IRNazanin" w:hAnsi="IRNazanin" w:eastAsia="IRNazanin"/>
          <w:color w:val="111111"/>
          <w:sz w:val="28"/>
          <w:sz w:val="28"/>
          <w:szCs w:val="28"/>
          <w:rtl w:val="true"/>
          <w:lang w:bidi="fa-IR"/>
        </w:rPr>
        <w:t xml:space="preserve">، و العمومات </w:t>
      </w:r>
      <w:r>
        <w:rPr>
          <w:rStyle w:val="FootnoteAnchor"/>
          <w:rtl w:val="true"/>
        </w:rPr>
        <w:footnoteReference w:id="1239"/>
      </w:r>
      <w:r>
        <w:rPr>
          <w:rFonts w:ascii="IRNazanin" w:hAnsi="IRNazanin" w:eastAsia="IRNazanin"/>
          <w:color w:val="111111"/>
          <w:sz w:val="28"/>
          <w:sz w:val="28"/>
          <w:szCs w:val="28"/>
          <w:rtl w:val="true"/>
          <w:lang w:bidi="fa-IR"/>
        </w:rPr>
        <w:t xml:space="preserve">، و الإجماع </w:t>
      </w:r>
      <w:r>
        <w:rPr>
          <w:rStyle w:val="FootnoteAnchor"/>
          <w:rtl w:val="true"/>
        </w:rPr>
        <w:footnoteReference w:id="1240"/>
      </w:r>
      <w:r>
        <w:rPr>
          <w:rFonts w:ascii="IRNazanin" w:hAnsi="IRNazanin" w:eastAsia="IRNazanin"/>
          <w:color w:val="111111"/>
          <w:sz w:val="28"/>
          <w:sz w:val="28"/>
          <w:szCs w:val="28"/>
          <w:rtl w:val="true"/>
          <w:lang w:bidi="fa-IR"/>
        </w:rPr>
        <w:t xml:space="preserve">المنقول، و الأخبار </w:t>
      </w:r>
      <w:r>
        <w:rPr>
          <w:rStyle w:val="FootnoteAnchor"/>
          <w:rtl w:val="true"/>
        </w:rPr>
        <w:footnoteReference w:id="1241"/>
      </w:r>
      <w:r>
        <w:rPr>
          <w:rFonts w:ascii="Amiri" w:hAnsi="Amiri" w:eastAsia="Amiri" w:cs="Amiri"/>
          <w:color w:val="111111"/>
          <w:sz w:val="28"/>
          <w:sz w:val="28"/>
          <w:szCs w:val="28"/>
          <w:rtl w:val="true"/>
          <w:lang w:bidi="ar-SA"/>
        </w:rPr>
        <w:t xml:space="preserve">الدالّة على ذلك عموماً و خصوصاً كما قيل، و قد منع جمع </w:t>
      </w:r>
      <w:r>
        <w:rPr>
          <w:rStyle w:val="FootnoteAnchor"/>
          <w:rtl w:val="true"/>
        </w:rPr>
        <w:footnoteReference w:id="1242"/>
      </w:r>
      <w:r>
        <w:rPr>
          <w:rFonts w:ascii="Amiri" w:hAnsi="Amiri" w:eastAsia="Amiri" w:cs="Amiri"/>
          <w:color w:val="111111"/>
          <w:sz w:val="28"/>
          <w:sz w:val="28"/>
          <w:szCs w:val="28"/>
          <w:rtl w:val="true"/>
          <w:lang w:bidi="ar-SA"/>
        </w:rPr>
        <w:t xml:space="preserve">من فقهائنا من استعمال سؤر ما لا يؤكل لحمه إذا كان إنسيّاً و أمكنَ التحرّز عنه ما عدا الطّير، و يظهر من بعضهم </w:t>
      </w:r>
      <w:r>
        <w:rPr>
          <w:rStyle w:val="FootnoteAnchor"/>
          <w:rtl w:val="true"/>
        </w:rPr>
        <w:footnoteReference w:id="1243"/>
      </w:r>
      <w:r>
        <w:rPr>
          <w:rFonts w:ascii="IRNazanin" w:hAnsi="IRNazanin" w:eastAsia="IRNazanin"/>
          <w:color w:val="111111"/>
          <w:sz w:val="28"/>
          <w:sz w:val="28"/>
          <w:szCs w:val="28"/>
          <w:rtl w:val="true"/>
          <w:lang w:bidi="fa-IR"/>
        </w:rPr>
        <w:t>نجاسته، و بعض أطلق المنع و هو أعمّ من النجاسة تمسّكاً بمفهوم قوله علیه السلام في المعتبرتين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يؤكل لحمه يُتوضّأ من سؤره و يُشرب</w:t>
      </w:r>
      <w:r>
        <w:rPr>
          <w:rFonts w:eastAsia="IRNazanin" w:cs="IRNazanin"/>
          <w:color w:val="111111"/>
          <w:sz w:val="28"/>
          <w:szCs w:val="28"/>
          <w:rtl w:val="true"/>
          <w:lang w:bidi="fa-IR"/>
        </w:rPr>
        <w:t xml:space="preserve">»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سؤر كلّ شيء لا يؤكل لحمه</w:t>
      </w:r>
      <w:r>
        <w:rPr>
          <w:rFonts w:eastAsia="IRNazanin" w:cs="IRNazanin"/>
          <w:color w:val="111111"/>
          <w:sz w:val="28"/>
          <w:szCs w:val="28"/>
          <w:rtl w:val="true"/>
          <w:lang w:bidi="fa-IR"/>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 بناءً على ظهور الحرمة منهما، فإنّ مفهومه على القول بمفهوم الوصف أو المبتدأ المتضمِّن معنى الشرط يدلّ على أنّ السّبب المنحصر و العلّة التّامة في جواز الوضوء بسؤر المأكول هو كونه مأكولاً، فإذا </w:t>
      </w:r>
    </w:p>
    <w:p>
      <w:pPr>
        <w:pStyle w:val="BookText"/>
        <w:rPr/>
      </w:pPr>
      <w:r>
        <w:rPr>
          <w:rFonts w:ascii="IRNazanin" w:hAnsi="IRNazanin" w:eastAsia="IRNazanin"/>
          <w:color w:val="111111"/>
          <w:sz w:val="28"/>
          <w:sz w:val="28"/>
          <w:szCs w:val="28"/>
          <w:rtl w:val="true"/>
          <w:lang w:bidi="fa-IR"/>
        </w:rPr>
        <w:t>انتفى هذا الوصف عن حيوان من أوّل الأمر أو لعارضٍ حَرُم أكله، كالجلّال و الموطوء، انتفى جواز الوضوء و الشرب، و لو وجد غير مأكول يجوز فيه ذلك لم يكن أكل اللّحم سبباً منحصراً في الجواز؛ لقيام غيره مقامه،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يجري هذا مجرى قول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سائمة الغنم زكاة</w:t>
      </w:r>
      <w:r>
        <w:rPr>
          <w:rFonts w:eastAsia="IRNazanin" w:cs="IRNazanin"/>
          <w:color w:val="111111"/>
          <w:sz w:val="28"/>
          <w:szCs w:val="28"/>
          <w:rtl w:val="true"/>
          <w:lang w:bidi="fa-IR"/>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أجيب </w:t>
      </w:r>
      <w:r>
        <w:rPr>
          <w:rStyle w:val="FootnoteAnchor"/>
          <w:rtl w:val="true"/>
        </w:rPr>
        <w:footnoteReference w:id="1247"/>
      </w:r>
      <w:r>
        <w:rPr>
          <w:rFonts w:ascii="Amiri" w:hAnsi="Amiri" w:eastAsia="Amiri" w:cs="Amiri"/>
          <w:color w:val="111111"/>
          <w:sz w:val="28"/>
          <w:sz w:val="28"/>
          <w:szCs w:val="28"/>
          <w:rtl w:val="true"/>
          <w:lang w:bidi="ar-SA"/>
        </w:rPr>
        <w:t xml:space="preserve">باختلال السّند و الدلالة من حيث يونس بن عبد الرحمن و الراوي عنه محمد ابن عيسى؛ و لأنّ اللازم من الأخذ بظاهرها من التحريم تخصيص الأكثر كما ورد في الهرّة </w:t>
      </w:r>
      <w:r>
        <w:rPr>
          <w:rStyle w:val="FootnoteAnchor"/>
          <w:rtl w:val="true"/>
        </w:rPr>
        <w:footnoteReference w:id="1248"/>
      </w:r>
      <w:r>
        <w:rPr>
          <w:rFonts w:ascii="Amiri" w:hAnsi="Amiri" w:eastAsia="Amiri" w:cs="Amiri"/>
          <w:color w:val="111111"/>
          <w:sz w:val="28"/>
          <w:sz w:val="28"/>
          <w:szCs w:val="28"/>
          <w:rtl w:val="true"/>
          <w:lang w:bidi="ar-SA"/>
        </w:rPr>
        <w:t>، فيحمل البأس المنفي في المنطوق على ما هو أعم من الحرمة، و بأنّ المفهوم لا يلزمه العموم، بل يكفي في ثبوته انقسام الممنوع عن استعماله إلى قسمين، فإنّ نقيض الموجبة الكلّيّة سالبة 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لولا ظاهر إطباق الأصحاب و نقل بعضهم </w:t>
      </w:r>
      <w:r>
        <w:rPr>
          <w:rStyle w:val="FootnoteAnchor"/>
          <w:rtl w:val="true"/>
        </w:rPr>
        <w:footnoteReference w:id="1249"/>
      </w:r>
      <w:r>
        <w:rPr>
          <w:rFonts w:ascii="Amiri" w:hAnsi="Amiri" w:eastAsia="Amiri" w:cs="Amiri"/>
          <w:color w:val="111111"/>
          <w:sz w:val="28"/>
          <w:sz w:val="28"/>
          <w:szCs w:val="28"/>
          <w:rtl w:val="true"/>
          <w:lang w:bidi="ar-SA"/>
        </w:rPr>
        <w:t xml:space="preserve">الإجماع على الجواز لكان للنظر مجال في ردّ المانعين إذ بعد اعتبار المفهوم و تلقّي الشيخ </w:t>
      </w:r>
      <w:r>
        <w:rPr>
          <w:rStyle w:val="FootnoteAnchor"/>
          <w:rtl w:val="true"/>
        </w:rPr>
        <w:footnoteReference w:id="1250"/>
      </w:r>
      <w:r>
        <w:rPr>
          <w:rFonts w:ascii="Amiri" w:hAnsi="Amiri" w:eastAsia="Amiri" w:cs="Amiri"/>
          <w:color w:val="111111"/>
          <w:sz w:val="28"/>
          <w:sz w:val="28"/>
          <w:szCs w:val="28"/>
          <w:rtl w:val="true"/>
          <w:lang w:bidi="ar-SA"/>
        </w:rPr>
        <w:t xml:space="preserve">و الحلّي </w:t>
      </w:r>
      <w:r>
        <w:rPr>
          <w:rStyle w:val="FootnoteAnchor"/>
          <w:rtl w:val="true"/>
        </w:rPr>
        <w:footnoteReference w:id="1251"/>
      </w:r>
      <w:r>
        <w:rPr>
          <w:rFonts w:ascii="Amiri" w:hAnsi="Amiri" w:eastAsia="Amiri" w:cs="Amiri"/>
          <w:color w:val="111111"/>
          <w:sz w:val="28"/>
          <w:sz w:val="28"/>
          <w:szCs w:val="28"/>
          <w:rtl w:val="true"/>
          <w:lang w:bidi="ar-SA"/>
        </w:rPr>
        <w:t>للخبرين بالقبول لا ينجم الردّ، و لقد سلف لنا كلامٌ في أنّ منع دلالة جملة الشرط على انحصار السّبب هو بعينه إنكار للمفهوم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ملخّصه على ما استفدناه من الوالد رحمه الله تحريراً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أساتيدنا المرتضى </w:t>
      </w:r>
      <w:r>
        <w:rPr>
          <w:rStyle w:val="FootnoteAnchor"/>
          <w:rtl w:val="true"/>
        </w:rPr>
        <w:footnoteReference w:id="1252"/>
      </w:r>
      <w:r>
        <w:rPr>
          <w:rFonts w:ascii="Amiri" w:hAnsi="Amiri" w:eastAsia="Amiri" w:cs="Amiri"/>
          <w:color w:val="111111"/>
          <w:sz w:val="28"/>
          <w:sz w:val="28"/>
          <w:szCs w:val="28"/>
          <w:rtl w:val="true"/>
          <w:lang w:bidi="ar-SA"/>
        </w:rPr>
        <w:t xml:space="preserve">تقريراً هو أنّ انتفاء الحكم عن كلّ واحد من الأفراد أو ثبوته في طرف المنطوق إذا فرض استناده إلى وجود الشرط الذي هو ظاهر في العلّيّة التامة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في حجّية مفهوم </w:t>
      </w:r>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 ذلك عقلاً أنّ كلّ فرد منها إذا انتفى الشرط يثبت له الحكم المنفيّ في المنطوق و العكس كذلك، فلا مَناص حينئذٍ عن القول بظهور الكلام المشتمل على الشرط في انحصار السبب به و عدم قيام غيره مقامه و هو معنى مفهوم الشرط، و إنكار ذلك إنكار للمفهوم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أنكرَ عَلَم الهُدى </w:t>
      </w:r>
      <w:r>
        <w:rPr>
          <w:rStyle w:val="FootnoteAnchor"/>
          <w:rtl w:val="true"/>
        </w:rPr>
        <w:footnoteReference w:id="1253"/>
      </w:r>
      <w:r>
        <w:rPr>
          <w:rFonts w:ascii="Amiri" w:hAnsi="Amiri" w:eastAsia="Amiri" w:cs="Amiri"/>
          <w:color w:val="111111"/>
          <w:sz w:val="28"/>
          <w:sz w:val="28"/>
          <w:szCs w:val="28"/>
          <w:rtl w:val="true"/>
          <w:lang w:bidi="ar-SA"/>
        </w:rPr>
        <w:t>مفهوم الشرط؛ استناداً إلى عدم ظهوره في انحصار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استُفيد من المنطوق كون الشرط علّة لعموم الحكم ينتفي في المفهوم ذلك العموم، فيجامع الإيجاب الكلّي السلب الجزئي و بالعكس، و كذا لو قامت من الخارج قرينة على عدم انحصار السّبب، و نّ الشرط ليس علّة منحصرة لحكم الجزاء، بل له أسبابٌ أُخَر كعدم المقتضى أو وجود مانع آخر لم يفد المفهوم إلّا ثبوت الحكم المنفي في المنطوق عن الأفراد المستند عدم الجزاء فيها إلى عدم الشرط، و مثله نفي الحكم الثابت 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المفهوم بنفس التركيب هنا على العموم ظاهرةٌ، إذ لا قرينة، و ليس الشرط علّة لعموم الحكم، فما ركن إليه الشيخ حَسنٌ </w:t>
      </w:r>
      <w:r>
        <w:rPr>
          <w:rStyle w:val="FootnoteAnchor"/>
          <w:rtl w:val="true"/>
        </w:rPr>
        <w:footnoteReference w:id="1254"/>
      </w:r>
      <w:r>
        <w:rPr>
          <w:rFonts w:ascii="IRNazanin" w:hAnsi="IRNazanin" w:eastAsia="IRNazanin"/>
          <w:color w:val="111111"/>
          <w:sz w:val="28"/>
          <w:sz w:val="28"/>
          <w:szCs w:val="28"/>
          <w:rtl w:val="true"/>
          <w:lang w:bidi="fa-IR"/>
        </w:rPr>
        <w:t xml:space="preserve">إذ متعلّق القيد هنا قوله علیه السلام </w:t>
      </w:r>
      <w:r>
        <w:rPr>
          <w:rStyle w:val="FootnoteAnchor"/>
          <w:rtl w:val="true"/>
        </w:rPr>
        <w:footnoteReference w:id="12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حيوان، و القيد المعتبر و صفاً هو كونه مأكول اللّحم، فالمنطوق هو مأكول اللّحم من كلّ حيوان و الحكم الثابت له هو الوضوء، و غير محلّ النّطق هو ما انتقی عنه الوصف الذی هو عبارة عن غیر مأکول اللّحم من کلّ حیوان، و انتفاء الحکم الثابت للمنطوق عنه يقتضي ثبوت المنع؛ لأنه هو اللازم لرفع الجواز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سيجيء مزيد بيان له إن شاء الله تعالى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فرواية عبد الله بن سنان </w:t>
      </w:r>
      <w:r>
        <w:rPr>
          <w:rStyle w:val="FootnoteAnchor"/>
          <w:rtl w:val="true"/>
        </w:rPr>
        <w:footnoteReference w:id="1256"/>
      </w:r>
      <w:r>
        <w:rPr>
          <w:rFonts w:ascii="Amiri" w:hAnsi="Amiri" w:eastAsia="Amiri" w:cs="Amiri"/>
          <w:color w:val="111111"/>
          <w:sz w:val="28"/>
          <w:sz w:val="28"/>
          <w:szCs w:val="28"/>
          <w:rtl w:val="true"/>
          <w:lang w:bidi="ar-SA"/>
        </w:rPr>
        <w:t xml:space="preserve">قَضَت بعموم البأس لسؤر كلّ ما لا يؤكل لحمه، </w:t>
      </w:r>
    </w:p>
    <w:p>
      <w:pPr>
        <w:pStyle w:val="BookText"/>
        <w:rPr/>
      </w:pPr>
      <w:r>
        <w:rPr>
          <w:rFonts w:ascii="Amiri" w:hAnsi="Amiri" w:eastAsia="Amiri" w:cs="Amiri"/>
          <w:color w:val="111111"/>
          <w:sz w:val="28"/>
          <w:sz w:val="28"/>
          <w:szCs w:val="28"/>
          <w:rtl w:val="true"/>
          <w:lang w:bidi="ar-SA"/>
        </w:rPr>
        <w:t>و هو ظاهر في التحريم، أما العموم؛ فلأنّ الحكم المنوط بما يؤكل مهمل، أي لم يصرّح فيه بعموم الجميع أفراده، و من المقرّر أنّ القضيّة المهملة في حكم الجزئيّة، و الإيجاب الجزئي نقيضه السّلب الكلّي، فيفيد أن ليس ممّا يؤكل لحمه لا بأس بسؤره، فيفيد أَنَّ كُلّاً منها فبسؤره بأس،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التحريم؛ فلأنّ استعماله في الكراهة غير شائع، فالحمل عليه بعد فهم الحرمة منه لمحقّقي </w:t>
      </w:r>
      <w:r>
        <w:rPr>
          <w:rStyle w:val="FootnoteAnchor"/>
          <w:rtl w:val="true"/>
        </w:rPr>
        <w:footnoteReference w:id="1257"/>
      </w:r>
      <w:r>
        <w:rPr>
          <w:rFonts w:ascii="Amiri" w:hAnsi="Amiri" w:eastAsia="Amiri" w:cs="Amiri"/>
          <w:color w:val="111111"/>
          <w:sz w:val="28"/>
          <w:sz w:val="28"/>
          <w:szCs w:val="28"/>
          <w:rtl w:val="true"/>
          <w:lang w:bidi="ar-SA"/>
        </w:rPr>
        <w:t>الأصحاب يحتاج إلى القرينة، و المسألة غير صافية، و الاحتياط في غير المستثنى لا يُترَك خصوصاً بما تتوقف عليه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المفهوم من إطلاق الشارح التبعية في الكراهة معناه كراهية سؤر ما يُكرَه لحمه مطلقاً و هو غير منعكس كلّياً لكراهة سؤر ما لا يؤكل لحمه مطلقاً، ذكره الشيخ </w:t>
      </w:r>
      <w:r>
        <w:rPr>
          <w:rStyle w:val="FootnoteAnchor"/>
          <w:rtl w:val="true"/>
        </w:rPr>
        <w:footnoteReference w:id="1258"/>
      </w:r>
      <w:r>
        <w:rPr>
          <w:rFonts w:ascii="Amiri" w:hAnsi="Amiri" w:eastAsia="Amiri" w:cs="Amiri"/>
          <w:color w:val="111111"/>
          <w:sz w:val="28"/>
          <w:sz w:val="28"/>
          <w:szCs w:val="28"/>
          <w:rtl w:val="true"/>
          <w:lang w:bidi="ar-SA"/>
        </w:rPr>
        <w:t xml:space="preserve">و ابن حمزة </w:t>
      </w:r>
      <w:r>
        <w:rPr>
          <w:rStyle w:val="FootnoteAnchor"/>
          <w:rtl w:val="true"/>
        </w:rPr>
        <w:footnoteReference w:id="1259"/>
      </w:r>
      <w:r>
        <w:rPr>
          <w:rFonts w:ascii="Amiri" w:hAnsi="Amiri" w:eastAsia="Amiri" w:cs="Amiri"/>
          <w:color w:val="111111"/>
          <w:sz w:val="28"/>
          <w:sz w:val="28"/>
          <w:szCs w:val="28"/>
          <w:rtl w:val="true"/>
          <w:lang w:bidi="ar-SA"/>
        </w:rPr>
        <w:t xml:space="preserve">و المصنّف في الثلاثة </w:t>
      </w:r>
      <w:r>
        <w:rPr>
          <w:rStyle w:val="FootnoteAnchor"/>
          <w:rtl w:val="true"/>
        </w:rPr>
        <w:footnoteReference w:id="1260"/>
      </w:r>
      <w:r>
        <w:rPr>
          <w:rFonts w:ascii="Amiri" w:hAnsi="Amiri" w:eastAsia="Amiri" w:cs="Amiri"/>
          <w:color w:val="111111"/>
          <w:sz w:val="28"/>
          <w:sz w:val="28"/>
          <w:szCs w:val="28"/>
          <w:rtl w:val="true"/>
          <w:lang w:bidi="ar-SA"/>
        </w:rPr>
        <w:t xml:space="preserve">و الفاضل في النّهاية </w:t>
      </w:r>
      <w:r>
        <w:rPr>
          <w:rStyle w:val="FootnoteAnchor"/>
          <w:rtl w:val="true"/>
        </w:rPr>
        <w:footnoteReference w:id="1261"/>
      </w:r>
      <w:r>
        <w:rPr>
          <w:rFonts w:ascii="IRNazanin" w:hAnsi="IRNazanin" w:eastAsia="IRNazanin"/>
          <w:color w:val="111111"/>
          <w:sz w:val="28"/>
          <w:sz w:val="28"/>
          <w:szCs w:val="28"/>
          <w:rtl w:val="true"/>
          <w:lang w:bidi="fa-IR"/>
        </w:rPr>
        <w:t xml:space="preserve">و المنتهى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89" w:name="pg9146_86043"/>
    </w:p>
    <w:p>
      <w:pPr>
        <w:pStyle w:val="Heading2"/>
        <w:numPr>
          <w:ilvl w:val="1"/>
          <w:numId w:val="1"/>
        </w:numPr>
        <w:rPr/>
      </w:pPr>
      <w:bookmarkStart w:id="90" w:name="__RefHeading___Toc3322584_2870459653"/>
      <w:bookmarkStart w:id="91" w:name="_Toc30"/>
      <w:bookmarkEnd w:id="89"/>
      <w:bookmarkEnd w:id="90"/>
      <w:r>
        <w:rPr>
          <w:rtl w:val="true"/>
        </w:rPr>
        <w:t>[</w:t>
      </w:r>
      <w:r>
        <w:rPr>
          <w:rtl w:val="true"/>
        </w:rPr>
        <w:t>الأسآر المكروهة</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جملة من الحيوانات بخصوصها عند الأكثر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سؤر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للجمل </w:t>
      </w:r>
      <w:r>
        <w:rPr>
          <w:rStyle w:val="FootnoteAnchor"/>
          <w:rtl w:val="true"/>
        </w:rPr>
        <w:footnoteReference w:id="1263"/>
      </w:r>
      <w:r>
        <w:rPr>
          <w:rFonts w:ascii="Amiri" w:hAnsi="Amiri" w:eastAsia="Amiri" w:cs="Amiri"/>
          <w:color w:val="111111"/>
          <w:sz w:val="28"/>
          <w:sz w:val="28"/>
          <w:szCs w:val="28"/>
          <w:rtl w:val="true"/>
          <w:lang w:bidi="ar-SA"/>
        </w:rPr>
        <w:t xml:space="preserve">و لسلّار </w:t>
      </w:r>
      <w:r>
        <w:rPr>
          <w:rStyle w:val="FootnoteAnchor"/>
          <w:rtl w:val="true"/>
        </w:rPr>
        <w:footnoteReference w:id="1264"/>
      </w:r>
      <w:r>
        <w:rPr>
          <w:rFonts w:ascii="Amiri" w:hAnsi="Amiri" w:eastAsia="Amiri" w:cs="Amiri"/>
          <w:color w:val="111111"/>
          <w:sz w:val="28"/>
          <w:sz w:val="28"/>
          <w:szCs w:val="28"/>
          <w:rtl w:val="true"/>
          <w:lang w:bidi="ar-SA"/>
        </w:rPr>
        <w:t xml:space="preserve">و الفاضلين </w:t>
      </w:r>
      <w:r>
        <w:rPr>
          <w:rStyle w:val="FootnoteAnchor"/>
          <w:rtl w:val="true"/>
        </w:rPr>
        <w:footnoteReference w:id="12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المتغذي </w:t>
      </w:r>
      <w:r>
        <w:rPr>
          <w:rStyle w:val="FootnoteAnchor"/>
          <w:rtl w:val="true"/>
        </w:rPr>
        <w:footnoteReference w:id="1266"/>
      </w:r>
      <w:r>
        <w:rPr>
          <w:rFonts w:ascii="Amiri" w:hAnsi="Amiri" w:eastAsia="Amiri" w:cs="Amiri"/>
          <w:color w:val="111111"/>
          <w:sz w:val="28"/>
          <w:sz w:val="28"/>
          <w:szCs w:val="28"/>
          <w:rtl w:val="true"/>
          <w:lang w:bidi="ar-SA"/>
        </w:rPr>
        <w:t>بعذرة الإنسان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يمازج غيرها معها في الغذاء بحيث يسند غذاؤه للغير أو إليهما، فيتغذى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ينبت عليها لحمه و اشتدَّ 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ساوى الحلبي </w:t>
      </w:r>
      <w:r>
        <w:rPr>
          <w:rStyle w:val="FootnoteAnchor"/>
          <w:rtl w:val="true"/>
        </w:rPr>
        <w:footnoteReference w:id="1267"/>
      </w:r>
      <w:r>
        <w:rPr>
          <w:rFonts w:ascii="Amiri" w:hAnsi="Amiri" w:eastAsia="Amiri" w:cs="Amiri"/>
          <w:color w:val="111111"/>
          <w:sz w:val="28"/>
          <w:sz w:val="28"/>
          <w:szCs w:val="28"/>
          <w:rtl w:val="true"/>
          <w:lang w:bidi="ar-SA"/>
        </w:rPr>
        <w:t xml:space="preserve">بينها و بين غيرها </w:t>
      </w:r>
      <w:r>
        <w:rPr>
          <w:rStyle w:val="FootnoteAnchor"/>
          <w:rtl w:val="true"/>
        </w:rPr>
        <w:footnoteReference w:id="1268"/>
      </w:r>
      <w:r>
        <w:rPr>
          <w:rFonts w:ascii="Amiri" w:hAnsi="Amiri" w:eastAsia="Amiri" w:cs="Amiri"/>
          <w:color w:val="111111"/>
          <w:sz w:val="28"/>
          <w:sz w:val="28"/>
          <w:szCs w:val="28"/>
          <w:rtl w:val="true"/>
          <w:lang w:bidi="ar-SA"/>
        </w:rPr>
        <w:t xml:space="preserve">من المحرّمات، و قوله غير صريح في إطلاق الجَلَل على ذلك، و أمّا المحوضة </w:t>
      </w:r>
      <w:r>
        <w:rPr>
          <w:rStyle w:val="FootnoteAnchor"/>
          <w:rtl w:val="true"/>
        </w:rPr>
        <w:footnoteReference w:id="1269"/>
      </w:r>
      <w:r>
        <w:rPr>
          <w:rFonts w:ascii="Amiri" w:hAnsi="Amiri" w:eastAsia="Amiri" w:cs="Amiri"/>
          <w:color w:val="111111"/>
          <w:sz w:val="28"/>
          <w:sz w:val="28"/>
          <w:szCs w:val="28"/>
          <w:rtl w:val="true"/>
          <w:lang w:bidi="ar-SA"/>
        </w:rPr>
        <w:t xml:space="preserve">فاعتبرها غير واحد </w:t>
      </w:r>
      <w:r>
        <w:rPr>
          <w:rStyle w:val="FootnoteAnchor"/>
          <w:rtl w:val="true"/>
        </w:rPr>
        <w:footnoteReference w:id="1270"/>
      </w:r>
      <w:r>
        <w:rPr>
          <w:rFonts w:ascii="Amiri" w:hAnsi="Amiri" w:eastAsia="Amiri" w:cs="Amiri"/>
          <w:color w:val="111111"/>
          <w:sz w:val="28"/>
          <w:sz w:val="28"/>
          <w:szCs w:val="28"/>
          <w:rtl w:val="true"/>
          <w:lang w:bidi="ar-SA"/>
        </w:rPr>
        <w:t xml:space="preserve">، لكن في المبسوط كونها أكثر الغذاء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سمّيَ في العُرف 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التسمية العرفيّة في المتغذّي، بل يلحقه حكمه و إن لم يسمّ بذلك و يمكن إرادة الترديد في التعبير فيكون أحدهما لا ينفك عن الاُخرى، أو أنّه أراد بيان أنّ الحكم يلحق الاسم، فإذا لم يحصل الأوّل و أطلق عليه الاسم عرفاً لحقه الحكم، فيكون كالإضراب عن ما قبله إلى ما يعمّه و غيره ممّا يسمّى به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يستبرأ بما يزيل الجَلَل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يتعلّق بالمتن،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سؤره قبل الاستبراء إذ لو تعلّق بتفسير الجلّال بمعنييه يصدق عليه بعد الاستبراء أنّه اغتذى أو سُمّي </w:t>
      </w:r>
    </w:p>
    <w:p>
      <w:pPr>
        <w:pStyle w:val="BookText"/>
        <w:rPr/>
      </w:pPr>
      <w:r>
        <w:rPr>
          <w:rFonts w:ascii="Amiri" w:hAnsi="Amiri" w:eastAsia="Amiri" w:cs="Amiri"/>
          <w:color w:val="111111"/>
          <w:sz w:val="28"/>
          <w:sz w:val="28"/>
          <w:szCs w:val="28"/>
          <w:rtl w:val="true"/>
          <w:lang w:bidi="ar-SA"/>
        </w:rPr>
        <w:t>مع عدم صدق الجَلَل عليه، فإنّ المتغذي من أسماء الفاعلين، و هو للمتّصف بالحَدَث في الماضي دون الحال،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الأخبار تحديد ما يحصل به الجَلَل، لكن قيل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بأكلة واحدة، و قيل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w:t>
      </w:r>
    </w:p>
    <w:p>
      <w:pPr>
        <w:pStyle w:val="BookText"/>
        <w:rPr/>
      </w:pPr>
      <w:r>
        <w:rPr>
          <w:rFonts w:ascii="Amiri" w:hAnsi="Amiri" w:eastAsia="Amiri" w:cs="Amiri"/>
          <w:color w:val="111111"/>
          <w:sz w:val="28"/>
          <w:sz w:val="28"/>
          <w:szCs w:val="28"/>
          <w:rtl w:val="true"/>
          <w:lang w:bidi="ar-SA"/>
        </w:rPr>
        <w:t xml:space="preserve">واحد، و قيل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ينمو ذلك في بدنه و يصير جزءاً منه، و قيل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يظهر النشو في لحمه و جلده، و فسّر به في المسالك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فقد نُسِبَ لابن الجُنيد </w:t>
      </w:r>
      <w:r>
        <w:rPr>
          <w:rStyle w:val="FootnoteAnchor"/>
          <w:rtl w:val="true"/>
        </w:rPr>
        <w:footnoteReference w:id="1277"/>
      </w:r>
      <w:r>
        <w:rPr>
          <w:rFonts w:ascii="Amiri" w:hAnsi="Amiri" w:eastAsia="Amiri" w:cs="Amiri"/>
          <w:color w:val="111111"/>
          <w:sz w:val="28"/>
          <w:sz w:val="28"/>
          <w:szCs w:val="28"/>
          <w:rtl w:val="true"/>
          <w:lang w:bidi="ar-SA"/>
        </w:rPr>
        <w:t xml:space="preserve">و للشيخ في المبسوط </w:t>
      </w:r>
      <w:r>
        <w:rPr>
          <w:rStyle w:val="FootnoteAnchor"/>
          <w:rtl w:val="true"/>
        </w:rPr>
        <w:footnoteReference w:id="1278"/>
      </w:r>
      <w:r>
        <w:rPr>
          <w:rFonts w:ascii="Amiri" w:hAnsi="Amiri" w:eastAsia="Amiri" w:cs="Amiri"/>
          <w:color w:val="111111"/>
          <w:sz w:val="28"/>
          <w:sz w:val="28"/>
          <w:szCs w:val="28"/>
          <w:rtl w:val="true"/>
          <w:lang w:bidi="ar-SA"/>
        </w:rPr>
        <w:t xml:space="preserve">نجاسة سؤره، و له وجه على ما غبر في المفهوم، و من أنّ رطوبة أفواههنّ لا تخلو من نجاسة و من سؤره و لعابه كعرقه، و لو حكم بعدم المنع فيه قضاءً للأصل، و للأخبار </w:t>
      </w:r>
      <w:r>
        <w:rPr>
          <w:rStyle w:val="FootnoteAnchor"/>
          <w:rtl w:val="true"/>
        </w:rPr>
        <w:footnoteReference w:id="1279"/>
      </w:r>
      <w:r>
        <w:rPr>
          <w:rFonts w:ascii="Amiri" w:hAnsi="Amiri" w:eastAsia="Amiri" w:cs="Amiri"/>
          <w:color w:val="111111"/>
          <w:sz w:val="28"/>
          <w:sz w:val="28"/>
          <w:szCs w:val="28"/>
          <w:rtl w:val="true"/>
          <w:lang w:bidi="ar-SA"/>
        </w:rPr>
        <w:t>المطلقة في طهارة ما قضت بطهارته من الأسآر، أو النافية للبأس عنه، فإنّها تعمّ الجلال و غيره، لكانَ أَوْلى من الحكم بالكراهة؛ إذ لم أظفر بدليل يقضي به سوى كراهة سؤر ما لا يؤكل لحمه، و سيجيء الكلام فيه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اعتادها أو له شأنيّة ذلك، و الحكم فيه و سابقه كغيرهما في كلّ حيوان طاهر يزاول النجاسة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خلوّ مَوْضِع المُلاقاة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المائع مطلقاً من عضوه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تعلّق هذا القيد بكلّ من الجلّال و آكل الجيف، فإنّهما محلّ لتوهّم وجود النجاسة معه، و الكلام فيه كسابقه، و عسى أن تكون الكراهة فيهما بعد فَقْد الدّليل الخاص عليها من حيث استفادة المناط من فحوى </w:t>
      </w:r>
    </w:p>
    <w:p>
      <w:pPr>
        <w:pStyle w:val="BookText"/>
        <w:rPr/>
      </w:pPr>
      <w:r>
        <w:rPr>
          <w:rFonts w:ascii="Amiri" w:hAnsi="Amiri" w:eastAsia="Amiri" w:cs="Amiri"/>
          <w:color w:val="111111"/>
          <w:sz w:val="28"/>
          <w:sz w:val="28"/>
          <w:szCs w:val="28"/>
          <w:rtl w:val="true"/>
          <w:lang w:bidi="ar-SA"/>
        </w:rPr>
        <w:t xml:space="preserve">صحيحة العيص </w:t>
      </w:r>
      <w:r>
        <w:rPr>
          <w:rStyle w:val="FootnoteAnchor"/>
          <w:rtl w:val="true"/>
        </w:rPr>
        <w:footnoteReference w:id="1280"/>
      </w:r>
      <w:r>
        <w:rPr>
          <w:rFonts w:ascii="Amiri" w:hAnsi="Amiri" w:eastAsia="Amiri" w:cs="Amiri"/>
          <w:color w:val="111111"/>
          <w:sz w:val="28"/>
          <w:sz w:val="28"/>
          <w:szCs w:val="28"/>
          <w:rtl w:val="true"/>
          <w:lang w:bidi="ar-SA"/>
        </w:rPr>
        <w:t>، فإنّها أيضاً غير مأمونين و متّهمين بعدم خلوّ الموضع عن عين النّجاسة كالحائض، و الاستفادة المرقومة موقوفة على عدم كون زوال عين النجاسة في مطلق الحيوان من جملة المطهّرات، أو لجملة ما قضى بكراهة سؤر ما لا يؤكل لحمه، و لا يقضي بالعموم حتّى لمأكول اللحم من الجلّال و آكل الجيف، اللهُمَّ إلَّا أن يلحق الأوّل بغير مأكول اللّحم، و تعتبر في الثاني الشأنيّة مع دعوى أنّ ما من شأنه ذلك لا يكون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يقضي بثبوت الحكم بالطّهارة مع الخلوّ سواء علم بالمباشرة أم لا، غاب الأكل عن العين أم لا، عرض له المطهّر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الإطلاق المزبور مخالف لقواعد الطّهارة، إذ ليس لها دليل معتمد سوى بعض الإطلاقات </w:t>
      </w:r>
      <w:r>
        <w:rPr>
          <w:rStyle w:val="FootnoteAnchor"/>
          <w:rtl w:val="true"/>
        </w:rPr>
        <w:footnoteReference w:id="1281"/>
      </w:r>
      <w:r>
        <w:rPr>
          <w:rFonts w:ascii="IRNazanin" w:hAnsi="IRNazanin" w:eastAsia="IRNazanin"/>
          <w:color w:val="111111"/>
          <w:sz w:val="28"/>
          <w:sz w:val="28"/>
          <w:szCs w:val="28"/>
          <w:rtl w:val="true"/>
          <w:lang w:bidi="fa-IR"/>
        </w:rPr>
        <w:t>نحو ما قضى بطهارة بعض الحيوانات التي شأنها أكل الميتة، و كخصوص موثّقة عمّار، 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من الطير يتوضّأ ممّا يشرب منه إلَّا أن ترى في منقاره دماً، فلا تتوضّأ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الوسائل </w:t>
      </w:r>
      <w:r>
        <w:rPr>
          <w:rStyle w:val="FootnoteAnchor"/>
          <w:rtl w:val="true"/>
        </w:rPr>
        <w:footnoteReference w:id="1283"/>
      </w:r>
      <w:r>
        <w:rPr>
          <w:rFonts w:ascii="IRNazanin" w:hAnsi="IRNazanin" w:eastAsia="IRNazanin"/>
          <w:color w:val="111111"/>
          <w:sz w:val="28"/>
          <w:sz w:val="28"/>
          <w:szCs w:val="28"/>
          <w:rtl w:val="true"/>
          <w:lang w:bidi="fa-IR"/>
        </w:rPr>
        <w:t xml:space="preserve">رواه الشيخ، و زاد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علیه السلام عمّا تشرب منه الدّجاجة،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منقارها قذر لم تتوضّأ منه و لم تشرب، و إن لم تعلم أنّ في منقارها قذر فتوضّأ منه و 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الزيادة المرقومة في التهذيب في باب النجاسات لا في هذا الباب، و في الجواهر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وجودها، من عدم التتبع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مصحّحة عليّ بن جعفر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تأمّلت الرّواية وجدتها أوضح دلالةً من أخبار السؤر </w:t>
      </w:r>
      <w:r>
        <w:rPr>
          <w:rStyle w:val="FootnoteAnchor"/>
          <w:rtl w:val="true"/>
        </w:rPr>
        <w:footnoteReference w:id="1286"/>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لنفي البأس فيها عن استعمال ما لا أثر فيه من ثوبٍ و غيره عند وطئ واطئ العذرة له من الحيوان من عدم الاستفصال عن رطوبة الثوب و يبوسته و وجود عين النجاسة و عدمها، فيقضي ذلك بأن الثّوب لا ينجّس إلّا بالنّجاسة العينيّة الموجودة على الحيوان، لا من عضوه الملاقي للنجاسة، فهو يجري مجرى الاستثناء في دلالته على العموم و عدم الإهمال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فلولا أنّ المقام مقام العموم و البيان لم يكن للاستفصال وجه، من جهة وجود عين النجاسة و عدمها من الإمام علیه السلام، و استظهار هذا الحكم من هذه الأخبار في غاية الإشكال؛ لظهور ورودها في بيان الطهارة الذاتية دون العرضيّة، فيرجع فيها إلى ما تقتضيه القواعد، على أنّ ما كان منها غير ظاهر في النجاسة العرضيّة هو مطلق بالنّسبة إلى حالَتي وجود عين النجاسة وزوالها قبل خصوص المطهّر، و تخصيص الإطلاق في أحدهما و الإهمال في الآخر بلا دليل مشكلٌ جدّاً، و حينئذٍ فكلّ ما يوجّه به قصور الإطلاق بالنّسبة إلى وجود العين بعينه يأتي مع زوالها و بقاء الأثر، و أمّا ما كان منها ظاهراً في النجاسة العرضيّة كرواية عمّار </w:t>
      </w:r>
      <w:r>
        <w:rPr>
          <w:rStyle w:val="FootnoteAnchor"/>
          <w:rtl w:val="true"/>
        </w:rPr>
        <w:footnoteReference w:id="1287"/>
      </w:r>
      <w:r>
        <w:rPr>
          <w:rFonts w:ascii="Amiri" w:hAnsi="Amiri" w:eastAsia="Amiri" w:cs="Amiri"/>
          <w:color w:val="111111"/>
          <w:sz w:val="28"/>
          <w:sz w:val="28"/>
          <w:szCs w:val="28"/>
          <w:rtl w:val="true"/>
          <w:lang w:bidi="ar-SA"/>
        </w:rPr>
        <w:t xml:space="preserve">لمكان الاستثناء فيها، إذ لولاه لكان منقطعاً، و هو خلاف الأصل، فبعد تسليم الظهور المزبور و تعميم الإطلاق يعارضه ما قضى بتنجيس المتنجّس مطلقاً، و ارتكاب التخصيص فيه ليس بأَوْلى من ارتكاب التقييد في إطلاق الرّواية، مع أنّه عند دوران الأمر بينهما يتعيّن التقييد، سلّمنا تكافؤهما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حينئذٍ إلى وجوه الترجيح، و منها الأخذ بما هو أتقَن سنداً، و هي موثّقة فتنحط درجتها عن الصحيح بلا توثيق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يلزم من العمل بظاهرها ارتكاب التخصيص فيما دلّ على قبول كلّ جسم للنجاسة، و ارتكابه فيما قضى بحصر المطهّرات في المعهودة بالالتزام أنّ زوال العين من جملتها، و مثلها مصحّحة علي بن جعفر </w:t>
      </w:r>
      <w:r>
        <w:rPr>
          <w:rStyle w:val="FootnoteAnchor"/>
          <w:rtl w:val="true"/>
        </w:rPr>
        <w:footnoteReference w:id="1288"/>
      </w:r>
      <w:r>
        <w:rPr>
          <w:rFonts w:ascii="Amiri" w:hAnsi="Amiri" w:eastAsia="Amiri" w:cs="Amiri"/>
          <w:color w:val="111111"/>
          <w:sz w:val="28"/>
          <w:sz w:val="28"/>
          <w:szCs w:val="28"/>
          <w:rtl w:val="true"/>
          <w:lang w:bidi="ar-SA"/>
        </w:rPr>
        <w:t xml:space="preserve">، فإنّ الاستفصال فيها يُعطي كون الثوب كان يابساً، و لو منع ظهور اليبس فيه وجبَ الحمل عليه؛ لقضيّة الجمع، و هو تحكيم أحد العمومات على </w:t>
      </w:r>
    </w:p>
    <w:p>
      <w:pPr>
        <w:pStyle w:val="BookText"/>
        <w:rPr/>
      </w:pPr>
      <w:r>
        <w:rPr>
          <w:rFonts w:ascii="Amiri" w:hAnsi="Amiri" w:eastAsia="Amiri" w:cs="Amiri"/>
          <w:color w:val="111111"/>
          <w:sz w:val="28"/>
          <w:sz w:val="28"/>
          <w:szCs w:val="28"/>
          <w:rtl w:val="true"/>
          <w:lang w:bidi="ar-SA"/>
        </w:rPr>
        <w:t xml:space="preserve">إطلاق الرّواية، فإنّ مخالفة هذا الحكم لأحد قواعد اقتضتها العمومات لا يَكاد يُنْكَر، كقاعدة تنجيس عين النجاسة لملاقيها مطلقاً، و عدم زوال النجاسة بمجرّد زوال عينها مطلقاً، و تنجيس ملاقي المتنجّس مطلقاً من المائعات مطلقاً، و استصحاب نجاسة المحلّ مطلقاً مع حكومته على استصحاب طهارة ملاقيها مطلقاً، و لأجله اشترط الفاضل رحمه الله في النهاية احتمال وصول المزيل الشرعي بورود الحيوان على كرّ أو جارٍ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كلامهم هو الطّهارة حتّى مع العلم بعدم المُزيل </w:t>
      </w:r>
      <w:r>
        <w:rPr>
          <w:rStyle w:val="FootnoteAnchor"/>
          <w:rtl w:val="true"/>
        </w:rPr>
        <w:footnoteReference w:id="1290"/>
      </w:r>
      <w:r>
        <w:rPr>
          <w:rFonts w:ascii="Amiri" w:hAnsi="Amiri" w:eastAsia="Amiri" w:cs="Amiri"/>
          <w:color w:val="111111"/>
          <w:sz w:val="28"/>
          <w:sz w:val="28"/>
          <w:szCs w:val="28"/>
          <w:rtl w:val="true"/>
          <w:lang w:bidi="ar-SA"/>
        </w:rPr>
        <w:t xml:space="preserve">إِلَّا ما يُحكى عن بعض الشافعيّة </w:t>
      </w:r>
      <w:r>
        <w:rPr>
          <w:rStyle w:val="FootnoteAnchor"/>
          <w:rtl w:val="true"/>
        </w:rPr>
        <w:footnoteReference w:id="1291"/>
      </w:r>
      <w:r>
        <w:rPr>
          <w:rFonts w:ascii="Amiri" w:hAnsi="Amiri" w:eastAsia="Amiri" w:cs="Amiri"/>
          <w:color w:val="111111"/>
          <w:sz w:val="28"/>
          <w:sz w:val="28"/>
          <w:szCs w:val="28"/>
          <w:rtl w:val="true"/>
          <w:lang w:bidi="ar-SA"/>
        </w:rPr>
        <w:t>و عليه يلزم خروج هذا الحكم عن الأوَل، و لو بني على عمومها خرج من إحدى الأخيرتين، و المطابق لظاهر الأخبار هو الأوّل، إذ على فرض أن سياقها للطهارة الفعليّة دون الذاتيّة؛ لأجل ملاقاة النجاسة الخارجية، لا وَقْع لكلامه من تقييدها بصورة احتمال زوال نجاستها بمطهّر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تقتضيه القواعد إخراج الحكم المزبور من قاعدة تنجيس المتنجّس لملاقيه المائع؛ لأنّ دليل القاعدة المرقومة منحصر بالاستصحاب، و أخبار </w:t>
      </w:r>
      <w:r>
        <w:rPr>
          <w:rStyle w:val="FootnoteAnchor"/>
          <w:rtl w:val="true"/>
        </w:rPr>
        <w:footnoteReference w:id="1292"/>
      </w:r>
      <w:r>
        <w:rPr>
          <w:rFonts w:ascii="Amiri" w:hAnsi="Amiri" w:eastAsia="Amiri" w:cs="Amiri"/>
          <w:color w:val="111111"/>
          <w:sz w:val="28"/>
          <w:sz w:val="28"/>
          <w:szCs w:val="28"/>
          <w:rtl w:val="true"/>
          <w:lang w:bidi="ar-SA"/>
        </w:rPr>
        <w:t xml:space="preserve">الباب واردة عليه، و لا تعارض بينهما، فيجعل زوال العين من جملة المطهّرات وينقطع استصحاب النجاسة به، و لا يلزم طرحه، و لا خَلَل في عموم باقي القواعد على عمومها؛ لندرة التخصيص فيها، مضافاً إلى عَدّ جماعة </w:t>
      </w:r>
      <w:r>
        <w:rPr>
          <w:rStyle w:val="FootnoteAnchor"/>
          <w:rtl w:val="true"/>
        </w:rPr>
        <w:footnoteReference w:id="1293"/>
      </w:r>
      <w:r>
        <w:rPr>
          <w:rFonts w:ascii="Amiri" w:hAnsi="Amiri" w:eastAsia="Amiri" w:cs="Amiri"/>
          <w:color w:val="111111"/>
          <w:sz w:val="28"/>
          <w:sz w:val="28"/>
          <w:szCs w:val="28"/>
          <w:rtl w:val="true"/>
          <w:lang w:bidi="ar-SA"/>
        </w:rPr>
        <w:t>زوال عين النجاسة في المطهّرات، و لا يردّ على الحمل المزبور شيء سوى تخصيص عموم ما دلّ على حصر المطهّرات، و هو أهْوَن من غيره؛ لأنّ باب التطهير واسع، و ليس للحصر دليل سوى الأصل الذي لا ينافيه ورود مطهر غير المحصور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بعد التتبّع لم نعثر على خارج من القاعدتين سوى ماء الاستنجاء على القول </w:t>
      </w:r>
    </w:p>
    <w:p>
      <w:pPr>
        <w:pStyle w:val="BookText"/>
        <w:rPr/>
      </w:pPr>
      <w:r>
        <w:rPr>
          <w:rFonts w:ascii="Amiri" w:hAnsi="Amiri" w:eastAsia="Amiri" w:cs="Amiri"/>
          <w:color w:val="111111"/>
          <w:sz w:val="28"/>
          <w:sz w:val="28"/>
          <w:szCs w:val="28"/>
          <w:rtl w:val="true"/>
          <w:lang w:bidi="ar-SA"/>
        </w:rPr>
        <w:t xml:space="preserve">بالعفو في الأُولى وسوى البواطن في الثانية، و ليس عَدّ الزّوال المرقوم من المطهّرات بأعظم الطَّهارة التبعيّة في مواردها المعهودة كطهارة أواني الخمر المنقلب خلّاً حتى أعلى الإناء و لو بقي فيه أجزاء خمريّة، و أيضاً فأيّ فرق بين المقام و بين طهارة ماء وقعت فيه الذَّبابة بعد طيرانها من النّجاسة، و لا مشكّك فيه سوى المصنّف في الذكرى </w:t>
      </w:r>
      <w:r>
        <w:rPr>
          <w:rStyle w:val="FootnoteAnchor"/>
          <w:rtl w:val="true"/>
        </w:rPr>
        <w:footnoteReference w:id="1294"/>
      </w:r>
      <w:r>
        <w:rPr>
          <w:rFonts w:ascii="Amiri" w:hAnsi="Amiri" w:eastAsia="Amiri" w:cs="Amiri"/>
          <w:color w:val="111111"/>
          <w:sz w:val="28"/>
          <w:sz w:val="28"/>
          <w:szCs w:val="28"/>
          <w:rtl w:val="true"/>
          <w:lang w:bidi="ar-SA"/>
        </w:rPr>
        <w:t>، و ظاهره الإشكال دون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و إنْ لم يُثْمِر في المقام فإنّ محصّله الطهارة سواء حكم بأنّ الزّوال من المطهّرات أو بني على عدم الانفعال و تخصيص القاعدتين، لكن المقصود أحكام تلك القاعدتين و بيان عدم تطرّق التخصيص فيهما؛ لإتقان أدلتهما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يبعد القول بالطهارة، بل الظاهر أنّه كذلك وفاقاً للجلّ أو الكلّ، و إجماع الخلاف </w:t>
      </w:r>
      <w:r>
        <w:rPr>
          <w:rStyle w:val="FootnoteAnchor"/>
          <w:rtl w:val="true"/>
        </w:rPr>
        <w:footnoteReference w:id="1295"/>
      </w:r>
      <w:r>
        <w:rPr>
          <w:rFonts w:ascii="Amiri" w:hAnsi="Amiri" w:eastAsia="Amiri" w:cs="Amiri"/>
          <w:color w:val="111111"/>
          <w:sz w:val="28"/>
          <w:sz w:val="28"/>
          <w:szCs w:val="28"/>
          <w:rtl w:val="true"/>
          <w:lang w:bidi="ar-SA"/>
        </w:rPr>
        <w:t>، و الشهرة المحقّقة، و السّيرة الواضحة المتلقّاة مما تعيّن التزامها، و لا يلتفت بعد إلى وسوسة بعض المحصلين و إن لزم الاحتياط في الدّين و إنّي منهم، و لا يعمّ الحكم المذكور ظاهراً للإنسان من الحيوان، فلا يطهر بمجرّد الزّوال، و في الحكم بها مع الغيبة التي يمكن حصول التطهير الشرعي بها أقوال بعد الاتّفاق على حصولها للعالم المكلّف المتلبّس بما هي شرط فيه، و مع فَقْد الثلاثة أو أحدها إشكال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الموجز </w:t>
      </w:r>
      <w:r>
        <w:rPr>
          <w:rStyle w:val="FootnoteAnchor"/>
          <w:rtl w:val="true"/>
        </w:rPr>
        <w:footnoteReference w:id="1296"/>
      </w:r>
      <w:r>
        <w:rPr>
          <w:rFonts w:ascii="Amiri" w:hAnsi="Amiri" w:eastAsia="Amiri" w:cs="Amiri"/>
          <w:color w:val="111111"/>
          <w:sz w:val="28"/>
          <w:sz w:val="28"/>
          <w:szCs w:val="28"/>
          <w:rtl w:val="true"/>
          <w:lang w:bidi="ar-SA"/>
        </w:rPr>
        <w:t xml:space="preserve">الحكم بالطّهارة بمجرّد الغيبة عن البدن و الثياب، و خصّها بالأوّل بعض </w:t>
      </w:r>
      <w:r>
        <w:rPr>
          <w:rStyle w:val="FootnoteAnchor"/>
          <w:rtl w:val="true"/>
        </w:rPr>
        <w:footnoteReference w:id="1297"/>
      </w:r>
      <w:r>
        <w:rPr>
          <w:rFonts w:ascii="IRNazanin" w:hAnsi="IRNazanin" w:eastAsia="IRNazanin"/>
          <w:color w:val="111111"/>
          <w:sz w:val="28"/>
          <w:sz w:val="28"/>
          <w:szCs w:val="28"/>
          <w:rtl w:val="true"/>
          <w:lang w:bidi="fa-IR"/>
        </w:rPr>
        <w:t xml:space="preserve">، و ظاهر الماتن القول بالطّهارة مطلقاً مع فقد الثالث فقط، و فی التمهيد </w:t>
      </w:r>
      <w:r>
        <w:rPr>
          <w:rStyle w:val="FootnoteAnchor"/>
          <w:rtl w:val="true"/>
        </w:rPr>
        <w:footnoteReference w:id="1298"/>
      </w:r>
      <w:r>
        <w:rPr>
          <w:rFonts w:ascii="Amiri" w:hAnsi="Amiri" w:eastAsia="Amiri" w:cs="Amiri"/>
          <w:color w:val="111111"/>
          <w:sz w:val="28"/>
          <w:sz w:val="28"/>
          <w:szCs w:val="28"/>
          <w:rtl w:val="true"/>
          <w:lang w:bidi="ar-SA"/>
        </w:rPr>
        <w:t xml:space="preserve">جريان الحكم في غير المكلّف بشرط أن يكون مميّزاً، و حيث حكمنا بأنّ زوال العين عن الحيوان مطلقاً من المطهّرات أو مع الغيبة، أو التفصيل بين الإنسان و غيره، لا جرم أن يجري فيه </w:t>
      </w:r>
    </w:p>
    <w:p>
      <w:pPr>
        <w:pStyle w:val="BookText"/>
        <w:rPr/>
      </w:pPr>
      <w:r>
        <w:rPr>
          <w:rFonts w:ascii="Amiri" w:hAnsi="Amiri" w:eastAsia="Amiri" w:cs="Amiri"/>
          <w:color w:val="111111"/>
          <w:sz w:val="28"/>
          <w:sz w:val="28"/>
          <w:szCs w:val="28"/>
          <w:rtl w:val="true"/>
          <w:lang w:bidi="ar-SA"/>
        </w:rPr>
        <w:t>ما يجري فيها مطلقاً، فلو شكّ في الزّوال استصحب بقاؤه، و لا يكفي احتمال الزّوال في الطهارة، فإنّ مخالفة حكم الحيوان في المقام للقواعد توجب الأخذ بالمتيقّن، و هو العلم بخلوّ موضع الملاقاة من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الحكم بالطهارة مع الغيبة و إن لم يحصل اليقين بالزوال فيكفي احتماله، و هو ظاهر بعضهم </w:t>
      </w:r>
      <w:r>
        <w:rPr>
          <w:rStyle w:val="FootnoteAnchor"/>
          <w:rtl w:val="true"/>
        </w:rPr>
        <w:footnoteReference w:id="1299"/>
      </w:r>
      <w:r>
        <w:rPr>
          <w:rFonts w:ascii="Amiri" w:hAnsi="Amiri" w:eastAsia="Amiri" w:cs="Amiri"/>
          <w:color w:val="111111"/>
          <w:sz w:val="28"/>
          <w:sz w:val="28"/>
          <w:szCs w:val="28"/>
          <w:rtl w:val="true"/>
          <w:lang w:bidi="ar-SA"/>
        </w:rPr>
        <w:t>، و يظهر منه التفصيل بين عروض الغيبة و عدمها، فالنجاسة في الثاني إذا لم يعلم الزّوال، لكن ظاهر من جعل الغيبة من المطهّرات إنّما هو لأجل التوصّل إلى احتمال عروض المطهّر الشرعي لا أنّها كالماء في التطهير و إن قارنها العلم بعدم عروض المطهّر، و أوجه الوجوه الأوّل عندي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المباشر العارف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التنزّه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الشيخ في المبسوط </w:t>
      </w:r>
      <w:r>
        <w:rPr>
          <w:rStyle w:val="FootnoteAnchor"/>
          <w:rtl w:val="true"/>
        </w:rPr>
        <w:footnoteReference w:id="1300"/>
      </w:r>
      <w:r>
        <w:rPr>
          <w:rFonts w:ascii="Amiri" w:hAnsi="Amiri" w:eastAsia="Amiri" w:cs="Amiri"/>
          <w:color w:val="111111"/>
          <w:sz w:val="28"/>
          <w:sz w:val="28"/>
          <w:szCs w:val="28"/>
          <w:rtl w:val="true"/>
          <w:lang w:bidi="ar-SA"/>
        </w:rPr>
        <w:t xml:space="preserve">و عَلَم الهُدى </w:t>
      </w:r>
      <w:r>
        <w:rPr>
          <w:rStyle w:val="FootnoteAnchor"/>
          <w:rtl w:val="true"/>
        </w:rPr>
        <w:footnoteReference w:id="1301"/>
      </w:r>
      <w:r>
        <w:rPr>
          <w:rFonts w:ascii="Amiri" w:hAnsi="Amiri" w:eastAsia="Amiri" w:cs="Amiri"/>
          <w:color w:val="111111"/>
          <w:sz w:val="28"/>
          <w:sz w:val="28"/>
          <w:szCs w:val="28"/>
          <w:rtl w:val="true"/>
          <w:lang w:bidi="ar-SA"/>
        </w:rPr>
        <w:t xml:space="preserve">الحائض من دون قيد، و خصّص في المعتبر التنزّه عن خصوص الدّم </w:t>
      </w:r>
      <w:r>
        <w:rPr>
          <w:rStyle w:val="FootnoteAnchor"/>
          <w:rtl w:val="true"/>
        </w:rPr>
        <w:footnoteReference w:id="1302"/>
      </w:r>
      <w:r>
        <w:rPr>
          <w:rFonts w:ascii="Amiri" w:hAnsi="Amiri" w:eastAsia="Amiri" w:cs="Amiri"/>
          <w:color w:val="111111"/>
          <w:sz w:val="28"/>
          <w:sz w:val="28"/>
          <w:szCs w:val="28"/>
          <w:rtl w:val="true"/>
          <w:lang w:bidi="ar-SA"/>
        </w:rPr>
        <w:t xml:space="preserve">، و في الشرائع </w:t>
      </w:r>
      <w:r>
        <w:rPr>
          <w:rStyle w:val="FootnoteAnchor"/>
          <w:rtl w:val="true"/>
        </w:rPr>
        <w:footnoteReference w:id="1303"/>
      </w:r>
      <w:r>
        <w:rPr>
          <w:rFonts w:ascii="Amiri" w:hAnsi="Amiri" w:eastAsia="Amiri" w:cs="Amiri"/>
          <w:color w:val="111111"/>
          <w:sz w:val="28"/>
          <w:sz w:val="28"/>
          <w:szCs w:val="28"/>
          <w:rtl w:val="true"/>
          <w:lang w:bidi="ar-SA"/>
        </w:rPr>
        <w:t xml:space="preserve">و المصنّف في الذكرى </w:t>
      </w:r>
      <w:r>
        <w:rPr>
          <w:rStyle w:val="FootnoteAnchor"/>
          <w:rtl w:val="true"/>
        </w:rPr>
        <w:footnoteReference w:id="1304"/>
      </w:r>
      <w:r>
        <w:rPr>
          <w:rFonts w:ascii="Amiri" w:hAnsi="Amiri" w:eastAsia="Amiri" w:cs="Amiri"/>
          <w:color w:val="111111"/>
          <w:sz w:val="28"/>
          <w:sz w:val="28"/>
          <w:szCs w:val="28"/>
          <w:rtl w:val="true"/>
          <w:lang w:bidi="ar-SA"/>
        </w:rPr>
        <w:t xml:space="preserve">أنها التي لا تؤمن؛ تبعاً للنّص </w:t>
      </w:r>
      <w:r>
        <w:rPr>
          <w:rStyle w:val="FootnoteAnchor"/>
          <w:rtl w:val="true"/>
        </w:rPr>
        <w:footnoteReference w:id="1305"/>
      </w:r>
      <w:r>
        <w:rPr>
          <w:rFonts w:ascii="Amiri" w:hAnsi="Amiri" w:eastAsia="Amiri" w:cs="Amiri"/>
          <w:color w:val="111111"/>
          <w:sz w:val="28"/>
          <w:sz w:val="28"/>
          <w:szCs w:val="28"/>
          <w:rtl w:val="true"/>
          <w:lang w:bidi="ar-SA"/>
        </w:rPr>
        <w:t xml:space="preserve">، و هو أعمّ من القيد هنا، و الظاهر مخالفة إطلاق المرتضى و تخصيص المعتبر دون الشرائع، و تظهر الثمرة في غير المأمونة التي لم يعرضها الاتهام، فلا تلازم بينهما، و كراهة المقيدة كأنّه لا إشكال فيه في الوضوء و غيره؛ لعدّة نصوص </w:t>
      </w:r>
      <w:r>
        <w:rPr>
          <w:rStyle w:val="FootnoteAnchor"/>
          <w:rtl w:val="true"/>
        </w:rPr>
        <w:footnoteReference w:id="1306"/>
      </w:r>
      <w:r>
        <w:rPr>
          <w:rFonts w:ascii="Amiri" w:hAnsi="Amiri" w:eastAsia="Amiri" w:cs="Amiri"/>
          <w:color w:val="111111"/>
          <w:sz w:val="28"/>
          <w:sz w:val="28"/>
          <w:szCs w:val="28"/>
          <w:rtl w:val="true"/>
          <w:lang w:bidi="ar-SA"/>
        </w:rPr>
        <w:t>فيها الصحيح و غيره، و الجمع بشدّة الكراهة في الأوّل وضعفها في غيره حسن لو كان على عموم الحكم دليل، أو لم يكُن على عدمه دليل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 المصنّف بها في البيان</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كظاهر الشيخين </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متهم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حائضاً كان أو غيره في الحكم بالكراهة، و أنكره جماعة من المتأخِّرين </w:t>
      </w:r>
      <w:r>
        <w:rPr>
          <w:rStyle w:val="FootnoteAnchor"/>
          <w:rtl w:val="true"/>
        </w:rPr>
        <w:footnoteReference w:id="1309"/>
      </w:r>
      <w:r>
        <w:rPr>
          <w:rFonts w:ascii="Amiri" w:hAnsi="Amiri" w:eastAsia="Amiri" w:cs="Amiri"/>
          <w:color w:val="111111"/>
          <w:sz w:val="28"/>
          <w:sz w:val="28"/>
          <w:szCs w:val="28"/>
          <w:rtl w:val="true"/>
          <w:lang w:bidi="ar-SA"/>
        </w:rPr>
        <w:t xml:space="preserve">و كان كلامهم في غير النّفساء و المستحاضة و الُجنب المقطوع بالكراهة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للأمر بالاحتياط </w:t>
      </w:r>
      <w:r>
        <w:rPr>
          <w:rStyle w:val="FootnoteAnchor"/>
          <w:rtl w:val="true"/>
        </w:rPr>
        <w:footnoteReference w:id="1310"/>
      </w:r>
      <w:r>
        <w:rPr>
          <w:rFonts w:ascii="Amiri" w:hAnsi="Amiri" w:eastAsia="Amiri" w:cs="Amiri"/>
          <w:color w:val="111111"/>
          <w:sz w:val="28"/>
          <w:sz w:val="28"/>
          <w:szCs w:val="28"/>
          <w:rtl w:val="true"/>
          <w:lang w:bidi="ar-SA"/>
        </w:rPr>
        <w:t xml:space="preserve">في مضانّ النّجاسة، و لاستحباب </w:t>
      </w:r>
      <w:r>
        <w:rPr>
          <w:rStyle w:val="FootnoteAnchor"/>
          <w:rtl w:val="true"/>
        </w:rPr>
        <w:footnoteReference w:id="1311"/>
      </w:r>
      <w:r>
        <w:rPr>
          <w:rFonts w:ascii="Amiri" w:hAnsi="Amiri" w:eastAsia="Amiri" w:cs="Amiri"/>
          <w:color w:val="111111"/>
          <w:sz w:val="28"/>
          <w:sz w:val="28"/>
          <w:szCs w:val="28"/>
          <w:rtl w:val="true"/>
          <w:lang w:bidi="ar-SA"/>
        </w:rPr>
        <w:t>التنزّه عمّن لا يتنزّه، و للتسامح في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 البغل و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Style w:val="FootnoteAnchor"/>
          <w:rtl w:val="true"/>
        </w:rPr>
        <w:footnoteReference w:id="13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داخلان في تبعية الحيوان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الكراهة </w:t>
      </w:r>
      <w:r>
        <w:rPr>
          <w:rStyle w:val="FootnoteAnchor"/>
          <w:rtl w:val="true"/>
        </w:rPr>
        <w:footnoteReference w:id="1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الانفراد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لتأكيد </w:t>
      </w:r>
      <w:r>
        <w:rPr>
          <w:rStyle w:val="FootnoteAnchor"/>
          <w:rtl w:val="true"/>
        </w:rPr>
        <w:footnoteReference w:id="1315"/>
      </w:r>
      <w:r>
        <w:rPr>
          <w:rFonts w:ascii="Amiri" w:hAnsi="Amiri" w:eastAsia="Amiri" w:cs="Amiri"/>
          <w:color w:val="111111"/>
          <w:sz w:val="28"/>
          <w:sz w:val="28"/>
          <w:szCs w:val="28"/>
          <w:rtl w:val="true"/>
          <w:lang w:bidi="ar-SA"/>
        </w:rPr>
        <w:t>الكراهة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وردّه مع الجواب مبنيّ على إرادة الماتن من المتابعة ما يعمّ الكراهة، و هو غير ظاهر من كلامه، بل سَوْقُه إرادة التبعية في الطهارة و النجاسة فقط، إذ المتبادر من التبعية عدم الانفكاك عن المتبوع كالتّبعية فيهما، و هذا المعنى غير متحقّق في الكراهة لكراهية سؤر بعض ما يحرم أكله، فيحتمل حينئذ أنّه إنّما يكره سؤرهما للرواية، و تبقى عليه مؤاخذة في ترك الفرس</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Style w:val="FootnoteAnchor"/>
          <w:rtl w:val="true"/>
        </w:rPr>
        <w:footnoteReference w:id="1316"/>
      </w:r>
      <w:r>
        <w:rPr>
          <w:rFonts w:ascii="Amiri" w:hAnsi="Amiri" w:eastAsia="Amiri" w:cs="Amiri"/>
          <w:color w:val="111111"/>
          <w:sz w:val="28"/>
          <w:sz w:val="28"/>
          <w:szCs w:val="28"/>
          <w:rtl w:val="true"/>
          <w:lang w:bidi="ar-SA"/>
        </w:rPr>
        <w:t xml:space="preserve">، و اختلف كلام الشيخ رحمه الله، ففي النهاية </w:t>
      </w:r>
      <w:r>
        <w:rPr>
          <w:rStyle w:val="FootnoteAnchor"/>
          <w:rtl w:val="true"/>
        </w:rPr>
        <w:footnoteReference w:id="1317"/>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الكراهة </w:t>
      </w:r>
      <w:r>
        <w:rPr>
          <w:rStyle w:val="FootnoteAnchor"/>
          <w:rtl w:val="true"/>
        </w:rPr>
        <w:footnoteReference w:id="1318"/>
      </w:r>
      <w:r>
        <w:rPr>
          <w:rFonts w:ascii="Amiri" w:hAnsi="Amiri" w:eastAsia="Amiri" w:cs="Amiri"/>
          <w:color w:val="111111"/>
          <w:sz w:val="28"/>
          <w:sz w:val="28"/>
          <w:szCs w:val="28"/>
          <w:rtl w:val="true"/>
          <w:lang w:bidi="ar-SA"/>
        </w:rPr>
        <w:t xml:space="preserve">، و فيها بباب تطهير الثياب و البدن حكم بغسل ملاقيها الدّال على نجاستها و سؤرها، ولعلّ ذلك لظاهر اختلاف النصوص بها، و العمل اليوم على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أبي بصير </w:t>
      </w:r>
      <w:r>
        <w:rPr>
          <w:rStyle w:val="FootnoteAnchor"/>
          <w:rtl w:val="true"/>
        </w:rPr>
        <w:footnoteReference w:id="1319"/>
      </w:r>
      <w:r>
        <w:rPr>
          <w:rFonts w:ascii="Amiri" w:hAnsi="Amiri" w:eastAsia="Amiri" w:cs="Amiri"/>
          <w:color w:val="111111"/>
          <w:sz w:val="28"/>
          <w:sz w:val="28"/>
          <w:szCs w:val="28"/>
          <w:rtl w:val="true"/>
          <w:lang w:bidi="ar-SA"/>
        </w:rPr>
        <w:t xml:space="preserve">، لكن ظاهر المعتبر نفي الكراهة عن سؤرهما </w:t>
      </w:r>
      <w:r>
        <w:rPr>
          <w:rStyle w:val="FootnoteAnchor"/>
          <w:rtl w:val="true"/>
        </w:rPr>
        <w:footnoteReference w:id="1320"/>
      </w:r>
      <w:r>
        <w:rPr>
          <w:rFonts w:ascii="Amiri" w:hAnsi="Amiri" w:eastAsia="Amiri" w:cs="Amiri"/>
          <w:color w:val="111111"/>
          <w:sz w:val="28"/>
          <w:sz w:val="28"/>
          <w:szCs w:val="28"/>
          <w:rtl w:val="true"/>
          <w:lang w:bidi="ar-SA"/>
        </w:rPr>
        <w:t xml:space="preserve">فإنّه نفى البأس و المعتمد الكراهة فيهما </w:t>
      </w:r>
      <w:r>
        <w:rPr>
          <w:rStyle w:val="FootnoteAnchor"/>
          <w:rtl w:val="true"/>
        </w:rPr>
        <w:footnoteReference w:id="1321"/>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ما لا يؤكل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الوشّاء عن الصادق علیه السلام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يكره سؤر كلّ شيء لا يؤكل لحمه</w:t>
      </w:r>
      <w:r>
        <w:rPr>
          <w:rFonts w:eastAsia="IRNazanin" w:cs="IRNazanin"/>
          <w:color w:val="111111"/>
          <w:sz w:val="28"/>
          <w:szCs w:val="28"/>
          <w:rtl w:val="true"/>
          <w:lang w:bidi="fa-IR"/>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 و لظاهر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الكلّيّة، فلا كراهة في سؤره </w:t>
      </w:r>
      <w:r>
        <w:rPr>
          <w:rStyle w:val="FootnoteAnchor"/>
          <w:rtl w:val="true"/>
        </w:rPr>
        <w:footnoteReference w:id="1323"/>
      </w:r>
      <w:r>
        <w:rPr>
          <w:rFonts w:ascii="Amiri" w:hAnsi="Amiri" w:eastAsia="Amiri" w:cs="Amiri"/>
          <w:color w:val="111111"/>
          <w:sz w:val="28"/>
          <w:sz w:val="28"/>
          <w:szCs w:val="28"/>
          <w:rtl w:val="true"/>
          <w:lang w:bidi="ar-SA"/>
        </w:rPr>
        <w:t xml:space="preserve">بل قيل باستحباب سؤره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الحكم عليه بالكفر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بعده، مع إظهاره الإسلام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للفاضلين </w:t>
      </w:r>
      <w:r>
        <w:rPr>
          <w:rStyle w:val="FootnoteAnchor"/>
          <w:rtl w:val="true"/>
        </w:rPr>
        <w:footnoteReference w:id="1326"/>
      </w:r>
      <w:r>
        <w:rPr>
          <w:rFonts w:ascii="Amiri" w:hAnsi="Amiri" w:eastAsia="Amiri" w:cs="Amiri"/>
          <w:color w:val="111111"/>
          <w:sz w:val="28"/>
          <w:sz w:val="28"/>
          <w:szCs w:val="28"/>
          <w:rtl w:val="true"/>
          <w:lang w:bidi="ar-SA"/>
        </w:rPr>
        <w:t xml:space="preserve">في الكراهة، و خلافاً للصدوق </w:t>
      </w:r>
      <w:r>
        <w:rPr>
          <w:rStyle w:val="FootnoteAnchor"/>
          <w:rtl w:val="true"/>
        </w:rPr>
        <w:footnoteReference w:id="1327"/>
      </w:r>
      <w:r>
        <w:rPr>
          <w:rFonts w:ascii="IRNazanin" w:hAnsi="IRNazanin" w:eastAsia="IRNazanin"/>
          <w:color w:val="111111"/>
          <w:sz w:val="28"/>
          <w:sz w:val="28"/>
          <w:szCs w:val="28"/>
          <w:rtl w:val="true"/>
          <w:lang w:bidi="fa-IR"/>
        </w:rPr>
        <w:t xml:space="preserve">و المرتضى </w:t>
      </w:r>
      <w:r>
        <w:rPr>
          <w:rStyle w:val="FootnoteAnchor"/>
          <w:rtl w:val="true"/>
        </w:rPr>
        <w:footnoteReference w:id="1328"/>
      </w:r>
      <w:r>
        <w:rPr>
          <w:rFonts w:ascii="Amiri" w:hAnsi="Amiri" w:eastAsia="Amiri" w:cs="Amiri"/>
          <w:color w:val="111111"/>
          <w:sz w:val="28"/>
          <w:sz w:val="28"/>
          <w:szCs w:val="28"/>
          <w:rtl w:val="true"/>
          <w:lang w:bidi="ar-SA"/>
        </w:rPr>
        <w:t xml:space="preserve">فإنّهما مَنَعا من استعمال سؤره، و نقل الحلّي الإجماع على كفره في عتقه و تدبيره </w:t>
      </w:r>
      <w:r>
        <w:rPr>
          <w:rStyle w:val="FootnoteAnchor"/>
          <w:rtl w:val="true"/>
        </w:rPr>
        <w:footnoteReference w:id="1329"/>
      </w:r>
      <w:r>
        <w:rPr>
          <w:rFonts w:ascii="Amiri" w:hAnsi="Amiri" w:eastAsia="Amiri" w:cs="Amiri"/>
          <w:color w:val="111111"/>
          <w:sz w:val="28"/>
          <w:sz w:val="28"/>
          <w:szCs w:val="28"/>
          <w:rtl w:val="true"/>
          <w:lang w:bidi="ar-SA"/>
        </w:rPr>
        <w:t xml:space="preserve">، و لعلّه مستند الأوّلين، و كأنّ بعض الأخبار </w:t>
      </w:r>
      <w:r>
        <w:rPr>
          <w:rStyle w:val="FootnoteAnchor"/>
          <w:rtl w:val="true"/>
        </w:rPr>
        <w:footnoteReference w:id="1330"/>
      </w:r>
      <w:r>
        <w:rPr>
          <w:rFonts w:ascii="Amiri" w:hAnsi="Amiri" w:eastAsia="Amiri" w:cs="Amiri"/>
          <w:color w:val="111111"/>
          <w:sz w:val="28"/>
          <w:sz w:val="28"/>
          <w:szCs w:val="28"/>
          <w:rtl w:val="true"/>
          <w:lang w:bidi="ar-SA"/>
        </w:rPr>
        <w:t xml:space="preserve">ظاهرة بذلك، لكن الحقّ العدم، بل و كراهة سؤره </w:t>
      </w:r>
      <w:bookmarkStart w:id="92" w:name="pg9146_86061"/>
    </w:p>
    <w:p>
      <w:pPr>
        <w:pStyle w:val="BookText"/>
        <w:rPr/>
      </w:pPr>
      <w:bookmarkEnd w:id="92"/>
      <w:r>
        <w:rPr>
          <w:rFonts w:ascii="Amiri" w:hAnsi="Amiri" w:eastAsia="Amiri" w:cs="Amiri"/>
          <w:color w:val="111111"/>
          <w:sz w:val="28"/>
          <w:sz w:val="28"/>
          <w:szCs w:val="28"/>
          <w:rtl w:val="true"/>
          <w:lang w:bidi="ar-SA"/>
        </w:rPr>
        <w:t>مع إظهاره الإسلام و عدم بيان المنكر منه في غاية البُعد، فلتؤول تلك الأخبار المنبئة عن كفره، و يظهر أنّه مع سكوته و عدم إظهار الإسلام بعد البلوغ يحكم بكفره و إن أضمرها، و هو مشكل أيضاً</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3322586_2870459653"/>
      <w:bookmarkStart w:id="94" w:name="_Toc31"/>
      <w:bookmarkEnd w:id="93"/>
      <w:r>
        <w:rPr>
          <w:rtl w:val="true"/>
        </w:rPr>
        <w:t>[</w:t>
      </w:r>
      <w:r>
        <w:rPr>
          <w:rtl w:val="true"/>
        </w:rPr>
        <w:t>التباعد بين البئر و البالوعة</w:t>
      </w:r>
      <w:r>
        <w:rPr>
          <w:rtl w:val="true"/>
        </w:rPr>
        <w:t>]</w:t>
      </w:r>
      <w:bookmarkEnd w:id="9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التباعد بين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 الماء المحتاج إليه عند الاستعمال، المجتمع في محلّ واحد، و إن لم يكن له مادّة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البالوعة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يرمى فيها ماء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النجاسات زيادة بروضه </w:t>
      </w:r>
      <w:r>
        <w:rPr>
          <w:rStyle w:val="FootnoteAnchor"/>
          <w:rtl w:val="true"/>
        </w:rPr>
        <w:footnoteReference w:id="1331"/>
      </w:r>
      <w:r>
        <w:rPr>
          <w:rFonts w:ascii="Amiri" w:hAnsi="Amiri" w:eastAsia="Amiri" w:cs="Amiri"/>
          <w:color w:val="111111"/>
          <w:sz w:val="28"/>
          <w:sz w:val="28"/>
          <w:szCs w:val="28"/>
          <w:rtl w:val="true"/>
          <w:lang w:bidi="ar-SA"/>
        </w:rPr>
        <w:t xml:space="preserve">، فكأنّ الماتن أراد الأخير، بقرينة تأخيره هذه المسألة عن سابقتها، إذ لو أراد الأوّل لقدّمها عليها؛ لتعلّقها بها، فعلى الشّارح أن يظهر قرينة الاختصاص أو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بذراع اليَد، و هو خمسة و عشرين إصبعاً، أو ما بين المرفق و طرف البنصر، هذا إذا كانتا واقعتين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صلابة الأرض المتوسّطة، و في الذكرى الأرض الجبليّة </w:t>
      </w:r>
      <w:r>
        <w:rPr>
          <w:rStyle w:val="FootnoteAnchor"/>
          <w:rtl w:val="true"/>
        </w:rPr>
        <w:footnoteReference w:id="1332"/>
      </w:r>
      <w:r>
        <w:rPr>
          <w:rFonts w:ascii="Amiri" w:hAnsi="Amiri" w:eastAsia="Amiri" w:cs="Amiri"/>
          <w:color w:val="111111"/>
          <w:sz w:val="28"/>
          <w:sz w:val="28"/>
          <w:szCs w:val="28"/>
          <w:rtl w:val="true"/>
          <w:lang w:bidi="ar-SA"/>
        </w:rPr>
        <w:t xml:space="preserve">، و تعبيره بالصّلبة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كسكرة، أَوْلى؛ لعمومها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 كذلك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قرار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أعمق منها بحسب قراريهما، أو سطح مائهما من دون اعتبارهما في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 أو الأرض التي حفرا بها أو البالوعة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كانت الأرض 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صلبة و لا جبليّة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البالوعة مساوية للبئر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سطح 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مرتفعة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بالمتقدّم و روضه </w:t>
      </w:r>
      <w:r>
        <w:rPr>
          <w:rStyle w:val="FootnoteAnchor"/>
          <w:rtl w:val="true"/>
        </w:rPr>
        <w:footnoteReference w:id="1333"/>
      </w:r>
      <w:r>
        <w:rPr>
          <w:rFonts w:ascii="IRNazanin" w:hAnsi="IRNazanin" w:eastAsia="IRNazanin"/>
          <w:color w:val="111111"/>
          <w:sz w:val="28"/>
          <w:sz w:val="28"/>
          <w:szCs w:val="28"/>
          <w:rtl w:val="true"/>
          <w:lang w:bidi="fa-IR"/>
        </w:rPr>
        <w:t>، و يدلّ على اعتبار الصّلابة و ضدّها مع الشهرة مرسلة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سهلاً فسبعة أذرُع، و إن كان جبلاً فخمسة أذرع</w:t>
      </w:r>
      <w:r>
        <w:rPr>
          <w:rFonts w:eastAsia="IRNazanin" w:cs="IRNazanin"/>
          <w:color w:val="111111"/>
          <w:sz w:val="28"/>
          <w:szCs w:val="28"/>
          <w:rtl w:val="true"/>
          <w:lang w:bidi="fa-IR"/>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bookmarkStart w:id="95" w:name="pg9146_86063"/>
    </w:p>
    <w:p>
      <w:pPr>
        <w:pStyle w:val="BookText"/>
        <w:rPr/>
      </w:pPr>
      <w:bookmarkEnd w:id="95"/>
      <w:r>
        <w:rPr>
          <w:rFonts w:ascii="IRNazanin" w:hAnsi="IRNazanin" w:eastAsia="IRNazanin"/>
          <w:color w:val="111111"/>
          <w:sz w:val="28"/>
          <w:sz w:val="28"/>
          <w:szCs w:val="28"/>
          <w:rtl w:val="true"/>
          <w:lang w:bidi="fa-IR"/>
        </w:rPr>
        <w:t>و على اعتبار الفوقيّة و التحتيّة رواية الحسن بن رباط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علیه السلام عن البالوعة؟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أسفل من البئر فخمسة أذرع، و إن كان فوق البئر فسبعة أذرع</w:t>
      </w:r>
      <w:r>
        <w:rPr>
          <w:rFonts w:eastAsia="IRNazanin" w:cs="IRNazanin"/>
          <w:color w:val="111111"/>
          <w:sz w:val="28"/>
          <w:szCs w:val="28"/>
          <w:rtl w:val="true"/>
          <w:lang w:bidi="fa-IR"/>
        </w:rPr>
        <w:t xml:space="preserve">» </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2"/>
        <w:numPr>
          <w:ilvl w:val="1"/>
          <w:numId w:val="1"/>
        </w:numPr>
        <w:rPr/>
      </w:pPr>
      <w:bookmarkStart w:id="96" w:name="__RefHeading___Toc3322588_2870459653"/>
      <w:bookmarkStart w:id="97" w:name="_Toc32"/>
      <w:bookmarkEnd w:id="96"/>
      <w:r>
        <w:rPr>
          <w:rtl w:val="true"/>
        </w:rPr>
        <w:t>[</w:t>
      </w:r>
      <w:r>
        <w:rPr>
          <w:rtl w:val="true"/>
        </w:rPr>
        <w:t>صور التباعد بين البئر والبالوعة</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 المسألة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الفوقيّة و مقابلها باعتبار القرار دون اعتبار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حاصلة من ضرب صورَتي الرّخاوة و الصّلابة في الثلاث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التباعد في أربعة منها بخمسة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تساوى القراران، أو علا قرار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الرّخوة مع تحتيّة البالوعة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بسبعة في الصّورتين</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الباقيتين،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مساواتهما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البالوعة في الأرض الرّخوة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الجمع كذلك مشهور </w:t>
      </w:r>
      <w:r>
        <w:rPr>
          <w:rStyle w:val="FootnoteAnchor"/>
          <w:rtl w:val="true"/>
        </w:rPr>
        <w:footnoteReference w:id="1337"/>
      </w:r>
      <w:r>
        <w:rPr>
          <w:rFonts w:ascii="Amiri" w:hAnsi="Amiri" w:eastAsia="Amiri" w:cs="Amiri"/>
          <w:color w:val="111111"/>
          <w:sz w:val="28"/>
          <w:sz w:val="28"/>
          <w:szCs w:val="28"/>
          <w:rtl w:val="true"/>
          <w:lang w:bidi="ar-SA"/>
        </w:rPr>
        <w:t xml:space="preserve">، إذ مقتضى سببيه فوقيّة البالوعة في السّبعة عدم الفرق بين الصّلابة و الرّخاوة، فقيّدوه بغير الصّلبة لخبر ابن قدامة </w:t>
      </w:r>
      <w:r>
        <w:rPr>
          <w:rStyle w:val="FootnoteAnchor"/>
          <w:rtl w:val="true"/>
        </w:rPr>
        <w:footnoteReference w:id="1338"/>
      </w:r>
      <w:r>
        <w:rPr>
          <w:rFonts w:ascii="Amiri" w:hAnsi="Amiri" w:eastAsia="Amiri" w:cs="Amiri"/>
          <w:color w:val="111111"/>
          <w:sz w:val="28"/>
          <w:sz w:val="28"/>
          <w:szCs w:val="28"/>
          <w:rtl w:val="true"/>
          <w:lang w:bidi="ar-SA"/>
        </w:rPr>
        <w:t>تحكيماً للنصّ على الظاهر، فإنّ الشرطيّة فيه نصّ في الجبل، و في الأخرى ظاهرة فيه، و بذلك يتمّ سبيّة كلّ من صلابة الأرض المستفادة من الجبليّة و فوقيّة البئر مع إطلاق أسفليّة البالوعة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سببيّة الخمسة على إطلاقه دون سببيّة السّبعة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نوقش بإمكان العكس فتقيد سببيّة الخمسة و تبقى في صورتين و السّبعة بأربع، و هو ظاهر الفاضل بإرشاده </w:t>
      </w:r>
      <w:r>
        <w:rPr>
          <w:rStyle w:val="FootnoteAnchor"/>
          <w:rtl w:val="true"/>
        </w:rPr>
        <w:footnoteReference w:id="1339"/>
      </w:r>
      <w:r>
        <w:rPr>
          <w:rFonts w:ascii="Amiri" w:hAnsi="Amiri" w:eastAsia="Amiri" w:cs="Amiri"/>
          <w:color w:val="111111"/>
          <w:sz w:val="28"/>
          <w:sz w:val="28"/>
          <w:szCs w:val="28"/>
          <w:rtl w:val="true"/>
          <w:lang w:bidi="ar-SA"/>
        </w:rPr>
        <w:t xml:space="preserve">، و الشهرة تعضد الأوّل، بل الظاهر أنّ الصلابة و الفوقيّة مانعان من نفوذ الماء فيما دون السّبعة، و محصّل المانعيّة الاكتفاء بوجود أحدهما في عدم السّبعة، و لا </w:t>
      </w:r>
    </w:p>
    <w:p>
      <w:pPr>
        <w:pStyle w:val="BookText"/>
        <w:rPr/>
      </w:pPr>
      <w:r>
        <w:rPr>
          <w:rFonts w:ascii="Amiri" w:hAnsi="Amiri" w:eastAsia="Amiri" w:cs="Amiri"/>
          <w:color w:val="111111"/>
          <w:sz w:val="28"/>
          <w:sz w:val="28"/>
          <w:szCs w:val="28"/>
          <w:rtl w:val="true"/>
          <w:lang w:bidi="ar-SA"/>
        </w:rPr>
        <w:t>كذلك السهولة و تحتيّة البئر، فإنّهما مع حصول المانع لا يقتضيان السبعة، لكن يلزم عليه لغويّة تقدير الخمسة في الصلابة فلا يتمّ مانعيّتها مطلقاً، أو يتمحّل بإرادة المنع الشرعي فيهما فيرجع حينئذٍ إلى الظّهور، فلا يتم الردّ الثاني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13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الجزم بعدم جريان جمع المشهور على القواعد من غير بيان الوجه فيه مع فتح باب التقييد في المطلقات حتّى لا يعثر على مطلق باقٍ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مجموع الرّوايتين أنّ السبعة لها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و فوقيّة البالوعة، و الخمسة أيضاً لها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الجبليّة و أسفليّة البالوعة، و يحصل التعارض عند تعارض الأسباب، كما إذا كانت الأرض سهلة و البالوعة أسفل من البئر فلا بدّ من مرجّح خارجي حينئذٍ، و كذلك لو كانت الأرض جبلاً و البالوعة فوق البئر، و لعله بالنسبة إلينا تكفي الشهرة في المرجّح فتتبع، و بالنّسبة إليهم لا يعلم المرجّح ، و لعلّه دليل خارجي،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 فهم المانعيّة المتقدِّمة من أخبار المقام شرعاً لا وقع لكلامه أبداً، مع أنّ تعارض السببين اصطلاحاً لا يكون إلّا مع عدم إمكان التصرّف في أحدهما و تكافؤ دليليهما مثل تعارض البيّنتين، و التصرّف هنا ممكن بالرّجوع إلى المشهور </w:t>
      </w:r>
      <w:r>
        <w:rPr>
          <w:rStyle w:val="FootnoteAnchor"/>
          <w:rtl w:val="true"/>
        </w:rPr>
        <w:footnoteReference w:id="1341"/>
      </w:r>
      <w:r>
        <w:rPr>
          <w:rFonts w:ascii="IRNazanin" w:hAnsi="IRNazanin" w:eastAsia="IRNazanin"/>
          <w:color w:val="111111"/>
          <w:sz w:val="28"/>
          <w:sz w:val="28"/>
          <w:szCs w:val="28"/>
          <w:rtl w:val="true"/>
          <w:lang w:bidi="fa-IR"/>
        </w:rPr>
        <w:t xml:space="preserve">أو الفاضل </w:t>
      </w:r>
      <w:r>
        <w:rPr>
          <w:rStyle w:val="FootnoteAnchor"/>
          <w:rtl w:val="true"/>
        </w:rPr>
        <w:footnoteReference w:id="1342"/>
      </w:r>
      <w:r>
        <w:rPr>
          <w:rFonts w:ascii="Amiri" w:hAnsi="Amiri" w:eastAsia="Amiri" w:cs="Amiri"/>
          <w:color w:val="111111"/>
          <w:sz w:val="28"/>
          <w:sz w:val="28"/>
          <w:szCs w:val="28"/>
          <w:rtl w:val="true"/>
          <w:lang w:bidi="ar-SA"/>
        </w:rPr>
        <w:t>، و أنّ أصالة عدم استحباب السّبعة في الصّلابة عند فوقيّة البالوعة ممّا يقوي قول الجمع في الجمع و يجريه على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صريح كلام الشارح هنا تبعيّة المشهور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التی هی مستندهم تضمّنت السّبعة مع فوقیة البالوعة، و الخمسة عند فوقیِّة البئر، و حکم تساویها مسکوت عنه فیها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صورة التساوی مع فوقیة البالوعة مشمولتان لإطلاق السّبعة في السّهلة </w:t>
      </w:r>
    </w:p>
    <w:p>
      <w:pPr>
        <w:pStyle w:val="BookText"/>
        <w:rPr/>
      </w:pPr>
      <w:r>
        <w:rPr>
          <w:rFonts w:ascii="Amiri" w:hAnsi="Amiri" w:eastAsia="Amiri" w:cs="Amiri"/>
          <w:color w:val="111111"/>
          <w:sz w:val="28"/>
          <w:sz w:val="28"/>
          <w:szCs w:val="28"/>
          <w:rtl w:val="true"/>
          <w:lang w:bidi="ar-SA"/>
        </w:rPr>
        <w:t xml:space="preserve">في الرواية الأُخرى </w:t>
      </w:r>
      <w:r>
        <w:rPr>
          <w:rStyle w:val="FootnoteAnchor"/>
          <w:rtl w:val="true"/>
        </w:rPr>
        <w:footnoteReference w:id="1344"/>
      </w:r>
      <w:r>
        <w:rPr>
          <w:rFonts w:ascii="Amiri" w:hAnsi="Amiri" w:eastAsia="Amiri" w:cs="Amiri"/>
          <w:color w:val="111111"/>
          <w:sz w:val="28"/>
          <w:sz w:val="28"/>
          <w:szCs w:val="28"/>
          <w:rtl w:val="true"/>
          <w:lang w:bidi="ar-SA"/>
        </w:rPr>
        <w:t>، و لم يخرج منها إلّا صورة علوّ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التّساوي بالصّلبة فمستنده إطلاق </w:t>
      </w:r>
      <w:r>
        <w:rPr>
          <w:rStyle w:val="FootnoteAnchor"/>
          <w:rtl w:val="true"/>
        </w:rPr>
        <w:footnoteReference w:id="1345"/>
      </w:r>
      <w:r>
        <w:rPr>
          <w:rFonts w:ascii="Amiri" w:hAnsi="Amiri" w:eastAsia="Amiri" w:cs="Amiri"/>
          <w:color w:val="111111"/>
          <w:sz w:val="28"/>
          <w:sz w:val="28"/>
          <w:szCs w:val="28"/>
          <w:rtl w:val="true"/>
          <w:lang w:bidi="ar-SA"/>
        </w:rPr>
        <w:t>ما قضى باعتبار الخمسة في الصّلابة مطلقاً؛ لبقاء عمومه بحاله على مذاق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 الفوقيّة المحسوسة مطلقاً الفوقيّة بالجهة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نصّ الصّدوق </w:t>
      </w:r>
      <w:r>
        <w:rPr>
          <w:rStyle w:val="FootnoteAnchor"/>
          <w:rtl w:val="true"/>
        </w:rPr>
        <w:footnoteReference w:id="1346"/>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1347"/>
      </w:r>
      <w:r>
        <w:rPr>
          <w:rFonts w:ascii="IRNazanin" w:hAnsi="IRNazanin" w:eastAsia="IRNazanin"/>
          <w:color w:val="111111"/>
          <w:sz w:val="28"/>
          <w:sz w:val="28"/>
          <w:szCs w:val="28"/>
          <w:rtl w:val="true"/>
          <w:lang w:bidi="fa-IR"/>
        </w:rPr>
        <w:t xml:space="preserve">و فخر الإسلام </w:t>
      </w:r>
      <w:r>
        <w:rPr>
          <w:rStyle w:val="FootnoteAnchor"/>
          <w:rtl w:val="true"/>
        </w:rPr>
        <w:footnoteReference w:id="1348"/>
      </w:r>
      <w:r>
        <w:rPr>
          <w:rFonts w:ascii="Amiri" w:hAnsi="Amiri" w:eastAsia="Amiri" w:cs="Amiri"/>
          <w:color w:val="111111"/>
          <w:sz w:val="28"/>
          <w:sz w:val="28"/>
          <w:szCs w:val="28"/>
          <w:rtl w:val="true"/>
          <w:lang w:bidi="ar-SA"/>
        </w:rPr>
        <w:t xml:space="preserve">و جماعة،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البئر في جهة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البالوعة بالجنوب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الخمسة مع رخاوة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العلوّ الشمالي منزلة الحسّي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استوى القراران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جهة الشمال جهة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سليمان الدّيلمي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مجاري العيون مع مَهبّ الشمال</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قُدامة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 الماء إلى القبلة</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كان سواء بالنسبة إلى الجنوب و الشمال فهما سواء، سواء كان أحدهما في جهة المغرب و الأُخرى في المشرق أو العكس، فترتفع الصور إلى أربع و عشرين حاصلة من ضرب الأربع في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ضمّ إلى الجهات الزّوايا الأربع الحاصلة من الجهات الأربع كانت الصور ثمانياً و أربعين صورة، و عند تعارض الفوقيّة الحسّيّة مع النّاشئة من الجهة تُقدَّم الأُولى، و مع عدمه تعتبر فوقيّة الجهة؛ للتّسامح في أدلّة السُّنن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الوالده رحمه الله في أنوار فقاهته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الخمسة و السبعة و الاثني عشر في الأخبار من باب المثال؛ لإرادة التنزّه، و الاختلاف لاختلاف الأراضي قوّةً و رخاوةً و علوّاً و هبوطاً حتّى لو كانت الأرض صخرة منقورة لكفى الشبر، أو كانت رَملاً هائلاً لا يكفي الاثنا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ما في الأخبار ينزّل على غالب الأراضي الصّلبة منها و السّهلة </w:t>
      </w:r>
      <w:r>
        <w:rPr>
          <w:rStyle w:val="FootnoteAnchor"/>
          <w:rtl w:val="true"/>
        </w:rPr>
        <w:footnoteReference w:id="135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بالبالوعة و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تقاربتا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العلم بالاتّصال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باتّصال ما بها من النجس بماء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تغيّره به إن قلنا بعدم كفاية الاتّصال بالنّجاسة فيها دون الكُرّ على مختارنا، أو مطلقاً على المشهور، و الشارح على مذهبه من كفاية مجرّد اتّصاله في انفعاله، فمع عدمه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للنجاسة، و احتمل في الجماليّة </w:t>
      </w:r>
      <w:r>
        <w:rPr>
          <w:rStyle w:val="FootnoteAnchor"/>
          <w:rtl w:val="true"/>
        </w:rPr>
        <w:footnoteReference w:id="135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 ماءها، و ظاهر السَوْق يأباه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له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لامها لاستغراق أفرادها العشرة النوعيّة، أو للماهية، بتأويل أنّ هذا الجنس ذو عشرة، يعني متنوّعاً إلى عشرة أنواع، أو أنواعه عشرة بحذف المضاف في المبتدأ، أو الخبر أو عنايته معنىً، و ضربه عن صيغة الجمع هنا مع تعبيره به تبعاً للجمع بغيره لعدم سبق ذكر عددها فيه، و من جاء بالجمع نظراً إلى التّعدد المعلوم المركوز في الأذهان، و قول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أراد من اللّام ثاني الاحتمالين و أنها للجنس على التقديرين بالحذف، و الاستغراق أقرب و أولى، و عليه فلا يقدر الجنس في المبتدأ، أو إضافته لها من الشارح لعلّها بيانية نحو يوم الخميس، أو لاميّة بأدنى 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أنّه أن </w:t>
      </w:r>
      <w:r>
        <w:rPr>
          <w:rStyle w:val="FootnoteAnchor"/>
          <w:rtl w:val="true"/>
        </w:rPr>
        <w:footnoteReference w:id="1353"/>
      </w:r>
      <w:r>
        <w:rPr>
          <w:rFonts w:ascii="Amiri" w:hAnsi="Amiri" w:eastAsia="Amiri" w:cs="Amiri"/>
          <w:color w:val="111111"/>
          <w:sz w:val="28"/>
          <w:sz w:val="28"/>
          <w:szCs w:val="28"/>
          <w:rtl w:val="true"/>
          <w:lang w:bidi="ar-SA"/>
        </w:rPr>
        <w:t>يريد بجنسها الأجناس التي تحتها، فأشار إلى أنّ كلّاً من العشرة جنس، و أومأ إلى تذكير العشرة لكون المراد بها الأجناس، فحينئذ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جنسها، بمنزلة نوعها الذي هو جنس لما تحته، و الإضافة لاميّة أيضاً، و هو جيّد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أجناسها، أو يجعل بعد العشرة لفظ أجناس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أراد بالعشرة عشرة أجناس فالنجاسات المعدودة ليست </w:t>
      </w:r>
      <w:bookmarkStart w:id="98" w:name="pg9146_86071"/>
    </w:p>
    <w:p>
      <w:pPr>
        <w:pStyle w:val="BookText"/>
        <w:rPr/>
      </w:pPr>
      <w:bookmarkEnd w:id="98"/>
      <w:r>
        <w:rPr>
          <w:rFonts w:ascii="Amiri" w:hAnsi="Amiri" w:eastAsia="Amiri" w:cs="Amiri"/>
          <w:color w:val="111111"/>
          <w:sz w:val="28"/>
          <w:sz w:val="28"/>
          <w:szCs w:val="28"/>
          <w:rtl w:val="true"/>
          <w:lang w:bidi="ar-SA"/>
        </w:rPr>
        <w:t>أجناساً بالنظر إلى النجاسة، و إنّما هي أنواع، و إن أراد الأنواع فالنوع ليس عين الجنس حتّى يخبر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الأوّل و القول بأنّ كلّاً من هذه الأنواع جنس تحته أنواع و إن لم يكن جنساً للنجاسة، فلا ضَيْرَ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عشرة أجناس، من غير أن يُراد أنها أجناس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ليس عين الجنس، ممنوع، بل في الخارج عينه، و إن غايره في الذهن، مع أنّ حمل الأفراد و الأنواع على الأجناس بمعنى انقسامها إليها و تنوّعها بها أمرٌ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معنى النجاسة لغة و اصطلاحاً في كلامنا، غير أنّ ظاهر الماتن في القواعد </w:t>
      </w:r>
      <w:r>
        <w:rPr>
          <w:rStyle w:val="FootnoteAnchor"/>
          <w:rtl w:val="true"/>
        </w:rPr>
        <w:footnoteReference w:id="1354"/>
      </w:r>
      <w:r>
        <w:rPr>
          <w:rFonts w:ascii="Amiri" w:hAnsi="Amiri" w:eastAsia="Amiri" w:cs="Amiri"/>
          <w:color w:val="111111"/>
          <w:sz w:val="28"/>
          <w:sz w:val="28"/>
          <w:szCs w:val="28"/>
          <w:rtl w:val="true"/>
          <w:lang w:bidi="ar-SA"/>
        </w:rPr>
        <w:t>أنّ النجاسة عين الحكم بالاجتناب، و ليس كذلك قطعاً، إذ النجاسة من صفات الأجسام فلا دَخل لها في الأحكام</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3322590_2870459653"/>
      <w:bookmarkStart w:id="100" w:name="_Toc33"/>
      <w:bookmarkEnd w:id="99"/>
      <w:r>
        <w:rPr>
          <w:rtl w:val="true"/>
        </w:rPr>
        <w:t>[</w:t>
      </w:r>
      <w:r>
        <w:rPr>
          <w:rtl w:val="true"/>
        </w:rPr>
        <w:t>أنواع النجاسات</w:t>
      </w:r>
      <w:r>
        <w:rPr>
          <w:rtl w:val="true"/>
        </w:rPr>
        <w:t>]</w:t>
      </w:r>
      <w:bookmarkEnd w:id="100"/>
    </w:p>
    <w:p>
      <w:pPr>
        <w:pStyle w:val="BookText"/>
        <w:rPr/>
      </w:pPr>
      <w:r>
        <w:rPr>
          <w:rFonts w:ascii="Amiri" w:hAnsi="Amiri" w:eastAsia="Amiri" w:cs="Amiri"/>
          <w:color w:val="111111"/>
          <w:sz w:val="28"/>
          <w:sz w:val="28"/>
          <w:szCs w:val="28"/>
          <w:rtl w:val="true"/>
          <w:lang w:bidi="ar-SA"/>
        </w:rPr>
        <w:t xml:space="preserve">و كيف كان، فأنواعها المبحوث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ذرق الدّجاج، و عرق الجنب من الحرام، و عرق الإبل الجلّالة، و العصير إذا غلا و اشتدّ و لم يذهب ثُلثاه، و الفأرة، و الثعلب، و الأرنب، و المسوخ، و أرواث بعض الحيوانات ممّا يُؤكل لحمه و أبوالها، و ربّما تذكر استطراداً في طَيّ المباحث</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المعروفان من الإنسان مطلقاً، أو من غير الرضيع إجماعاً محصّلاً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مأكول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غيره قولاً مشهوراً </w:t>
      </w:r>
      <w:r>
        <w:rPr>
          <w:rStyle w:val="FootnoteAnchor"/>
          <w:rtl w:val="true"/>
        </w:rPr>
        <w:footnoteReference w:id="1357"/>
      </w:r>
      <w:r>
        <w:rPr>
          <w:rFonts w:ascii="Amiri" w:hAnsi="Amiri" w:eastAsia="Amiri" w:cs="Amiri"/>
          <w:color w:val="111111"/>
          <w:sz w:val="28"/>
          <w:sz w:val="28"/>
          <w:szCs w:val="28"/>
          <w:rtl w:val="true"/>
          <w:lang w:bidi="ar-SA"/>
        </w:rPr>
        <w:t xml:space="preserve">كادَ أن يكون مستفيضاً،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منقولاً في التذكرة </w:t>
      </w:r>
      <w:r>
        <w:rPr>
          <w:rStyle w:val="FootnoteAnchor"/>
          <w:rtl w:val="true"/>
        </w:rPr>
        <w:footnoteReference w:id="1358"/>
      </w:r>
      <w:r>
        <w:rPr>
          <w:rFonts w:ascii="Amiri" w:hAnsi="Amiri" w:eastAsia="Amiri" w:cs="Amiri"/>
          <w:color w:val="111111"/>
          <w:sz w:val="28"/>
          <w:sz w:val="28"/>
          <w:szCs w:val="28"/>
          <w:rtl w:val="true"/>
          <w:lang w:bidi="ar-SA"/>
        </w:rPr>
        <w:t xml:space="preserve">على مساواتهما و قصره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 ما كان له نفس 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الدّم القويّ يخرج من العروق </w:t>
      </w:r>
      <w:r>
        <w:rPr>
          <w:rStyle w:val="FootnoteAnchor"/>
          <w:rtl w:val="true"/>
        </w:rPr>
        <w:footnoteReference w:id="1359"/>
      </w:r>
      <w:r>
        <w:rPr>
          <w:rFonts w:ascii="Amiri" w:hAnsi="Amiri" w:eastAsia="Amiri" w:cs="Amiri"/>
          <w:color w:val="111111"/>
          <w:sz w:val="28"/>
          <w:sz w:val="28"/>
          <w:szCs w:val="28"/>
          <w:rtl w:val="true"/>
          <w:lang w:bidi="ar-SA"/>
        </w:rPr>
        <w:t>عند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ما لا نفس له سائلة كالسّمك، فبوله و خرؤه طاهران؛ لطهارة ميتته، و للأصل، و للزوم الحَرَج لولاه، و انصراف ما قضى بالنجاسة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الجميع جماعة، فذهب الإسكافي </w:t>
      </w:r>
      <w:r>
        <w:rPr>
          <w:rStyle w:val="FootnoteAnchor"/>
          <w:rtl w:val="true"/>
        </w:rPr>
        <w:footnoteReference w:id="1360"/>
      </w:r>
      <w:r>
        <w:rPr>
          <w:rFonts w:ascii="Amiri" w:hAnsi="Amiri" w:eastAsia="Amiri" w:cs="Amiri"/>
          <w:color w:val="111111"/>
          <w:sz w:val="28"/>
          <w:sz w:val="28"/>
          <w:szCs w:val="28"/>
          <w:rtl w:val="true"/>
          <w:lang w:bidi="ar-SA"/>
        </w:rPr>
        <w:t xml:space="preserve">إلى طهارة بول الرضيع الذَّكَر قبل أن يأكل اللحم، و مستنده رواية السّكوني </w:t>
      </w:r>
      <w:r>
        <w:rPr>
          <w:rStyle w:val="FootnoteAnchor"/>
          <w:rtl w:val="true"/>
        </w:rPr>
        <w:footnoteReference w:id="1361"/>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و أنّ منطوقها عدم وجوب الغسل فلا ينافيه وجوب الصّبّ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جهة لتقييده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من المحقّقين إلى اختصاص النجاسة بغير الطّير، و فيه إلى الطّهارة مطلقاً، و هو للعماني و الجعفي </w:t>
      </w:r>
      <w:r>
        <w:rPr>
          <w:rStyle w:val="FootnoteAnchor"/>
          <w:rtl w:val="true"/>
        </w:rPr>
        <w:footnoteReference w:id="1362"/>
      </w:r>
      <w:r>
        <w:rPr>
          <w:rFonts w:ascii="IRNazanin" w:hAnsi="IRNazanin" w:eastAsia="IRNazanin"/>
          <w:color w:val="111111"/>
          <w:sz w:val="28"/>
          <w:sz w:val="28"/>
          <w:szCs w:val="28"/>
          <w:rtl w:val="true"/>
          <w:lang w:bidi="fa-IR"/>
        </w:rPr>
        <w:t xml:space="preserve">و الصدوق </w:t>
      </w:r>
      <w:r>
        <w:rPr>
          <w:rStyle w:val="FootnoteAnchor"/>
          <w:rtl w:val="true"/>
        </w:rPr>
        <w:footnoteReference w:id="1363"/>
      </w:r>
      <w:r>
        <w:rPr>
          <w:rFonts w:ascii="Amiri" w:hAnsi="Amiri" w:eastAsia="Amiri" w:cs="Amiri"/>
          <w:color w:val="111111"/>
          <w:sz w:val="28"/>
          <w:sz w:val="28"/>
          <w:szCs w:val="28"/>
          <w:rtl w:val="true"/>
          <w:lang w:bidi="ar-SA"/>
        </w:rPr>
        <w:t xml:space="preserve">و كاشف اللّثام </w:t>
      </w:r>
      <w:r>
        <w:rPr>
          <w:rStyle w:val="FootnoteAnchor"/>
          <w:rtl w:val="true"/>
        </w:rPr>
        <w:footnoteReference w:id="1364"/>
      </w:r>
      <w:r>
        <w:rPr>
          <w:rFonts w:ascii="IRNazanin" w:hAnsi="IRNazanin" w:eastAsia="IRNazanin"/>
          <w:color w:val="111111"/>
          <w:sz w:val="28"/>
          <w:sz w:val="28"/>
          <w:szCs w:val="28"/>
          <w:rtl w:val="true"/>
          <w:lang w:bidi="fa-IR"/>
        </w:rPr>
        <w:t xml:space="preserve">و الحدائق </w:t>
      </w:r>
      <w:r>
        <w:rPr>
          <w:rStyle w:val="FootnoteAnchor"/>
          <w:rtl w:val="true"/>
        </w:rPr>
        <w:footnoteReference w:id="1365"/>
      </w:r>
      <w:r>
        <w:rPr>
          <w:rFonts w:ascii="Amiri" w:hAnsi="Amiri" w:eastAsia="Amiri" w:cs="Amiri"/>
          <w:color w:val="111111"/>
          <w:sz w:val="28"/>
          <w:sz w:val="28"/>
          <w:szCs w:val="28"/>
          <w:rtl w:val="true"/>
          <w:lang w:bidi="ar-SA"/>
        </w:rPr>
        <w:t xml:space="preserve">و الفخريّة </w:t>
      </w:r>
      <w:r>
        <w:rPr>
          <w:rStyle w:val="FootnoteAnchor"/>
          <w:rtl w:val="true"/>
        </w:rPr>
        <w:footnoteReference w:id="1366"/>
      </w:r>
      <w:r>
        <w:rPr>
          <w:rFonts w:ascii="Amiri" w:hAnsi="Amiri" w:eastAsia="Amiri" w:cs="Amiri"/>
          <w:color w:val="111111"/>
          <w:sz w:val="28"/>
          <w:sz w:val="28"/>
          <w:szCs w:val="28"/>
          <w:rtl w:val="true"/>
          <w:lang w:bidi="ar-SA"/>
        </w:rPr>
        <w:t xml:space="preserve">و كشف الأسرار </w:t>
      </w:r>
      <w:r>
        <w:rPr>
          <w:rStyle w:val="FootnoteAnchor"/>
          <w:rtl w:val="true"/>
        </w:rPr>
        <w:footnoteReference w:id="1367"/>
      </w:r>
      <w:r>
        <w:rPr>
          <w:rFonts w:ascii="Amiri" w:hAnsi="Amiri" w:eastAsia="Amiri" w:cs="Amiri"/>
          <w:color w:val="111111"/>
          <w:sz w:val="28"/>
          <w:sz w:val="28"/>
          <w:szCs w:val="28"/>
          <w:rtl w:val="true"/>
          <w:lang w:bidi="ar-SA"/>
        </w:rPr>
        <w:t xml:space="preserve">و المفاتيح </w:t>
      </w:r>
      <w:r>
        <w:rPr>
          <w:rStyle w:val="FootnoteAnchor"/>
          <w:rtl w:val="true"/>
        </w:rPr>
        <w:footnoteReference w:id="1368"/>
      </w:r>
      <w:r>
        <w:rPr>
          <w:rFonts w:ascii="Amiri" w:hAnsi="Amiri" w:eastAsia="Amiri" w:cs="Amiri"/>
          <w:color w:val="111111"/>
          <w:sz w:val="28"/>
          <w:sz w:val="28"/>
          <w:szCs w:val="28"/>
          <w:rtl w:val="true"/>
          <w:lang w:bidi="ar-SA"/>
        </w:rPr>
        <w:t xml:space="preserve">و غيرهم </w:t>
      </w:r>
      <w:r>
        <w:rPr>
          <w:rStyle w:val="FootnoteAnchor"/>
          <w:rtl w:val="true"/>
        </w:rPr>
        <w:footnoteReference w:id="13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استثنى الخفّاش في المبسوط </w:t>
      </w:r>
      <w:r>
        <w:rPr>
          <w:rStyle w:val="FootnoteAnchor"/>
          <w:rtl w:val="true"/>
        </w:rPr>
        <w:footnoteReference w:id="1370"/>
      </w:r>
      <w:r>
        <w:rPr>
          <w:rFonts w:ascii="IRNazanin" w:hAnsi="IRNazanin" w:eastAsia="IRNazanin"/>
          <w:color w:val="111111"/>
          <w:sz w:val="28"/>
          <w:sz w:val="28"/>
          <w:szCs w:val="28"/>
          <w:rtl w:val="true"/>
          <w:lang w:bidi="fa-IR"/>
        </w:rPr>
        <w:t xml:space="preserve">، و ظاهر المنتهى </w:t>
      </w:r>
      <w:r>
        <w:rPr>
          <w:rStyle w:val="FootnoteAnchor"/>
          <w:rtl w:val="true"/>
        </w:rPr>
        <w:footnoteReference w:id="1371"/>
      </w:r>
      <w:r>
        <w:rPr>
          <w:rFonts w:ascii="IRNazanin" w:hAnsi="IRNazanin" w:eastAsia="IRNazanin"/>
          <w:color w:val="111111"/>
          <w:sz w:val="28"/>
          <w:sz w:val="28"/>
          <w:szCs w:val="28"/>
          <w:rtl w:val="true"/>
          <w:lang w:bidi="fa-IR"/>
        </w:rPr>
        <w:t xml:space="preserve">، و الوسائل </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الطّير و ألحقوه بالنجس 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المجلسي و العلوي في البحار </w:t>
      </w:r>
      <w:r>
        <w:rPr>
          <w:rStyle w:val="FootnoteAnchor"/>
          <w:rtl w:val="true"/>
        </w:rPr>
        <w:footnoteReference w:id="1373"/>
      </w:r>
      <w:r>
        <w:rPr>
          <w:rFonts w:ascii="Amiri" w:hAnsi="Amiri" w:eastAsia="Amiri" w:cs="Amiri"/>
          <w:color w:val="111111"/>
          <w:sz w:val="28"/>
          <w:sz w:val="28"/>
          <w:szCs w:val="28"/>
          <w:rtl w:val="true"/>
          <w:lang w:bidi="ar-SA"/>
        </w:rPr>
        <w:t xml:space="preserve">و المدارك </w:t>
      </w:r>
      <w:r>
        <w:rPr>
          <w:rStyle w:val="FootnoteAnchor"/>
          <w:rtl w:val="true"/>
        </w:rPr>
        <w:footnoteReference w:id="1374"/>
      </w:r>
      <w:r>
        <w:rPr>
          <w:rFonts w:ascii="Amiri" w:hAnsi="Amiri" w:eastAsia="Amiri" w:cs="Amiri"/>
          <w:color w:val="111111"/>
          <w:sz w:val="28"/>
          <w:sz w:val="28"/>
          <w:szCs w:val="28"/>
          <w:rtl w:val="true"/>
          <w:lang w:bidi="ar-SA"/>
        </w:rPr>
        <w:t xml:space="preserve">في طهارة ذرقه بعد الحكم بنجاسة بوله، و المعظم على النجاسة مطلقاً حتّى لو خرج من غير الموضع الُمعتاد، و برهانهم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الإجماعات المنقولة على الكلّية مطلقاً، أو في خصوص المسألة، ففي الخلاف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أو في خصوص بعض الأفراد كالخشاف و الدّجاج الجلّال بناءً على عدم القول بالفصل بين أفراد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منطوقاً و مفهوماً على نجاسة أبوال ما لا يؤكل لحمه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 و ما دلّ </w:t>
      </w:r>
      <w:r>
        <w:rPr>
          <w:rStyle w:val="FootnoteAnchor"/>
          <w:rtl w:val="true"/>
        </w:rPr>
        <w:footnoteReference w:id="1377"/>
      </w:r>
      <w:r>
        <w:rPr>
          <w:rFonts w:ascii="Amiri" w:hAnsi="Amiri" w:eastAsia="Amiri" w:cs="Amiri"/>
          <w:color w:val="111111"/>
          <w:sz w:val="28"/>
          <w:sz w:val="28"/>
          <w:szCs w:val="28"/>
          <w:rtl w:val="true"/>
          <w:lang w:bidi="ar-SA"/>
        </w:rPr>
        <w:t xml:space="preserve">على نجاسة عذرة الإنسان و بوله، بل مطلق البول و العذرة من دون استفصال، فيفيد العموم تركه، و ما دلّ </w:t>
      </w:r>
      <w:r>
        <w:rPr>
          <w:rStyle w:val="FootnoteAnchor"/>
          <w:rtl w:val="true"/>
        </w:rPr>
        <w:footnoteReference w:id="1378"/>
      </w:r>
      <w:r>
        <w:rPr>
          <w:rFonts w:ascii="Amiri" w:hAnsi="Amiri" w:eastAsia="Amiri" w:cs="Amiri"/>
          <w:color w:val="111111"/>
          <w:sz w:val="28"/>
          <w:sz w:val="28"/>
          <w:szCs w:val="28"/>
          <w:rtl w:val="true"/>
          <w:lang w:bidi="ar-SA"/>
        </w:rPr>
        <w:t>على نجاسة عذرة الكلب و السّنّور و الفأرة، و بول الأوّل كذلك، إلى غير ذلك ممّا هو متفرّق في أبوابه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الوالده رحمه الله في 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المستفاد منها على سبيل القطع نجاسة ما ذكرناه من البول و الغائط مطلقاً، و النجاسة و إن لم تذكر في أكثر الأخبار بلفظها، ولكن لها لوازم شرعّية يفهم من الأمر بها تحقّق حصولها، و فهم فقهاؤنا ذلك منها ممّا يعيّن المراد؛ إذ فهمهم هو المعتبر، و عليه المعوّل، فمن اللّوازم الأمر بغسل الثوب و البدن و الإناء، و الأمر بالتزح، و الأمر بإعادة </w:t>
      </w:r>
    </w:p>
    <w:p>
      <w:pPr>
        <w:pStyle w:val="BookText"/>
        <w:rPr/>
      </w:pPr>
      <w:r>
        <w:rPr>
          <w:rFonts w:ascii="Amiri" w:hAnsi="Amiri" w:eastAsia="Amiri" w:cs="Amiri"/>
          <w:color w:val="111111"/>
          <w:sz w:val="28"/>
          <w:sz w:val="28"/>
          <w:szCs w:val="28"/>
          <w:rtl w:val="true"/>
          <w:lang w:bidi="ar-SA"/>
        </w:rPr>
        <w:t xml:space="preserve">الصلاة و إهراق الماء وطرح الطّعام الملاقي لهما، و النهي عن الماء الملاقي له في وضوء، و هذه و إن كان كلّ واحدٍ منها لازماً أعمّ، إلَّا أنّ منها ما هو ظاهر في الملازمة و المساواة كالغسل و شبهه، و منها ما يعضد دلالته الإجماع أو اجتماع أمرين أو أمور يقطع باجتماعها حصول النجاسة </w:t>
      </w:r>
      <w:r>
        <w:rPr>
          <w:rStyle w:val="FootnoteAnchor"/>
          <w:rtl w:val="true"/>
        </w:rPr>
        <w:footnoteReference w:id="1379"/>
      </w:r>
      <w:r>
        <w:rPr>
          <w:rFonts w:ascii="IRNazanin" w:hAnsi="IRNazanin" w:eastAsia="IRNazanin"/>
          <w:color w:val="111111"/>
          <w:sz w:val="28"/>
          <w:sz w:val="28"/>
          <w:szCs w:val="28"/>
          <w:rtl w:val="true"/>
          <w:lang w:bidi="fa-IR"/>
        </w:rPr>
        <w:t>، انتهى 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الرّياض </w:t>
      </w:r>
      <w:r>
        <w:rPr>
          <w:rStyle w:val="FootnoteAnchor"/>
          <w:rtl w:val="true"/>
        </w:rPr>
        <w:footnoteReference w:id="1380"/>
      </w:r>
      <w:r>
        <w:rPr>
          <w:rFonts w:ascii="Amiri" w:hAnsi="Amiri" w:eastAsia="Amiri" w:cs="Amiri"/>
          <w:color w:val="111111"/>
          <w:sz w:val="28"/>
          <w:sz w:val="28"/>
          <w:szCs w:val="28"/>
          <w:rtl w:val="true"/>
          <w:lang w:bidi="ar-SA"/>
        </w:rPr>
        <w:t xml:space="preserve">تبعاً لغيره إنكار الملازمة بين أوامر الإعادة والغسل اللازم للنّجاسة؛ لعدم انحصار وجهه، مضافاً إلى أخصّيّتها من المدّعى؛ لتبادر البول و العذرة في الأخبار للإنسان إلَّا خبر السنّور و الكلب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و لعلّ الإعادة لاستصحاب فضلاتها الموجب لها و لو كانت طاهرة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ينقدح أنّ الوجه الحكم بالطهارة حيث لم يكن إجماع و لا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حسن لولا أنّ إطلاق أوامر الغسل يشمل حالة القطع بزوال جميع الأجزاء من دون غسل، فلا محيص عن التزام النجاسة لأجله، لا لاستصحاب الفضلات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شيخ أساتيدنا رحمه الله في تحقّق الإجماع المزبور على كلّيّة المدعى تحريراً و تقريراً، فتأمّل رحمه الله في اندراج ذلك في إجماع المعتبر </w:t>
      </w:r>
      <w:r>
        <w:rPr>
          <w:rStyle w:val="FootnoteAnchor"/>
          <w:rtl w:val="true"/>
        </w:rPr>
        <w:footnoteReference w:id="1382"/>
      </w:r>
      <w:r>
        <w:rPr>
          <w:rFonts w:ascii="IRNazanin" w:hAnsi="IRNazanin" w:eastAsia="IRNazanin"/>
          <w:color w:val="111111"/>
          <w:sz w:val="28"/>
          <w:sz w:val="28"/>
          <w:szCs w:val="28"/>
          <w:rtl w:val="true"/>
          <w:lang w:bidi="fa-IR"/>
        </w:rPr>
        <w:t xml:space="preserve">و المنتهى </w:t>
      </w:r>
      <w:r>
        <w:rPr>
          <w:rStyle w:val="FootnoteAnchor"/>
          <w:rtl w:val="true"/>
        </w:rPr>
        <w:footnoteReference w:id="1383"/>
      </w:r>
      <w:r>
        <w:rPr>
          <w:rFonts w:ascii="Amiri" w:hAnsi="Amiri" w:eastAsia="Amiri" w:cs="Amiri"/>
          <w:color w:val="111111"/>
          <w:sz w:val="28"/>
          <w:sz w:val="28"/>
          <w:szCs w:val="28"/>
          <w:rtl w:val="true"/>
          <w:lang w:bidi="ar-SA"/>
        </w:rPr>
        <w:t>بعدم شموله لرجيع الطّير، فإنّه مُعَنْون في كلامهما بعد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ناقشَ في استفادة الإجماع من غيرهما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دعوى الزّائد عن الشهرة في المسألة لا يخلو عن شائبة الجزاف </w:t>
      </w:r>
      <w:r>
        <w:rPr>
          <w:rStyle w:val="FootnoteAnchor"/>
          <w:rtl w:val="true"/>
        </w:rPr>
        <w:footnoteReference w:id="13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فالذي يعوّل عليه حينئذٍ هو الشهرة، و عموم صحيحة ابن سنان </w:t>
      </w:r>
      <w:r>
        <w:rPr>
          <w:rStyle w:val="FootnoteAnchor"/>
          <w:rtl w:val="true"/>
        </w:rPr>
        <w:footnoteReference w:id="1385"/>
      </w:r>
      <w:r>
        <w:rPr>
          <w:rFonts w:ascii="Amiri" w:hAnsi="Amiri" w:eastAsia="Amiri" w:cs="Amiri"/>
          <w:color w:val="111111"/>
          <w:sz w:val="28"/>
          <w:sz w:val="28"/>
          <w:szCs w:val="28"/>
          <w:rtl w:val="true"/>
          <w:lang w:bidi="ar-SA"/>
        </w:rPr>
        <w:t xml:space="preserve">المعتضدة بها، و المعارض عموم رواية أبي بصير </w:t>
      </w:r>
      <w:r>
        <w:rPr>
          <w:rStyle w:val="FootnoteAnchor"/>
          <w:rtl w:val="true"/>
        </w:rPr>
        <w:footnoteReference w:id="1386"/>
      </w:r>
      <w:r>
        <w:rPr>
          <w:rFonts w:ascii="Amiri" w:hAnsi="Amiri" w:eastAsia="Amiri" w:cs="Amiri"/>
          <w:color w:val="111111"/>
          <w:sz w:val="28"/>
          <w:sz w:val="28"/>
          <w:szCs w:val="28"/>
          <w:rtl w:val="true"/>
          <w:lang w:bidi="ar-SA"/>
        </w:rPr>
        <w:t xml:space="preserve">و صحيحته المعتضدة بالأصل، و مصحّحة عليّ بن جعفر </w:t>
      </w:r>
      <w:r>
        <w:rPr>
          <w:rStyle w:val="FootnoteAnchor"/>
          <w:rtl w:val="true"/>
        </w:rPr>
        <w:footnoteReference w:id="1387"/>
      </w:r>
      <w:r>
        <w:rPr>
          <w:rFonts w:ascii="Amiri" w:hAnsi="Amiri" w:eastAsia="Amiri" w:cs="Amiri"/>
          <w:color w:val="111111"/>
          <w:sz w:val="28"/>
          <w:sz w:val="28"/>
          <w:szCs w:val="28"/>
          <w:rtl w:val="true"/>
          <w:lang w:bidi="ar-SA"/>
        </w:rPr>
        <w:t>النافية للبأس، و النسبة بينها و بين صحيحة ابن سنان عمومٌ من وجه و الرجحان للناقد البصير في رواية أبي بصير؛ لقوّة الدّلالة، فإنّ إبقاء العلّة فيها على عمومها أَوْلى من إبقاء عموم ما لا يؤكل في الحسنة؛ لقلّة أفراد عموم الصحيحة دونها، فيصير الطّير من عمومها و إن لم يكن مأكول اللّحم، بل لو كانت حلّيّة الأكل علّة في الطّهارة ما كان لذكر الطير أي فائدة، و بالتعميم تظهر جزماً، مع أنّ في قصر الطير على المأكول إخراج لأكثر أفراده، و التخصيص كذلك مُستَهجَن، بخلاف ما لو خصّصنا غير المأكول بالطّير، إذ لم يخرج عن عمومه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نفي البأس فيها ظاهره أنّه من حيثيّة الطّهارة و النّجاسة، و ليس في الحكم عموم بالنظر إلى غيرهما ليرد أنّ تخصيصه بغير حال الصلاة ليس بأولى من تقييد الموضوع فيها بمأكول اللحم ليعمّ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اعتضاد الصحيحة بالشهرة ممّا لا ثمرة له و لا يصلح عاضداً و مرجّحاً؛ فإنّها إنّما تجبر ضعف السنّد دون الدّلالة </w:t>
      </w:r>
      <w:r>
        <w:rPr>
          <w:rStyle w:val="FootnoteAnchor"/>
          <w:rtl w:val="true"/>
        </w:rPr>
        <w:footnoteReference w:id="1388"/>
      </w:r>
      <w:r>
        <w:rPr>
          <w:rFonts w:ascii="Amiri" w:hAnsi="Amiri" w:eastAsia="Amiri" w:cs="Amiri"/>
          <w:color w:val="111111"/>
          <w:sz w:val="28"/>
          <w:sz w:val="28"/>
          <w:szCs w:val="28"/>
          <w:rtl w:val="true"/>
          <w:lang w:bidi="ar-SA"/>
        </w:rPr>
        <w:t>، و أمّا فإن كان بحيث لا يبقى معه الظهور المعتبر في الألفاظ لا تنفع الشهرة، و مع حصول الظهور لا حاجة إليها؛ لمكان الظّن النوعي الكافي في الاستدلال بالأدلّة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يحصل الظنّ بمعونتها بالمراد، لكنّه من الظنون غير المعتبرة عندنا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هذا كلّه فإعراض الجَمّ الغفير عن العمل بمضمونها ممّا يُوهِن الركّون إليها، </w:t>
      </w:r>
    </w:p>
    <w:p>
      <w:pPr>
        <w:pStyle w:val="BookText"/>
        <w:rPr/>
      </w:pPr>
      <w:r>
        <w:rPr>
          <w:rFonts w:ascii="Amiri" w:hAnsi="Amiri" w:eastAsia="Amiri" w:cs="Amiri"/>
          <w:color w:val="111111"/>
          <w:sz w:val="28"/>
          <w:sz w:val="28"/>
          <w:szCs w:val="28"/>
          <w:rtl w:val="true"/>
          <w:lang w:bidi="ar-SA"/>
        </w:rPr>
        <w:t xml:space="preserve">مضافاً إلى ما ورد في طهارة خرء الخطّاف </w:t>
      </w:r>
      <w:r>
        <w:rPr>
          <w:rStyle w:val="FootnoteAnchor"/>
          <w:rtl w:val="true"/>
        </w:rPr>
        <w:footnoteReference w:id="1389"/>
      </w:r>
      <w:r>
        <w:rPr>
          <w:rFonts w:ascii="Amiri" w:hAnsi="Amiri" w:eastAsia="Amiri" w:cs="Amiri"/>
          <w:color w:val="111111"/>
          <w:sz w:val="28"/>
          <w:sz w:val="28"/>
          <w:szCs w:val="28"/>
          <w:rtl w:val="true"/>
          <w:lang w:bidi="ar-SA"/>
        </w:rPr>
        <w:t>معلّلّاً بحلّية لحمه، و هو نص على إناطة الطّهارة بحلّية اللّحم حتى في الطّير، و أخصّ من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فالعمل عليه و لو بعد جبر ضعف سنده المروي عن كتاب عمّار بن موسى الفطحي بالشهرة المحقّقة إن لم نقل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معتمد جيّد و إن كان فطحيّاً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w:t>
      </w:r>
      <w:r>
        <w:rPr>
          <w:rStyle w:val="FootnoteAnchor"/>
          <w:rtl w:val="true"/>
        </w:rPr>
        <w:footnoteReference w:id="1392"/>
      </w:r>
      <w:r>
        <w:rPr>
          <w:rFonts w:ascii="Amiri" w:hAnsi="Amiri" w:eastAsia="Amiri" w:cs="Amiri"/>
          <w:color w:val="111111"/>
          <w:sz w:val="28"/>
          <w:sz w:val="28"/>
          <w:szCs w:val="28"/>
          <w:rtl w:val="true"/>
          <w:lang w:bidi="ar-SA"/>
        </w:rPr>
        <w:t>، فهي كافية لحجّيّة مفهوم العلّة مطلقاً أو في خصوص المقام، و المسألة غير عريّة عن الإشكال؛ لإمكان حمل هذا الخبر الذي هو المعتمد هنا بأنّ نفي البأس فيه أعم من الكراهة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لحمه في الموثقة </w:t>
      </w:r>
      <w:r>
        <w:rPr>
          <w:rStyle w:val="FootnoteAnchor"/>
          <w:rtl w:val="true"/>
        </w:rPr>
        <w:footnoteReference w:id="1393"/>
      </w:r>
      <w:r>
        <w:rPr>
          <w:rFonts w:ascii="Amiri" w:hAnsi="Amiri" w:eastAsia="Amiri" w:cs="Amiri"/>
          <w:color w:val="111111"/>
          <w:sz w:val="28"/>
          <w:sz w:val="28"/>
          <w:szCs w:val="28"/>
          <w:rtl w:val="true"/>
          <w:lang w:bidi="ar-SA"/>
        </w:rPr>
        <w:t xml:space="preserve">و غيرها </w:t>
      </w:r>
      <w:r>
        <w:rPr>
          <w:rStyle w:val="FootnoteAnchor"/>
          <w:rtl w:val="true"/>
        </w:rPr>
        <w:footnoteReference w:id="1394"/>
      </w:r>
      <w:r>
        <w:rPr>
          <w:rFonts w:ascii="IRNazanin" w:hAnsi="IRNazanin" w:eastAsia="IRNazanin"/>
          <w:color w:val="111111"/>
          <w:sz w:val="28"/>
          <w:sz w:val="28"/>
          <w:szCs w:val="28"/>
          <w:rtl w:val="true"/>
          <w:lang w:bidi="fa-IR"/>
        </w:rPr>
        <w:t>أي ما أُعِدَّ للأكل لا ما جاز أكله مطلقاً، فالمفهوم وجود البأس في غير هذا الفرد فيشمل مثل لحم الحمير و البغال و لا يختصّ بالمحرّم لحمه، فنفي البأس في الخطّاف لعلّه من حيث إنّه لا كراهة في لحمه في نفسه و إن كره لجهة استجارته، فليس هو كلحم غيره ممّا في بوله بأس و كراهة لكراهة لحمه ذاتاً، و يؤيّد الحمل قوله علیه السلام في 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أبوال الدواب تُصيب الثوب فكرهه،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لحومها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 ليس ممّا جعله الله تعالى للأكل </w:t>
      </w:r>
      <w:r>
        <w:rPr>
          <w:rFonts w:eastAsia="IRNazanin" w:cs="IRNazanin"/>
          <w:color w:val="111111"/>
          <w:sz w:val="28"/>
          <w:szCs w:val="28"/>
          <w:rtl w:val="true"/>
          <w:lang w:bidi="fa-IR"/>
        </w:rPr>
        <w:t xml:space="preserve">» </w:t>
      </w:r>
      <w:r>
        <w:rPr>
          <w:rStyle w:val="FootnoteAnchor"/>
          <w:rtl w:val="true"/>
        </w:rPr>
        <w:footnoteReference w:id="139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من تساوي الدليلين، و المرجع حينئذ إلى الأصل، لكن ميل المشهور و ذهاب المعظم ممّا تعظم مخالفتهم؛ لأنهم أعرف بلسان الأئمة علیهم السلام حتّى كأنّ السّيرة القطعيّة على اجتناب خرء ما لا يؤكل لحمه مطلقاً و بوله، بل تتعدى فيها إلى اجتناب فضلات بعض المأكولات، فيُسْتَشَم منه أنّ الأصل في كلّ فضلة النجاسة، خرج مأكول اللحم بدليله، فلا </w:t>
      </w:r>
    </w:p>
    <w:p>
      <w:pPr>
        <w:pStyle w:val="BookText"/>
        <w:rPr/>
      </w:pPr>
      <w:r>
        <w:rPr>
          <w:rFonts w:ascii="Amiri" w:hAnsi="Amiri" w:eastAsia="Amiri" w:cs="Amiri"/>
          <w:color w:val="111111"/>
          <w:sz w:val="28"/>
          <w:sz w:val="28"/>
          <w:szCs w:val="28"/>
          <w:rtl w:val="true"/>
          <w:lang w:bidi="ar-SA"/>
        </w:rPr>
        <w:t xml:space="preserve">محيص عن حمل هذه الأخبار القاضية بالطهارة على شيء من المحامل كجاري العادة في غيرها، و به أفتى الجدّ رحمه الله و الوالده رحمه الله في كشفه </w:t>
      </w:r>
      <w:r>
        <w:rPr>
          <w:rStyle w:val="FootnoteAnchor"/>
          <w:rtl w:val="true"/>
        </w:rPr>
        <w:footnoteReference w:id="1396"/>
      </w:r>
      <w:r>
        <w:rPr>
          <w:rFonts w:ascii="IRNazanin" w:hAnsi="IRNazanin" w:eastAsia="IRNazanin"/>
          <w:color w:val="111111"/>
          <w:sz w:val="28"/>
          <w:sz w:val="28"/>
          <w:szCs w:val="28"/>
          <w:rtl w:val="true"/>
          <w:lang w:bidi="fa-IR"/>
        </w:rPr>
        <w:t xml:space="preserve">و أنواره </w:t>
      </w:r>
      <w:r>
        <w:rPr>
          <w:rStyle w:val="FootnoteAnchor"/>
          <w:rtl w:val="true"/>
        </w:rPr>
        <w:footnoteReference w:id="1397"/>
      </w:r>
      <w:r>
        <w:rPr>
          <w:rFonts w:ascii="Amiri" w:hAnsi="Amiri" w:eastAsia="Amiri" w:cs="Amiri"/>
          <w:color w:val="111111"/>
          <w:sz w:val="28"/>
          <w:sz w:val="28"/>
          <w:szCs w:val="28"/>
          <w:rtl w:val="true"/>
          <w:lang w:bidi="ar-SA"/>
        </w:rPr>
        <w:t xml:space="preserve">، و الكليم في شرح بغيته </w:t>
      </w:r>
      <w:r>
        <w:rPr>
          <w:rStyle w:val="FootnoteAnchor"/>
          <w:rtl w:val="true"/>
        </w:rPr>
        <w:footnoteReference w:id="1398"/>
      </w:r>
      <w:r>
        <w:rPr>
          <w:rFonts w:ascii="Amiri" w:hAnsi="Amiri" w:eastAsia="Amiri" w:cs="Amiri"/>
          <w:color w:val="111111"/>
          <w:sz w:val="28"/>
          <w:sz w:val="28"/>
          <w:szCs w:val="28"/>
          <w:rtl w:val="true"/>
          <w:lang w:bidi="ar-SA"/>
        </w:rPr>
        <w:t>و باقي أعمامي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استثناء الخفّاش من الطّير على القول بالطّهارة مطلقاً فمستنده رواية داود الرّقي </w:t>
      </w:r>
      <w:r>
        <w:rPr>
          <w:rStyle w:val="FootnoteAnchor"/>
          <w:rtl w:val="true"/>
        </w:rPr>
        <w:footnoteReference w:id="1399"/>
      </w:r>
      <w:r>
        <w:rPr>
          <w:rFonts w:ascii="Amiri" w:hAnsi="Amiri" w:eastAsia="Amiri" w:cs="Amiri"/>
          <w:color w:val="111111"/>
          <w:sz w:val="28"/>
          <w:sz w:val="28"/>
          <w:szCs w:val="28"/>
          <w:rtl w:val="true"/>
          <w:lang w:bidi="ar-SA"/>
        </w:rPr>
        <w:t xml:space="preserve">المعارضة برواية غياث </w:t>
      </w:r>
      <w:r>
        <w:rPr>
          <w:rStyle w:val="FootnoteAnchor"/>
          <w:rtl w:val="true"/>
        </w:rPr>
        <w:footnoteReference w:id="1400"/>
      </w:r>
      <w:r>
        <w:rPr>
          <w:rFonts w:ascii="Amiri" w:hAnsi="Amiri" w:eastAsia="Amiri" w:cs="Amiri"/>
          <w:color w:val="111111"/>
          <w:sz w:val="28"/>
          <w:sz w:val="28"/>
          <w:szCs w:val="28"/>
          <w:rtl w:val="true"/>
          <w:lang w:bidi="ar-SA"/>
        </w:rPr>
        <w:t xml:space="preserve">مع ظهور الاتّفاق على عدم التفصيل، فلا وجه لاستثنائه عن الطّير، كما لا وجه للتفصيل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فالنجاسة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خرئه و إن أنكر الملازمة بعض المحقِّقين </w:t>
      </w:r>
      <w:r>
        <w:rPr>
          <w:rStyle w:val="FootnoteAnchor"/>
          <w:rtl w:val="true"/>
        </w:rPr>
        <w:footnoteReference w:id="1401"/>
      </w:r>
      <w:r>
        <w:rPr>
          <w:rFonts w:ascii="Amiri" w:hAnsi="Amiri" w:eastAsia="Amiri" w:cs="Amiri"/>
          <w:color w:val="111111"/>
          <w:sz w:val="28"/>
          <w:sz w:val="28"/>
          <w:szCs w:val="28"/>
          <w:rtl w:val="true"/>
          <w:lang w:bidi="ar-SA"/>
        </w:rPr>
        <w:t>إذ ليس له نظير في الشرعيّات، و لعدم جريانه على حكمه الطّهارة و النجاسة و لو حكم بطهارة البول؛ لتعارض الخبرين و تساقطهما و الرّجوع إلى الأصل، و بنجاسة الذّرق للحوق بما لا يؤكل لحمه لكان أولى من العكس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اختاره بعض المحصّلين من المعاصرين كما ترى، و أضعف من ذلك القول بنجاسة ذرق الدّجاج، و الظاهر انحصار القائل به بالمفيد رحمه الله </w:t>
      </w:r>
      <w:r>
        <w:rPr>
          <w:rStyle w:val="FootnoteAnchor"/>
          <w:rtl w:val="true"/>
        </w:rPr>
        <w:footnoteReference w:id="1402"/>
      </w:r>
      <w:r>
        <w:rPr>
          <w:rFonts w:ascii="Amiri" w:hAnsi="Amiri" w:eastAsia="Amiri" w:cs="Amiri"/>
          <w:color w:val="111111"/>
          <w:sz w:val="28"/>
          <w:sz w:val="28"/>
          <w:szCs w:val="28"/>
          <w:rtl w:val="true"/>
          <w:lang w:bidi="ar-SA"/>
        </w:rPr>
        <w:t xml:space="preserve">، و أمّا الشيخ فقد رجع في الخلاف إلى الحكم بطهارته </w:t>
      </w:r>
      <w:r>
        <w:rPr>
          <w:rStyle w:val="FootnoteAnchor"/>
          <w:rtl w:val="true"/>
        </w:rPr>
        <w:footnoteReference w:id="1403"/>
      </w:r>
      <w:r>
        <w:rPr>
          <w:rFonts w:ascii="Amiri" w:hAnsi="Amiri" w:eastAsia="Amiri" w:cs="Amiri"/>
          <w:color w:val="111111"/>
          <w:sz w:val="28"/>
          <w:sz w:val="28"/>
          <w:szCs w:val="28"/>
          <w:rtl w:val="true"/>
          <w:lang w:bidi="ar-SA"/>
        </w:rPr>
        <w:t xml:space="preserve">، فلا ينبغي الرَّيْب فيه، إنّما الإشكال في نجاسة فضلات المكروه من مأكول اللحم؛ لورود عدّة أخبار </w:t>
      </w:r>
      <w:r>
        <w:rPr>
          <w:rStyle w:val="FootnoteAnchor"/>
          <w:rtl w:val="true"/>
        </w:rPr>
        <w:footnoteReference w:id="1404"/>
      </w:r>
      <w:r>
        <w:rPr>
          <w:rFonts w:ascii="Amiri" w:hAnsi="Amiri" w:eastAsia="Amiri" w:cs="Amiri"/>
          <w:color w:val="111111"/>
          <w:sz w:val="28"/>
          <w:sz w:val="28"/>
          <w:szCs w:val="28"/>
          <w:rtl w:val="true"/>
          <w:lang w:bidi="ar-SA"/>
        </w:rPr>
        <w:t xml:space="preserve">بنجاسته، لا من حيث جَلَله أو كونه موطوءاً، فإنّ النجاسة في فضلاتها مفروغ منها؛ للعمومات المتقدّمة، و خيال انصرافها إلى ما كان حراماً بالذات </w:t>
      </w:r>
      <w:bookmarkStart w:id="101" w:name="pg9146_86086"/>
    </w:p>
    <w:p>
      <w:pPr>
        <w:pStyle w:val="BookText"/>
        <w:rPr/>
      </w:pPr>
      <w:bookmarkEnd w:id="101"/>
      <w:r>
        <w:rPr>
          <w:rFonts w:ascii="Amiri" w:hAnsi="Amiri" w:eastAsia="Amiri" w:cs="Amiri"/>
          <w:color w:val="111111"/>
          <w:sz w:val="28"/>
          <w:sz w:val="28"/>
          <w:szCs w:val="28"/>
          <w:rtl w:val="true"/>
          <w:lang w:bidi="ar-SA"/>
        </w:rPr>
        <w:t xml:space="preserve">يردّه ظاهر العلّة المنصوصة في موثّقة عمّار </w:t>
      </w:r>
      <w:r>
        <w:rPr>
          <w:rStyle w:val="FootnoteAnchor"/>
          <w:rtl w:val="true"/>
        </w:rPr>
        <w:footnoteReference w:id="1405"/>
      </w:r>
      <w:r>
        <w:rPr>
          <w:rFonts w:ascii="Amiri" w:hAnsi="Amiri" w:eastAsia="Amiri" w:cs="Amiri"/>
          <w:color w:val="111111"/>
          <w:sz w:val="28"/>
          <w:sz w:val="28"/>
          <w:szCs w:val="28"/>
          <w:rtl w:val="true"/>
          <w:lang w:bidi="ar-SA"/>
        </w:rPr>
        <w:t>المتقدّمة من كون العلّة في طهارة البول و الخرء و نجاستهما على حلّ اللّحم و حرمته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يلحق بالحكم كلّ ما حَرُمَ أكله و لو لجهة النذر و الغصب، بل يختصّ بما إذا كان منشأ التحريم حدوث وصف الاستخباث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حرمة لحم الجلّال المتغذي بسائر النجاسة غير العذرة كلامٌ يجيء، و الحقّ فيه عدم لحوق وصف النجاسة؛ أخذاً بالمتيقّن، إلَّا المتغذّي بلبن الخنزير فيلحق بأكل العذرة، و مثله الموطوء بلا خلاف بيّن</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3322592_2870459653"/>
      <w:bookmarkStart w:id="103" w:name="_Toc34"/>
      <w:bookmarkEnd w:id="102"/>
      <w:r>
        <w:rPr>
          <w:rtl w:val="true"/>
        </w:rPr>
        <w:t>[</w:t>
      </w:r>
      <w:r>
        <w:rPr>
          <w:rtl w:val="true"/>
        </w:rPr>
        <w:t>حكم مكروه اللحم</w:t>
      </w:r>
      <w:r>
        <w:rPr>
          <w:rtl w:val="true"/>
        </w:rPr>
        <w:t>]</w:t>
      </w:r>
      <w:bookmarkEnd w:id="10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مكروه اللّحم كالخيل و البغال و الحمير، فقد ذهب غير واحد </w:t>
      </w:r>
      <w:r>
        <w:rPr>
          <w:rStyle w:val="FootnoteAnchor"/>
          <w:rtl w:val="true"/>
        </w:rPr>
        <w:footnoteReference w:id="1406"/>
      </w:r>
      <w:r>
        <w:rPr>
          <w:rFonts w:ascii="Amiri" w:hAnsi="Amiri" w:eastAsia="Amiri" w:cs="Amiri"/>
          <w:color w:val="111111"/>
          <w:sz w:val="28"/>
          <w:sz w:val="28"/>
          <w:szCs w:val="28"/>
          <w:rtl w:val="true"/>
          <w:lang w:bidi="ar-SA"/>
        </w:rPr>
        <w:t xml:space="preserve">ممّن تأخّر إلى نجاسة أبوالها و أرواثها تبعاً للشيخ في النهاية </w:t>
      </w:r>
      <w:r>
        <w:rPr>
          <w:rStyle w:val="FootnoteAnchor"/>
          <w:rtl w:val="true"/>
        </w:rPr>
        <w:footnoteReference w:id="1407"/>
      </w:r>
      <w:r>
        <w:rPr>
          <w:rFonts w:ascii="Amiri" w:hAnsi="Amiri" w:eastAsia="Amiri" w:cs="Amiri"/>
          <w:color w:val="111111"/>
          <w:sz w:val="28"/>
          <w:sz w:val="28"/>
          <w:szCs w:val="28"/>
          <w:rtl w:val="true"/>
          <w:lang w:bidi="ar-SA"/>
        </w:rPr>
        <w:t xml:space="preserve">، و الإسكافي </w:t>
      </w:r>
      <w:r>
        <w:rPr>
          <w:rStyle w:val="FootnoteAnchor"/>
          <w:rtl w:val="true"/>
        </w:rPr>
        <w:footnoteReference w:id="1408"/>
      </w:r>
      <w:r>
        <w:rPr>
          <w:rFonts w:ascii="Amiri" w:hAnsi="Amiri" w:eastAsia="Amiri" w:cs="Amiri"/>
          <w:color w:val="111111"/>
          <w:sz w:val="28"/>
          <w:sz w:val="28"/>
          <w:szCs w:val="28"/>
          <w:rtl w:val="true"/>
          <w:lang w:bidi="ar-SA"/>
        </w:rPr>
        <w:t xml:space="preserve">، و غيرهما </w:t>
      </w:r>
      <w:r>
        <w:rPr>
          <w:rStyle w:val="FootnoteAnchor"/>
          <w:rtl w:val="true"/>
        </w:rPr>
        <w:footnoteReference w:id="1409"/>
      </w:r>
      <w:r>
        <w:rPr>
          <w:rFonts w:ascii="Amiri" w:hAnsi="Amiri" w:eastAsia="Amiri" w:cs="Amiri"/>
          <w:color w:val="111111"/>
          <w:sz w:val="28"/>
          <w:sz w:val="28"/>
          <w:szCs w:val="28"/>
          <w:rtl w:val="true"/>
          <w:lang w:bidi="ar-SA"/>
        </w:rPr>
        <w:t xml:space="preserve">، و مستندهم مضمرة سماعة </w:t>
      </w:r>
      <w:r>
        <w:rPr>
          <w:rStyle w:val="FootnoteAnchor"/>
          <w:rtl w:val="true"/>
        </w:rPr>
        <w:footnoteReference w:id="1410"/>
      </w:r>
      <w:r>
        <w:rPr>
          <w:rFonts w:ascii="Amiri" w:hAnsi="Amiri" w:eastAsia="Amiri" w:cs="Amiri"/>
          <w:color w:val="111111"/>
          <w:sz w:val="28"/>
          <w:sz w:val="28"/>
          <w:szCs w:val="28"/>
          <w:rtl w:val="true"/>
          <w:lang w:bidi="ar-SA"/>
        </w:rPr>
        <w:t>القاضية بنجاسة بول البغل أيضاً بالأولويّة أو الإجماع المركّب، و موثّقة عبد الرّحمن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 و صحيحة الحلبي </w:t>
      </w:r>
      <w:r>
        <w:rPr>
          <w:rStyle w:val="FootnoteAnchor"/>
          <w:rtl w:val="true"/>
        </w:rPr>
        <w:footnoteReference w:id="1412"/>
      </w:r>
      <w:r>
        <w:rPr>
          <w:rFonts w:ascii="Amiri" w:hAnsi="Amiri" w:eastAsia="Amiri" w:cs="Amiri"/>
          <w:color w:val="111111"/>
          <w:sz w:val="28"/>
          <w:sz w:val="28"/>
          <w:szCs w:val="28"/>
          <w:rtl w:val="true"/>
          <w:lang w:bidi="ar-SA"/>
        </w:rPr>
        <w:t xml:space="preserve">، و حسنة ابن مسلم </w:t>
      </w:r>
      <w:r>
        <w:rPr>
          <w:rStyle w:val="FootnoteAnchor"/>
          <w:rtl w:val="true"/>
        </w:rPr>
        <w:footnoteReference w:id="1413"/>
      </w:r>
      <w:r>
        <w:rPr>
          <w:rFonts w:ascii="IRNazanin" w:hAnsi="IRNazanin" w:eastAsia="IRNazanin"/>
          <w:color w:val="111111"/>
          <w:sz w:val="28"/>
          <w:sz w:val="28"/>
          <w:szCs w:val="28"/>
          <w:rtl w:val="true"/>
          <w:lang w:bidi="fa-IR"/>
        </w:rPr>
        <w:t xml:space="preserve">، و رواية عليّ بن جعفر علیه السلام فی </w:t>
      </w:r>
    </w:p>
    <w:p>
      <w:pPr>
        <w:pStyle w:val="BookText"/>
        <w:rPr/>
      </w:pPr>
      <w:r>
        <w:rPr>
          <w:rFonts w:ascii="IRNazanin" w:hAnsi="IRNazanin" w:eastAsia="IRNazanin"/>
          <w:color w:val="111111"/>
          <w:sz w:val="28"/>
          <w:sz w:val="28"/>
          <w:szCs w:val="28"/>
          <w:rtl w:val="true"/>
          <w:lang w:bidi="fa-IR"/>
        </w:rPr>
        <w:t xml:space="preserve">کتابه </w:t>
      </w:r>
      <w:r>
        <w:rPr>
          <w:rStyle w:val="FootnoteAnchor"/>
          <w:rtl w:val="true"/>
        </w:rPr>
        <w:footnoteReference w:id="1414"/>
      </w:r>
      <w:r>
        <w:rPr>
          <w:rFonts w:ascii="Amiri" w:hAnsi="Amiri" w:eastAsia="Amiri" w:cs="Amiri"/>
          <w:color w:val="111111"/>
          <w:sz w:val="28"/>
          <w:sz w:val="28"/>
          <w:szCs w:val="28"/>
          <w:rtl w:val="true"/>
          <w:lang w:bidi="ar-SA"/>
        </w:rPr>
        <w:t xml:space="preserve">، و ما ورد أنّ الماء الذي يبول فيه الدّواب إن تغيّر بها فلا يجوز التوضؤ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و رواية أبي بصير </w:t>
      </w:r>
      <w:r>
        <w:rPr>
          <w:rStyle w:val="FootnoteAnchor"/>
          <w:rtl w:val="true"/>
        </w:rPr>
        <w:footnoteReference w:id="1416"/>
      </w:r>
      <w:r>
        <w:rPr>
          <w:rFonts w:ascii="Amiri" w:hAnsi="Amiri" w:eastAsia="Amiri" w:cs="Amiri"/>
          <w:color w:val="111111"/>
          <w:sz w:val="28"/>
          <w:sz w:val="28"/>
          <w:szCs w:val="28"/>
          <w:rtl w:val="true"/>
          <w:lang w:bidi="ar-SA"/>
        </w:rPr>
        <w:t xml:space="preserve">، و رواية زرارة </w:t>
      </w:r>
      <w:r>
        <w:rPr>
          <w:rStyle w:val="FootnoteAnchor"/>
          <w:rtl w:val="true"/>
        </w:rPr>
        <w:footnoteReference w:id="1417"/>
      </w:r>
      <w:r>
        <w:rPr>
          <w:rFonts w:ascii="Amiri" w:hAnsi="Amiri" w:eastAsia="Amiri" w:cs="Amiri"/>
          <w:color w:val="111111"/>
          <w:sz w:val="28"/>
          <w:sz w:val="28"/>
          <w:szCs w:val="28"/>
          <w:rtl w:val="true"/>
          <w:lang w:bidi="ar-SA"/>
        </w:rPr>
        <w:t xml:space="preserve">، و غيرها </w:t>
      </w:r>
      <w:r>
        <w:rPr>
          <w:rStyle w:val="FootnoteAnchor"/>
          <w:rtl w:val="true"/>
        </w:rPr>
        <w:footnoteReference w:id="1418"/>
      </w:r>
      <w:r>
        <w:rPr>
          <w:rFonts w:ascii="Amiri" w:hAnsi="Amiri" w:eastAsia="Amiri" w:cs="Amiri"/>
          <w:color w:val="111111"/>
          <w:sz w:val="28"/>
          <w:sz w:val="28"/>
          <w:szCs w:val="28"/>
          <w:rtl w:val="true"/>
          <w:lang w:bidi="ar-SA"/>
        </w:rPr>
        <w:t xml:space="preserve">، ممّا ظاهره النجاسة، لكن المشهور ذهبوا إلى الطهارة مطلقاً </w:t>
      </w:r>
      <w:r>
        <w:rPr>
          <w:rStyle w:val="FootnoteAnchor"/>
          <w:rtl w:val="true"/>
        </w:rPr>
        <w:footnoteReference w:id="1419"/>
      </w:r>
      <w:r>
        <w:rPr>
          <w:rFonts w:ascii="IRNazanin" w:hAnsi="IRNazanin" w:eastAsia="IRNazanin"/>
          <w:color w:val="111111"/>
          <w:sz w:val="28"/>
          <w:sz w:val="28"/>
          <w:szCs w:val="28"/>
          <w:rtl w:val="true"/>
          <w:lang w:bidi="fa-IR"/>
        </w:rPr>
        <w:t xml:space="preserve">أو خصوص أرواثها دون البول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عمّنا الكليم في شرح بغيته جعل الاحتياط في اجتناب البول، و ظاهره التردّد في طهارته كشيخ أساتيدنا رحمه الله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للمشهور عدّة نصوص، منها ما اشتملت على طهارة كليهما كرواية أبي الأعز النخّاس </w:t>
      </w:r>
      <w:r>
        <w:rPr>
          <w:rStyle w:val="FootnoteAnchor"/>
          <w:rtl w:val="true"/>
        </w:rPr>
        <w:footnoteReference w:id="1422"/>
      </w:r>
      <w:r>
        <w:rPr>
          <w:rFonts w:ascii="Amiri" w:hAnsi="Amiri" w:eastAsia="Amiri" w:cs="Amiri"/>
          <w:color w:val="111111"/>
          <w:sz w:val="28"/>
          <w:sz w:val="28"/>
          <w:szCs w:val="28"/>
          <w:rtl w:val="true"/>
          <w:lang w:bidi="ar-SA"/>
        </w:rPr>
        <w:t xml:space="preserve">، و منها ما اختصّ بأحدهما كرواية المعلّى بن خُنيس </w:t>
      </w:r>
      <w:r>
        <w:rPr>
          <w:rStyle w:val="FootnoteAnchor"/>
          <w:rtl w:val="true"/>
        </w:rPr>
        <w:footnoteReference w:id="1423"/>
      </w:r>
      <w:r>
        <w:rPr>
          <w:rFonts w:ascii="Amiri" w:hAnsi="Amiri" w:eastAsia="Amiri" w:cs="Amiri"/>
          <w:color w:val="111111"/>
          <w:sz w:val="28"/>
          <w:sz w:val="28"/>
          <w:szCs w:val="28"/>
          <w:rtl w:val="true"/>
          <w:lang w:bidi="ar-SA"/>
        </w:rPr>
        <w:t>، و في الأرواث أكثر بضميمة القول بنفي الفرق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أمعن النّظر في نصوص الطرفين يرى أنّ نصوص النجاسة أوضح دلالةً و أثْقَن سنداً، إمّا مطلقاً، أو في خصوص أبوالها، فإن تحقّق حَرَج في الاجتناب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القول بالطّهارة غير عَريّ عن السّند، و إلّا فلا، فإنّ غاية ما ركنوا إليه أنّ النصوص متعارضة بلا مرجّح فيرجع إلى الأصل، و لم يتّضح لدينا نفي مرجّح أخبار النجاسة بعد ظهور أنّ الشهرة </w:t>
      </w:r>
      <w:bookmarkStart w:id="104" w:name="pg9146_86091"/>
    </w:p>
    <w:p>
      <w:pPr>
        <w:pStyle w:val="BookText"/>
        <w:rPr/>
      </w:pPr>
      <w:bookmarkEnd w:id="104"/>
      <w:r>
        <w:rPr>
          <w:rFonts w:ascii="Amiri" w:hAnsi="Amiri" w:eastAsia="Amiri" w:cs="Amiri"/>
          <w:color w:val="111111"/>
          <w:sz w:val="28"/>
          <w:sz w:val="28"/>
          <w:szCs w:val="28"/>
          <w:rtl w:val="true"/>
          <w:lang w:bidi="ar-SA"/>
        </w:rPr>
        <w:t>غير جابرة قطعاً، و لا الظّن الحاصل منها معتبر جزماً، مضافاً إلى إمكان صرف بعض الأخبار كالإجماع المدّعى أو الشهرة إلى فضلات ما أعتيد أكله من الحيوانات، لا ما كان مخلوقاً لغير ذلك و إن حَلّ، و له شَواهِد عاضدة لا أقلّ من تخصيص النجاسة بالأبوال؛ لعدم الحَرَج في اجتنابها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ظاهراً لنصوص النجاسة؛ لأنها الأقوى، فإن تحقّق الإجماع</w:t>
      </w:r>
    </w:p>
    <w:p>
      <w:pPr>
        <w:pStyle w:val="BookText"/>
        <w:rPr/>
      </w:pPr>
      <w:r>
        <w:rPr>
          <w:rFonts w:ascii="Amiri" w:hAnsi="Amiri" w:eastAsia="Amiri" w:cs="Amiri"/>
          <w:color w:val="111111"/>
          <w:sz w:val="28"/>
          <w:sz w:val="28"/>
          <w:szCs w:val="28"/>
          <w:rtl w:val="true"/>
          <w:lang w:bidi="ar-SA"/>
        </w:rPr>
        <w:t xml:space="preserve">المصطلح فيها و إلا فالاجتناب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احتَط لدينك</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3322594_2870459653"/>
      <w:bookmarkStart w:id="106" w:name="_Toc35"/>
      <w:bookmarkEnd w:id="105"/>
      <w:r>
        <w:rPr>
          <w:rtl w:val="true"/>
        </w:rPr>
        <w:t>[</w:t>
      </w:r>
      <w:r>
        <w:rPr>
          <w:rtl w:val="true"/>
        </w:rPr>
        <w:t>حكم ما لا نفس له</w:t>
      </w:r>
      <w:r>
        <w:rPr>
          <w:rtl w:val="true"/>
        </w:rPr>
        <w:t>]</w:t>
      </w:r>
      <w:bookmarkEnd w:id="10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لا نفس له فالمقطوع به في كلام الأكثر طهارة رجيعه؛ لما ذكرنا، و عليه الإجماع في المعالم </w:t>
      </w:r>
      <w:r>
        <w:rPr>
          <w:rStyle w:val="FootnoteAnchor"/>
          <w:rtl w:val="true"/>
        </w:rPr>
        <w:footnoteReference w:id="1426"/>
      </w:r>
      <w:r>
        <w:rPr>
          <w:rFonts w:ascii="Amiri" w:hAnsi="Amiri" w:eastAsia="Amiri" w:cs="Amiri"/>
          <w:color w:val="111111"/>
          <w:sz w:val="28"/>
          <w:sz w:val="28"/>
          <w:szCs w:val="28"/>
          <w:rtl w:val="true"/>
          <w:lang w:bidi="ar-SA"/>
        </w:rPr>
        <w:t xml:space="preserve">، و عدم الخلاف في الحدائق </w:t>
      </w:r>
      <w:r>
        <w:rPr>
          <w:rStyle w:val="FootnoteAnchor"/>
          <w:rtl w:val="true"/>
        </w:rPr>
        <w:footnoteReference w:id="1427"/>
      </w:r>
      <w:r>
        <w:rPr>
          <w:rFonts w:ascii="Amiri" w:hAnsi="Amiri" w:eastAsia="Amiri" w:cs="Amiri"/>
          <w:color w:val="111111"/>
          <w:sz w:val="28"/>
          <w:sz w:val="28"/>
          <w:szCs w:val="28"/>
          <w:rtl w:val="true"/>
          <w:lang w:bidi="ar-SA"/>
        </w:rPr>
        <w:t xml:space="preserve">، و نسب الفاضل في التذكرة </w:t>
      </w:r>
      <w:r>
        <w:rPr>
          <w:rStyle w:val="FootnoteAnchor"/>
          <w:rtl w:val="true"/>
        </w:rPr>
        <w:footnoteReference w:id="1428"/>
      </w:r>
      <w:r>
        <w:rPr>
          <w:rFonts w:ascii="Amiri" w:hAnsi="Amiri" w:eastAsia="Amiri" w:cs="Amiri"/>
          <w:color w:val="111111"/>
          <w:sz w:val="28"/>
          <w:sz w:val="28"/>
          <w:szCs w:val="28"/>
          <w:rtl w:val="true"/>
          <w:lang w:bidi="ar-SA"/>
        </w:rPr>
        <w:t xml:space="preserve">الخلاف فيه لبعض العامّة، و هو بعدمه عندنا مشعر، و تردّد في الشرائع </w:t>
      </w:r>
      <w:r>
        <w:rPr>
          <w:rStyle w:val="FootnoteAnchor"/>
          <w:rtl w:val="true"/>
        </w:rPr>
        <w:footnoteReference w:id="1429"/>
      </w:r>
      <w:r>
        <w:rPr>
          <w:rFonts w:ascii="Amiri" w:hAnsi="Amiri" w:eastAsia="Amiri" w:cs="Amiri"/>
          <w:color w:val="111111"/>
          <w:sz w:val="28"/>
          <w:sz w:val="28"/>
          <w:szCs w:val="28"/>
          <w:rtl w:val="true"/>
          <w:lang w:bidi="ar-SA"/>
        </w:rPr>
        <w:t xml:space="preserve">، و المصنّف في الدّروس </w:t>
      </w:r>
      <w:r>
        <w:rPr>
          <w:rStyle w:val="FootnoteAnchor"/>
          <w:rtl w:val="true"/>
        </w:rPr>
        <w:footnoteReference w:id="1430"/>
      </w:r>
      <w:r>
        <w:rPr>
          <w:rFonts w:ascii="Amiri" w:hAnsi="Amiri" w:eastAsia="Amiri" w:cs="Amiri"/>
          <w:color w:val="111111"/>
          <w:sz w:val="28"/>
          <w:sz w:val="28"/>
          <w:szCs w:val="28"/>
          <w:rtl w:val="true"/>
          <w:lang w:bidi="ar-SA"/>
        </w:rPr>
        <w:t xml:space="preserve">لم يقيّد نجس البول و الغائط بذي النفس و قيّد الدّم فاكتفى فيه، و في المدارك </w:t>
      </w:r>
      <w:r>
        <w:rPr>
          <w:rStyle w:val="FootnoteAnchor"/>
          <w:rtl w:val="true"/>
        </w:rPr>
        <w:footnoteReference w:id="1431"/>
      </w:r>
      <w:r>
        <w:rPr>
          <w:rFonts w:ascii="Amiri" w:hAnsi="Amiri" w:eastAsia="Amiri" w:cs="Amiri"/>
          <w:color w:val="111111"/>
          <w:sz w:val="28"/>
          <w:sz w:val="28"/>
          <w:szCs w:val="28"/>
          <w:rtl w:val="true"/>
          <w:lang w:bidi="ar-SA"/>
        </w:rPr>
        <w:t>أنّ فضلاتها كعصارة الثياب، لكن انصراف إطلاقات النجاسة في البول و الغائط إلى ذي النفس مشكل في الحيوانات البحرية العظيمة الجسم، بل و في غيرها، و إلّا لحكَمَ بانصرافها في عدم جواز الصلاة بغير المأكول و خصّ بما له نفس منه، فانصراف غير المأكول لذي النفس هنا دونه هناك تحكُّم، فالأشبه النّجاسة؛ جموداً على عموم الأدلّة بلا مخصّص</w:t>
      </w:r>
      <w:r>
        <w:rPr>
          <w:rFonts w:eastAsia="Amiri" w:cs="Amiri" w:ascii="Amiri" w:hAnsi="Amiri"/>
          <w:color w:val="111111"/>
          <w:sz w:val="28"/>
          <w:szCs w:val="28"/>
          <w:rtl w:val="true"/>
          <w:lang w:bidi="ar-SA"/>
        </w:rPr>
        <w:t xml:space="preserve">. </w:t>
      </w:r>
      <w:bookmarkStart w:id="107" w:name="pg9146_86093"/>
    </w:p>
    <w:p>
      <w:pPr>
        <w:pStyle w:val="BookText"/>
        <w:rPr/>
      </w:pPr>
      <w:bookmarkEnd w:id="107"/>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الإجماع على الطهارة يتعيّن الاحتياط كما في كلّ مقام يكون فيه الشهرة و ظواهر الأدلّة طرفي للنقيض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و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حيث الحكم الشرعي به و إن لم يسمّ في العرف كذلك في الثاني، فيشمل الخارج من المشتبه قبل الاستبراء، و يشترط في نجاستهما أن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ذي النفس عندهما، فما يخرج من غير ذي النفس طاهر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غيره</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3322596_2870459653"/>
      <w:bookmarkStart w:id="109" w:name="_Toc36"/>
      <w:bookmarkEnd w:id="108"/>
      <w:r>
        <w:rPr>
          <w:rtl w:val="true"/>
        </w:rPr>
        <w:t>[</w:t>
      </w:r>
      <w:r>
        <w:rPr>
          <w:rtl w:val="true"/>
        </w:rPr>
        <w:t>طهارة دم النَّبي صلّی الله علیه و آله و الأئمة السلام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فيدخل فيه النَّبيّ صلّی الله علیه و آله و الأئمّة علیهم السلام، و تخصّص آية التطهير </w:t>
      </w:r>
      <w:r>
        <w:rPr>
          <w:rStyle w:val="FootnoteAnchor"/>
          <w:rtl w:val="true"/>
        </w:rPr>
        <w:footnoteReference w:id="1432"/>
      </w:r>
      <w:r>
        <w:rPr>
          <w:rFonts w:ascii="IRNazanin" w:hAnsi="IRNazanin" w:eastAsia="IRNazanin"/>
          <w:color w:val="111111"/>
          <w:sz w:val="28"/>
          <w:sz w:val="28"/>
          <w:szCs w:val="28"/>
          <w:rtl w:val="true"/>
          <w:lang w:bidi="fa-IR"/>
        </w:rPr>
        <w:t>بالعمومات و الإطلاقات</w:t>
      </w:r>
    </w:p>
    <w:p>
      <w:pPr>
        <w:pStyle w:val="BookText"/>
        <w:rPr/>
      </w:pPr>
      <w:r>
        <w:rPr>
          <w:rFonts w:ascii="Amiri" w:hAnsi="Amiri" w:eastAsia="Amiri" w:cs="Amiri"/>
          <w:color w:val="111111"/>
          <w:sz w:val="28"/>
          <w:sz w:val="28"/>
          <w:szCs w:val="28"/>
          <w:rtl w:val="true"/>
          <w:lang w:bidi="ar-SA"/>
        </w:rPr>
        <w:t xml:space="preserve">القاضية بنجاسة الأربع مطلقاً في الإنسان مطلقاً، و ينفى إقراره لأمّ أيمن في شرب بوله </w:t>
      </w:r>
      <w:r>
        <w:rPr>
          <w:rStyle w:val="FootnoteAnchor"/>
          <w:rtl w:val="true"/>
        </w:rPr>
        <w:footnoteReference w:id="1433"/>
      </w:r>
      <w:r>
        <w:rPr>
          <w:rFonts w:ascii="Amiri" w:hAnsi="Amiri" w:eastAsia="Amiri" w:cs="Amiri"/>
          <w:color w:val="111111"/>
          <w:sz w:val="28"/>
          <w:sz w:val="28"/>
          <w:szCs w:val="28"/>
          <w:rtl w:val="true"/>
          <w:lang w:bidi="ar-SA"/>
        </w:rPr>
        <w:t xml:space="preserve">الظاهر منه أن لا خصوصيّة له من بين النجاسات و لا مفصّل، ولكن الحكم بذلك محتاج إلى الجرأة و إن حكم به أساطين الأصحاب </w:t>
      </w:r>
      <w:r>
        <w:rPr>
          <w:rStyle w:val="FootnoteAnchor"/>
          <w:rtl w:val="true"/>
        </w:rPr>
        <w:footnoteReference w:id="1434"/>
      </w:r>
      <w:r>
        <w:rPr>
          <w:rFonts w:ascii="IRNazanin" w:hAnsi="IRNazanin" w:eastAsia="IRNazanin"/>
          <w:color w:val="111111"/>
          <w:sz w:val="28"/>
          <w:sz w:val="28"/>
          <w:szCs w:val="28"/>
          <w:rtl w:val="true"/>
          <w:lang w:bidi="fa-IR"/>
        </w:rPr>
        <w:t xml:space="preserve">، و بروضه النّص بالعموم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القاطع حاكم بأنّ كلّ صفة حسنة يمكن أن يتسربل بها الممكن يجب عقلاً أن يتّصف بها النبي صلّی الله علیه و آله و الأئمّة علیهم السلام، و لا ريب أن عدم نجاسة ما هو نجس في غيرهم من الأوصاف الحسنة؛ لعلوّ قدرهم عن سائر المخلوقين، فاتّصافهم بها واجب عقلاً، مع أنّ الكلّية في الأربع لم تبقَ على عمومها، و هذا الفرد أظهر أفراد المستثنى، بل في استثناء عليّ علیه السلام من أحكام الجنب من المكث </w:t>
      </w:r>
      <w:r>
        <w:rPr>
          <w:rStyle w:val="FootnoteAnchor"/>
          <w:rtl w:val="true"/>
        </w:rPr>
        <w:footnoteReference w:id="1436"/>
      </w:r>
      <w:r>
        <w:rPr>
          <w:rFonts w:ascii="Amiri" w:hAnsi="Amiri" w:eastAsia="Amiri" w:cs="Amiri"/>
          <w:color w:val="111111"/>
          <w:sz w:val="28"/>
          <w:sz w:val="28"/>
          <w:szCs w:val="28"/>
          <w:rtl w:val="true"/>
          <w:lang w:bidi="ar-SA"/>
        </w:rPr>
        <w:t xml:space="preserve">في المسجد، بل و الجماع فيه من أقوى المؤيدات، فلا </w:t>
      </w:r>
    </w:p>
    <w:p>
      <w:pPr>
        <w:pStyle w:val="BookText"/>
        <w:rPr/>
      </w:pPr>
      <w:r>
        <w:rPr>
          <w:rFonts w:ascii="Amiri" w:hAnsi="Amiri" w:eastAsia="Amiri" w:cs="Amiri"/>
          <w:color w:val="111111"/>
          <w:sz w:val="28"/>
          <w:sz w:val="28"/>
          <w:szCs w:val="28"/>
          <w:rtl w:val="true"/>
          <w:lang w:bidi="ar-SA"/>
        </w:rPr>
        <w:t>يشمله عمومات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أَذْهَبَ عَنْكُم الرجس و طهركم</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لجميع أنواع الطهارة الموجب لطهارة جميع ما احتوى عليه أبدانهم و ما خرج منها، و الرّجس هو النجس كما في المعالم </w:t>
      </w:r>
      <w:r>
        <w:rPr>
          <w:rStyle w:val="FootnoteAnchor"/>
          <w:rtl w:val="true"/>
        </w:rPr>
        <w:footnoteReference w:id="1438"/>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رِجْسٌ</w:t>
      </w:r>
      <w:r>
        <w:rPr>
          <w:rFonts w:eastAsia="Amiri" w:cs="Amiri" w:ascii="Amiri" w:hAnsi="Amiri"/>
          <w:color w:val="111111"/>
          <w:sz w:val="28"/>
          <w:szCs w:val="28"/>
          <w:rtl w:val="true"/>
          <w:lang w:bidi="ar-SA"/>
        </w:rPr>
        <w:t xml:space="preserve">) </w:t>
      </w:r>
      <w:r>
        <w:rPr>
          <w:rStyle w:val="FootnoteAnchor"/>
          <w:rtl w:val="true"/>
        </w:rPr>
        <w:footnoteReference w:id="1439"/>
      </w:r>
      <w:r>
        <w:rPr>
          <w:rFonts w:ascii="IRNazanin" w:hAnsi="IRNazanin" w:eastAsia="IRNazanin"/>
          <w:color w:val="111111"/>
          <w:sz w:val="28"/>
          <w:sz w:val="28"/>
          <w:szCs w:val="28"/>
          <w:rtl w:val="true"/>
          <w:lang w:bidi="fa-IR"/>
        </w:rPr>
        <w:t>، و معنى إذهابه عنهم هو ما حرّرناه صريحا، و غير ذلك ممّا لا يحصى ممّا ظاهره ما حرّرنا، لا أقلّ أنّ هذه الأخبار تجري مجرى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يطير فلا بأس بخرئه</w:t>
      </w:r>
      <w:r>
        <w:rPr>
          <w:rFonts w:eastAsia="IRNazanin" w:cs="IRNazanin"/>
          <w:color w:val="111111"/>
          <w:sz w:val="28"/>
          <w:szCs w:val="28"/>
          <w:rtl w:val="true"/>
          <w:lang w:bidi="fa-IR"/>
        </w:rPr>
        <w:t xml:space="preserve">»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مانع من أن تجعل المناصب الإلهية كالطيران في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الإغماض عن ذلك كلّه فحكومة العقل الآبية عن التخصيص ممّا تقضي بحسن هذا الوصف، و أنه يمكن اتّصاف الممكن به فيجب أن يتصفوا بذلك؛ لما تحقّق في محلّه من وجوب اتصافهم بكلّ خَلْق أو خُلُق أو وَصفٍ حَسن لا يُورث الشركة، فالقول به في الأربعة </w:t>
      </w:r>
      <w:r>
        <w:rPr>
          <w:rStyle w:val="FootnoteAnchor"/>
          <w:rtl w:val="true"/>
        </w:rPr>
        <w:footnoteReference w:id="1441"/>
      </w:r>
      <w:r>
        <w:rPr>
          <w:rFonts w:ascii="Amiri" w:hAnsi="Amiri" w:eastAsia="Amiri" w:cs="Amiri"/>
          <w:color w:val="111111"/>
          <w:sz w:val="28"/>
          <w:sz w:val="28"/>
          <w:szCs w:val="28"/>
          <w:rtl w:val="true"/>
          <w:lang w:bidi="ar-SA"/>
        </w:rPr>
        <w:t>متعيّن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غير الآدميّ من ذي النفس 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بريّاً أو </w:t>
      </w:r>
      <w:r>
        <w:rPr>
          <w:rStyle w:val="FootnoteAnchor"/>
          <w:rtl w:val="true"/>
        </w:rPr>
        <w:footnoteReference w:id="1442"/>
      </w:r>
      <w:r>
        <w:rPr>
          <w:rFonts w:ascii="Amiri" w:hAnsi="Amiri" w:eastAsia="Amiri" w:cs="Amiri"/>
          <w:color w:val="111111"/>
          <w:sz w:val="28"/>
          <w:sz w:val="28"/>
          <w:szCs w:val="28"/>
          <w:rtl w:val="true"/>
          <w:lang w:bidi="ar-SA"/>
        </w:rPr>
        <w:t>بحريّاً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أنّه ذو النفس في الثاني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 الشافعي </w:t>
      </w:r>
      <w:r>
        <w:rPr>
          <w:rStyle w:val="FootnoteAnchor"/>
          <w:rtl w:val="true"/>
        </w:rPr>
        <w:footnoteReference w:id="1443"/>
      </w:r>
      <w:r>
        <w:rPr>
          <w:rFonts w:ascii="Amiri" w:hAnsi="Amiri" w:eastAsia="Amiri" w:cs="Amiri"/>
          <w:color w:val="111111"/>
          <w:sz w:val="28"/>
          <w:sz w:val="28"/>
          <w:szCs w:val="28"/>
          <w:rtl w:val="true"/>
          <w:lang w:bidi="ar-SA"/>
        </w:rPr>
        <w:t>في الجميع، و هو على إطلاقه باطل، و الظاهر أنّ نجاسة منيّ الإنسان مطلقاً ممّا لا شُبهة فيه عندنا، و كذا غير مأكول اللّحم من الحيوان تما له نفس سوى الطّير منه على قول، و صريح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إلحاق الدّم و المنيّ من مأكول اللّحم بشرطه بغيره</w:t>
      </w:r>
      <w:r>
        <w:rPr>
          <w:rFonts w:eastAsia="Amiri" w:cs="Amiri" w:ascii="Amiri" w:hAnsi="Amiri"/>
          <w:color w:val="111111"/>
          <w:sz w:val="28"/>
          <w:szCs w:val="28"/>
          <w:rtl w:val="true"/>
          <w:lang w:bidi="ar-SA"/>
        </w:rPr>
        <w:t xml:space="preserve">. </w:t>
      </w:r>
      <w:bookmarkStart w:id="110" w:name="pg9146_86098"/>
    </w:p>
    <w:p>
      <w:pPr>
        <w:pStyle w:val="BookText"/>
        <w:rPr/>
      </w:pPr>
      <w:bookmarkEnd w:id="110"/>
      <w:r>
        <w:rPr>
          <w:rFonts w:ascii="Amiri" w:hAnsi="Amiri" w:eastAsia="Amiri" w:cs="Amiri"/>
          <w:color w:val="111111"/>
          <w:sz w:val="28"/>
          <w:sz w:val="28"/>
          <w:szCs w:val="28"/>
          <w:rtl w:val="true"/>
          <w:lang w:bidi="ar-SA"/>
        </w:rPr>
        <w:t xml:space="preserve">و الأوّل سيجيء إشكال التفكيك فيه، و الثاني نقل الإجماع </w:t>
      </w:r>
      <w:r>
        <w:rPr>
          <w:rStyle w:val="FootnoteAnchor"/>
          <w:rtl w:val="true"/>
        </w:rPr>
        <w:footnoteReference w:id="1444"/>
      </w:r>
      <w:r>
        <w:rPr>
          <w:rFonts w:ascii="Amiri" w:hAnsi="Amiri" w:eastAsia="Amiri" w:cs="Amiri"/>
          <w:color w:val="111111"/>
          <w:sz w:val="28"/>
          <w:sz w:val="28"/>
          <w:szCs w:val="28"/>
          <w:rtl w:val="true"/>
          <w:lang w:bidi="ar-SA"/>
        </w:rPr>
        <w:t xml:space="preserve">عليه في مطلق ذي النّفس، و استدل له بأشدّيّة نجاسته من البول في الخبر فينجس بالأولويّة، و في الاستدلال نظر، فإن قامَ عليه الإجماع خصّص منطوق موثّقة عمار </w:t>
      </w:r>
      <w:r>
        <w:rPr>
          <w:rStyle w:val="FootnoteAnchor"/>
          <w:rtl w:val="true"/>
        </w:rPr>
        <w:footnoteReference w:id="1445"/>
      </w:r>
      <w:r>
        <w:rPr>
          <w:rFonts w:ascii="Amiri" w:hAnsi="Amiri" w:eastAsia="Amiri" w:cs="Amiri"/>
          <w:color w:val="111111"/>
          <w:sz w:val="28"/>
          <w:sz w:val="28"/>
          <w:szCs w:val="28"/>
          <w:rtl w:val="true"/>
          <w:lang w:bidi="ar-SA"/>
        </w:rPr>
        <w:t xml:space="preserve">و مفهوم موثّقة عبد الله بن بكير </w:t>
      </w:r>
      <w:r>
        <w:rPr>
          <w:rStyle w:val="FootnoteAnchor"/>
          <w:rtl w:val="true"/>
        </w:rPr>
        <w:footnoteReference w:id="1446"/>
      </w:r>
      <w:r>
        <w:rPr>
          <w:rFonts w:ascii="Amiri" w:hAnsi="Amiri" w:eastAsia="Amiri" w:cs="Amiri"/>
          <w:color w:val="111111"/>
          <w:sz w:val="28"/>
          <w:sz w:val="28"/>
          <w:szCs w:val="28"/>
          <w:rtl w:val="true"/>
          <w:lang w:bidi="ar-SA"/>
        </w:rPr>
        <w:t>الواردة في لباس المصلِّي، و إلّا فالظّاهر الطهارة؛ للأصل، خرج البول بدليله لو فرض نجاسة بعض الأبوال، و بقي غيره مطلقاً</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3322598_2870459653"/>
      <w:bookmarkStart w:id="112" w:name="_Toc37"/>
      <w:bookmarkEnd w:id="111"/>
      <w:r>
        <w:rPr>
          <w:rtl w:val="true"/>
        </w:rPr>
        <w:t>[</w:t>
      </w:r>
      <w:r>
        <w:rPr>
          <w:rtl w:val="true"/>
        </w:rPr>
        <w:t>حكم مني ما لا نفس له</w:t>
      </w:r>
      <w:r>
        <w:rPr>
          <w:rtl w:val="true"/>
        </w:rPr>
        <w:t>] ...</w:t>
      </w:r>
      <w:bookmarkEnd w:id="112"/>
    </w:p>
    <w:p>
      <w:pPr>
        <w:pStyle w:val="BookText"/>
        <w:rPr/>
      </w:pPr>
      <w:r>
        <w:rPr>
          <w:rFonts w:ascii="Amiri" w:hAnsi="Amiri" w:eastAsia="Amiri" w:cs="Amiri"/>
          <w:color w:val="111111"/>
          <w:sz w:val="28"/>
          <w:sz w:val="28"/>
          <w:szCs w:val="28"/>
          <w:rtl w:val="true"/>
          <w:lang w:bidi="ar-SA"/>
        </w:rPr>
        <w:t xml:space="preserve">و أمّا منيّ ما لا نفس له، فالطّهارة أشبه بمذاق الفقهاء </w:t>
      </w:r>
      <w:r>
        <w:rPr>
          <w:rStyle w:val="FootnoteAnchor"/>
          <w:rtl w:val="true"/>
        </w:rPr>
        <w:footnoteReference w:id="1447"/>
      </w:r>
      <w:r>
        <w:rPr>
          <w:rFonts w:ascii="Amiri" w:hAnsi="Amiri" w:eastAsia="Amiri" w:cs="Amiri"/>
          <w:color w:val="111111"/>
          <w:sz w:val="28"/>
          <w:sz w:val="28"/>
          <w:szCs w:val="28"/>
          <w:rtl w:val="true"/>
          <w:lang w:bidi="ar-SA"/>
        </w:rPr>
        <w:t xml:space="preserve">، و عليه هما هنا، و المحّقق </w:t>
      </w:r>
      <w:r>
        <w:rPr>
          <w:rStyle w:val="FootnoteAnchor"/>
          <w:rtl w:val="true"/>
        </w:rPr>
        <w:footnoteReference w:id="1448"/>
      </w:r>
      <w:r>
        <w:rPr>
          <w:rFonts w:ascii="Amiri" w:hAnsi="Amiri" w:eastAsia="Amiri" w:cs="Amiri"/>
          <w:color w:val="111111"/>
          <w:sz w:val="28"/>
          <w:sz w:val="28"/>
          <w:szCs w:val="28"/>
          <w:rtl w:val="true"/>
          <w:lang w:bidi="ar-SA"/>
        </w:rPr>
        <w:t xml:space="preserve">تردّد فيه، و كأنّه للتشديد في الخبر، و لو قلنا بطهارة أبوال ما لا نفس له؛ لأنّ النجاسة أظهر أفراد الأشدّيّة في الطاهر و في غيره بطريق أولى، فهو بضميمة قيام الإجماع على نجاسته مطلقاً يتّجه التّوقف في طهارته، لكن انصراف المنيّ لغير محلّ البحث ممّا يُوهِن عموم الإجماع، ففي الصّحاح أنّه ماء الرّجل خاصّة </w:t>
      </w:r>
      <w:r>
        <w:rPr>
          <w:rStyle w:val="FootnoteAnchor"/>
          <w:rtl w:val="true"/>
        </w:rPr>
        <w:footnoteReference w:id="1449"/>
      </w:r>
      <w:r>
        <w:rPr>
          <w:rFonts w:ascii="Amiri" w:hAnsi="Amiri" w:eastAsia="Amiri" w:cs="Amiri"/>
          <w:color w:val="111111"/>
          <w:sz w:val="28"/>
          <w:sz w:val="28"/>
          <w:szCs w:val="28"/>
          <w:rtl w:val="true"/>
          <w:lang w:bidi="ar-SA"/>
        </w:rPr>
        <w:t>، و في شمول الأشدّيّة لهذا الفرد منعٌ، و لو سلّم فلعلها في أُمور أُخَر غير النجاسة، منها كون المنيّ موجب للحدث دون البول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عدم نجاسة ما يخرج من المخرجين غير الثلاثة </w:t>
      </w:r>
      <w:r>
        <w:rPr>
          <w:rStyle w:val="FootnoteAnchor"/>
          <w:rtl w:val="true"/>
        </w:rPr>
        <w:footnoteReference w:id="1450"/>
      </w:r>
      <w:r>
        <w:rPr>
          <w:rFonts w:ascii="IRNazanin" w:hAnsi="IRNazanin" w:eastAsia="IRNazanin"/>
          <w:color w:val="111111"/>
          <w:sz w:val="28"/>
          <w:sz w:val="28"/>
          <w:szCs w:val="28"/>
          <w:rtl w:val="true"/>
          <w:lang w:bidi="fa-IR"/>
        </w:rPr>
        <w:t xml:space="preserve">، فالثلاثة كالثلاثة في الحكم مطلقاً على الأقوى، و جعلُ الصادق علیه السلام الخارج منهما غيرهما بمنزلة النخامة </w:t>
      </w:r>
      <w:r>
        <w:rPr>
          <w:rStyle w:val="FootnoteAnchor"/>
          <w:rtl w:val="true"/>
        </w:rPr>
        <w:footnoteReference w:id="1451"/>
      </w:r>
      <w:r>
        <w:rPr>
          <w:rFonts w:ascii="Amiri" w:hAnsi="Amiri" w:eastAsia="Amiri" w:cs="Amiri"/>
          <w:color w:val="111111"/>
          <w:sz w:val="28"/>
          <w:sz w:val="28"/>
          <w:szCs w:val="28"/>
          <w:rtl w:val="true"/>
          <w:lang w:bidi="ar-SA"/>
        </w:rPr>
        <w:t>دليلٌ عليه، و لعلّ الأمر بالغسل في بعضها للاستحباب أو للتقيّة</w:t>
      </w:r>
      <w:r>
        <w:rPr>
          <w:rFonts w:eastAsia="Amiri" w:cs="Amiri" w:ascii="Amiri" w:hAnsi="Amiri"/>
          <w:color w:val="111111"/>
          <w:sz w:val="28"/>
          <w:szCs w:val="28"/>
          <w:rtl w:val="true"/>
          <w:lang w:bidi="ar-SA"/>
        </w:rPr>
        <w:t xml:space="preserve">. </w:t>
      </w:r>
      <w:bookmarkStart w:id="113" w:name="pg9146_86100"/>
    </w:p>
    <w:p>
      <w:pPr>
        <w:pStyle w:val="BookText"/>
        <w:rPr/>
      </w:pPr>
      <w:bookmarkEnd w:id="113"/>
      <w:r>
        <w:rPr>
          <w:rFonts w:ascii="Amiri" w:hAnsi="Amiri" w:eastAsia="Amiri" w:cs="Amiri"/>
          <w:color w:val="111111"/>
          <w:sz w:val="28"/>
          <w:sz w:val="28"/>
          <w:szCs w:val="28"/>
          <w:rtl w:val="true"/>
          <w:lang w:bidi="ar-SA"/>
        </w:rPr>
        <w:t xml:space="preserve">نعم، المشتبه الخارج قبل الاستبراء في الاثنين محكومٌ عليه شرعاً </w:t>
      </w:r>
      <w:r>
        <w:rPr>
          <w:rStyle w:val="FootnoteAnchor"/>
          <w:rtl w:val="true"/>
        </w:rPr>
        <w:footnoteReference w:id="1452"/>
      </w:r>
      <w:r>
        <w:rPr>
          <w:rFonts w:ascii="Amiri" w:hAnsi="Amiri" w:eastAsia="Amiri" w:cs="Amiri"/>
          <w:color w:val="111111"/>
          <w:sz w:val="28"/>
          <w:sz w:val="28"/>
          <w:szCs w:val="28"/>
          <w:rtl w:val="true"/>
          <w:lang w:bidi="ar-SA"/>
        </w:rPr>
        <w:t>بلحوق الاسم و الحكم فيها</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3322600_2870459653"/>
      <w:bookmarkStart w:id="115" w:name="_Toc38"/>
      <w:bookmarkEnd w:id="114"/>
      <w:r>
        <w:rPr>
          <w:rtl w:val="true"/>
        </w:rPr>
        <w:t>[</w:t>
      </w:r>
      <w:r>
        <w:rPr>
          <w:rtl w:val="true"/>
        </w:rPr>
        <w:t>حكم الدم المسفوح</w:t>
      </w:r>
      <w:r>
        <w:rPr>
          <w:rtl w:val="true"/>
        </w:rPr>
        <w:t>]</w:t>
      </w:r>
      <w:bookmarkEnd w:id="115"/>
    </w:p>
    <w:p>
      <w:pPr>
        <w:pStyle w:val="BookText"/>
        <w:rPr/>
      </w:pPr>
      <w:r>
        <w:rPr>
          <w:rFonts w:ascii="Amiri" w:hAnsi="Amiri" w:eastAsia="Amiri" w:cs="Amiri"/>
          <w:color w:val="111111"/>
          <w:sz w:val="28"/>
          <w:sz w:val="28"/>
          <w:szCs w:val="28"/>
          <w:rtl w:val="true"/>
          <w:lang w:bidi="ar-SA"/>
        </w:rPr>
        <w:t xml:space="preserve">و أمّا الدّم، فنجاسته مع القيد ممّا لا شبهة فيه، و الإجماع </w:t>
      </w:r>
      <w:r>
        <w:rPr>
          <w:rStyle w:val="FootnoteAnchor"/>
          <w:rtl w:val="true"/>
        </w:rPr>
        <w:footnoteReference w:id="1453"/>
      </w:r>
      <w:r>
        <w:rPr>
          <w:rFonts w:ascii="Amiri" w:hAnsi="Amiri" w:eastAsia="Amiri" w:cs="Amiri"/>
          <w:color w:val="111111"/>
          <w:sz w:val="28"/>
          <w:sz w:val="28"/>
          <w:szCs w:val="28"/>
          <w:rtl w:val="true"/>
          <w:lang w:bidi="ar-SA"/>
        </w:rPr>
        <w:t xml:space="preserve">المحقّق عليه سواء كان مسفوحاً أم لا للإجماع </w:t>
      </w:r>
      <w:r>
        <w:rPr>
          <w:rStyle w:val="FootnoteAnchor"/>
          <w:rtl w:val="true"/>
        </w:rPr>
        <w:footnoteReference w:id="1454"/>
      </w:r>
      <w:r>
        <w:rPr>
          <w:rFonts w:ascii="Amiri" w:hAnsi="Amiri" w:eastAsia="Amiri" w:cs="Amiri"/>
          <w:color w:val="111111"/>
          <w:sz w:val="28"/>
          <w:sz w:val="28"/>
          <w:szCs w:val="28"/>
          <w:rtl w:val="true"/>
          <w:lang w:bidi="ar-SA"/>
        </w:rPr>
        <w:t xml:space="preserve">أيضاً و إن قيّده به جماعة </w:t>
      </w:r>
      <w:r>
        <w:rPr>
          <w:rStyle w:val="FootnoteAnchor"/>
          <w:rtl w:val="true"/>
        </w:rPr>
        <w:footnoteReference w:id="1455"/>
      </w:r>
      <w:r>
        <w:rPr>
          <w:rFonts w:ascii="Amiri" w:hAnsi="Amiri" w:eastAsia="Amiri" w:cs="Amiri"/>
          <w:color w:val="111111"/>
          <w:sz w:val="28"/>
          <w:sz w:val="28"/>
          <w:szCs w:val="28"/>
          <w:rtl w:val="true"/>
          <w:lang w:bidi="ar-SA"/>
        </w:rPr>
        <w:t>، أو استظهر ممّن علّل طهارة بعضه بعدم السفح، فإنّ مبناه على اعتبار مفهوم الوصف في الآية، و هو ضعيف مطلقاً، أو في المقام، أو معارض بمنطوق الأخرى، و هو المقدّم، و لا يصلح تخصيصه بالمفهوم مطلقاً، أو يقتصر فيه على مفهوم الشّرط و الغاية و ينفى التخصيص في مفهوم الوصف، إذ لو قلنا بثبوته فهو لجهة العراء عن الفائدة، لا لجهة الوضع، و لا الإطلاق، و حينئذ يضعف عن تخصيص المنطوق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القاضي بالطّهارة عموم المستثنى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لا مفهوم المستثنى، فلا دفع، فإنّ العموم المزبور لا يصلح المعارضة آية التحريم المطلقة إلّا بدلالة المفهوم على طهارة غير المسفوح من الدّم في الآية الأخرى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تسلّم الملازمة بين التحريم و النجاسة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نجس حرام و لا عكس </w:t>
      </w:r>
      <w:r>
        <w:rPr>
          <w:rStyle w:val="FootnoteAnchor"/>
          <w:rtl w:val="true"/>
        </w:rPr>
        <w:footnoteReference w:id="1457"/>
      </w:r>
      <w:r>
        <w:rPr>
          <w:rFonts w:ascii="Amiri" w:hAnsi="Amiri" w:eastAsia="Amiri" w:cs="Amiri"/>
          <w:color w:val="111111"/>
          <w:sz w:val="28"/>
          <w:sz w:val="28"/>
          <w:szCs w:val="28"/>
          <w:rtl w:val="true"/>
          <w:lang w:bidi="ar-SA"/>
        </w:rPr>
        <w:t xml:space="preserve">، ارتفع التنافي بين الآيتين، و يفزع حينئذ إلى الأخبار </w:t>
      </w:r>
      <w:r>
        <w:rPr>
          <w:rStyle w:val="FootnoteAnchor"/>
          <w:rtl w:val="true"/>
        </w:rPr>
        <w:footnoteReference w:id="1458"/>
      </w:r>
      <w:r>
        <w:rPr>
          <w:rFonts w:ascii="Amiri" w:hAnsi="Amiri" w:eastAsia="Amiri" w:cs="Amiri"/>
          <w:color w:val="111111"/>
          <w:sz w:val="28"/>
          <w:sz w:val="28"/>
          <w:szCs w:val="28"/>
          <w:rtl w:val="true"/>
          <w:lang w:bidi="ar-SA"/>
        </w:rPr>
        <w:t xml:space="preserve">القاضية بالإطلاق في نجاسة الدّم أو </w:t>
      </w:r>
    </w:p>
    <w:p>
      <w:pPr>
        <w:pStyle w:val="BookText"/>
        <w:rPr/>
      </w:pPr>
      <w:r>
        <w:rPr>
          <w:rFonts w:ascii="IRNazanin" w:hAnsi="IRNazanin" w:eastAsia="IRNazanin"/>
          <w:color w:val="111111"/>
          <w:sz w:val="28"/>
          <w:sz w:val="28"/>
          <w:szCs w:val="28"/>
          <w:rtl w:val="true"/>
          <w:lang w:bidi="fa-IR"/>
        </w:rPr>
        <w:t xml:space="preserve">الإجماع </w:t>
      </w:r>
      <w:r>
        <w:rPr>
          <w:rStyle w:val="FootnoteAnchor"/>
          <w:rtl w:val="true"/>
        </w:rPr>
        <w:footnoteReference w:id="1459"/>
      </w:r>
      <w:r>
        <w:rPr>
          <w:rFonts w:ascii="Amiri" w:hAnsi="Amiri" w:eastAsia="Amiri" w:cs="Amiri"/>
          <w:color w:val="111111"/>
          <w:sz w:val="28"/>
          <w:sz w:val="28"/>
          <w:szCs w:val="28"/>
          <w:rtl w:val="true"/>
          <w:lang w:bidi="ar-SA"/>
        </w:rPr>
        <w:t>المنقول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المعلوم المسلّم هو أنّ النجاسة فيه سبب للحرمة، و أمّا أنّه لا سبب للتحريم سواها فيه فغيرُ واضح، و أصالة عدم سبب آخر لا يجدي في إثبات دلالة الآية و لا في إحراز النجاسة، كما لا يجدي لو عمّمنا السّفح لما من شأنه ذلك و إن حصرنا مصداقه بدم ذي النّفس مطلقاً فإنّه لا يطرد أوّلاً، و لا يصّح تفريع طهارة الدّم المتخلّف في الذبيحة عليه؛ لصدق أنّه من ذي نفس سائلة ثانياً، و أيّ فائدة بالتعبير به دونه ثالثاً، و لا انتقض الحكم بدم ميتة الحيوان إن كانت نجاسته لا من حيث إنّه من أجزاء الميتة فيلحقها حكمه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فسرّنا المسفوح بما يخرج من عروق الحيوان بدفع و قوّة لا مطلقاً ارتفعت الثلاثة و الرابع بالالتزام بما تلا أن و يبقى الدّم المنصبّ من العروق الموجود في جَوْف الذّبيحة على هذا التفسير نجساً، و لعلّه كذلك، و إن تأمل به الوالد قدس سره </w:t>
      </w:r>
      <w:r>
        <w:rPr>
          <w:rStyle w:val="FootnoteAnchor"/>
          <w:rtl w:val="true"/>
        </w:rPr>
        <w:footnoteReference w:id="146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القاضي بعدم اعتبار السّفح بمعناه المعروف خصوص ما ورد في دم الرّعاف </w:t>
      </w:r>
      <w:r>
        <w:rPr>
          <w:rStyle w:val="FootnoteAnchor"/>
          <w:rtl w:val="true"/>
        </w:rPr>
        <w:footnoteReference w:id="1461"/>
      </w:r>
      <w:r>
        <w:rPr>
          <w:rFonts w:ascii="Amiri" w:hAnsi="Amiri" w:eastAsia="Amiri" w:cs="Amiri"/>
          <w:color w:val="111111"/>
          <w:sz w:val="28"/>
          <w:sz w:val="28"/>
          <w:szCs w:val="28"/>
          <w:rtl w:val="true"/>
          <w:lang w:bidi="ar-SA"/>
        </w:rPr>
        <w:t xml:space="preserve">، و الدّم الذي يخرجه المصلّي بإصبعه من الأنف </w:t>
      </w:r>
      <w:r>
        <w:rPr>
          <w:rStyle w:val="FootnoteAnchor"/>
          <w:rtl w:val="true"/>
        </w:rPr>
        <w:footnoteReference w:id="1462"/>
      </w:r>
      <w:r>
        <w:rPr>
          <w:rFonts w:ascii="Amiri" w:hAnsi="Amiri" w:eastAsia="Amiri" w:cs="Amiri"/>
          <w:color w:val="111111"/>
          <w:sz w:val="28"/>
          <w:sz w:val="28"/>
          <w:szCs w:val="28"/>
          <w:rtl w:val="true"/>
          <w:lang w:bidi="ar-SA"/>
        </w:rPr>
        <w:t xml:space="preserve">، و الدّم الخارج بحكّ الجلد </w:t>
      </w:r>
      <w:r>
        <w:rPr>
          <w:rStyle w:val="FootnoteAnchor"/>
          <w:rtl w:val="true"/>
        </w:rPr>
        <w:footnoteReference w:id="1463"/>
      </w:r>
      <w:r>
        <w:rPr>
          <w:rFonts w:ascii="IRNazanin" w:hAnsi="IRNazanin" w:eastAsia="IRNazanin"/>
          <w:color w:val="111111"/>
          <w:sz w:val="28"/>
          <w:sz w:val="28"/>
          <w:szCs w:val="28"/>
          <w:rtl w:val="true"/>
          <w:lang w:bidi="fa-IR"/>
        </w:rPr>
        <w:t xml:space="preserve">و أشباهها </w:t>
      </w:r>
      <w:r>
        <w:rPr>
          <w:rStyle w:val="FootnoteAnchor"/>
          <w:rtl w:val="true"/>
        </w:rPr>
        <w:footnoteReference w:id="1464"/>
      </w:r>
      <w:r>
        <w:rPr>
          <w:rFonts w:ascii="Amiri" w:hAnsi="Amiri" w:eastAsia="Amiri" w:cs="Amiri"/>
          <w:color w:val="111111"/>
          <w:sz w:val="28"/>
          <w:sz w:val="28"/>
          <w:szCs w:val="28"/>
          <w:rtl w:val="true"/>
          <w:lang w:bidi="ar-SA"/>
        </w:rPr>
        <w:t xml:space="preserve">من مصاديق غير المسفوح المعلوم نجاسته من النصّ، بل الظاهر منها، و من رواية المنقار </w:t>
      </w:r>
      <w:r>
        <w:rPr>
          <w:rStyle w:val="FootnoteAnchor"/>
          <w:rtl w:val="true"/>
        </w:rPr>
        <w:footnoteReference w:id="1465"/>
      </w:r>
      <w:r>
        <w:rPr>
          <w:rFonts w:ascii="Amiri" w:hAnsi="Amiri" w:eastAsia="Amiri" w:cs="Amiri"/>
          <w:color w:val="111111"/>
          <w:sz w:val="28"/>
          <w:sz w:val="28"/>
          <w:szCs w:val="28"/>
          <w:rtl w:val="true"/>
          <w:lang w:bidi="ar-SA"/>
        </w:rPr>
        <w:t xml:space="preserve">و إطلاق أجوبة مسوقة لحكم آخر، و من الآية </w:t>
      </w:r>
      <w:r>
        <w:rPr>
          <w:rStyle w:val="FootnoteAnchor"/>
          <w:rtl w:val="true"/>
        </w:rPr>
        <w:footnoteReference w:id="1466"/>
      </w:r>
      <w:r>
        <w:rPr>
          <w:rFonts w:ascii="Amiri" w:hAnsi="Amiri" w:eastAsia="Amiri" w:cs="Amiri"/>
          <w:color w:val="111111"/>
          <w:sz w:val="28"/>
          <w:sz w:val="28"/>
          <w:szCs w:val="28"/>
          <w:rtl w:val="true"/>
          <w:lang w:bidi="ar-SA"/>
        </w:rPr>
        <w:t>، أنّ الأصل في مطلق دم الحيوان النجاسة إلّا ما خرج، و الخارج منه على المشهور و غير المشهور أمور</w:t>
      </w:r>
      <w:r>
        <w:rPr>
          <w:rFonts w:eastAsia="Amiri" w:cs="Amiri" w:ascii="Amiri" w:hAnsi="Amiri"/>
          <w:color w:val="111111"/>
          <w:sz w:val="28"/>
          <w:szCs w:val="28"/>
          <w:rtl w:val="true"/>
          <w:lang w:bidi="ar-SA"/>
        </w:rPr>
        <w:t xml:space="preserve">: </w:t>
      </w:r>
      <w:bookmarkStart w:id="116" w:name="pg9146_86104"/>
    </w:p>
    <w:p>
      <w:pPr>
        <w:pStyle w:val="Heading2"/>
        <w:numPr>
          <w:ilvl w:val="1"/>
          <w:numId w:val="1"/>
        </w:numPr>
        <w:rPr/>
      </w:pPr>
      <w:bookmarkStart w:id="117" w:name="__RefHeading___Toc3322602_2870459653"/>
      <w:bookmarkStart w:id="118" w:name="_Toc39"/>
      <w:bookmarkEnd w:id="116"/>
      <w:bookmarkEnd w:id="117"/>
      <w:r>
        <w:rPr>
          <w:rtl w:val="true"/>
        </w:rPr>
        <w:t>[</w:t>
      </w:r>
      <w:r>
        <w:rPr>
          <w:rtl w:val="true"/>
        </w:rPr>
        <w:t>المستثنيات من أصل نجاسة مطلق الدم</w:t>
      </w:r>
      <w:r>
        <w:rPr>
          <w:rtl w:val="true"/>
        </w:rPr>
        <w:t>]</w:t>
      </w:r>
      <w:bookmarkEnd w:id="11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المسفوح، فإنّ ظاهر الحلّي </w:t>
      </w:r>
      <w:r>
        <w:rPr>
          <w:rStyle w:val="FootnoteAnchor"/>
          <w:rtl w:val="true"/>
        </w:rPr>
        <w:footnoteReference w:id="1467"/>
      </w:r>
      <w:r>
        <w:rPr>
          <w:rFonts w:ascii="IRNazanin" w:hAnsi="IRNazanin" w:eastAsia="IRNazanin"/>
          <w:color w:val="111111"/>
          <w:sz w:val="28"/>
          <w:sz w:val="28"/>
          <w:szCs w:val="28"/>
          <w:rtl w:val="true"/>
          <w:lang w:bidi="fa-IR"/>
        </w:rPr>
        <w:t xml:space="preserve">و الفاضل </w:t>
      </w:r>
      <w:r>
        <w:rPr>
          <w:rStyle w:val="FootnoteAnchor"/>
          <w:rtl w:val="true"/>
        </w:rPr>
        <w:footnoteReference w:id="1468"/>
      </w:r>
      <w:r>
        <w:rPr>
          <w:rFonts w:ascii="Amiri" w:hAnsi="Amiri" w:eastAsia="Amiri" w:cs="Amiri"/>
          <w:color w:val="111111"/>
          <w:sz w:val="28"/>
          <w:sz w:val="28"/>
          <w:szCs w:val="28"/>
          <w:rtl w:val="true"/>
          <w:lang w:bidi="ar-SA"/>
        </w:rPr>
        <w:t xml:space="preserve">في بعض كتبه و غيرهما </w:t>
      </w:r>
      <w:r>
        <w:rPr>
          <w:rStyle w:val="FootnoteAnchor"/>
          <w:rtl w:val="true"/>
        </w:rPr>
        <w:footnoteReference w:id="1469"/>
      </w:r>
      <w:r>
        <w:rPr>
          <w:rFonts w:ascii="Amiri" w:hAnsi="Amiri" w:eastAsia="Amiri" w:cs="Amiri"/>
          <w:color w:val="111111"/>
          <w:sz w:val="28"/>
          <w:sz w:val="28"/>
          <w:szCs w:val="28"/>
          <w:rtl w:val="true"/>
          <w:lang w:bidi="ar-SA"/>
        </w:rPr>
        <w:t xml:space="preserve">أنّ الحكم بالنجاسة معلّق على السّفح فغيره حلال و طاهر، وألَحَّ عليه بعض المصنّفين ممّن تأخّر </w:t>
      </w:r>
      <w:r>
        <w:rPr>
          <w:rStyle w:val="FootnoteAnchor"/>
          <w:rtl w:val="true"/>
        </w:rPr>
        <w:footnoteReference w:id="1470"/>
      </w:r>
      <w:r>
        <w:rPr>
          <w:rFonts w:ascii="Amiri" w:hAnsi="Amiri" w:eastAsia="Amiri" w:cs="Amiri"/>
          <w:color w:val="111111"/>
          <w:sz w:val="28"/>
          <w:sz w:val="28"/>
          <w:szCs w:val="28"/>
          <w:rtl w:val="true"/>
          <w:lang w:bidi="ar-SA"/>
        </w:rPr>
        <w:t xml:space="preserve">، ولكنّه كما عرفت أنّ النّجاسة فيه بديهة إجماعيّة، و حمل كلمات الفاضل و غيره على غير المفهوم، و هو معقد اتّفاق المعتبر </w:t>
      </w:r>
      <w:r>
        <w:rPr>
          <w:rStyle w:val="FootnoteAnchor"/>
          <w:rtl w:val="true"/>
        </w:rPr>
        <w:footnoteReference w:id="1471"/>
      </w:r>
      <w:r>
        <w:rPr>
          <w:rFonts w:ascii="Amiri" w:hAnsi="Amiri" w:eastAsia="Amiri" w:cs="Amiri"/>
          <w:color w:val="111111"/>
          <w:sz w:val="28"/>
          <w:sz w:val="28"/>
          <w:szCs w:val="28"/>
          <w:rtl w:val="true"/>
          <w:lang w:bidi="ar-SA"/>
        </w:rPr>
        <w:t xml:space="preserve">و التذكرة </w:t>
      </w:r>
      <w:r>
        <w:rPr>
          <w:rStyle w:val="FootnoteAnchor"/>
          <w:rtl w:val="true"/>
        </w:rPr>
        <w:footnoteReference w:id="1472"/>
      </w:r>
      <w:r>
        <w:rPr>
          <w:rFonts w:ascii="Amiri" w:hAnsi="Amiri" w:eastAsia="Amiri" w:cs="Amiri"/>
          <w:color w:val="111111"/>
          <w:sz w:val="28"/>
          <w:sz w:val="28"/>
          <w:szCs w:val="28"/>
          <w:rtl w:val="true"/>
          <w:lang w:bidi="ar-SA"/>
        </w:rPr>
        <w:t xml:space="preserve">، و في أطعمة التحرير </w:t>
      </w:r>
      <w:r>
        <w:rPr>
          <w:rStyle w:val="FootnoteAnchor"/>
          <w:rtl w:val="true"/>
        </w:rPr>
        <w:footnoteReference w:id="14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المسفوح كدم الضّفادع كذلك،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بطهارة قليله، الجازم به ابن الجنيد </w:t>
      </w:r>
      <w:r>
        <w:rPr>
          <w:rStyle w:val="FootnoteAnchor"/>
          <w:rtl w:val="true"/>
        </w:rPr>
        <w:footnoteReference w:id="1474"/>
      </w:r>
      <w:r>
        <w:rPr>
          <w:rFonts w:ascii="Amiri" w:hAnsi="Amiri" w:eastAsia="Amiri" w:cs="Amiri"/>
          <w:color w:val="111111"/>
          <w:sz w:val="28"/>
          <w:sz w:val="28"/>
          <w:szCs w:val="28"/>
          <w:rtl w:val="true"/>
          <w:lang w:bidi="ar-SA"/>
        </w:rPr>
        <w:t>لبعض الشواذ، و ربّما استظهر من عبارة الفقيه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الدّم دون حمّصة فلا بأس بأن لا يغسل إلّا أن يكون دم الحيض </w:t>
      </w:r>
      <w:r>
        <w:rPr>
          <w:rStyle w:val="FootnoteAnchor"/>
          <w:rtl w:val="true"/>
        </w:rPr>
        <w:footnoteReference w:id="14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ضعيف قائلاً و مَقُولاً، و عبارة الفقيه محمولة على العفو مطلقاً كعفو ما دون الدّرهم في الصلاة و إن كنّا لا نرتضيه أيضاً، فلا موافق لابن الجنيد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ما لا نفس له، و الظاهر أنّه لا خلاف في جواز الصلاة فيه مطلقاً و عدم الاحتراز عنه، ولكنّه على سبيل العفو أو أنّه طاهر خلاف، و الثاني أوفَق بمَذاقهم، و نقل </w:t>
      </w:r>
    </w:p>
    <w:p>
      <w:pPr>
        <w:pStyle w:val="BookText"/>
        <w:rPr/>
      </w:pPr>
      <w:r>
        <w:rPr>
          <w:rFonts w:ascii="Amiri" w:hAnsi="Amiri" w:eastAsia="Amiri" w:cs="Amiri"/>
          <w:color w:val="111111"/>
          <w:sz w:val="28"/>
          <w:sz w:val="28"/>
          <w:szCs w:val="28"/>
          <w:rtl w:val="true"/>
          <w:lang w:bidi="ar-SA"/>
        </w:rPr>
        <w:t xml:space="preserve">الإجماع عليه في الخلاف </w:t>
      </w:r>
      <w:r>
        <w:rPr>
          <w:rStyle w:val="FootnoteAnchor"/>
          <w:rtl w:val="true"/>
        </w:rPr>
        <w:footnoteReference w:id="1476"/>
      </w:r>
      <w:r>
        <w:rPr>
          <w:rFonts w:ascii="IRNazanin" w:hAnsi="IRNazanin" w:eastAsia="IRNazanin"/>
          <w:color w:val="111111"/>
          <w:sz w:val="28"/>
          <w:sz w:val="28"/>
          <w:szCs w:val="28"/>
          <w:rtl w:val="true"/>
          <w:lang w:bidi="fa-IR"/>
        </w:rPr>
        <w:t xml:space="preserve">و المعتبر </w:t>
      </w:r>
      <w:r>
        <w:rPr>
          <w:rStyle w:val="FootnoteAnchor"/>
          <w:rtl w:val="true"/>
        </w:rPr>
        <w:footnoteReference w:id="1477"/>
      </w:r>
      <w:r>
        <w:rPr>
          <w:rFonts w:ascii="IRNazanin" w:hAnsi="IRNazanin" w:eastAsia="IRNazanin"/>
          <w:color w:val="111111"/>
          <w:sz w:val="28"/>
          <w:sz w:val="28"/>
          <w:szCs w:val="28"/>
          <w:rtl w:val="true"/>
          <w:lang w:bidi="fa-IR"/>
        </w:rPr>
        <w:t xml:space="preserve">و المنتهى </w:t>
      </w:r>
      <w:r>
        <w:rPr>
          <w:rStyle w:val="FootnoteAnchor"/>
          <w:rtl w:val="true"/>
        </w:rPr>
        <w:footnoteReference w:id="1478"/>
      </w:r>
      <w:r>
        <w:rPr>
          <w:rFonts w:ascii="IRNazanin" w:hAnsi="IRNazanin" w:eastAsia="IRNazanin"/>
          <w:color w:val="111111"/>
          <w:sz w:val="28"/>
          <w:sz w:val="28"/>
          <w:szCs w:val="28"/>
          <w:rtl w:val="true"/>
          <w:lang w:bidi="fa-IR"/>
        </w:rPr>
        <w:t xml:space="preserve">و المختلف </w:t>
      </w:r>
      <w:r>
        <w:rPr>
          <w:rStyle w:val="FootnoteAnchor"/>
          <w:rtl w:val="true"/>
        </w:rPr>
        <w:footnoteReference w:id="1479"/>
      </w:r>
      <w:r>
        <w:rPr>
          <w:rFonts w:ascii="Amiri" w:hAnsi="Amiri" w:eastAsia="Amiri" w:cs="Amiri"/>
          <w:color w:val="111111"/>
          <w:sz w:val="28"/>
          <w:sz w:val="28"/>
          <w:szCs w:val="28"/>
          <w:rtl w:val="true"/>
          <w:lang w:bidi="ar-SA"/>
        </w:rPr>
        <w:t xml:space="preserve">و الغُنية </w:t>
      </w:r>
      <w:r>
        <w:rPr>
          <w:rStyle w:val="FootnoteAnchor"/>
          <w:rtl w:val="true"/>
        </w:rPr>
        <w:footnoteReference w:id="1480"/>
      </w:r>
      <w:r>
        <w:rPr>
          <w:rFonts w:ascii="Amiri" w:hAnsi="Amiri" w:eastAsia="Amiri" w:cs="Amiri"/>
          <w:color w:val="111111"/>
          <w:sz w:val="28"/>
          <w:sz w:val="28"/>
          <w:szCs w:val="28"/>
          <w:rtl w:val="true"/>
          <w:lang w:bidi="ar-SA"/>
        </w:rPr>
        <w:t xml:space="preserve">، و في الذكرى </w:t>
      </w:r>
      <w:r>
        <w:rPr>
          <w:rStyle w:val="FootnoteAnchor"/>
          <w:rtl w:val="true"/>
        </w:rPr>
        <w:footnoteReference w:id="1481"/>
      </w:r>
      <w:r>
        <w:rPr>
          <w:rFonts w:ascii="Amiri" w:hAnsi="Amiri" w:eastAsia="Amiri" w:cs="Amiri"/>
          <w:color w:val="111111"/>
          <w:sz w:val="28"/>
          <w:sz w:val="28"/>
          <w:szCs w:val="28"/>
          <w:rtl w:val="true"/>
          <w:lang w:bidi="ar-SA"/>
        </w:rPr>
        <w:t xml:space="preserve">إجماع الفرقة على طهارته، و الحلّي </w:t>
      </w:r>
      <w:r>
        <w:rPr>
          <w:rStyle w:val="FootnoteAnchor"/>
          <w:rtl w:val="true"/>
        </w:rPr>
        <w:footnoteReference w:id="1482"/>
      </w:r>
      <w:r>
        <w:rPr>
          <w:rFonts w:ascii="IRNazanin" w:hAnsi="IRNazanin" w:eastAsia="IRNazanin"/>
          <w:color w:val="111111"/>
          <w:sz w:val="28"/>
          <w:sz w:val="28"/>
          <w:szCs w:val="28"/>
          <w:rtl w:val="true"/>
          <w:lang w:bidi="fa-IR"/>
        </w:rPr>
        <w:t>إجماع أهل البيت علیهم السلام، سواء في ذلك دم السّمك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ابن الجنيد رحمه الله السّمك بعد موته و البراغيث مطلقاً من النّجو </w:t>
      </w:r>
      <w:r>
        <w:rPr>
          <w:rStyle w:val="FootnoteAnchor"/>
          <w:rtl w:val="true"/>
        </w:rPr>
        <w:footnoteReference w:id="1483"/>
      </w:r>
      <w:r>
        <w:rPr>
          <w:rFonts w:ascii="Amiri" w:hAnsi="Amiri" w:eastAsia="Amiri" w:cs="Amiri"/>
          <w:color w:val="111111"/>
          <w:sz w:val="28"/>
          <w:sz w:val="28"/>
          <w:szCs w:val="28"/>
          <w:rtl w:val="true"/>
          <w:lang w:bidi="ar-SA"/>
        </w:rPr>
        <w:t>، ولكن المصنّف استظهر من المقنعة نجاسة كلّ دمّ، و أنّه إنّما جازت الصلاة في دم البراغيث و البق رخصةً؛ للزوم الحرج، ففيما لا حرج فيه لا رخصة، حيث قال رحمه الله في غير دم الحيض و غير ما زاد عن الدّرهم في دم ذي النّفس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فأباح الله تعالى لعباده الصلاة في قليل ذلك و كثيره؛ دفعاً للمشقة عنهم رخصة لهم على ما شرحناه </w:t>
      </w:r>
      <w:r>
        <w:rPr>
          <w:rStyle w:val="FootnoteAnchor"/>
          <w:rtl w:val="true"/>
        </w:rPr>
        <w:footnoteReference w:id="1484"/>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ساوى في العفو بين دم ما لا نفس له و بين ما نقص عن الدرهم من ذي النفس</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المختلف </w:t>
      </w:r>
      <w:r>
        <w:rPr>
          <w:rStyle w:val="FootnoteAnchor"/>
          <w:rtl w:val="true"/>
        </w:rPr>
        <w:footnoteReference w:id="1485"/>
      </w:r>
      <w:r>
        <w:rPr>
          <w:rFonts w:ascii="Amiri" w:hAnsi="Amiri" w:eastAsia="Amiri" w:cs="Amiri"/>
          <w:color w:val="111111"/>
          <w:sz w:val="28"/>
          <w:sz w:val="28"/>
          <w:szCs w:val="28"/>
          <w:rtl w:val="true"/>
          <w:lang w:bidi="ar-SA"/>
        </w:rPr>
        <w:t xml:space="preserve">استظهار ذلك من عبارة الشيخ رحمه الله في الجمل و المبسوط </w:t>
      </w:r>
      <w:r>
        <w:rPr>
          <w:rStyle w:val="FootnoteAnchor"/>
          <w:rtl w:val="true"/>
        </w:rPr>
        <w:footnoteReference w:id="1486"/>
      </w:r>
      <w:r>
        <w:rPr>
          <w:rFonts w:ascii="Amiri" w:hAnsi="Amiri" w:eastAsia="Amiri" w:cs="Amiri"/>
          <w:color w:val="111111"/>
          <w:sz w:val="28"/>
          <w:sz w:val="28"/>
          <w:szCs w:val="28"/>
          <w:rtl w:val="true"/>
          <w:lang w:bidi="ar-SA"/>
        </w:rPr>
        <w:t xml:space="preserve">و الوسيلة </w:t>
      </w:r>
      <w:r>
        <w:rPr>
          <w:rStyle w:val="FootnoteAnchor"/>
          <w:rtl w:val="true"/>
        </w:rPr>
        <w:footnoteReference w:id="1487"/>
      </w:r>
      <w:r>
        <w:rPr>
          <w:rFonts w:ascii="Amiri" w:hAnsi="Amiri" w:eastAsia="Amiri" w:cs="Amiri"/>
          <w:color w:val="111111"/>
          <w:sz w:val="28"/>
          <w:sz w:val="28"/>
          <w:szCs w:val="28"/>
          <w:rtl w:val="true"/>
          <w:lang w:bidi="ar-SA"/>
        </w:rPr>
        <w:t xml:space="preserve">أيضاً، حيث قسّما الدّماء و سوّغا الصلاة في دم البق و البراغيث و نحوهما، و المتبصّر يمنع الاستظهار؛ لتصريح الشيخ رحمه الله بطهارة دم السمك في أطعمته، و لحكايته </w:t>
      </w:r>
    </w:p>
    <w:p>
      <w:pPr>
        <w:pStyle w:val="BookText"/>
        <w:rPr/>
      </w:pPr>
      <w:r>
        <w:rPr>
          <w:rFonts w:ascii="Amiri" w:hAnsi="Amiri" w:eastAsia="Amiri" w:cs="Amiri"/>
          <w:color w:val="111111"/>
          <w:sz w:val="28"/>
          <w:sz w:val="28"/>
          <w:szCs w:val="28"/>
          <w:rtl w:val="true"/>
          <w:lang w:bidi="ar-SA"/>
        </w:rPr>
        <w:t>الإجماع في الخلاف على الطّهارة، و بعده بيسير استثنى ممّا يجب إزالته من النجاسات الدّم،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البق و البراغيث و السّمك و ما لا نفس له سائلة و دم الجراح اللازم لا بأس بقليله و كثيره </w:t>
      </w:r>
      <w:r>
        <w:rPr>
          <w:rStyle w:val="FootnoteAnchor"/>
          <w:rtl w:val="true"/>
        </w:rPr>
        <w:footnoteReference w:id="14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فيبعد عليه تقارب التناقض، و لعلّه أراد في الكتابين تقسيم الدّم على إطلاقه لا تقسيم النجّس منه، فيكون تقسيم النّجاسة إلى الدّم و غيره كتقسيم الحيوان إلى الأبيض و غيره في أنّ بين المقسم و القسم عموماً من وجه و إن كان القسم حقيقة هو الحيوان الأبيض و الدّم النجس، و الحاصل هو 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إمّا أبيض أو أسود، و الأبيض إمّا ناطق أو غيره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هذا فكلامه في المصباح </w:t>
      </w:r>
      <w:r>
        <w:rPr>
          <w:rStyle w:val="FootnoteAnchor"/>
          <w:rtl w:val="true"/>
        </w:rPr>
        <w:footnoteReference w:id="1489"/>
      </w:r>
      <w:r>
        <w:rPr>
          <w:rFonts w:ascii="Amiri" w:hAnsi="Amiri" w:eastAsia="Amiri" w:cs="Amiri"/>
          <w:color w:val="111111"/>
          <w:sz w:val="28"/>
          <w:sz w:val="28"/>
          <w:szCs w:val="28"/>
          <w:rtl w:val="true"/>
          <w:lang w:bidi="ar-SA"/>
        </w:rPr>
        <w:t>و مختصره صريح في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الضّرب الآخر من النجاسة لا يجب إزالة قليله و لا كثيره، بل هو معفوّ عنه نحو دم البق والبراغيث والسمك ودم الدماميل اللآزمة والجراح الدامية وما لا يمكن التحرّز عنه، انتهى لجعله هذه الدّماء من ضروب النجاسة، و لحكمه بالعفو و المساواة، و كذلك عبارة سلّار </w:t>
      </w:r>
      <w:r>
        <w:rPr>
          <w:rStyle w:val="FootnoteAnchor"/>
          <w:rtl w:val="true"/>
        </w:rPr>
        <w:footnoteReference w:id="1490"/>
      </w:r>
      <w:r>
        <w:rPr>
          <w:rFonts w:ascii="Amiri" w:hAnsi="Amiri" w:eastAsia="Amiri" w:cs="Amiri"/>
          <w:color w:val="111111"/>
          <w:sz w:val="28"/>
          <w:sz w:val="28"/>
          <w:szCs w:val="28"/>
          <w:rtl w:val="true"/>
          <w:lang w:bidi="ar-SA"/>
        </w:rPr>
        <w:t xml:space="preserve">، و حينئذ فإن تَمَّ الإجماع أو اعتمد على ظاهر رواية السّكوني </w:t>
      </w:r>
      <w:r>
        <w:rPr>
          <w:rStyle w:val="FootnoteAnchor"/>
          <w:rtl w:val="true"/>
        </w:rPr>
        <w:footnoteReference w:id="1491"/>
      </w:r>
      <w:r>
        <w:rPr>
          <w:rFonts w:ascii="Amiri" w:hAnsi="Amiri" w:eastAsia="Amiri" w:cs="Amiri"/>
          <w:color w:val="111111"/>
          <w:sz w:val="28"/>
          <w:sz w:val="28"/>
          <w:szCs w:val="28"/>
          <w:rtl w:val="true"/>
          <w:lang w:bidi="ar-SA"/>
        </w:rPr>
        <w:t xml:space="preserve">و غيرها </w:t>
      </w:r>
      <w:r>
        <w:rPr>
          <w:rStyle w:val="FootnoteAnchor"/>
          <w:rtl w:val="true"/>
        </w:rPr>
        <w:footnoteReference w:id="1492"/>
      </w:r>
      <w:r>
        <w:rPr>
          <w:rFonts w:ascii="Amiri" w:hAnsi="Amiri" w:eastAsia="Amiri" w:cs="Amiri"/>
          <w:color w:val="111111"/>
          <w:sz w:val="28"/>
          <w:sz w:val="28"/>
          <w:szCs w:val="28"/>
          <w:rtl w:val="true"/>
          <w:lang w:bidi="ar-SA"/>
        </w:rPr>
        <w:t>بعدم البأس بدم ما لم يذكَّ كان الحكم بالطّهارة جيّداً، و إلّا يشكل الأمر في جواز أكله بناءً على عدم الاستخباث مطلقاً فيه، أو خصوص دم السّمك و دم الذبح، و في جواز بيعه كذلك على المختار في بيع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الأستاذ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عِبرَة بالوَهم و لا بالموهوم </w:t>
      </w:r>
      <w:r>
        <w:rPr>
          <w:rStyle w:val="FootnoteAnchor"/>
          <w:rtl w:val="true"/>
        </w:rPr>
        <w:footnoteReference w:id="1493"/>
      </w:r>
      <w:r>
        <w:rPr>
          <w:rFonts w:ascii="Amiri" w:hAnsi="Amiri" w:eastAsia="Amiri" w:cs="Amiri"/>
          <w:color w:val="111111"/>
          <w:sz w:val="28"/>
          <w:sz w:val="28"/>
          <w:szCs w:val="28"/>
          <w:rtl w:val="true"/>
          <w:lang w:bidi="ar-SA"/>
        </w:rPr>
        <w:t>بعد إفادة المصباح فيه كما ترى، خصوصاً بعد إحكامه لأصالة النّجاسة في الدّم مطلقاً و عدم ركونه لمنقول الإجماع في غيره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المتخلّف في المذبوح ممّا يقبل التّذكية بعد نزف ما تعارف نزفه و خروجه بالذّبح، و طهارته في الجملة محلّ وفاق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و في الخلاف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سائغ، و هو طاهر و لا يجب غسل اللّحم منه إجماعاً، و ظاهر الآية </w:t>
      </w:r>
      <w:r>
        <w:rPr>
          <w:rStyle w:val="FootnoteAnchor"/>
          <w:rtl w:val="true"/>
        </w:rPr>
        <w:footnoteReference w:id="1496"/>
      </w:r>
      <w:r>
        <w:rPr>
          <w:rFonts w:ascii="Amiri" w:hAnsi="Amiri" w:eastAsia="Amiri" w:cs="Amiri"/>
          <w:color w:val="111111"/>
          <w:sz w:val="28"/>
          <w:sz w:val="28"/>
          <w:szCs w:val="28"/>
          <w:rtl w:val="true"/>
          <w:lang w:bidi="ar-SA"/>
        </w:rPr>
        <w:t xml:space="preserve">يقضي به، و عمّم المذبوح جماعة </w:t>
      </w:r>
      <w:r>
        <w:rPr>
          <w:rStyle w:val="FootnoteAnchor"/>
          <w:rtl w:val="true"/>
        </w:rPr>
        <w:footnoteReference w:id="1497"/>
      </w:r>
      <w:r>
        <w:rPr>
          <w:rFonts w:ascii="Amiri" w:hAnsi="Amiri" w:eastAsia="Amiri" w:cs="Amiri"/>
          <w:color w:val="111111"/>
          <w:sz w:val="28"/>
          <w:sz w:val="28"/>
          <w:szCs w:val="28"/>
          <w:rtl w:val="true"/>
          <w:lang w:bidi="ar-SA"/>
        </w:rPr>
        <w:t>لمأكول اللّحم و غيره و الدّم لما تخلّف في محرّمات الذّبيحة و المحلّل منها بعد قصر التعميم على المأكول أو مطلقاً، و لما سفح و خرج أيضاً من العروق بعد إكمال الذّبح و خروج المتعارف حيث ينفصل عن اللّحم في حالة التسلّخ أو غيرها كدم القلب و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في غير المتخلِّف في اللّحم المحلّل اتّصاله به من الصور جماعة </w:t>
      </w:r>
      <w:r>
        <w:rPr>
          <w:rStyle w:val="FootnoteAnchor"/>
          <w:rtl w:val="true"/>
        </w:rPr>
        <w:footnoteReference w:id="1498"/>
      </w:r>
      <w:r>
        <w:rPr>
          <w:rFonts w:ascii="IRNazanin" w:hAnsi="IRNazanin" w:eastAsia="IRNazanin"/>
          <w:color w:val="111111"/>
          <w:sz w:val="28"/>
          <w:sz w:val="28"/>
          <w:szCs w:val="28"/>
          <w:rtl w:val="true"/>
          <w:lang w:bidi="fa-IR"/>
        </w:rPr>
        <w:t>، فهنا 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نجاسة المسفوح من بعض أجزاء الذّبيحة بعد الذبح كدم الطحال و القلب من دون فرق بينهما، و السفح الذي هو علّة التحريم صادق عليه، و لا يضرّ إطباقهم على طهارة المتخلِّف مطلقاً و هو منه و إن سفح بعده؛ لإمكان منع الصّدق، لأنّ الخارج من الشيء ليس متخلّفاً فيه، و تعميم المتخلِّف لما تخلَّف بعد الذبح مطلقاً في العروق يمكن منعها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سلّمنا ذلك تعارضَ الإجماعان في المسفوح من القلب و الطّحال من طهارة المتخلّف و نجاسة المسفوح و النسبة تباين جزئي، إذ المسفوح في تفسير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المنصبّ الخارج من عرق، فيصدق في محلّ البحث، و المرجع حينئذ إلى أصالة النجاسة في الدّم، مع أنّ </w:t>
      </w:r>
    </w:p>
    <w:p>
      <w:pPr>
        <w:pStyle w:val="BookText"/>
        <w:rPr/>
      </w:pPr>
      <w:r>
        <w:rPr>
          <w:rFonts w:ascii="Amiri" w:hAnsi="Amiri" w:eastAsia="Amiri" w:cs="Amiri"/>
          <w:color w:val="111111"/>
          <w:sz w:val="28"/>
          <w:sz w:val="28"/>
          <w:szCs w:val="28"/>
          <w:rtl w:val="true"/>
          <w:lang w:bidi="ar-SA"/>
        </w:rPr>
        <w:t>العام الثاني أرجح؛ لتوقّف الإجماع على الحلّيّة على غايته، و هي عدم السّفح، فطهارته تتوقّف على كونه من غير المسفوح، و كونه كذلك يتوقّف على قصر المسفوح على خصوص دم الذّبح، و القصر كذلك غير ظاهر، و إلّا لقضي بطهارة دم الفَضد، و لا يدّعيه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تخصيص المسفوح بما له شأنيّة النفوذ عند الذبح فيعمّ دم الفصد و يخرج عنه ما ليست له تلك الشأنية تمحّل في معناه، فالأولى النجاسة وفاقاً للشيخ فيهما </w:t>
      </w:r>
      <w:r>
        <w:rPr>
          <w:rStyle w:val="FootnoteAnchor"/>
          <w:rtl w:val="true"/>
        </w:rPr>
        <w:footnoteReference w:id="1499"/>
      </w:r>
      <w:r>
        <w:rPr>
          <w:rFonts w:ascii="IRNazanin" w:hAnsi="IRNazanin" w:eastAsia="IRNazanin"/>
          <w:color w:val="111111"/>
          <w:sz w:val="28"/>
          <w:sz w:val="28"/>
          <w:szCs w:val="28"/>
          <w:rtl w:val="true"/>
          <w:lang w:bidi="fa-IR"/>
        </w:rPr>
        <w:t xml:space="preserve">، و الشارح بروضه </w:t>
      </w:r>
      <w:r>
        <w:rPr>
          <w:rStyle w:val="FootnoteAnchor"/>
          <w:rtl w:val="true"/>
        </w:rPr>
        <w:footnoteReference w:id="150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1501"/>
      </w:r>
      <w:r>
        <w:rPr>
          <w:rFonts w:ascii="Amiri" w:hAnsi="Amiri" w:eastAsia="Amiri" w:cs="Amiri"/>
          <w:color w:val="111111"/>
          <w:sz w:val="28"/>
          <w:sz w:val="28"/>
          <w:szCs w:val="28"/>
          <w:rtl w:val="true"/>
          <w:lang w:bidi="ar-SA"/>
        </w:rPr>
        <w:t xml:space="preserve">في الطحال، و خلافاً لأطعمة الكتاب، فيجب حينئذٍ أن تحمل مقالة جلّهم </w:t>
      </w:r>
      <w:r>
        <w:rPr>
          <w:rStyle w:val="FootnoteAnchor"/>
          <w:rtl w:val="true"/>
        </w:rPr>
        <w:footnoteReference w:id="1502"/>
      </w:r>
      <w:r>
        <w:rPr>
          <w:rFonts w:ascii="Amiri" w:hAnsi="Amiri" w:eastAsia="Amiri" w:cs="Amiri"/>
          <w:color w:val="111111"/>
          <w:sz w:val="28"/>
          <w:sz w:val="28"/>
          <w:szCs w:val="28"/>
          <w:rtl w:val="true"/>
          <w:lang w:bidi="ar-SA"/>
        </w:rPr>
        <w:t>في التعبير عن المسفوح بما لم تقذفه الذبيحة بأنّهم أرادوا غير ما نحن فيه، و لا يتمحّل في إرجاع الاستثناء في قول المحقّق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المتخلّف طاهر حلال إلّا دم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الحلّية دون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تخلّف من الدّم في المذبوح المحرّم أكله، و الظاهر نجاسته كسابقه</w:t>
      </w:r>
    </w:p>
    <w:p>
      <w:pPr>
        <w:pStyle w:val="BookText"/>
        <w:rPr/>
      </w:pPr>
      <w:r>
        <w:rPr>
          <w:rFonts w:ascii="IRNazanin" w:hAnsi="IRNazanin" w:eastAsia="IRNazanin"/>
          <w:color w:val="111111"/>
          <w:sz w:val="28"/>
          <w:sz w:val="28"/>
          <w:szCs w:val="28"/>
          <w:rtl w:val="true"/>
          <w:lang w:bidi="fa-IR"/>
        </w:rPr>
        <w:t xml:space="preserve">مطلقاً، و هو المنسوب إلى ظاهر الأصحاب </w:t>
      </w:r>
      <w:r>
        <w:rPr>
          <w:rStyle w:val="FootnoteAnchor"/>
          <w:rtl w:val="true"/>
        </w:rPr>
        <w:footnoteReference w:id="1503"/>
      </w:r>
      <w:r>
        <w:rPr>
          <w:rFonts w:ascii="Amiri" w:hAnsi="Amiri" w:eastAsia="Amiri" w:cs="Amiri"/>
          <w:color w:val="111111"/>
          <w:sz w:val="28"/>
          <w:sz w:val="28"/>
          <w:szCs w:val="28"/>
          <w:rtl w:val="true"/>
          <w:lang w:bidi="ar-SA"/>
        </w:rPr>
        <w:t xml:space="preserve">أو اتّفاقهم، و كأنّه لجهة انصراف الذّبيحة إلى ما كانت حلالاً، أو لجهة حرمة الأكل، و فيهما نظر؛ لمنع الانصراف، و إلّا لكان الفرد الخفيّ ما يحلّ أكله كالخيل و البغال أيضاً كذلك، فإنّ عدم الانصراف المدّعى في غير المأكول و هذا الفرد من المأكول سواء، ثمّ الملازمة ممنوعة أيضاً، و اتّحاد التذكية في الاثنين موضوعاً و حكماً مما يبعّد النجاسة، و عليه كاشف اللثام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العمدة الإجماع في المقام، فإن لم يتحقّق فالحقّ الطّهارة، و لم أعثر بعد التتبع على مصرّح به من شيوخ المذهب، لكن من حيث عدم استثنائهم له من الدّم المحكوم بنجاسته نسب لهم </w:t>
      </w:r>
    </w:p>
    <w:p>
      <w:pPr>
        <w:pStyle w:val="BookText"/>
        <w:rPr/>
      </w:pPr>
      <w:r>
        <w:rPr>
          <w:rFonts w:ascii="Amiri" w:hAnsi="Amiri" w:eastAsia="Amiri" w:cs="Amiri"/>
          <w:color w:val="111111"/>
          <w:sz w:val="28"/>
          <w:sz w:val="28"/>
          <w:szCs w:val="28"/>
          <w:rtl w:val="true"/>
          <w:lang w:bidi="ar-SA"/>
        </w:rPr>
        <w:t xml:space="preserve">المتأخّرون </w:t>
      </w:r>
      <w:r>
        <w:rPr>
          <w:rStyle w:val="FootnoteAnchor"/>
          <w:rtl w:val="true"/>
        </w:rPr>
        <w:footnoteReference w:id="1505"/>
      </w:r>
      <w:r>
        <w:rPr>
          <w:rFonts w:ascii="Amiri" w:hAnsi="Amiri" w:eastAsia="Amiri" w:cs="Amiri"/>
          <w:color w:val="111111"/>
          <w:sz w:val="28"/>
          <w:sz w:val="28"/>
          <w:szCs w:val="28"/>
          <w:rtl w:val="true"/>
          <w:lang w:bidi="ar-SA"/>
        </w:rPr>
        <w:t>ذلك، فيقال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الأصحاب على الطّهارة؛ إذ لم يعثر على مقيّد له بمأكول اللّحم في باب الطّهارة و إن قيد في الأطعمة من جهة الحلّية، فحينئذ كما أطلقوا نجاسة الدّم أطلقوا طهارة المتخلّف، و كونه حرام الأكل لا يقضي بالنجاسة، و قصر حكم المتخلّف ليس بأَوْلى من كون النجس ما عداه مطلقاً، بل لولا فهم المعظم و ظهور جملة من الأخبار </w:t>
      </w:r>
      <w:r>
        <w:rPr>
          <w:rStyle w:val="FootnoteAnchor"/>
          <w:rtl w:val="true"/>
        </w:rPr>
        <w:footnoteReference w:id="1506"/>
      </w:r>
      <w:r>
        <w:rPr>
          <w:rFonts w:ascii="IRNazanin" w:hAnsi="IRNazanin" w:eastAsia="IRNazanin"/>
          <w:color w:val="111111"/>
          <w:sz w:val="28"/>
          <w:sz w:val="28"/>
          <w:szCs w:val="28"/>
          <w:rtl w:val="true"/>
          <w:lang w:bidi="fa-IR"/>
        </w:rPr>
        <w:t>في تعليق وجوب الإزالة على ماهيّة الدّم لشككنا في أصالة النّجاسة و أنكرنا وجود دلیل بنجاسة الدّم على عمومه،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الجواهر بعد نسبته للفاضل الثاني نسبه للدرّة،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 في المأكول بعد قذف ما يقذف طهر قد أحلّ في الدّماء، و الأقرب التّطهير فيما يحرم من المذكّى و عليه المعظم </w:t>
      </w:r>
      <w:r>
        <w:rPr>
          <w:rStyle w:val="FootnoteAnchor"/>
          <w:rtl w:val="true"/>
        </w:rPr>
        <w:footnoteReference w:id="1507"/>
      </w:r>
      <w:r>
        <w:rPr>
          <w:rFonts w:ascii="Amiri" w:hAnsi="Amiri" w:eastAsia="Amiri" w:cs="Amiri"/>
          <w:color w:val="111111"/>
          <w:sz w:val="28"/>
          <w:sz w:val="28"/>
          <w:szCs w:val="28"/>
          <w:rtl w:val="true"/>
          <w:lang w:bidi="ar-SA"/>
        </w:rPr>
        <w:t xml:space="preserve">، و كأنه فهم من الموصول الحيوان،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 أنّ معنى التطهير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التبعيض أظهر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من الموصول الجزء المحرّم كالطّحال من المأكول، فلا تعرّض فيه لغير المأكول، و على فرضه فكون التطهير هو الحكم بالطّهارة خلاف الظاهر، بل ظاهره أنّه عبارة عن إزالة النّجاسة، فهو بالدّلالة على النجاسة أجْدَر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حرّرنا يعلم حال الدّم المتخلِّف في ما عدا اللّحم و لو من محرّمات الذّبيحة، و لعلّ الحكم بطهارته موضع وفاق، و عليه الموجز </w:t>
      </w:r>
      <w:r>
        <w:rPr>
          <w:rStyle w:val="FootnoteAnchor"/>
          <w:rtl w:val="true"/>
        </w:rPr>
        <w:footnoteReference w:id="1508"/>
      </w:r>
      <w:r>
        <w:rPr>
          <w:rFonts w:ascii="Amiri" w:hAnsi="Amiri" w:eastAsia="Amiri" w:cs="Amiri"/>
          <w:color w:val="111111"/>
          <w:sz w:val="28"/>
          <w:sz w:val="28"/>
          <w:szCs w:val="28"/>
          <w:rtl w:val="true"/>
          <w:lang w:bidi="ar-SA"/>
        </w:rPr>
        <w:t xml:space="preserve">و الرّوض </w:t>
      </w:r>
      <w:r>
        <w:rPr>
          <w:rStyle w:val="FootnoteAnchor"/>
          <w:rtl w:val="true"/>
        </w:rPr>
        <w:footnoteReference w:id="1509"/>
      </w:r>
      <w:r>
        <w:rPr>
          <w:rFonts w:ascii="Amiri" w:hAnsi="Amiri" w:eastAsia="Amiri" w:cs="Amiri"/>
          <w:color w:val="111111"/>
          <w:sz w:val="28"/>
          <w:sz w:val="28"/>
          <w:szCs w:val="28"/>
          <w:rtl w:val="true"/>
          <w:lang w:bidi="ar-SA"/>
        </w:rPr>
        <w:t xml:space="preserve">وأطعمة الكتاب ظاهراً، و في المسالك </w:t>
      </w:r>
      <w:r>
        <w:rPr>
          <w:rStyle w:val="FootnoteAnchor"/>
          <w:rtl w:val="true"/>
        </w:rPr>
        <w:footnoteReference w:id="1510"/>
      </w:r>
      <w:r>
        <w:rPr>
          <w:rFonts w:ascii="Amiri" w:hAnsi="Amiri" w:eastAsia="Amiri" w:cs="Amiri"/>
          <w:color w:val="111111"/>
          <w:sz w:val="28"/>
          <w:sz w:val="28"/>
          <w:szCs w:val="28"/>
          <w:rtl w:val="true"/>
          <w:lang w:bidi="ar-SA"/>
        </w:rPr>
        <w:t xml:space="preserve">و جهان، و في الجواهر </w:t>
      </w:r>
      <w:r>
        <w:rPr>
          <w:rStyle w:val="FootnoteAnchor"/>
          <w:rtl w:val="true"/>
        </w:rPr>
        <w:footnoteReference w:id="1511"/>
      </w:r>
      <w:r>
        <w:rPr>
          <w:rFonts w:ascii="Amiri" w:hAnsi="Amiri" w:eastAsia="Amiri" w:cs="Amiri"/>
          <w:color w:val="111111"/>
          <w:sz w:val="28"/>
          <w:sz w:val="28"/>
          <w:szCs w:val="28"/>
          <w:rtl w:val="true"/>
          <w:lang w:bidi="ar-SA"/>
        </w:rPr>
        <w:t xml:space="preserve">نسبة نجاسة دم الطحال للرّوض أو بالتاء </w:t>
      </w:r>
      <w:r>
        <w:rPr>
          <w:rStyle w:val="FootnoteAnchor"/>
          <w:rtl w:val="true"/>
        </w:rPr>
        <w:footnoteReference w:id="1512"/>
      </w:r>
      <w:r>
        <w:rPr>
          <w:rFonts w:ascii="Amiri" w:hAnsi="Amiri" w:eastAsia="Amiri" w:cs="Amiri"/>
          <w:color w:val="111111"/>
          <w:sz w:val="28"/>
          <w:sz w:val="28"/>
          <w:szCs w:val="28"/>
          <w:rtl w:val="true"/>
          <w:lang w:bidi="ar-SA"/>
        </w:rPr>
        <w:t xml:space="preserve">، و ليس فيهما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جامع المقاصد </w:t>
      </w:r>
      <w:r>
        <w:rPr>
          <w:rStyle w:val="FootnoteAnchor"/>
          <w:rtl w:val="true"/>
        </w:rPr>
        <w:footnoteReference w:id="1513"/>
      </w:r>
      <w:r>
        <w:rPr>
          <w:rFonts w:ascii="Amiri" w:hAnsi="Amiri" w:eastAsia="Amiri" w:cs="Amiri"/>
          <w:color w:val="111111"/>
          <w:sz w:val="28"/>
          <w:sz w:val="28"/>
          <w:szCs w:val="28"/>
          <w:rtl w:val="true"/>
          <w:lang w:bidi="ar-SA"/>
        </w:rPr>
        <w:t xml:space="preserve">موجود لكن كلّ ذلك إذا لم يتحقق الشفح، و أمّا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طهارته مع عدم انفصاله عن اللّحم، فلو انفصل و جمع في إناء بعد تخلّفه، ظاهر الأصحاب طهارته أيضاً و إباحته، ففي الحدائق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طاهر مباح بلا خلاف، و لا ظهور له في حالة الاتّصال فقط، فإنّ تمّ الإجماع فيها و إلّا فلا دليل على إباحته، و لا عُسر في اجتنابه كذلك، فتشمله أدلّة التحريم، فيقصر ظهور الإجماع المدّعى على غير صورة الانفراد و إن بَعدَ التفكيك بين الإباحة و الطّهارة، حيث إنّ المحكوم عليه بهما شيء واحد في كلام الفاضل </w:t>
      </w:r>
      <w:r>
        <w:rPr>
          <w:rStyle w:val="FootnoteAnchor"/>
          <w:rtl w:val="true"/>
        </w:rPr>
        <w:footnoteReference w:id="1515"/>
      </w:r>
      <w:r>
        <w:rPr>
          <w:rFonts w:ascii="Amiri" w:hAnsi="Amiri" w:eastAsia="Amiri" w:cs="Amiri"/>
          <w:color w:val="111111"/>
          <w:sz w:val="28"/>
          <w:sz w:val="28"/>
          <w:szCs w:val="28"/>
          <w:rtl w:val="true"/>
          <w:lang w:bidi="ar-SA"/>
        </w:rPr>
        <w:t xml:space="preserve">و غيره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قصرنا الإباحة على حالة الاتّصال ينبغي أن نقصر النجاسة أيضاً عليها، و هو بيّن الفساد، فالتفكيك بينهما مشكل، و جعلهما حكماً واحداً أشكل، و عليه يشكل قول الشارح في أطعمته </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بتحريمه كان حسناً؛ للعموم، و لعلّ نظره إلى أنّ حرمته من حيث الاستخباث، و هو يتحقّق بانفصاله فلا ينافي طهارته و حلّيّته المطلقة عروض سبب آخر للحرمة، فالاستخباث كالنجاسة الخارجة العارضة له المحرّمة لأكله، لكن قصر الاستخباث على حالة الانفصال فقط لعله غير ثابت، فإن كان ففيهما سواء و إلّا فلا، مع أنّ ظاهر كلامه الاستناد إلى عمومات الحرمة، و سيجيء بيانه في الأطعمة إن شاء الله تعالى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نجاسة العلقة التي تستحيل عليها النطفة، و الشهرة مبنيّة على </w:t>
      </w:r>
    </w:p>
    <w:p>
      <w:pPr>
        <w:pStyle w:val="BookText"/>
        <w:rPr/>
      </w:pPr>
      <w:r>
        <w:rPr>
          <w:rFonts w:ascii="Amiri" w:hAnsi="Amiri" w:eastAsia="Amiri" w:cs="Amiri"/>
          <w:color w:val="111111"/>
          <w:sz w:val="28"/>
          <w:sz w:val="28"/>
          <w:szCs w:val="28"/>
          <w:rtl w:val="true"/>
          <w:lang w:bidi="ar-SA"/>
        </w:rPr>
        <w:t xml:space="preserve">شمول معاقد الإجماع على نجاسة دم الحيوان مطلقاً لها؛ إذ لا إجماع عليها بخصوصها إلَّا من خلاف الشيخ </w:t>
      </w:r>
      <w:r>
        <w:rPr>
          <w:rStyle w:val="FootnoteAnchor"/>
          <w:rtl w:val="true"/>
        </w:rPr>
        <w:footnoteReference w:id="1518"/>
      </w:r>
      <w:r>
        <w:rPr>
          <w:rFonts w:ascii="Amiri" w:hAnsi="Amiri" w:eastAsia="Amiri" w:cs="Amiri"/>
          <w:color w:val="111111"/>
          <w:sz w:val="28"/>
          <w:sz w:val="28"/>
          <w:szCs w:val="28"/>
          <w:rtl w:val="true"/>
          <w:lang w:bidi="ar-SA"/>
        </w:rPr>
        <w:t>، و ضرب عنه غير واحد، ففي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الأقوى طهارة العلقة </w:t>
      </w:r>
      <w:r>
        <w:rPr>
          <w:rStyle w:val="FootnoteAnchor"/>
          <w:rtl w:val="true"/>
        </w:rPr>
        <w:footnoteReference w:id="1519"/>
      </w:r>
      <w:r>
        <w:rPr>
          <w:rFonts w:ascii="Amiri" w:hAnsi="Amiri" w:eastAsia="Amiri" w:cs="Amiri"/>
          <w:color w:val="111111"/>
          <w:sz w:val="28"/>
          <w:sz w:val="28"/>
          <w:szCs w:val="28"/>
          <w:rtl w:val="true"/>
          <w:lang w:bidi="ar-SA"/>
        </w:rPr>
        <w:t xml:space="preserve">، مستدلاًّ بانصراف الأخبار لغيرها غير معتنٍ بإجماع ،الشيخ، و كذا غيره ممّن طهّرها </w:t>
      </w:r>
      <w:r>
        <w:rPr>
          <w:rStyle w:val="FootnoteAnchor"/>
          <w:rtl w:val="true"/>
        </w:rPr>
        <w:footnoteReference w:id="1520"/>
      </w:r>
      <w:r>
        <w:rPr>
          <w:rFonts w:ascii="Amiri" w:hAnsi="Amiri" w:eastAsia="Amiri" w:cs="Amiri"/>
          <w:color w:val="111111"/>
          <w:sz w:val="28"/>
          <w:sz w:val="28"/>
          <w:szCs w:val="28"/>
          <w:rtl w:val="true"/>
          <w:lang w:bidi="ar-SA"/>
        </w:rPr>
        <w:t xml:space="preserve">، بل أكثر </w:t>
      </w:r>
      <w:r>
        <w:rPr>
          <w:rStyle w:val="FootnoteAnchor"/>
          <w:rtl w:val="true"/>
        </w:rPr>
        <w:footnoteReference w:id="1521"/>
      </w:r>
      <w:r>
        <w:rPr>
          <w:rFonts w:ascii="Amiri" w:hAnsi="Amiri" w:eastAsia="Amiri" w:cs="Amiri"/>
          <w:color w:val="111111"/>
          <w:sz w:val="28"/>
          <w:sz w:val="28"/>
          <w:szCs w:val="28"/>
          <w:rtl w:val="true"/>
          <w:lang w:bidi="ar-SA"/>
        </w:rPr>
        <w:t xml:space="preserve">من نجّسها علّل النجاسة بكونها دَم حيوان و هو نجس إجماعاً، لكن ظاهر جملة </w:t>
      </w:r>
      <w:r>
        <w:rPr>
          <w:rStyle w:val="FootnoteAnchor"/>
          <w:rtl w:val="true"/>
        </w:rPr>
        <w:footnoteReference w:id="1522"/>
      </w:r>
      <w:r>
        <w:rPr>
          <w:rFonts w:ascii="Amiri" w:hAnsi="Amiri" w:eastAsia="Amiri" w:cs="Amiri"/>
          <w:color w:val="111111"/>
          <w:sz w:val="28"/>
          <w:sz w:val="28"/>
          <w:szCs w:val="28"/>
          <w:rtl w:val="true"/>
          <w:lang w:bidi="ar-SA"/>
        </w:rPr>
        <w:t xml:space="preserve">من الفتاوى الحكم بنجاستها، و هو لا يفيد تحقّق نقل الإجماع المفيد، فاللازم حينئذ بذل النظر إلى معرفة مستند فهم العلماء و مدركه على وجه ينفع في نجاسة العلقة و نحوها من الأفراد الغير الظاهرة، و عساه من مجموع أخبار أشرنا لبعضها إجمالاً، و في استفادة الأصل المزبور من أكثرها نظر، ففي شرح المفاتيح </w:t>
      </w:r>
      <w:r>
        <w:rPr>
          <w:rStyle w:val="FootnoteAnchor"/>
          <w:rtl w:val="true"/>
        </w:rPr>
        <w:footnoteReference w:id="1523"/>
      </w:r>
      <w:r>
        <w:rPr>
          <w:rFonts w:ascii="Amiri" w:hAnsi="Amiri" w:eastAsia="Amiri" w:cs="Amiri"/>
          <w:color w:val="111111"/>
          <w:sz w:val="28"/>
          <w:sz w:val="28"/>
          <w:szCs w:val="28"/>
          <w:rtl w:val="true"/>
          <w:lang w:bidi="ar-SA"/>
        </w:rPr>
        <w:t>استفادته من ترك الاستفصال المفيد للعموم في مصحّحة ابن 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يرى في ثوب أخيه دماً و هو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تؤذنه حتّى ينصرف</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و نحوها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و الجواب مسوقان لمعرفة حُكم إعلام الغير إذا غفل في الصلاة عن نجاسة ثوبه وجوباً أو جوازاً بعد الفراغ عن نجاسة الدّم عموماً و خصوصاً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خبر السّكوني </w:t>
      </w:r>
      <w:r>
        <w:rPr>
          <w:rStyle w:val="FootnoteAnchor"/>
          <w:rtl w:val="true"/>
        </w:rPr>
        <w:footnoteReference w:id="1525"/>
      </w:r>
      <w:r>
        <w:rPr>
          <w:rFonts w:ascii="Amiri" w:hAnsi="Amiri" w:eastAsia="Amiri" w:cs="Amiri"/>
          <w:color w:val="111111"/>
          <w:sz w:val="28"/>
          <w:sz w:val="28"/>
          <w:szCs w:val="28"/>
          <w:rtl w:val="true"/>
          <w:lang w:bidi="ar-SA"/>
        </w:rPr>
        <w:t>، فإنّه بناءً على مفهوم الوصف الذي فرغنا من عدم حجّيته أنّه لا يمكن أن يكون مَسُوْقاً لبيان حكم نجاسة الدّم؛ لما فيه من الاستهجان، و مثلهما خبر الدّعائم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قالا في الدّم يُصيب الثوب يغسل كما يغسل النجاسات </w:t>
      </w:r>
      <w:r>
        <w:rPr>
          <w:rStyle w:val="FootnoteAnchor"/>
          <w:rtl w:val="true"/>
        </w:rPr>
        <w:footnoteReference w:id="1526"/>
      </w:r>
      <w:r>
        <w:rPr>
          <w:rFonts w:ascii="Amiri" w:hAnsi="Amiri" w:eastAsia="Amiri" w:cs="Amiri"/>
          <w:color w:val="111111"/>
          <w:sz w:val="28"/>
          <w:sz w:val="28"/>
          <w:szCs w:val="28"/>
          <w:rtl w:val="true"/>
          <w:lang w:bidi="ar-SA"/>
        </w:rPr>
        <w:t>، حيث علّق الحكم فيه على طبيعة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مرسلةٌ ظاهرة في نقل المعنى، فلو اعتبرنا المرسل لم نعتبرها؛ لما فيه من التلفيق بين الرّواية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استفادة العموم من النبويّ </w:t>
      </w:r>
      <w:r>
        <w:rPr>
          <w:rStyle w:val="FootnoteAnchor"/>
          <w:rtl w:val="true"/>
        </w:rPr>
        <w:footnoteReference w:id="1527"/>
      </w:r>
      <w:r>
        <w:rPr>
          <w:rFonts w:ascii="Amiri" w:hAnsi="Amiri" w:eastAsia="Amiri" w:cs="Amiri"/>
          <w:color w:val="111111"/>
          <w:sz w:val="28"/>
          <w:sz w:val="28"/>
          <w:szCs w:val="28"/>
          <w:rtl w:val="true"/>
          <w:lang w:bidi="ar-SA"/>
        </w:rPr>
        <w:t xml:space="preserve">المُرسَل لا تكاد تُنكَر، و هو إنّما يغسل الثوب من البول و المنيّ و الدّم؛ فإنّه لبيان أصل النجاسة، إلّا أنّه من طرق العامّة، و أنّ الحصر فيه قد يكون للاحتراز عن سائر الفضلات غير الثلاثة، و على هذا النسق الروايات الخاصّة الواردة في نجاسة الدّم الآمِرَة بغسله و إزالته فإنّ أكثرها مسوقة لبيان حكم آخر، و فيها كالنّبوي مثل رواية عبد الله بن سنان </w:t>
      </w:r>
      <w:r>
        <w:rPr>
          <w:rStyle w:val="FootnoteAnchor"/>
          <w:rtl w:val="true"/>
        </w:rPr>
        <w:footnoteReference w:id="1528"/>
      </w:r>
      <w:r>
        <w:rPr>
          <w:rFonts w:ascii="Amiri" w:hAnsi="Amiri" w:eastAsia="Amiri" w:cs="Amiri"/>
          <w:color w:val="111111"/>
          <w:sz w:val="28"/>
          <w:sz w:val="28"/>
          <w:szCs w:val="28"/>
          <w:rtl w:val="true"/>
          <w:lang w:bidi="ar-SA"/>
        </w:rPr>
        <w:t xml:space="preserve">و عليّ بن جعفر </w:t>
      </w:r>
      <w:r>
        <w:rPr>
          <w:rStyle w:val="FootnoteAnchor"/>
          <w:rtl w:val="true"/>
        </w:rPr>
        <w:footnoteReference w:id="1529"/>
      </w:r>
      <w:r>
        <w:rPr>
          <w:rFonts w:ascii="Amiri" w:hAnsi="Amiri" w:eastAsia="Amiri" w:cs="Amiri"/>
          <w:color w:val="111111"/>
          <w:sz w:val="28"/>
          <w:sz w:val="28"/>
          <w:szCs w:val="28"/>
          <w:rtl w:val="true"/>
          <w:lang w:bidi="ar-SA"/>
        </w:rPr>
        <w:t>، و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أصابَ ثَوبك قدر دينار من الدّم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الضّابط في المفيد </w:t>
      </w:r>
      <w:r>
        <w:rPr>
          <w:rStyle w:val="FootnoteAnchor"/>
          <w:rtl w:val="true"/>
        </w:rPr>
        <w:footnoteReference w:id="1530"/>
      </w:r>
      <w:r>
        <w:rPr>
          <w:rFonts w:ascii="Amiri" w:hAnsi="Amiri" w:eastAsia="Amiri" w:cs="Amiri"/>
          <w:color w:val="111111"/>
          <w:sz w:val="28"/>
          <w:sz w:val="28"/>
          <w:szCs w:val="28"/>
          <w:rtl w:val="true"/>
          <w:lang w:bidi="ar-SA"/>
        </w:rPr>
        <w:t xml:space="preserve">هنا أن يكون وارداً في بيان أصل نجاسة الدّم لا بيان حكم آخر بعد الفراغ من نجاسته، لكن المتتبع قد يحصل له الظنّ الاطمئناني بذلك، فأصالة النجاسة في الدّماء الحيوانيّة مع القيد كأنّها لا شبهة فيها كما أشرنا إليه في صدر المسألة، و عليه فلا فرق بين أقسام العلقة و أقسام الدّم، فالدّم الذي في البيضة نجس؛ للأصل، و ظاهر الأكثر عليه و به صرّح الفاضلان </w:t>
      </w:r>
      <w:r>
        <w:rPr>
          <w:rStyle w:val="FootnoteAnchor"/>
          <w:rtl w:val="true"/>
        </w:rPr>
        <w:footnoteReference w:id="1531"/>
      </w:r>
      <w:r>
        <w:rPr>
          <w:rFonts w:ascii="Amiri" w:hAnsi="Amiri" w:eastAsia="Amiri" w:cs="Amiri"/>
          <w:color w:val="111111"/>
          <w:sz w:val="28"/>
          <w:sz w:val="28"/>
          <w:szCs w:val="28"/>
          <w:rtl w:val="true"/>
          <w:lang w:bidi="ar-SA"/>
        </w:rPr>
        <w:t xml:space="preserve">، و استوجه في المعالم </w:t>
      </w:r>
      <w:r>
        <w:rPr>
          <w:rStyle w:val="FootnoteAnchor"/>
          <w:rtl w:val="true"/>
        </w:rPr>
        <w:footnoteReference w:id="1532"/>
      </w:r>
      <w:r>
        <w:rPr>
          <w:rFonts w:ascii="Amiri" w:hAnsi="Amiri" w:eastAsia="Amiri" w:cs="Amiri"/>
          <w:color w:val="111111"/>
          <w:sz w:val="28"/>
          <w:sz w:val="28"/>
          <w:szCs w:val="28"/>
          <w:rtl w:val="true"/>
          <w:lang w:bidi="ar-SA"/>
        </w:rPr>
        <w:t xml:space="preserve">الطهارة مدّعياً عدم معلوميّة كونها علقة، و عدم </w:t>
      </w:r>
    </w:p>
    <w:p>
      <w:pPr>
        <w:pStyle w:val="BookText"/>
        <w:rPr/>
      </w:pPr>
      <w:r>
        <w:rPr>
          <w:rFonts w:ascii="Amiri" w:hAnsi="Amiri" w:eastAsia="Amiri" w:cs="Amiri"/>
          <w:color w:val="111111"/>
          <w:sz w:val="28"/>
          <w:sz w:val="28"/>
          <w:szCs w:val="28"/>
          <w:rtl w:val="true"/>
          <w:lang w:bidi="ar-SA"/>
        </w:rPr>
        <w:t xml:space="preserve">شمول إجماع الخلاف لها، و كذا الخوانساري </w:t>
      </w:r>
      <w:r>
        <w:rPr>
          <w:rStyle w:val="FootnoteAnchor"/>
          <w:rtl w:val="true"/>
        </w:rPr>
        <w:footnoteReference w:id="1533"/>
      </w:r>
      <w:r>
        <w:rPr>
          <w:rFonts w:ascii="IRNazanin" w:hAnsi="IRNazanin" w:eastAsia="IRNazanin"/>
          <w:color w:val="111111"/>
          <w:sz w:val="28"/>
          <w:sz w:val="28"/>
          <w:szCs w:val="28"/>
          <w:rtl w:val="true"/>
          <w:lang w:bidi="fa-IR"/>
        </w:rPr>
        <w:t xml:space="preserve">و الحدائق </w:t>
      </w:r>
      <w:r>
        <w:rPr>
          <w:rStyle w:val="FootnoteAnchor"/>
          <w:rtl w:val="true"/>
        </w:rPr>
        <w:footnoteReference w:id="1534"/>
      </w:r>
      <w:r>
        <w:rPr>
          <w:rFonts w:ascii="IRNazanin" w:hAnsi="IRNazanin" w:eastAsia="IRNazanin"/>
          <w:color w:val="111111"/>
          <w:sz w:val="28"/>
          <w:sz w:val="28"/>
          <w:szCs w:val="28"/>
          <w:rtl w:val="true"/>
          <w:lang w:bidi="fa-IR"/>
        </w:rPr>
        <w:t xml:space="preserve">، و من الجواهر </w:t>
      </w:r>
      <w:r>
        <w:rPr>
          <w:rStyle w:val="FootnoteAnchor"/>
          <w:rtl w:val="true"/>
        </w:rPr>
        <w:footnoteReference w:id="1535"/>
      </w:r>
      <w:r>
        <w:rPr>
          <w:rFonts w:ascii="Amiri" w:hAnsi="Amiri" w:eastAsia="Amiri" w:cs="Amiri"/>
          <w:color w:val="111111"/>
          <w:sz w:val="28"/>
          <w:sz w:val="28"/>
          <w:szCs w:val="28"/>
          <w:rtl w:val="true"/>
          <w:lang w:bidi="ar-SA"/>
        </w:rPr>
        <w:t>قوله بالطّهارة هنا للأصل مع عدم وضوح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مفاده منع عموم الأخبار و إطلاقها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 بالعموم من جهة اشتراط عدم السّفح كما غبر، و لا فرق إلّا محض التحكّم بعد فرض صدق الدّم عليها، فالقائل بالطهارة إمّا أن يمنع الصدق، أو كونه دم حيوان، أو ينكر الإطلاق و العموم في أدلّة الدّم مطلقاً، أو من هذه الجهة، أو يرى الانصراف لغيره بعد تسليم السابق، أو يزعم خروجه بمفهوم آية السّفح </w:t>
      </w:r>
      <w:r>
        <w:rPr>
          <w:rStyle w:val="FootnoteAnchor"/>
          <w:rtl w:val="true"/>
        </w:rPr>
        <w:footnoteReference w:id="1536"/>
      </w:r>
      <w:r>
        <w:rPr>
          <w:rFonts w:ascii="Amiri" w:hAnsi="Amiri" w:eastAsia="Amiri" w:cs="Amiri"/>
          <w:color w:val="111111"/>
          <w:sz w:val="28"/>
          <w:sz w:val="28"/>
          <w:szCs w:val="28"/>
          <w:rtl w:val="true"/>
          <w:lang w:bidi="ar-SA"/>
        </w:rPr>
        <w:t xml:space="preserve">، و الجميع كما ترى؛ إذ فعليّة الجزئيّة لا قاضي بها، و معاقد الإجماعات لا تنصرف إلى ذلك، بل الظاهر كفاية إسناد الدّم إلى الحيوان في نجاسته و إن لم يكن جزءاً منه بالفعل، و هي صريح المحقّق رحمه الله </w:t>
      </w:r>
      <w:r>
        <w:rPr>
          <w:rStyle w:val="FootnoteAnchor"/>
          <w:rtl w:val="true"/>
        </w:rPr>
        <w:footnoteReference w:id="1537"/>
      </w:r>
      <w:r>
        <w:rPr>
          <w:rFonts w:ascii="Amiri" w:hAnsi="Amiri" w:eastAsia="Amiri" w:cs="Amiri"/>
          <w:color w:val="111111"/>
          <w:sz w:val="28"/>
          <w:sz w:val="28"/>
          <w:szCs w:val="28"/>
          <w:rtl w:val="true"/>
          <w:lang w:bidi="ar-SA"/>
        </w:rPr>
        <w:t>، فإنكار كونه دماً للمطهّر أولى من الركون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الدّم الذي ليس للحيوان مدخل فيه كمطر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Style w:val="FootnoteAnchor"/>
          <w:rtl w:val="true"/>
        </w:rPr>
        <w:footnoteReference w:id="1538"/>
      </w:r>
      <w:r>
        <w:rPr>
          <w:rFonts w:ascii="IRNazanin" w:hAnsi="IRNazanin" w:eastAsia="IRNazanin"/>
          <w:color w:val="111111"/>
          <w:sz w:val="28"/>
          <w:sz w:val="28"/>
          <w:szCs w:val="28"/>
          <w:rtl w:val="true"/>
          <w:lang w:bidi="fa-IR"/>
        </w:rPr>
        <w:t>و نحوه يتّجه الحكم بطهارته، و حينئذٍ فمتيقّن الخروج من عموم نجاسة دم الحيوان مطلقاً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النَّبيّ صلّی الله علیه و آله و الأئمة على ما ذكرنا، و المتخلّف في الذبيحة المأكولة لا مطلقاً، و دم ما لا نفس له، و يدخل فيه دم السّمك</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المعتبر </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كلّه نجس عدا دم ما لا نفس له، و هو مذهب علمائنا، و لعلّه كذلك جزماً، فلا عبرة أيضاً بظاهر ذكرى المصنّف </w:t>
      </w:r>
      <w:r>
        <w:rPr>
          <w:rStyle w:val="FootnoteAnchor"/>
          <w:rtl w:val="true"/>
        </w:rPr>
        <w:footnoteReference w:id="1540"/>
      </w:r>
      <w:r>
        <w:rPr>
          <w:rFonts w:ascii="Amiri" w:hAnsi="Amiri" w:eastAsia="Amiri" w:cs="Amiri"/>
          <w:color w:val="111111"/>
          <w:sz w:val="28"/>
          <w:sz w:val="28"/>
          <w:szCs w:val="28"/>
          <w:rtl w:val="true"/>
          <w:lang w:bidi="ar-SA"/>
        </w:rPr>
        <w:t xml:space="preserve">في الميل إلى طهارة دم البيضة، و الشارح </w:t>
      </w:r>
    </w:p>
    <w:p>
      <w:pPr>
        <w:pStyle w:val="BookText"/>
        <w:rPr/>
      </w:pPr>
      <w:r>
        <w:rPr>
          <w:rFonts w:ascii="IRNazanin" w:hAnsi="IRNazanin" w:eastAsia="IRNazanin"/>
          <w:color w:val="111111"/>
          <w:sz w:val="28"/>
          <w:sz w:val="28"/>
          <w:szCs w:val="28"/>
          <w:rtl w:val="true"/>
          <w:lang w:bidi="fa-IR"/>
        </w:rPr>
        <w:t xml:space="preserve">بروضه </w:t>
      </w:r>
      <w:r>
        <w:rPr>
          <w:rStyle w:val="FootnoteAnchor"/>
          <w:rtl w:val="true"/>
        </w:rPr>
        <w:footnoteReference w:id="1541"/>
      </w:r>
      <w:r>
        <w:rPr>
          <w:rFonts w:ascii="Amiri" w:hAnsi="Amiri" w:eastAsia="Amiri" w:cs="Amiri"/>
          <w:color w:val="111111"/>
          <w:sz w:val="28"/>
          <w:sz w:val="28"/>
          <w:szCs w:val="28"/>
          <w:rtl w:val="true"/>
          <w:lang w:bidi="ar-SA"/>
        </w:rPr>
        <w:t>بعد الجزم بالنّجاسة نقل ما في الذكرى بعينه فأبهم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حرّرنا من أصالة النجاسة في دم الحيوان ذي النّفس و خروج المستثنى منه لا ينبغي الرّيب في طهارة ما شك فيه إذا لم يكن من جهة الشبهة المحصورة فيلحقه حكمها، و كذا الحكم بالعفو عند الشك في أنّه من المعفوّ عنه أوّ لا؟، و مثّل للأوّل بالدم المرئي في الثوب أو البدن المردّد بين كونه من دم البعوض أو نفس الجلد، و قد نفى في الحدائق </w:t>
      </w:r>
      <w:r>
        <w:rPr>
          <w:rStyle w:val="FootnoteAnchor"/>
          <w:rtl w:val="true"/>
        </w:rPr>
        <w:footnoteReference w:id="1542"/>
      </w:r>
      <w:r>
        <w:rPr>
          <w:rFonts w:ascii="Amiri" w:hAnsi="Amiri" w:eastAsia="Amiri" w:cs="Amiri"/>
          <w:color w:val="111111"/>
          <w:sz w:val="28"/>
          <w:sz w:val="28"/>
          <w:szCs w:val="28"/>
          <w:rtl w:val="true"/>
          <w:lang w:bidi="ar-SA"/>
        </w:rPr>
        <w:t xml:space="preserve">الخلاف في طهارته و هو اختيار النهاية </w:t>
      </w:r>
      <w:r>
        <w:rPr>
          <w:rStyle w:val="FootnoteAnchor"/>
          <w:rtl w:val="true"/>
        </w:rPr>
        <w:footnoteReference w:id="1543"/>
      </w:r>
      <w:r>
        <w:rPr>
          <w:rFonts w:ascii="IRNazanin" w:hAnsi="IRNazanin" w:eastAsia="IRNazanin"/>
          <w:color w:val="111111"/>
          <w:sz w:val="28"/>
          <w:sz w:val="28"/>
          <w:szCs w:val="28"/>
          <w:rtl w:val="true"/>
          <w:lang w:bidi="fa-IR"/>
        </w:rPr>
        <w:t xml:space="preserve">و الموجز </w:t>
      </w:r>
      <w:r>
        <w:rPr>
          <w:rStyle w:val="FootnoteAnchor"/>
          <w:rtl w:val="true"/>
        </w:rPr>
        <w:footnoteReference w:id="1544"/>
      </w:r>
      <w:r>
        <w:rPr>
          <w:rFonts w:ascii="Amiri" w:hAnsi="Amiri" w:eastAsia="Amiri" w:cs="Amiri"/>
          <w:color w:val="111111"/>
          <w:sz w:val="28"/>
          <w:sz w:val="28"/>
          <w:szCs w:val="28"/>
          <w:rtl w:val="true"/>
          <w:lang w:bidi="ar-SA"/>
        </w:rPr>
        <w:t xml:space="preserve">و شرحه و المصنّف في غيره </w:t>
      </w:r>
      <w:r>
        <w:rPr>
          <w:rStyle w:val="FootnoteAnchor"/>
          <w:rtl w:val="true"/>
        </w:rPr>
        <w:footnoteReference w:id="1545"/>
      </w:r>
      <w:r>
        <w:rPr>
          <w:rFonts w:ascii="Amiri" w:hAnsi="Amiri" w:eastAsia="Amiri" w:cs="Amiri"/>
          <w:color w:val="111111"/>
          <w:sz w:val="28"/>
          <w:sz w:val="28"/>
          <w:szCs w:val="28"/>
          <w:rtl w:val="true"/>
          <w:lang w:bidi="ar-SA"/>
        </w:rPr>
        <w:t xml:space="preserve">و جدّي و والدي رحمه الله في الكشف </w:t>
      </w:r>
      <w:r>
        <w:rPr>
          <w:rStyle w:val="FootnoteAnchor"/>
          <w:rtl w:val="true"/>
        </w:rPr>
        <w:footnoteReference w:id="1546"/>
      </w:r>
      <w:r>
        <w:rPr>
          <w:rFonts w:ascii="IRNazanin" w:hAnsi="IRNazanin" w:eastAsia="IRNazanin"/>
          <w:color w:val="111111"/>
          <w:sz w:val="28"/>
          <w:sz w:val="28"/>
          <w:szCs w:val="28"/>
          <w:rtl w:val="true"/>
          <w:lang w:bidi="fa-IR"/>
        </w:rPr>
        <w:t xml:space="preserve">و الأنوار </w:t>
      </w:r>
      <w:r>
        <w:rPr>
          <w:rStyle w:val="FootnoteAnchor"/>
          <w:rtl w:val="true"/>
        </w:rPr>
        <w:footnoteReference w:id="1547"/>
      </w:r>
      <w:r>
        <w:rPr>
          <w:rFonts w:ascii="Amiri" w:hAnsi="Amiri" w:eastAsia="Amiri" w:cs="Amiri"/>
          <w:color w:val="111111"/>
          <w:sz w:val="28"/>
          <w:sz w:val="28"/>
          <w:szCs w:val="28"/>
          <w:rtl w:val="true"/>
          <w:lang w:bidi="ar-SA"/>
        </w:rPr>
        <w:t xml:space="preserve">، بل هو الحقّ و إن ظهر وجوب الاجتناب من الشيخ </w:t>
      </w:r>
      <w:r>
        <w:rPr>
          <w:rStyle w:val="FootnoteAnchor"/>
          <w:rtl w:val="true"/>
        </w:rPr>
        <w:footnoteReference w:id="1548"/>
      </w:r>
      <w:r>
        <w:rPr>
          <w:rFonts w:ascii="Amiri" w:hAnsi="Amiri" w:eastAsia="Amiri" w:cs="Amiri"/>
          <w:color w:val="111111"/>
          <w:sz w:val="28"/>
          <w:sz w:val="28"/>
          <w:szCs w:val="28"/>
          <w:rtl w:val="true"/>
          <w:lang w:bidi="ar-SA"/>
        </w:rPr>
        <w:t xml:space="preserve">، و المَيل إلى النجاسة من أُستاد الكلّ في شرح المفاتيح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محط كلامه في الشبهة الموضوعيّة، و أقصى دليله شمول إطلاقات الدّم و الأخذ بمعلوم الخروج دون مشكوكه، أو الخصوص الموثّقة الواردة في دم المنقار </w:t>
      </w:r>
      <w:r>
        <w:rPr>
          <w:rStyle w:val="FootnoteAnchor"/>
          <w:rtl w:val="true"/>
        </w:rPr>
        <w:footnoteReference w:id="1550"/>
      </w:r>
      <w:r>
        <w:rPr>
          <w:rFonts w:ascii="Amiri" w:hAnsi="Amiri" w:eastAsia="Amiri" w:cs="Amiri"/>
          <w:color w:val="111111"/>
          <w:sz w:val="28"/>
          <w:sz w:val="28"/>
          <w:szCs w:val="28"/>
          <w:rtl w:val="true"/>
          <w:lang w:bidi="ar-SA"/>
        </w:rPr>
        <w:t>لترك الاستفصال المفيد للعموم فيها، فإن كان الأوّل فَوهنهُ بما فرغنا منه في بابه من عدم جواز العمل بالعام المخصّص في الفرد المشتبه بين الباقي و الخارج خصوصاً فيما يرجع التخصيص فيه إلى التنويع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اندراج أفراد العام فيه إنّما هو لجهة أصالة الحقيقة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بالعام بعض أفراده دون بعض لوجبَ على المريد البيان و قبح منه التأخير و الترك، فيدّعى </w:t>
      </w:r>
    </w:p>
    <w:p>
      <w:pPr>
        <w:pStyle w:val="BookText"/>
        <w:rPr/>
      </w:pPr>
      <w:r>
        <w:rPr>
          <w:rFonts w:ascii="Amiri" w:hAnsi="Amiri" w:eastAsia="Amiri" w:cs="Amiri"/>
          <w:color w:val="111111"/>
          <w:sz w:val="28"/>
          <w:sz w:val="28"/>
          <w:szCs w:val="28"/>
          <w:rtl w:val="true"/>
          <w:lang w:bidi="ar-SA"/>
        </w:rPr>
        <w:t>في المقام أنّ عمومات النجاسة في الدّم تشمل المشتبه منه كما تشمل أقسام الدّماء مطلقاً إلَّا ما خرج، و هو ظاهر الفساد؛ ضرروة أنّ هذا مردّد في الواقع بين المقطوع بدخوله و المقطوع بخروجه، فكونه من دم ذي النّفس ليكون داخلاً أو من غيره فيخرج لا يزيد و لا ينقص في مراد المتكلِّم، و ليس الحكم بدخوله بأَولى من الحكم بخروجه، و لا في العام ظهور لفظي يحكم على الأُصول الشرعيّة فيه كي يتّبع و تلغى أصالة الطهارة في مثله،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الزّوار غير المخالفين، و شككنا في فردٍ أنّه من أيّ الطائفتين فليس في العام ما يزيل الشك عنه بأن يخصّه بأحدهما من دون رجوع إلى أصل شرعي؛ إذ لا يلزم من كونه مخالفا مخالفة لعموم العام، و لا من كونه موافقاً موافقة كذلك، و مرجعه إلى أنّ تشخيص أفراد العام أو المخصّص إلى المأمور بهما فما علم شمول العام له أُعطي حكم العام، و مثله المخصص، و ما شكّ فيه فإدراجه في أحدهما تحكّم لا دليل عليه و لا يقتضيه ظهور اللّفظ من أحدهما، فيلزم الرّجوع فيه لغيرهما ممّا يظهر به حكمه من الأصول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يعلّق حكم العام أو المخصص على الشيء المعلوم بأن يؤخذ العلم قيداً في الموضوع، فيقال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ما علمت بمخالفته، فيدخل مشكوك المخالفة في العام؛ لعدم المعلوميّة التي أُخذت قيداً في الخارج عنه، و ما نحنُ فيه ليس من هذا القبيل، إذ الخارج ما لا نفس له لا ما علمت أنّه دم ما لا نفس ،له كما أنّه ليس في المقام أصل موضوعي يندرج فيه الفرد المشتبه فيدخل تحت عنوان العام، فإنّ الخارج غير ذي النّفس، و لا يقال في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أن لا يكون منه، و بذلك يكون من مصاديق عنوان العام؛ إذ ليس الأصل في كلّ دم أن يكون دم ذي نفس أو غير ذي نفسٍ؛ ليدخل المشكوك به في أحدهما، لكونه أصلاً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ذلك متصوّر في العدالة و الفسق إذا قلنا بأصالة أحدهما،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العدول،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العدالة وجب إكرام الفرد المردّد المحكوم بعدالته؛ لأصالة العدالة و المفروض وجوب إكرام العدول، و بينهما فرق غايته أصالة عدم ملاقاة ملاقي الدّم لما لا نفس له، فإنّه لا يوجب ملاقاته لدم ما له نفس المفيد في وجوب الاجتناب عنه؛ إذ هو غير مسبوق بالحالة السابقة،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بأصالة عدم أحد الضدين وجود الآخر فيؤول </w:t>
      </w:r>
    </w:p>
    <w:p>
      <w:pPr>
        <w:pStyle w:val="BookText"/>
        <w:rPr/>
      </w:pPr>
      <w:r>
        <w:rPr>
          <w:rFonts w:ascii="Amiri" w:hAnsi="Amiri" w:eastAsia="Amiri" w:cs="Amiri"/>
          <w:color w:val="111111"/>
          <w:sz w:val="28"/>
          <w:sz w:val="28"/>
          <w:szCs w:val="28"/>
          <w:rtl w:val="true"/>
          <w:lang w:bidi="ar-SA"/>
        </w:rPr>
        <w:t>إلى الأصل المثبت المفروغ من عدم اعتباره، و منه يظهر أنّ الدّم المردّد بين كونه معفوّاً عنه أم لا الجاري فيه أصالة عدم ملاقاة الثوب للدّماء الثلاثة لا أصالة عدم كون الدّم دم حيض فيثبت أنّه غيره؛ لعدم معلوميّة حالته السابقة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فاتّضح إلى هنا عدم جريان أصالة النّجاسة في الشبهة الموضوعيّة، بل و الحكمية على إشكال في المردّد مطلقاً، و الحكم الطهارة و العفو لو اشتبه، و علیه المحقّقون </w:t>
      </w:r>
      <w:r>
        <w:rPr>
          <w:rStyle w:val="FootnoteAnchor"/>
          <w:rtl w:val="true"/>
        </w:rPr>
        <w:footnoteReference w:id="1551"/>
      </w:r>
      <w:r>
        <w:rPr>
          <w:rFonts w:ascii="Amiri" w:hAnsi="Amiri" w:eastAsia="Amiri" w:cs="Amiri"/>
          <w:color w:val="111111"/>
          <w:sz w:val="28"/>
          <w:sz w:val="28"/>
          <w:szCs w:val="28"/>
          <w:rtl w:val="true"/>
          <w:lang w:bidi="ar-SA"/>
        </w:rPr>
        <w:t>في المقامين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خيالُ أنّ طهارة دم ما لا نفس له رخصةٌ خرج من عموم المنع فيجب الاقتصار على المعلوم منه، مدفوعٌ بظهور عدمه و عدم اتّضاح ذلك فيه بالضرورة، و إلّا لوجب غسل الملاقي قبل الانكشاف بعده؛ لأنه محكوم بنجاسته و لا يدّعيه أحد، و ليس المخصّص هنا من قبيل المانع و العام كالمقتضي ليقف الحكم على تحقّق المانع، فما لم يتحقّق أثّر المقتضي أثره، فإنّ هذا لا يناسب عدم جواز العمل بالعام قبل الفحص عن المخصّص، و إن ثبت ذلك في بعض المواضع فهو لدليل خاص مفقود في المقام، فإنّا لا ننكر أنّ بعض المخصّصات كالمائع، لكن ذلك فيما أخذ العلم قيداً فيه كما غبر، فيكون أصلاً موضوعيّاً، و إن كان الثاني فظاهر الخبر الدِّماء النجسة بقرينة السؤال عن سؤر الصّقر و الباز و كون الذي في منقارها من الدّم الطّاهر نادر الوقوع، مضافاً إلى عدم صلوحها لإفادة العموم؛ لأنها في بيان حكم آخر بعد الفراغ عن نجاسة الدّم مثل أنّ زوال العين من المطهّرات مع معارضتها بجوابه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ماء شربت منه دجاجة؟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منقارها قَذر لم تتوضّأ و لم تشرب</w:t>
      </w:r>
      <w:r>
        <w:rPr>
          <w:rFonts w:eastAsia="IRNazanin" w:cs="IRNazanin"/>
          <w:color w:val="111111"/>
          <w:sz w:val="28"/>
          <w:szCs w:val="28"/>
          <w:rtl w:val="true"/>
          <w:lang w:bidi="fa-IR"/>
        </w:rPr>
        <w:t xml:space="preserve">» </w:t>
      </w:r>
      <w:r>
        <w:rPr>
          <w:rStyle w:val="FootnoteAnchor"/>
          <w:rtl w:val="true"/>
        </w:rPr>
        <w:footnoteReference w:id="1552"/>
      </w:r>
      <w:r>
        <w:rPr>
          <w:rFonts w:ascii="Amiri" w:hAnsi="Amiri" w:eastAsia="Amiri" w:cs="Amiri"/>
          <w:color w:val="111111"/>
          <w:sz w:val="28"/>
          <w:sz w:val="28"/>
          <w:szCs w:val="28"/>
          <w:rtl w:val="true"/>
          <w:lang w:bidi="ar-SA"/>
        </w:rPr>
        <w:t>و النسبة بينهما تباين جزئي؛ لتعارضهما في غير الدّم من النجاسات، فيرجع إلى أصالة الطهارة بعد التساقط فلا تقضي حينئذٍ بأنّ مجرّد رؤية الدّم تكفي في الاجتناب بلا شبهة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1553"/>
      </w:r>
      <w:r>
        <w:rPr>
          <w:rFonts w:ascii="Amiri" w:hAnsi="Amiri" w:eastAsia="Amiri" w:cs="Amiri"/>
          <w:color w:val="111111"/>
          <w:sz w:val="28"/>
          <w:sz w:val="28"/>
          <w:szCs w:val="28"/>
          <w:rtl w:val="true"/>
          <w:lang w:bidi="ar-SA"/>
        </w:rPr>
        <w:t xml:space="preserve">التردّد في الأصل الذي شَيّدنا أركانه، و بعد التنزّل فرّع عليه لحوق النجاسة في الشبهتين لتلفيقات مزيّفة كترك الاستفصال و نحوه و بعض العمومات، و كأنه </w:t>
      </w:r>
    </w:p>
    <w:p>
      <w:pPr>
        <w:pStyle w:val="BookText"/>
        <w:rPr/>
      </w:pPr>
      <w:r>
        <w:rPr>
          <w:rFonts w:ascii="Amiri" w:hAnsi="Amiri" w:eastAsia="Amiri" w:cs="Amiri"/>
          <w:color w:val="111111"/>
          <w:sz w:val="28"/>
          <w:sz w:val="28"/>
          <w:szCs w:val="28"/>
          <w:rtl w:val="true"/>
          <w:lang w:bidi="ar-SA"/>
        </w:rPr>
        <w:t>غفل عن القواعد الأُصولية المبتنية عليها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ذي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بَريَّاً أو بَحريّاً،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فيخرج ميتة غير ذي النّفس مطلقاً على المشهور </w:t>
      </w:r>
      <w:r>
        <w:rPr>
          <w:rStyle w:val="FootnoteAnchor"/>
          <w:rtl w:val="true"/>
        </w:rPr>
        <w:footnoteReference w:id="1554"/>
      </w:r>
      <w:r>
        <w:rPr>
          <w:rFonts w:ascii="IRNazanin" w:hAnsi="IRNazanin" w:eastAsia="IRNazanin"/>
          <w:color w:val="111111"/>
          <w:sz w:val="28"/>
          <w:sz w:val="28"/>
          <w:szCs w:val="28"/>
          <w:rtl w:val="true"/>
          <w:lang w:bidi="fa-IR"/>
        </w:rPr>
        <w:t xml:space="preserve">أو المجمع </w:t>
      </w:r>
      <w:r>
        <w:rPr>
          <w:rStyle w:val="FootnoteAnchor"/>
          <w:rtl w:val="true"/>
        </w:rPr>
        <w:footnoteReference w:id="1555"/>
      </w:r>
      <w:r>
        <w:rPr>
          <w:rFonts w:ascii="IRNazanin" w:hAnsi="IRNazanin" w:eastAsia="IRNazanin"/>
          <w:color w:val="111111"/>
          <w:sz w:val="28"/>
          <w:sz w:val="28"/>
          <w:szCs w:val="28"/>
          <w:rtl w:val="true"/>
          <w:lang w:bidi="fa-IR"/>
        </w:rPr>
        <w:t>عليه،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يفسد الماء إلّا ما كانت له نفس سائلة</w:t>
      </w:r>
      <w:r>
        <w:rPr>
          <w:rFonts w:eastAsia="IRNazanin" w:cs="IRNazanin"/>
          <w:color w:val="111111"/>
          <w:sz w:val="28"/>
          <w:szCs w:val="28"/>
          <w:rtl w:val="true"/>
          <w:lang w:bidi="fa-IR"/>
        </w:rPr>
        <w:t xml:space="preserve">» </w:t>
      </w:r>
      <w:r>
        <w:rPr>
          <w:rStyle w:val="FootnoteAnchor"/>
          <w:rtl w:val="true"/>
        </w:rPr>
        <w:footnoteReference w:id="1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ليس له دم فلا بأس</w:t>
      </w:r>
      <w:r>
        <w:rPr>
          <w:rFonts w:eastAsia="IRNazanin" w:cs="IRNazanin"/>
          <w:color w:val="111111"/>
          <w:sz w:val="28"/>
          <w:szCs w:val="28"/>
          <w:rtl w:val="true"/>
          <w:lang w:bidi="fa-IR"/>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فخلاف الشيخ </w:t>
      </w:r>
      <w:r>
        <w:rPr>
          <w:rStyle w:val="FootnoteAnchor"/>
          <w:rtl w:val="true"/>
        </w:rPr>
        <w:footnoteReference w:id="1558"/>
      </w:r>
      <w:r>
        <w:rPr>
          <w:rFonts w:ascii="Amiri" w:hAnsi="Amiri" w:eastAsia="Amiri" w:cs="Amiri"/>
          <w:color w:val="111111"/>
          <w:sz w:val="28"/>
          <w:sz w:val="28"/>
          <w:szCs w:val="28"/>
          <w:rtl w:val="true"/>
          <w:lang w:bidi="ar-SA"/>
        </w:rPr>
        <w:t xml:space="preserve">و ابن حمزة </w:t>
      </w:r>
      <w:r>
        <w:rPr>
          <w:rStyle w:val="FootnoteAnchor"/>
          <w:rtl w:val="true"/>
        </w:rPr>
        <w:footnoteReference w:id="1559"/>
      </w:r>
      <w:r>
        <w:rPr>
          <w:rFonts w:ascii="Amiri" w:hAnsi="Amiri" w:eastAsia="Amiri" w:cs="Amiri"/>
          <w:color w:val="111111"/>
          <w:sz w:val="28"/>
          <w:sz w:val="28"/>
          <w:szCs w:val="28"/>
          <w:rtl w:val="true"/>
          <w:lang w:bidi="ar-SA"/>
        </w:rPr>
        <w:t xml:space="preserve">في العقرب و الوزغة متروك؛ لقصور مستنده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ابن مسكان </w:t>
      </w:r>
      <w:r>
        <w:rPr>
          <w:rStyle w:val="FootnoteAnchor"/>
          <w:rtl w:val="true"/>
        </w:rPr>
        <w:footnoteReference w:id="1561"/>
      </w:r>
      <w:r>
        <w:rPr>
          <w:rFonts w:ascii="Amiri" w:hAnsi="Amiri" w:eastAsia="Amiri" w:cs="Amiri"/>
          <w:color w:val="111111"/>
          <w:sz w:val="28"/>
          <w:sz w:val="28"/>
          <w:szCs w:val="28"/>
          <w:rtl w:val="true"/>
          <w:lang w:bidi="ar-SA"/>
        </w:rPr>
        <w:t xml:space="preserve">على خلافه إن بني على تنجيس البئر و إلّا فلا يحسن الاستدلال بها و بموثقة عمّار </w:t>
      </w:r>
      <w:r>
        <w:rPr>
          <w:rStyle w:val="FootnoteAnchor"/>
          <w:rtl w:val="true"/>
        </w:rPr>
        <w:footnoteReference w:id="1562"/>
      </w:r>
      <w:r>
        <w:rPr>
          <w:rFonts w:ascii="Amiri" w:hAnsi="Amiri" w:eastAsia="Amiri" w:cs="Amiri"/>
          <w:color w:val="111111"/>
          <w:sz w:val="28"/>
          <w:sz w:val="28"/>
          <w:szCs w:val="28"/>
          <w:rtl w:val="true"/>
          <w:lang w:bidi="ar-SA"/>
        </w:rPr>
        <w:t xml:space="preserve">في خصوص المقام مع القول بالطّهارة هناك، و لذا صلح ردّ المصنّف في الذكرى </w:t>
      </w:r>
      <w:r>
        <w:rPr>
          <w:rStyle w:val="FootnoteAnchor"/>
          <w:rtl w:val="true"/>
        </w:rPr>
        <w:footnoteReference w:id="1563"/>
      </w:r>
      <w:r>
        <w:rPr>
          <w:rFonts w:ascii="Amiri" w:hAnsi="Amiri" w:eastAsia="Amiri" w:cs="Amiri"/>
          <w:color w:val="111111"/>
          <w:sz w:val="28"/>
          <w:sz w:val="28"/>
          <w:szCs w:val="28"/>
          <w:rtl w:val="true"/>
          <w:lang w:bidi="ar-SA"/>
        </w:rPr>
        <w:t>بعدم تمام الاستدلال على جميع الأقوال، و لعلّ المنجس خلافه في أصل طهارة أعيان بعض الحيوانات في حال الموت و الحياة، فيُحمَل الاستثناء في كلام الشيخ على الانقطاع حينئذ، كما أنّه يلزم حمل إطلاقه في الخلاف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مات في الماء القليل ضفدع أو ما لا يؤكل لحمه ممّا يعيش في الماء لا ينجس الماء به </w:t>
      </w:r>
      <w:r>
        <w:rPr>
          <w:rStyle w:val="FootnoteAnchor"/>
          <w:rtl w:val="true"/>
        </w:rPr>
        <w:footnoteReference w:id="1564"/>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إنكار أن يكون ذو نفس من حيوان البحر لا على طهارة ذي النفس البحري كما توهّم، و عليه فيلغى التعميم للبحري في الخمسة كما هنا</w:t>
      </w:r>
      <w:r>
        <w:rPr>
          <w:rFonts w:eastAsia="Amiri" w:cs="Amiri" w:ascii="Amiri" w:hAnsi="Amiri"/>
          <w:color w:val="111111"/>
          <w:sz w:val="28"/>
          <w:szCs w:val="28"/>
          <w:rtl w:val="true"/>
          <w:lang w:bidi="ar-SA"/>
        </w:rPr>
        <w:t xml:space="preserve">. </w:t>
      </w:r>
      <w:bookmarkStart w:id="119" w:name="pg9146_86133"/>
    </w:p>
    <w:p>
      <w:pPr>
        <w:pStyle w:val="Heading2"/>
        <w:numPr>
          <w:ilvl w:val="1"/>
          <w:numId w:val="1"/>
        </w:numPr>
        <w:rPr/>
      </w:pPr>
      <w:bookmarkStart w:id="120" w:name="__RefHeading___Toc3322604_2870459653"/>
      <w:bookmarkStart w:id="121" w:name="_Toc40"/>
      <w:bookmarkEnd w:id="119"/>
      <w:bookmarkEnd w:id="120"/>
      <w:r>
        <w:rPr>
          <w:rtl w:val="true"/>
        </w:rPr>
        <w:t>[</w:t>
      </w:r>
      <w:r>
        <w:rPr>
          <w:rtl w:val="true"/>
        </w:rPr>
        <w:t>أقسام ذي النفس</w:t>
      </w:r>
      <w:r>
        <w:rPr>
          <w:rtl w:val="true"/>
        </w:rPr>
        <w:t>]</w:t>
      </w:r>
      <w:bookmarkEnd w:id="121"/>
    </w:p>
    <w:p>
      <w:pPr>
        <w:pStyle w:val="BookText"/>
        <w:rPr/>
      </w:pPr>
      <w:r>
        <w:rPr>
          <w:rFonts w:ascii="Amiri" w:hAnsi="Amiri" w:eastAsia="Amiri" w:cs="Amiri"/>
          <w:color w:val="111111"/>
          <w:sz w:val="28"/>
          <w:sz w:val="28"/>
          <w:szCs w:val="28"/>
          <w:rtl w:val="true"/>
          <w:lang w:bidi="ar-SA"/>
        </w:rPr>
        <w:t>و أمّا ذو النفس مطلقاً أو البري فينقسم إلى آدمي و غيره، و الثاني إلى مأكول اللّحم و غيره، و الظاهر نجاسة ميتة الثاني بقسميه؛ للإجماعات المستفيضة و الأخبار المتواترة معنىّ، إذ هو الفرد المتيقّن من إطلاقها أو عمومها، فلا وقع للتردّد في أصل المسألة، و لا معنى لإذعان المتردّد بدلالة الأمر بالغسل على النجاسة و توقفه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أمرَ في غير خبر بغسل ملاقي الميتة كغسل اللّحم </w:t>
      </w:r>
      <w:r>
        <w:rPr>
          <w:rStyle w:val="FootnoteAnchor"/>
          <w:rtl w:val="true"/>
        </w:rPr>
        <w:footnoteReference w:id="1565"/>
      </w:r>
      <w:r>
        <w:rPr>
          <w:rFonts w:ascii="Amiri" w:hAnsi="Amiri" w:eastAsia="Amiri" w:cs="Amiri"/>
          <w:color w:val="111111"/>
          <w:sz w:val="28"/>
          <w:sz w:val="28"/>
          <w:szCs w:val="28"/>
          <w:rtl w:val="true"/>
          <w:lang w:bidi="ar-SA"/>
        </w:rPr>
        <w:t xml:space="preserve">و الثياب </w:t>
      </w:r>
      <w:r>
        <w:rPr>
          <w:rStyle w:val="FootnoteAnchor"/>
          <w:rtl w:val="true"/>
        </w:rPr>
        <w:footnoteReference w:id="1566"/>
      </w:r>
      <w:r>
        <w:rPr>
          <w:rFonts w:ascii="Amiri" w:hAnsi="Amiri" w:eastAsia="Amiri" w:cs="Amiri"/>
          <w:color w:val="111111"/>
          <w:sz w:val="28"/>
          <w:sz w:val="28"/>
          <w:szCs w:val="28"/>
          <w:rtl w:val="true"/>
          <w:lang w:bidi="ar-SA"/>
        </w:rPr>
        <w:t xml:space="preserve">الملاقي لفأرة ميّتة، و غسل كلّ ما أصابه ذلك الماء، و الأمر بغسل الثوب الملاقي لجسد الميّت في حسنة ابن أبي عُمَير </w:t>
      </w:r>
      <w:r>
        <w:rPr>
          <w:rStyle w:val="FootnoteAnchor"/>
          <w:rtl w:val="true"/>
        </w:rPr>
        <w:footnoteReference w:id="1567"/>
      </w:r>
      <w:r>
        <w:rPr>
          <w:rFonts w:ascii="Amiri" w:hAnsi="Amiri" w:eastAsia="Amiri" w:cs="Amiri"/>
          <w:color w:val="111111"/>
          <w:sz w:val="28"/>
          <w:sz w:val="28"/>
          <w:szCs w:val="28"/>
          <w:rtl w:val="true"/>
          <w:lang w:bidi="ar-SA"/>
        </w:rPr>
        <w:t xml:space="preserve">و غيرها </w:t>
      </w:r>
      <w:r>
        <w:rPr>
          <w:rStyle w:val="FootnoteAnchor"/>
          <w:rtl w:val="true"/>
        </w:rPr>
        <w:footnoteReference w:id="1568"/>
      </w:r>
      <w:r>
        <w:rPr>
          <w:rFonts w:ascii="IRNazanin" w:hAnsi="IRNazanin" w:eastAsia="IRNazanin"/>
          <w:color w:val="111111"/>
          <w:sz w:val="28"/>
          <w:sz w:val="28"/>
          <w:szCs w:val="28"/>
          <w:rtl w:val="true"/>
          <w:lang w:bidi="fa-IR"/>
        </w:rPr>
        <w:t>، و قصور السّند مجبور بعمل الأصحاب و إجماعهم مضافاً إلى الاعتضاد بأخبار يقطع الفقيه من مجموعها بالنجاسة، كيف و قد 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الميتة نجسة و إن دبغت</w:t>
      </w:r>
      <w:r>
        <w:rPr>
          <w:rFonts w:eastAsia="IRNazanin" w:cs="IRNazanin"/>
          <w:color w:val="111111"/>
          <w:sz w:val="28"/>
          <w:szCs w:val="28"/>
          <w:rtl w:val="true"/>
          <w:lang w:bidi="fa-IR"/>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الوالد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المفهوم من استقراء جميع الجزئيات الواردة في الأخبار المثبتة للحكم الكلّي في سائر أفراد ما له نفس سائلة المقترن بعدم القول بالفصل ممّن يعتدّ به أنّ ميّتة كلّ ذي النّفس السائلة نجس، و لفظ النجاسة و إن لم يذكر بصريحه لكنّها تثبت من المفهوم في بعض، و من إثبات اللّوازم في بعض آخر، و من مجموع اللوازم يثبت التواتر المعنوي أيضاً، فإذا انضمّ إلى ذلك فهم الأصحاب و الإجماع المنقول و فتوى الفحول كان إرادة النجاسة منها أمراً مقطوعاً به لا يَعْتَريه تشكيك المشكّک </w:t>
      </w:r>
      <w:r>
        <w:rPr>
          <w:rStyle w:val="FootnoteAnchor"/>
          <w:rtl w:val="true"/>
        </w:rPr>
        <w:footnoteReference w:id="1570"/>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يتبعها في الحكم أجزاؤها التي تحلّها الحياة حتّى جلدها و إن دبغ إذ الدبغ؛ ليس من </w:t>
      </w:r>
      <w:bookmarkStart w:id="122" w:name="pg9146_86135"/>
    </w:p>
    <w:p>
      <w:pPr>
        <w:pStyle w:val="BookText"/>
        <w:rPr/>
      </w:pPr>
      <w:bookmarkEnd w:id="122"/>
      <w:r>
        <w:rPr>
          <w:rFonts w:ascii="IRNazanin" w:hAnsi="IRNazanin" w:eastAsia="IRNazanin"/>
          <w:color w:val="111111"/>
          <w:sz w:val="28"/>
          <w:sz w:val="28"/>
          <w:szCs w:val="28"/>
          <w:rtl w:val="true"/>
          <w:lang w:bidi="fa-IR"/>
        </w:rPr>
        <w:t xml:space="preserve">المطهّرات بإجماع المصنّف </w:t>
      </w:r>
      <w:r>
        <w:rPr>
          <w:rStyle w:val="FootnoteAnchor"/>
          <w:rtl w:val="true"/>
        </w:rPr>
        <w:footnoteReference w:id="1571"/>
      </w:r>
      <w:r>
        <w:rPr>
          <w:rFonts w:ascii="Amiri" w:hAnsi="Amiri" w:eastAsia="Amiri" w:cs="Amiri"/>
          <w:color w:val="111111"/>
          <w:sz w:val="28"/>
          <w:sz w:val="28"/>
          <w:szCs w:val="28"/>
          <w:rtl w:val="true"/>
          <w:lang w:bidi="ar-SA"/>
        </w:rPr>
        <w:t xml:space="preserve">و غيره </w:t>
      </w:r>
      <w:r>
        <w:rPr>
          <w:rStyle w:val="FootnoteAnchor"/>
          <w:rtl w:val="true"/>
        </w:rPr>
        <w:footnoteReference w:id="1572"/>
      </w:r>
      <w:r>
        <w:rPr>
          <w:rFonts w:ascii="Amiri" w:hAnsi="Amiri" w:eastAsia="Amiri" w:cs="Amiri"/>
          <w:color w:val="111111"/>
          <w:sz w:val="28"/>
          <w:sz w:val="28"/>
          <w:szCs w:val="28"/>
          <w:rtl w:val="true"/>
          <w:lang w:bidi="ar-SA"/>
        </w:rPr>
        <w:t xml:space="preserve">، فيحمل ما قضى به من النصوص على التقيّة، فيجب حينئذ الاجتناب عنها و عن ملاقيها في كلّ ما يعتبر فيه الطهارة؛ إذ بعد فرض نجاستها فالنجاسة موضوع شرعي له أحكام شرعيّة يحتاج نفي بعضها إلى دليل خاصّ، فلا معنى لاستثناء تعدّي نجاستها من الأحكام عن الملاقي و قصره على غيره كما لهج به البعض </w:t>
      </w:r>
      <w:r>
        <w:rPr>
          <w:rStyle w:val="FootnoteAnchor"/>
          <w:rtl w:val="true"/>
        </w:rPr>
        <w:footnoteReference w:id="1573"/>
      </w:r>
      <w:r>
        <w:rPr>
          <w:rFonts w:ascii="Amiri" w:hAnsi="Amiri" w:eastAsia="Amiri" w:cs="Amiri"/>
          <w:color w:val="111111"/>
          <w:sz w:val="28"/>
          <w:sz w:val="28"/>
          <w:szCs w:val="28"/>
          <w:rtl w:val="true"/>
          <w:lang w:bidi="ar-SA"/>
        </w:rPr>
        <w:t xml:space="preserve">زاعماً أنّ معنى النجاسة لا ينحصر بوجوب غسل الملاقي، فإنّ إمكان أن يكون لها معنى آخر لا ينهض حجّة على الاستثناء، و لا يصغى إلى استفادة ذلك من الأخبار، و القياس على ملاقي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إذ على فرضه هو خارج بدليله</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3322606_2870459653"/>
      <w:bookmarkStart w:id="124" w:name="_Toc41"/>
      <w:bookmarkEnd w:id="123"/>
      <w:r>
        <w:rPr>
          <w:rtl w:val="true"/>
        </w:rPr>
        <w:t>[</w:t>
      </w:r>
      <w:r>
        <w:rPr>
          <w:rtl w:val="true"/>
        </w:rPr>
        <w:t>الانتفاع بالميتة</w:t>
      </w:r>
      <w:r>
        <w:rPr>
          <w:rtl w:val="true"/>
        </w:rPr>
        <w:t>]</w:t>
      </w:r>
      <w:bookmarkEnd w:id="124"/>
    </w:p>
    <w:p>
      <w:pPr>
        <w:pStyle w:val="BookText"/>
        <w:rPr/>
      </w:pPr>
      <w:r>
        <w:rPr>
          <w:rFonts w:ascii="Amiri" w:hAnsi="Amiri" w:eastAsia="Amiri" w:cs="Amiri"/>
          <w:color w:val="111111"/>
          <w:sz w:val="28"/>
          <w:sz w:val="28"/>
          <w:szCs w:val="28"/>
          <w:rtl w:val="true"/>
          <w:lang w:bidi="ar-SA"/>
        </w:rPr>
        <w:t>و أمّا الانتفاع بها فهو على حدّ الانتفاع بالأعيان النّجسة غيرها من قصر منعه على ما هو</w:t>
      </w:r>
    </w:p>
    <w:p>
      <w:pPr>
        <w:pStyle w:val="BookText"/>
        <w:rPr/>
      </w:pPr>
      <w:r>
        <w:rPr>
          <w:rFonts w:ascii="Amiri" w:hAnsi="Amiri" w:eastAsia="Amiri" w:cs="Amiri"/>
          <w:color w:val="111111"/>
          <w:sz w:val="28"/>
          <w:sz w:val="28"/>
          <w:szCs w:val="28"/>
          <w:rtl w:val="true"/>
          <w:lang w:bidi="ar-SA"/>
        </w:rPr>
        <w:t xml:space="preserve">مشروط بالطّهارة، و بذكرى المصنّف </w:t>
      </w:r>
      <w:r>
        <w:rPr>
          <w:rStyle w:val="FootnoteAnchor"/>
          <w:rtl w:val="true"/>
        </w:rPr>
        <w:footnoteReference w:id="1574"/>
      </w:r>
      <w:r>
        <w:rPr>
          <w:rFonts w:ascii="Amiri" w:hAnsi="Amiri" w:eastAsia="Amiri" w:cs="Amiri"/>
          <w:color w:val="111111"/>
          <w:sz w:val="28"/>
          <w:sz w:val="28"/>
          <w:szCs w:val="28"/>
          <w:rtl w:val="true"/>
          <w:lang w:bidi="ar-SA"/>
        </w:rPr>
        <w:t>الجزم بالعدم وحرمة الانتفاع بها مطلقاً، بل قيل إنّه ليس محلّ خلاف، و استدل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 و العموم فيها محلّ منع، و الإجماع غير معلوم؛ لتردّد جملة من أساطين الأصحاب به كما في التذكرة </w:t>
      </w:r>
      <w:r>
        <w:rPr>
          <w:rStyle w:val="FootnoteAnchor"/>
          <w:rtl w:val="true"/>
        </w:rPr>
        <w:footnoteReference w:id="1576"/>
      </w:r>
      <w:r>
        <w:rPr>
          <w:rFonts w:ascii="IRNazanin" w:hAnsi="IRNazanin" w:eastAsia="IRNazanin"/>
          <w:color w:val="111111"/>
          <w:sz w:val="28"/>
          <w:sz w:val="28"/>
          <w:szCs w:val="28"/>
          <w:rtl w:val="true"/>
          <w:lang w:bidi="fa-IR"/>
        </w:rPr>
        <w:t xml:space="preserve">و المنتهى </w:t>
      </w:r>
      <w:r>
        <w:rPr>
          <w:rStyle w:val="FootnoteAnchor"/>
          <w:rtl w:val="true"/>
        </w:rPr>
        <w:footnoteReference w:id="1577"/>
      </w:r>
      <w:r>
        <w:rPr>
          <w:rFonts w:ascii="Amiri" w:hAnsi="Amiri" w:eastAsia="Amiri" w:cs="Amiri"/>
          <w:color w:val="111111"/>
          <w:sz w:val="28"/>
          <w:sz w:val="28"/>
          <w:szCs w:val="28"/>
          <w:rtl w:val="true"/>
          <w:lang w:bidi="ar-SA"/>
        </w:rPr>
        <w:t xml:space="preserve">و الذخيرة </w:t>
      </w:r>
      <w:r>
        <w:rPr>
          <w:rStyle w:val="FootnoteAnchor"/>
          <w:rtl w:val="true"/>
        </w:rPr>
        <w:footnoteReference w:id="1578"/>
      </w:r>
      <w:r>
        <w:rPr>
          <w:rFonts w:ascii="Amiri" w:hAnsi="Amiri" w:eastAsia="Amiri" w:cs="Amiri"/>
          <w:color w:val="111111"/>
          <w:sz w:val="28"/>
          <w:sz w:val="28"/>
          <w:szCs w:val="28"/>
          <w:rtl w:val="true"/>
          <w:lang w:bidi="ar-SA"/>
        </w:rPr>
        <w:t>، فالأقوى عدم التحريم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جواهر الكلام بعد اختياره حرمة الانتفاع مطلقاً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يترتّب عليه فساد العبادة فيما لو اتّخذ منه مثلاً حوضاً يسع أزيد من كُرّ فتوضأ منه كما صرّح به في القواعد </w:t>
      </w:r>
    </w:p>
    <w:p>
      <w:pPr>
        <w:pStyle w:val="BookText"/>
        <w:rPr/>
      </w:pPr>
      <w:r>
        <w:rPr>
          <w:rFonts w:ascii="Amiri" w:hAnsi="Amiri" w:eastAsia="Amiri" w:cs="Amiri"/>
          <w:color w:val="111111"/>
          <w:sz w:val="28"/>
          <w:sz w:val="28"/>
          <w:szCs w:val="28"/>
          <w:rtl w:val="true"/>
          <w:lang w:bidi="ar-SA"/>
        </w:rPr>
        <w:t>و كشف اللّثام؛ إذ المحرّم عليه جعل الماء فيه لا إفراغه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بوجوب الإفراغ عليه، و باقتضاء الأمر بالشيء النّهي عن الضّد، و كان الوضوء ضدّاً، اتّجه الحكم بالفساد حينئذ </w:t>
      </w:r>
      <w:r>
        <w:rPr>
          <w:rStyle w:val="FootnoteAnchor"/>
          <w:rtl w:val="true"/>
        </w:rPr>
        <w:footnoteReference w:id="15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كلّ شيء بحسبه، و استعمال الظروف تناول ما فيها من المظروف نحو استعمال أواني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كلامه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فرق بين جعل الماء فيه أو إفراغه في كون كلّ منهما استعمالاً، و تخصيصه بأحدهما أغرب شيء هنا مع تعميمه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حرمته بناءً على وجوب الإفراغ و حرمة الضّد ممنوعة بعدم فوريّة الإفراغ، و على تقديره فلا خصوصيّة للوضوء و الغسل، بل يجري ذلك في جميع عباداته فلا عباداته فلا تصح صلاته أيضاً، و نحن نقول بالصّحة هنا؛ لكون النهي لم يتسلّط على العبادة قطعاً، خلافاً للمنتهى، و جدّنا الأكبر استوجه عدم الصّحة بكشفه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و أمّا الأوّل فنجاسته في الجملة بلغ حَدّ الاستفاضة، لكن هل هي عينيّة في الرّطب و اليابس، أو حكميّة فيهما، أو عينيّة في الأوّل و في الثاني حكميّة؟ و مع سلب النجاسة مطلقاً عن حالة اليبس في الصّور تترامى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سلب الأمرين عن الميّت أو مطلق الميتة فعساه مخالف للإجماع المحقّق محصّلاً و منقولاً، نسب إلى الفاضل في التذكرة أنّه أسند النجاسة العينية مطلقاً إلى ظاهر الأصحاب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الميتة فإنّه يجب غسل الملاقي لها و إن كانا يابسين على إشكال، و هل ذلك تعبّد أو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للنجاسة؟ ظاهر كلام علمائنا الثاني </w:t>
      </w:r>
      <w:r>
        <w:rPr>
          <w:rStyle w:val="FootnoteAnchor"/>
          <w:rtl w:val="true"/>
        </w:rPr>
        <w:footnoteReference w:id="15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نجاسة عينيّة لاقَت مَحلاً طاهراً فإن كانا طاهرينِ </w:t>
      </w:r>
      <w:r>
        <w:rPr>
          <w:rStyle w:val="FootnoteAnchor"/>
          <w:rtl w:val="true"/>
        </w:rPr>
        <w:footnoteReference w:id="1582"/>
      </w:r>
      <w:r>
        <w:rPr>
          <w:rFonts w:ascii="Amiri" w:hAnsi="Amiri" w:eastAsia="Amiri" w:cs="Amiri"/>
          <w:color w:val="111111"/>
          <w:sz w:val="28"/>
          <w:sz w:val="28"/>
          <w:szCs w:val="28"/>
          <w:rtl w:val="true"/>
          <w:lang w:bidi="ar-SA"/>
        </w:rPr>
        <w:t xml:space="preserve">لم يتغيّر المحلّ عن حكمه إلّا الميّت، فإنّه ينجس الملاقي له مطلقاً </w:t>
      </w:r>
      <w:r>
        <w:rPr>
          <w:rStyle w:val="FootnoteAnchor"/>
          <w:rtl w:val="true"/>
        </w:rPr>
        <w:footnoteReference w:id="15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يمسس الميّت برطوبة أو لا في إيجاب غسل اليَد </w:t>
      </w:r>
      <w:r>
        <w:rPr>
          <w:rStyle w:val="FootnoteAnchor"/>
          <w:rtl w:val="true"/>
        </w:rPr>
        <w:footnoteReference w:id="15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ينجس، و لو مسّه يابساً فالوجه أنّ النجاسة</w:t>
      </w:r>
    </w:p>
    <w:p>
      <w:pPr>
        <w:pStyle w:val="BookText"/>
        <w:rPr/>
      </w:pPr>
      <w:r>
        <w:rPr>
          <w:rFonts w:ascii="Amiri" w:hAnsi="Amiri" w:eastAsia="Amiri" w:cs="Amiri"/>
          <w:color w:val="111111"/>
          <w:sz w:val="28"/>
          <w:sz w:val="28"/>
          <w:szCs w:val="28"/>
          <w:rtl w:val="true"/>
          <w:lang w:bidi="ar-SA"/>
        </w:rPr>
        <w:t xml:space="preserve">حكميّة، فلو لاقى ببدنه بعد ملاقاته للميّت رطباً لم يؤثر في تنجيسه </w:t>
      </w:r>
      <w:r>
        <w:rPr>
          <w:rStyle w:val="FootnoteAnchor"/>
          <w:rtl w:val="true"/>
        </w:rPr>
        <w:footnoteReference w:id="15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تنجس اليد لو كانت الميتة يابسة؟ فيه نظر، ثمّ قرّب أنها حكميّة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لامسَ رطباً قبل غسل يده لم يحكم بنجاسته على إشكال </w:t>
      </w:r>
      <w:r>
        <w:rPr>
          <w:rStyle w:val="FootnoteAnchor"/>
          <w:rtl w:val="true"/>
        </w:rPr>
        <w:footnoteReference w:id="158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جواز الانتفاع بجلد الميتة في اليابسات نظر أقربه عدم الجواز؛ عملاً بعموم النّهي الدّال عليه رواية ابن المغيرة </w:t>
      </w:r>
      <w:r>
        <w:rPr>
          <w:rStyle w:val="FootnoteAnchor"/>
          <w:rtl w:val="true"/>
        </w:rPr>
        <w:footnoteReference w:id="15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مسَّ الميّت يابساً فظاهر كلام الأصحاب النجاسة، مع احتمال كون النجاسة حكميّة، فلو لاقى ببدنه بعد ملاقاته للميّت رطباً لم يؤثر في تنجيسه؛ لأصالة الطّهارة السالمة</w:t>
      </w:r>
    </w:p>
    <w:p>
      <w:pPr>
        <w:pStyle w:val="BookText"/>
        <w:rPr/>
      </w:pPr>
      <w:r>
        <w:rPr>
          <w:rFonts w:ascii="Amiri" w:hAnsi="Amiri" w:eastAsia="Amiri" w:cs="Amiri"/>
          <w:color w:val="111111"/>
          <w:sz w:val="28"/>
          <w:sz w:val="28"/>
          <w:szCs w:val="28"/>
          <w:rtl w:val="true"/>
          <w:lang w:bidi="ar-SA"/>
        </w:rPr>
        <w:t>عن دلالة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إيجاب غسل اليدين بين أن تكون الميتة رطبة أو يابسة، فلو مس الصّوف الأقرب عدم النجاسة، مع احتمالها؛ للاتّصال المقتضي للاندراج في الاسم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حكمنا بالنجاسة الحكميّة لم ينجس ما تلاقيه برطوبة و إلّا نجس، أمّا لو مسَّ يابساً فالأقرب عدم التنجيس </w:t>
      </w:r>
      <w:r>
        <w:rPr>
          <w:rStyle w:val="FootnoteAnchor"/>
          <w:rtl w:val="true"/>
        </w:rPr>
        <w:footnoteReference w:id="15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الشيخ في المبسوط، و النهاية </w:t>
      </w:r>
      <w:r>
        <w:rPr>
          <w:rStyle w:val="FootnoteAnchor"/>
          <w:rtl w:val="true"/>
        </w:rPr>
        <w:footnoteReference w:id="1589"/>
      </w:r>
      <w:r>
        <w:rPr>
          <w:rFonts w:ascii="Amiri" w:hAnsi="Amiri" w:eastAsia="Amiri" w:cs="Amiri"/>
          <w:color w:val="111111"/>
          <w:sz w:val="28"/>
          <w:sz w:val="28"/>
          <w:szCs w:val="28"/>
          <w:rtl w:val="true"/>
          <w:lang w:bidi="ar-SA"/>
        </w:rPr>
        <w:t>شرطَ في نجاسة الملاقي الرطوبة في مثل الكلب و الخنزير و سكت عن الميتة، لكنّه نصّ على عدم جواز استعمال جلد الميتة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المحقق </w:t>
      </w:r>
      <w:r>
        <w:rPr>
          <w:rStyle w:val="FootnoteAnchor"/>
          <w:rtl w:val="true"/>
        </w:rPr>
        <w:footnoteReference w:id="1590"/>
      </w:r>
      <w:r>
        <w:rPr>
          <w:rFonts w:ascii="Amiri" w:hAnsi="Amiri" w:eastAsia="Amiri" w:cs="Amiri"/>
          <w:color w:val="111111"/>
          <w:sz w:val="28"/>
          <w:sz w:val="28"/>
          <w:szCs w:val="28"/>
          <w:rtl w:val="true"/>
          <w:lang w:bidi="ar-SA"/>
        </w:rPr>
        <w:t xml:space="preserve">كالفاضل </w:t>
      </w:r>
      <w:r>
        <w:rPr>
          <w:rStyle w:val="FootnoteAnchor"/>
          <w:rtl w:val="true"/>
        </w:rPr>
        <w:footnoteReference w:id="1591"/>
      </w:r>
      <w:r>
        <w:rPr>
          <w:rFonts w:ascii="Amiri" w:hAnsi="Amiri" w:eastAsia="Amiri" w:cs="Amiri"/>
          <w:color w:val="111111"/>
          <w:sz w:val="28"/>
          <w:sz w:val="28"/>
          <w:szCs w:val="28"/>
          <w:rtl w:val="true"/>
          <w:lang w:bidi="ar-SA"/>
        </w:rPr>
        <w:t>في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الّحلي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نجاسة أصابت الثوب أو البدن و كانت يابسة و الثوب كذلك لا يجب غسلها </w:t>
      </w:r>
      <w:r>
        <w:rPr>
          <w:rStyle w:val="FootnoteAnchor"/>
          <w:rtl w:val="true"/>
        </w:rPr>
        <w:footnoteReference w:id="1592"/>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بإطلاقه 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غير الميت فلا ريب بعدم النجاسة مطلقاً في حال اليبس، و النجاسة مع الرطوبة، و الأقوى أنّها عينيّة، و يكفي فيه كلّ يابس ذكي بضميمة مصحّحة عليّ بن جعفر علیه السلام </w:t>
      </w:r>
      <w:r>
        <w:rPr>
          <w:rStyle w:val="FootnoteAnchor"/>
          <w:rtl w:val="true"/>
        </w:rPr>
        <w:footnoteReference w:id="1593"/>
      </w:r>
      <w:r>
        <w:rPr>
          <w:rFonts w:ascii="Amiri" w:hAnsi="Amiri" w:eastAsia="Amiri" w:cs="Amiri"/>
          <w:color w:val="111111"/>
          <w:sz w:val="28"/>
          <w:sz w:val="28"/>
          <w:szCs w:val="28"/>
          <w:rtl w:val="true"/>
          <w:lang w:bidi="ar-SA"/>
        </w:rPr>
        <w:t xml:space="preserve">بعدم وجوب غسل شيء أصاب حِماراً ميّتاً ، لكن بذكرى المصنّف </w:t>
      </w:r>
      <w:r>
        <w:rPr>
          <w:rStyle w:val="FootnoteAnchor"/>
          <w:rtl w:val="true"/>
        </w:rPr>
        <w:footnoteReference w:id="1594"/>
      </w:r>
      <w:r>
        <w:rPr>
          <w:rFonts w:ascii="Amiri" w:hAnsi="Amiri" w:eastAsia="Amiri" w:cs="Amiri"/>
          <w:color w:val="111111"/>
          <w:sz w:val="28"/>
          <w:sz w:val="28"/>
          <w:szCs w:val="28"/>
          <w:rtl w:val="true"/>
          <w:lang w:bidi="ar-SA"/>
        </w:rPr>
        <w:t>استحباب الغسل مع اليبوسة؛ جمعاً بينه و بين ما ورد في الكلب و الخنزير اليابسين من عدم وجوب غسل الملاقي، و المعارضة ممنوعة عليه؛ للفرق البيّن بينهما و الميتة، فلو ركنَ لقاعدة التّسامح كان أولى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الميّت، فمقتضى ما نسبه الفاضل </w:t>
      </w:r>
      <w:r>
        <w:rPr>
          <w:rStyle w:val="FootnoteAnchor"/>
          <w:rtl w:val="true"/>
        </w:rPr>
        <w:footnoteReference w:id="1595"/>
      </w:r>
      <w:r>
        <w:rPr>
          <w:rFonts w:ascii="Amiri" w:hAnsi="Amiri" w:eastAsia="Amiri" w:cs="Amiri"/>
          <w:color w:val="111111"/>
          <w:sz w:val="28"/>
          <w:sz w:val="28"/>
          <w:szCs w:val="28"/>
          <w:rtl w:val="true"/>
          <w:lang w:bidi="ar-SA"/>
        </w:rPr>
        <w:t xml:space="preserve">لظاهر الأصحاب، و إطلاق حسنة الحلبي </w:t>
      </w:r>
      <w:r>
        <w:rPr>
          <w:rStyle w:val="FootnoteAnchor"/>
          <w:rtl w:val="true"/>
        </w:rPr>
        <w:footnoteReference w:id="1596"/>
      </w:r>
      <w:r>
        <w:rPr>
          <w:rFonts w:ascii="Amiri" w:hAnsi="Amiri" w:eastAsia="Amiri" w:cs="Amiri"/>
          <w:color w:val="111111"/>
          <w:sz w:val="28"/>
          <w:sz w:val="28"/>
          <w:szCs w:val="28"/>
          <w:rtl w:val="true"/>
          <w:lang w:bidi="ar-SA"/>
        </w:rPr>
        <w:t xml:space="preserve">أو صحيحته، و إطلاق مصحّحة إبراهيم بن ميمون </w:t>
      </w:r>
      <w:r>
        <w:rPr>
          <w:rStyle w:val="FootnoteAnchor"/>
          <w:rtl w:val="true"/>
        </w:rPr>
        <w:footnoteReference w:id="1597"/>
      </w:r>
      <w:r>
        <w:rPr>
          <w:rFonts w:ascii="Amiri" w:hAnsi="Amiri" w:eastAsia="Amiri" w:cs="Amiri"/>
          <w:color w:val="111111"/>
          <w:sz w:val="28"/>
          <w:sz w:val="28"/>
          <w:szCs w:val="28"/>
          <w:rtl w:val="true"/>
          <w:lang w:bidi="ar-SA"/>
        </w:rPr>
        <w:t xml:space="preserve">، و التوقيع الشريف </w:t>
      </w:r>
      <w:r>
        <w:rPr>
          <w:rStyle w:val="FootnoteAnchor"/>
          <w:rtl w:val="true"/>
        </w:rPr>
        <w:footnoteReference w:id="1598"/>
      </w:r>
      <w:r>
        <w:rPr>
          <w:rFonts w:ascii="Amiri" w:hAnsi="Amiri" w:eastAsia="Amiri" w:cs="Amiri"/>
          <w:color w:val="111111"/>
          <w:sz w:val="28"/>
          <w:sz w:val="28"/>
          <w:szCs w:val="28"/>
          <w:rtl w:val="true"/>
          <w:lang w:bidi="ar-SA"/>
        </w:rPr>
        <w:t xml:space="preserve">هو الحكم </w:t>
      </w:r>
    </w:p>
    <w:p>
      <w:pPr>
        <w:pStyle w:val="BookText"/>
        <w:rPr/>
      </w:pPr>
      <w:r>
        <w:rPr>
          <w:rFonts w:ascii="Amiri" w:hAnsi="Amiri" w:eastAsia="Amiri" w:cs="Amiri"/>
          <w:color w:val="111111"/>
          <w:sz w:val="28"/>
          <w:sz w:val="28"/>
          <w:szCs w:val="28"/>
          <w:rtl w:val="true"/>
          <w:lang w:bidi="ar-SA"/>
        </w:rPr>
        <w:t xml:space="preserve">بالمساواة بين اليبس و عدمه، و هي مختارهما بالبيان </w:t>
      </w:r>
      <w:r>
        <w:rPr>
          <w:rStyle w:val="FootnoteAnchor"/>
          <w:rtl w:val="true"/>
        </w:rPr>
        <w:footnoteReference w:id="1599"/>
      </w:r>
      <w:r>
        <w:rPr>
          <w:rFonts w:ascii="Amiri" w:hAnsi="Amiri" w:eastAsia="Amiri" w:cs="Amiri"/>
          <w:color w:val="111111"/>
          <w:sz w:val="28"/>
          <w:sz w:val="28"/>
          <w:szCs w:val="28"/>
          <w:rtl w:val="true"/>
          <w:lang w:bidi="ar-SA"/>
        </w:rPr>
        <w:t xml:space="preserve">و الرّوض </w:t>
      </w:r>
      <w:r>
        <w:rPr>
          <w:rStyle w:val="FootnoteAnchor"/>
          <w:rtl w:val="true"/>
        </w:rPr>
        <w:footnoteReference w:id="1600"/>
      </w:r>
      <w:r>
        <w:rPr>
          <w:rFonts w:ascii="Amiri" w:hAnsi="Amiri" w:eastAsia="Amiri" w:cs="Amiri"/>
          <w:color w:val="111111"/>
          <w:sz w:val="28"/>
          <w:sz w:val="28"/>
          <w:szCs w:val="28"/>
          <w:rtl w:val="true"/>
          <w:lang w:bidi="ar-SA"/>
        </w:rPr>
        <w:t xml:space="preserve">، و القويّ في المعالم </w:t>
      </w:r>
      <w:r>
        <w:rPr>
          <w:rStyle w:val="FootnoteAnchor"/>
          <w:rtl w:val="true"/>
        </w:rPr>
        <w:footnoteReference w:id="1601"/>
      </w:r>
      <w:r>
        <w:rPr>
          <w:rFonts w:ascii="IRNazanin" w:hAnsi="IRNazanin" w:eastAsia="IRNazanin"/>
          <w:color w:val="111111"/>
          <w:sz w:val="28"/>
          <w:sz w:val="28"/>
          <w:szCs w:val="28"/>
          <w:rtl w:val="true"/>
          <w:lang w:bidi="fa-IR"/>
        </w:rPr>
        <w:t xml:space="preserve">و الحدائق </w:t>
      </w:r>
      <w:r>
        <w:rPr>
          <w:rStyle w:val="FootnoteAnchor"/>
          <w:rtl w:val="true"/>
        </w:rPr>
        <w:footnoteReference w:id="1602"/>
      </w:r>
      <w:r>
        <w:rPr>
          <w:rFonts w:ascii="Amiri" w:hAnsi="Amiri" w:eastAsia="Amiri" w:cs="Amiri"/>
          <w:color w:val="111111"/>
          <w:sz w:val="28"/>
          <w:sz w:val="28"/>
          <w:szCs w:val="28"/>
          <w:rtl w:val="true"/>
          <w:lang w:bidi="ar-SA"/>
        </w:rPr>
        <w:t xml:space="preserve">، لكن أكثر المتأخِّرين </w:t>
      </w:r>
      <w:r>
        <w:rPr>
          <w:rStyle w:val="FootnoteAnchor"/>
          <w:rtl w:val="true"/>
        </w:rPr>
        <w:footnoteReference w:id="1603"/>
      </w:r>
      <w:r>
        <w:rPr>
          <w:rFonts w:ascii="IRNazanin" w:hAnsi="IRNazanin" w:eastAsia="IRNazanin"/>
          <w:color w:val="111111"/>
          <w:sz w:val="28"/>
          <w:sz w:val="28"/>
          <w:szCs w:val="28"/>
          <w:rtl w:val="true"/>
          <w:lang w:bidi="fa-IR"/>
        </w:rPr>
        <w:t>على الطهارة؛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يابس ذكي</w:t>
      </w:r>
      <w:r>
        <w:rPr>
          <w:rFonts w:eastAsia="IRNazanin" w:cs="IRNazanin"/>
          <w:color w:val="111111"/>
          <w:sz w:val="28"/>
          <w:szCs w:val="28"/>
          <w:rtl w:val="true"/>
          <w:lang w:bidi="fa-IR"/>
        </w:rPr>
        <w:t xml:space="preserve">» </w:t>
      </w:r>
      <w:r>
        <w:rPr>
          <w:rStyle w:val="FootnoteAnchor"/>
          <w:rtl w:val="true"/>
        </w:rPr>
        <w:footnoteReference w:id="1604"/>
      </w:r>
      <w:r>
        <w:rPr>
          <w:rFonts w:ascii="Amiri" w:hAnsi="Amiri" w:eastAsia="Amiri" w:cs="Amiri"/>
          <w:color w:val="111111"/>
          <w:sz w:val="28"/>
          <w:sz w:val="28"/>
          <w:szCs w:val="28"/>
          <w:rtl w:val="true"/>
          <w:lang w:bidi="ar-SA"/>
        </w:rPr>
        <w:t>، و هو حاكم على تلك الأخبار و إن كان بينهما تباين جزئي، و أنّ النجاسة من خواصها عدم السراية اليبوسة ممنوعة، و لا ينافي صدق الكلّية خروج الفرد، و لخصوص الميّت أحكام لعلّ هذا منها، و من هنا اختلفت الآراء في حكم ماسّه، و حملُ الخبر على إزالة ما تعلّق بالثّوب إذا تعلّق به شيء من جسد الميّت بعيد، و فهم الأصحاب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ليس بمكان من الضعف كما زعم، بل هو الأحوط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الاقتصار في نجاسة اليابس على الملاقي فقط فلا يتعدّى إلى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معنى النجاسة الحكميّة في اليابس و العينيّة في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عار عن الدّليل و إن ظهر من قول الذكرى </w:t>
      </w:r>
      <w:r>
        <w:rPr>
          <w:rStyle w:val="FootnoteAnchor"/>
          <w:rtl w:val="true"/>
        </w:rPr>
        <w:footnoteReference w:id="1605"/>
      </w:r>
      <w:r>
        <w:rPr>
          <w:rFonts w:ascii="Amiri" w:hAnsi="Amiri" w:eastAsia="Amiri" w:cs="Amiri"/>
          <w:color w:val="111111"/>
          <w:sz w:val="28"/>
          <w:sz w:val="28"/>
          <w:szCs w:val="28"/>
          <w:rtl w:val="true"/>
          <w:lang w:bidi="ar-SA"/>
        </w:rPr>
        <w:t>أنّه لبعض الأصحاب، و أقصى دليله أنّ سراية نجاسة اليابس خلاف الأصل فيقتصر فيها على الملاقي فقط، و تخصّ به أوامر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الأوامر إن قضت بالنّجاسة في الحالين لزم القول بالسراية فيهما، و إن قصرت على حال الرطوبة؛ لأنه المتبادر، بقي صورة اليبوسة مندرجة في الأصل و هو يقتضي السّراية مطلقاً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المنسوب إلى الحلّي رحمه الله </w:t>
      </w:r>
      <w:r>
        <w:rPr>
          <w:rStyle w:val="FootnoteAnchor"/>
          <w:rtl w:val="true"/>
        </w:rPr>
        <w:footnoteReference w:id="1606"/>
      </w:r>
      <w:r>
        <w:rPr>
          <w:rFonts w:ascii="Amiri" w:hAnsi="Amiri" w:eastAsia="Amiri" w:cs="Amiri"/>
          <w:color w:val="111111"/>
          <w:sz w:val="28"/>
          <w:sz w:val="28"/>
          <w:szCs w:val="28"/>
          <w:rtl w:val="true"/>
          <w:lang w:bidi="ar-SA"/>
        </w:rPr>
        <w:t xml:space="preserve">من نفي السّراية في الحالين و جعلها حكميّة في </w:t>
      </w:r>
    </w:p>
    <w:p>
      <w:pPr>
        <w:pStyle w:val="BookText"/>
        <w:rPr/>
      </w:pPr>
      <w:r>
        <w:rPr>
          <w:rFonts w:ascii="Amiri" w:hAnsi="Amiri" w:eastAsia="Amiri" w:cs="Amiri"/>
          <w:color w:val="111111"/>
          <w:sz w:val="28"/>
          <w:sz w:val="28"/>
          <w:szCs w:val="28"/>
          <w:rtl w:val="true"/>
          <w:lang w:bidi="ar-SA"/>
        </w:rPr>
        <w:t xml:space="preserve">المقامين، فلا ينجس ملاقي الملاقي مطلقاً، و عبارته منقولة في المعتبر </w:t>
      </w:r>
      <w:r>
        <w:rPr>
          <w:rStyle w:val="FootnoteAnchor"/>
          <w:rtl w:val="true"/>
        </w:rPr>
        <w:footnoteReference w:id="1607"/>
      </w:r>
      <w:r>
        <w:rPr>
          <w:rFonts w:ascii="Amiri" w:hAnsi="Amiri" w:eastAsia="Amiri" w:cs="Amiri"/>
          <w:color w:val="111111"/>
          <w:sz w:val="28"/>
          <w:sz w:val="28"/>
          <w:szCs w:val="28"/>
          <w:rtl w:val="true"/>
          <w:lang w:bidi="ar-SA"/>
        </w:rPr>
        <w:t xml:space="preserve">و التذكرة </w:t>
      </w:r>
      <w:r>
        <w:rPr>
          <w:rStyle w:val="FootnoteAnchor"/>
          <w:rtl w:val="true"/>
        </w:rPr>
        <w:footnoteReference w:id="1608"/>
      </w:r>
      <w:r>
        <w:rPr>
          <w:rFonts w:ascii="Amiri" w:hAnsi="Amiri" w:eastAsia="Amiri" w:cs="Amiri"/>
          <w:color w:val="111111"/>
          <w:sz w:val="28"/>
          <w:sz w:val="28"/>
          <w:szCs w:val="28"/>
          <w:rtl w:val="true"/>
          <w:lang w:bidi="ar-SA"/>
        </w:rPr>
        <w:t>، و تفصيل ردّه فراجع الأصل و الردّ فإنّا بعد التأمّل فيها لا نرى لردّ الفاضلين عليه وجهاً، فإنّ محصّل عبائره في طهارته و صيده و جنائزه أنّ تعدّي النجاسة و عدمه ممكن مع الرّطوبة، فما حكم الشارع بتعدّيه كان نجاسة عينيّة، و ما لم يساعد الدّليل على تعدّيه تطلق عليه الحكميّة؛ إذ الأصل عدم التّعدي و إباحة استعمال كلّ شيء ما لم يرد نهي عن استعماله، و الأصل براءة الذمّة عن وجوب غسل شيء أو التجنّب عنه بلا دليل شرعي، و القول بسراية النجاسة مع الرّطوبة لم يثبت على إطلاقه و عمومه، فالسراية في المقام موقوفة على إثبات العموم أو على أنّها من العينيّة التي تسري، غايته أنّ المتنجّس بالميّت إذا كان مائعاً و اختلط بمثله وجبَ اجتنابه؛ لعدم الامتياز كحلال اختلط بالحرام، و لذا لم يفرض المسألة فيما يكون المتنجّس مائعاً، كما أنّه لا دلالة في كلامه على أنّ ملاقي جسد الميّت برطوبة نجاسته معنويّة؛ لأنه ذكر هذا الحكم في الغاسل قبل اغتساله لا قبل غسل يده، و ما ذكره من وجوب غسل الإناء دون نجاسة المائع الذي فيه لعدم المماسّة لجسد الميت في المائع فقط، فعسى ذلك في حال 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مقالة الفاضلين في ردّه أنّهم أجمعوا على نجاسة ما لاقى الميّت برطوبة، و أجمعوا على نجاسة المائع إذا وقعت فيه نجاسة، فلزم من مجموع الإجماعين القول بنجاسة المائع الآخر كما ترى، إذ الإجماع على فرضه فهو أعمّ من العينيّة و الحكميّة، و الثاني مختص بالعينيّة، فيجب إثبات الإجماع على النّجاسة العينيّة التي يتمّ بها المطلوب، و إلّا فمجرّد الإجماع لا يكفي، و مثله ردّه بأنّ ملاقاة الثوب لجسد الميّت تؤثِّر فيه منعاً و غسلاً غير مؤثِّر في الماء القليل، و يلزمه أيضاً جواز استصحاب الملاقي في الصلاة، و إذا كان ماء جواز التطهير 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مغسل الميّت يدخل المسجد إجماعاً </w:t>
      </w:r>
      <w:r>
        <w:rPr>
          <w:rStyle w:val="FootnoteAnchor"/>
          <w:rtl w:val="true"/>
        </w:rPr>
        <w:footnoteReference w:id="1609"/>
      </w:r>
      <w:r>
        <w:rPr>
          <w:rFonts w:ascii="Amiri" w:hAnsi="Amiri" w:eastAsia="Amiri" w:cs="Amiri"/>
          <w:color w:val="111111"/>
          <w:sz w:val="28"/>
          <w:sz w:val="28"/>
          <w:szCs w:val="28"/>
          <w:rtl w:val="true"/>
          <w:lang w:bidi="ar-SA"/>
        </w:rPr>
        <w:t xml:space="preserve">، لا وجه له؛ إذ الإيراد عليه بلوازم </w:t>
      </w:r>
    </w:p>
    <w:p>
      <w:pPr>
        <w:pStyle w:val="BookText"/>
        <w:rPr/>
      </w:pPr>
      <w:r>
        <w:rPr>
          <w:rFonts w:ascii="IRNazanin" w:hAnsi="IRNazanin" w:eastAsia="IRNazanin"/>
          <w:color w:val="111111"/>
          <w:sz w:val="28"/>
          <w:sz w:val="28"/>
          <w:szCs w:val="28"/>
          <w:rtl w:val="true"/>
          <w:lang w:bidi="fa-IR"/>
        </w:rPr>
        <w:t>مذهبه غير سديد، إذ له أن يلتزم بذلك كلّه بعد فرض كون النجاسة حكميّة في الملاقي، و أنّه كالجنب العاري بدنه عن النجاسة، فلا وقع لذلك كلّه، فالذي ينبغي إبطال أصل الدعوى لا لوازم المدّعى، و حديثُ تصريحه بنجاسة لبن الضّرع في الشاة الميتة مع إمكان اختصاص کلامه هنا بالآدمي لا نقض فيه؛ لما عرفت من تصريحه بالنجاسة دون السّراية، و حينئذ فإن لاقى اللّبن يابساً و مائعاً لم يؤثِّر فيهما و إن نجس، و حرمة الاجتناب في الثاني لعدم التمييز كما ذكرنا، و يجري هذا بلبن ثدي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أفهمه من كلامه أنّه قائل بترتيب جميع أحكام النجس على الملاقي إلَّا السّراية؛ لأنها ليست من أحكامه اللّازمة له، أو جريان بعض أحكام النجاسة لا جميعها، كلّ هذا مع التنزّل، و إلَّا فللمتأمِّل أن يُرجع كلامه إلى المشهور، إذ لا صراحة في عبارته على حكم ملاقاة الرّطب للميّت، و فهم ذلك من قوله بنجاسة الإناء أو الغسل لعلّه مع اليبس في الأوّل و بعد غسل اليد قبل الاغتسال في الثاني، فلا معنى لقول الجواهر </w:t>
      </w:r>
      <w:r>
        <w:rPr>
          <w:rStyle w:val="FootnoteAnchor"/>
          <w:rtl w:val="true"/>
        </w:rPr>
        <w:footnoteReference w:id="1610"/>
      </w:r>
      <w:r>
        <w:rPr>
          <w:rFonts w:ascii="Amiri" w:hAnsi="Amiri" w:eastAsia="Amiri" w:cs="Amiri"/>
          <w:color w:val="111111"/>
          <w:sz w:val="28"/>
          <w:sz w:val="28"/>
          <w:szCs w:val="28"/>
          <w:rtl w:val="true"/>
          <w:lang w:bidi="ar-SA"/>
        </w:rPr>
        <w:t xml:space="preserve">و صراحته صراحة ذلك منه و قبول ردّ المعتبر </w:t>
      </w:r>
      <w:r>
        <w:rPr>
          <w:rStyle w:val="FootnoteAnchor"/>
          <w:rtl w:val="true"/>
        </w:rPr>
        <w:footnoteReference w:id="1611"/>
      </w:r>
      <w:r>
        <w:rPr>
          <w:rFonts w:ascii="Amiri" w:hAnsi="Amiri" w:eastAsia="Amiri" w:cs="Amiri"/>
          <w:color w:val="111111"/>
          <w:sz w:val="28"/>
          <w:sz w:val="28"/>
          <w:szCs w:val="28"/>
          <w:rtl w:val="true"/>
          <w:lang w:bidi="ar-SA"/>
        </w:rPr>
        <w:t>على فرضه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حينئذ نجاسة الميّت عيناً و سراية نجاسة الملاقي الرطّب إلى ملاقيه و إن ترامى التلاقي إلّا ماء غسالة الملاقي على الكلام فيه، و عليه عامة المتأخِّرين </w:t>
      </w:r>
      <w:r>
        <w:rPr>
          <w:rStyle w:val="FootnoteAnchor"/>
          <w:rtl w:val="true"/>
        </w:rPr>
        <w:footnoteReference w:id="1612"/>
      </w:r>
      <w:r>
        <w:rPr>
          <w:rFonts w:ascii="Amiri" w:hAnsi="Amiri" w:eastAsia="Amiri" w:cs="Amiri"/>
          <w:color w:val="111111"/>
          <w:sz w:val="28"/>
          <w:sz w:val="28"/>
          <w:szCs w:val="28"/>
          <w:rtl w:val="true"/>
          <w:lang w:bidi="ar-SA"/>
        </w:rPr>
        <w:t>، و إن كان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هي ذاتيّة أو عرضيّة؟ في التذكرة </w:t>
      </w:r>
      <w:r>
        <w:rPr>
          <w:rStyle w:val="FootnoteAnchor"/>
          <w:rtl w:val="true"/>
        </w:rPr>
        <w:footnoteReference w:id="1613"/>
      </w:r>
      <w:r>
        <w:rPr>
          <w:rFonts w:ascii="Amiri" w:hAnsi="Amiri" w:eastAsia="Amiri" w:cs="Amiri"/>
          <w:color w:val="111111"/>
          <w:sz w:val="28"/>
          <w:sz w:val="28"/>
          <w:szCs w:val="28"/>
          <w:rtl w:val="true"/>
          <w:lang w:bidi="ar-SA"/>
        </w:rPr>
        <w:t>إشكال فيه، لكن معنى عرضيّة النجاسة بعد فرض نجاسة الملاقي فيه نوع غموض</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ذلك بعد الموت قبل برده أو بعده؟ خلاف؛ لاختلاف الأخبار، و في الرياض </w:t>
      </w:r>
      <w:r>
        <w:rPr>
          <w:rStyle w:val="FootnoteAnchor"/>
          <w:rtl w:val="true"/>
        </w:rPr>
        <w:footnoteReference w:id="161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النجاسة قبل البرد إلى ظاهر الأصحاب، و هو إن أخذه من إطلاق الفتاوى، فلعمري أنّها مختلفة؛ لميل المحقّقين </w:t>
      </w:r>
      <w:r>
        <w:rPr>
          <w:rStyle w:val="FootnoteAnchor"/>
          <w:rtl w:val="true"/>
        </w:rPr>
        <w:footnoteReference w:id="1615"/>
      </w:r>
      <w:r>
        <w:rPr>
          <w:rFonts w:ascii="Amiri" w:hAnsi="Amiri" w:eastAsia="Amiri" w:cs="Amiri"/>
          <w:color w:val="111111"/>
          <w:sz w:val="28"/>
          <w:sz w:val="28"/>
          <w:szCs w:val="28"/>
          <w:rtl w:val="true"/>
          <w:lang w:bidi="ar-SA"/>
        </w:rPr>
        <w:t xml:space="preserve">ظاهراً أو صريحاً إلى الثاني، و المصنّف </w:t>
      </w:r>
      <w:r>
        <w:rPr>
          <w:rStyle w:val="FootnoteAnchor"/>
          <w:rtl w:val="true"/>
        </w:rPr>
        <w:footnoteReference w:id="1616"/>
      </w:r>
      <w:r>
        <w:rPr>
          <w:rFonts w:ascii="Amiri" w:hAnsi="Amiri" w:eastAsia="Amiri" w:cs="Amiri"/>
          <w:color w:val="111111"/>
          <w:sz w:val="28"/>
          <w:sz w:val="28"/>
          <w:szCs w:val="28"/>
          <w:rtl w:val="true"/>
          <w:lang w:bidi="ar-SA"/>
        </w:rPr>
        <w:t xml:space="preserve">و ابن سعيد </w:t>
      </w:r>
      <w:r>
        <w:rPr>
          <w:rStyle w:val="FootnoteAnchor"/>
          <w:rtl w:val="true"/>
        </w:rPr>
        <w:footnoteReference w:id="1617"/>
      </w:r>
      <w:r>
        <w:rPr>
          <w:rFonts w:ascii="Amiri" w:hAnsi="Amiri" w:eastAsia="Amiri" w:cs="Amiri"/>
          <w:color w:val="111111"/>
          <w:sz w:val="28"/>
          <w:sz w:val="28"/>
          <w:szCs w:val="28"/>
          <w:rtl w:val="true"/>
          <w:lang w:bidi="ar-SA"/>
        </w:rPr>
        <w:t xml:space="preserve">و الفاضل في النهاية </w:t>
      </w:r>
      <w:r>
        <w:rPr>
          <w:rStyle w:val="FootnoteAnchor"/>
          <w:rtl w:val="true"/>
        </w:rPr>
        <w:footnoteReference w:id="1618"/>
      </w:r>
      <w:r>
        <w:rPr>
          <w:rFonts w:ascii="Amiri" w:hAnsi="Amiri" w:eastAsia="Amiri" w:cs="Amiri"/>
          <w:color w:val="111111"/>
          <w:sz w:val="28"/>
          <w:sz w:val="28"/>
          <w:szCs w:val="28"/>
          <w:rtl w:val="true"/>
          <w:lang w:bidi="ar-SA"/>
        </w:rPr>
        <w:t xml:space="preserve">و كاشف الالتباس </w:t>
      </w:r>
      <w:r>
        <w:rPr>
          <w:rStyle w:val="FootnoteAnchor"/>
          <w:rtl w:val="true"/>
        </w:rPr>
        <w:footnoteReference w:id="1619"/>
      </w:r>
      <w:r>
        <w:rPr>
          <w:rFonts w:ascii="Amiri" w:hAnsi="Amiri" w:eastAsia="Amiri" w:cs="Amiri"/>
          <w:color w:val="111111"/>
          <w:sz w:val="28"/>
          <w:sz w:val="28"/>
          <w:szCs w:val="28"/>
          <w:rtl w:val="true"/>
          <w:lang w:bidi="ar-SA"/>
        </w:rPr>
        <w:t xml:space="preserve">و الميسي </w:t>
      </w:r>
      <w:r>
        <w:rPr>
          <w:rStyle w:val="FootnoteAnchor"/>
          <w:rtl w:val="true"/>
        </w:rPr>
        <w:footnoteReference w:id="1620"/>
      </w:r>
      <w:r>
        <w:rPr>
          <w:rFonts w:ascii="Amiri" w:hAnsi="Amiri" w:eastAsia="Amiri" w:cs="Amiri"/>
          <w:color w:val="111111"/>
          <w:sz w:val="28"/>
          <w:sz w:val="28"/>
          <w:szCs w:val="28"/>
          <w:rtl w:val="true"/>
          <w:lang w:bidi="ar-SA"/>
        </w:rPr>
        <w:t xml:space="preserve">و الذخيرة </w:t>
      </w:r>
      <w:r>
        <w:rPr>
          <w:rStyle w:val="FootnoteAnchor"/>
          <w:rtl w:val="true"/>
        </w:rPr>
        <w:footnoteReference w:id="1621"/>
      </w:r>
      <w:r>
        <w:rPr>
          <w:rFonts w:ascii="Amiri" w:hAnsi="Amiri" w:eastAsia="Amiri" w:cs="Amiri"/>
          <w:color w:val="111111"/>
          <w:sz w:val="28"/>
          <w:sz w:val="28"/>
          <w:szCs w:val="28"/>
          <w:rtl w:val="true"/>
          <w:lang w:bidi="ar-SA"/>
        </w:rPr>
        <w:t xml:space="preserve">و غيرها </w:t>
      </w:r>
      <w:r>
        <w:rPr>
          <w:rStyle w:val="FootnoteAnchor"/>
          <w:rtl w:val="true"/>
        </w:rPr>
        <w:footnoteReference w:id="1622"/>
      </w:r>
      <w:r>
        <w:rPr>
          <w:rFonts w:ascii="IRNazanin" w:hAnsi="IRNazanin" w:eastAsia="IRNazanin"/>
          <w:color w:val="111111"/>
          <w:sz w:val="28"/>
          <w:sz w:val="28"/>
          <w:szCs w:val="28"/>
          <w:rtl w:val="true"/>
          <w:lang w:bidi="fa-IR"/>
        </w:rPr>
        <w:t>إلى أنّ النجاسة مقصورة على برودة الميّت، و إن أخذه من إطلاق الإجماع فلا ينفع بعد ذهاب مدّعيها و ناقلها إلى العدم، فالمرجع الدّليل، ركنَ المنجسُ مطلقاً إلى صدق اسم الموت عند خروج الرّوح، و منع باتّحاد سبب الغسل، و الغسل، و عدم الجزم بالموت مع الحرارة، و عدم انقطاع تعلّق الرّوح بالكلية، فالأقوى الطهارة؛ للأصل، و لقوله علیه السلام في صحيحة ابن ميمون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لم يغسّل فاغسل ما أصاب ثوبك منه</w:t>
      </w:r>
      <w:r>
        <w:rPr>
          <w:rFonts w:eastAsia="IRNazanin" w:cs="IRNazanin"/>
          <w:color w:val="111111"/>
          <w:sz w:val="28"/>
          <w:szCs w:val="28"/>
          <w:rtl w:val="true"/>
          <w:lang w:bidi="fa-IR"/>
        </w:rPr>
        <w:t xml:space="preserve">» </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البرد، فإنّها صالحة لتقييد إطلاقات الغسل بما بعد البرودة، و هو الأوفق بقواعد الجمع؛ لأنها كالقرينة الصارفة الموجودة في الكلام، مضافاً إلى صحيحة ابن مسلم مس الميّت عند موته و بعد غسله </w:t>
      </w:r>
      <w:r>
        <w:rPr>
          <w:rStyle w:val="FootnoteAnchor"/>
          <w:rtl w:val="true"/>
        </w:rPr>
        <w:footnoteReference w:id="1624"/>
      </w:r>
      <w:r>
        <w:rPr>
          <w:rFonts w:ascii="Amiri" w:hAnsi="Amiri" w:eastAsia="Amiri" w:cs="Amiri"/>
          <w:color w:val="111111"/>
          <w:sz w:val="28"/>
          <w:sz w:val="28"/>
          <w:szCs w:val="28"/>
          <w:rtl w:val="true"/>
          <w:lang w:bidi="ar-SA"/>
        </w:rPr>
        <w:t xml:space="preserve">، و القُبلة ليس بها بأس إذا لم تصرف لحالة النّزع، أو يصرف منفيّ البأس إلى غسل المسّ، و لإطلاق نفي البأس أو عمومه في خبر إسماعيل بن جابر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bookmarkStart w:id="125" w:name="pg9146_86152"/>
    </w:p>
    <w:p>
      <w:pPr>
        <w:pStyle w:val="BookText"/>
        <w:rPr/>
      </w:pPr>
      <w:bookmarkEnd w:id="125"/>
      <w:r>
        <w:rPr>
          <w:rFonts w:ascii="Amiri" w:hAnsi="Amiri" w:eastAsia="Amiri" w:cs="Amiri"/>
          <w:color w:val="111111"/>
          <w:sz w:val="28"/>
          <w:sz w:val="28"/>
          <w:szCs w:val="28"/>
          <w:rtl w:val="true"/>
          <w:lang w:bidi="ar-SA"/>
        </w:rPr>
        <w:t xml:space="preserve">نعم، احتمل في خبر ابن ميمون </w:t>
      </w:r>
      <w:r>
        <w:rPr>
          <w:rStyle w:val="FootnoteAnchor"/>
          <w:rtl w:val="true"/>
        </w:rPr>
        <w:footnoteReference w:id="1626"/>
      </w:r>
      <w:r>
        <w:rPr>
          <w:rFonts w:ascii="IRNazanin" w:hAnsi="IRNazanin" w:eastAsia="IRNazanin"/>
          <w:color w:val="111111"/>
          <w:sz w:val="28"/>
          <w:sz w:val="28"/>
          <w:szCs w:val="28"/>
          <w:rtl w:val="true"/>
          <w:lang w:bidi="fa-IR"/>
        </w:rPr>
        <w:t xml:space="preserve">أن يكون التفسير من الراوي فيلقى؛ لكونه دراية لا رواية، و يدفعه بعد عدم ظهوره أنّه نقل بالمعنى لا اجتهاد في فهم كلام الإمام علیه السلام، بل فيه قرينة أنّ ذلك من المسلِّمات، فلا تعبأ بما في الجواهر </w:t>
      </w:r>
      <w:r>
        <w:rPr>
          <w:rStyle w:val="FootnoteAnchor"/>
          <w:rtl w:val="true"/>
        </w:rPr>
        <w:footnoteReference w:id="1627"/>
      </w:r>
      <w:r>
        <w:rPr>
          <w:rFonts w:ascii="Amiri" w:hAnsi="Amiri" w:eastAsia="Amiri" w:cs="Amiri"/>
          <w:color w:val="111111"/>
          <w:sz w:val="28"/>
          <w:sz w:val="28"/>
          <w:szCs w:val="28"/>
          <w:rtl w:val="true"/>
          <w:lang w:bidi="ar-SA"/>
        </w:rPr>
        <w:t xml:space="preserve">من إطلاق الإجماع على نجاسة مطلق ذي النّفس، و من معاقد </w:t>
      </w:r>
      <w:r>
        <w:rPr>
          <w:rStyle w:val="FootnoteAnchor"/>
          <w:rtl w:val="true"/>
        </w:rPr>
        <w:footnoteReference w:id="1628"/>
      </w:r>
      <w:r>
        <w:rPr>
          <w:rFonts w:ascii="Amiri" w:hAnsi="Amiri" w:eastAsia="Amiri" w:cs="Amiri"/>
          <w:color w:val="111111"/>
          <w:sz w:val="28"/>
          <w:sz w:val="28"/>
          <w:szCs w:val="28"/>
          <w:rtl w:val="true"/>
          <w:lang w:bidi="ar-SA"/>
        </w:rPr>
        <w:t>جماعة من الإجماعات على نجاسة الآدمي بالموت، إذ المفيد لو سلّمنا ذلك إنّما هو التنجيس لا نفس النجاسة، فكم من نجس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مانعة من التنجيس في الميّت حتّى لو كان نجساً، فيخرج من القاعدة بدليله، كما أنّ البرودة مقتضية لذلك، فيعمل بمجموع الأخبار، نعم لو ثبت إجماع على التنجيس بوصف الحرارة أفاد المنجس، و صريح المروي في الاحتجاج </w:t>
      </w:r>
      <w:r>
        <w:rPr>
          <w:rStyle w:val="FootnoteAnchor"/>
          <w:rtl w:val="true"/>
        </w:rPr>
        <w:footnoteReference w:id="1629"/>
      </w:r>
      <w:r>
        <w:rPr>
          <w:rFonts w:ascii="Amiri" w:hAnsi="Amiri" w:eastAsia="Amiri" w:cs="Amiri"/>
          <w:color w:val="111111"/>
          <w:sz w:val="28"/>
          <w:sz w:val="28"/>
          <w:szCs w:val="28"/>
          <w:rtl w:val="true"/>
          <w:lang w:bidi="ar-SA"/>
        </w:rPr>
        <w:t>الموجود في احتجاجه ضعيف السّند، مع عدم الجابر و لو أنكر ضعفه فحمل الأمر فيه على الاستحباب أولى؛ للجمع بينه و بين خبر ابن ميمون، إذ هو أولى من طرح ما هو أولى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ذيل رواية ابن ميمون من التفسير لا يصلح لتقييد الإطلاق </w:t>
      </w:r>
      <w:r>
        <w:rPr>
          <w:rStyle w:val="FootnoteAnchor"/>
          <w:rtl w:val="true"/>
        </w:rPr>
        <w:footnoteReference w:id="16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يذكر وجهه، و عساه لما حرّرنا من أنه من كلام الراوي، و فيه ما لا يخفى، فتأمل</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3322608_2870459653"/>
      <w:bookmarkStart w:id="127" w:name="_Toc42"/>
      <w:bookmarkEnd w:id="126"/>
      <w:r>
        <w:rPr>
          <w:rtl w:val="true"/>
        </w:rPr>
        <w:t>[</w:t>
      </w:r>
      <w:r>
        <w:rPr>
          <w:rtl w:val="true"/>
        </w:rPr>
        <w:t>استثناء جسد النبي و الأئمة و البتول</w:t>
      </w:r>
      <w:r>
        <w:rPr>
          <w:rtl w:val="true"/>
        </w:rPr>
        <w:t>]</w:t>
      </w:r>
      <w:bookmarkEnd w:id="12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استثنى المصنّف في الرّوض </w:t>
      </w:r>
      <w:r>
        <w:rPr>
          <w:rStyle w:val="FootnoteAnchor"/>
          <w:rtl w:val="true"/>
        </w:rPr>
        <w:footnoteReference w:id="1631"/>
      </w:r>
      <w:r>
        <w:rPr>
          <w:rFonts w:ascii="Amiri" w:hAnsi="Amiri" w:eastAsia="Amiri" w:cs="Amiri"/>
          <w:color w:val="111111"/>
          <w:sz w:val="28"/>
          <w:sz w:val="28"/>
          <w:szCs w:val="28"/>
          <w:rtl w:val="true"/>
          <w:lang w:bidi="ar-SA"/>
        </w:rPr>
        <w:t xml:space="preserve">و غيرُه </w:t>
      </w:r>
      <w:r>
        <w:rPr>
          <w:rStyle w:val="FootnoteAnchor"/>
          <w:rtl w:val="true"/>
        </w:rPr>
        <w:footnoteReference w:id="1632"/>
      </w:r>
      <w:r>
        <w:rPr>
          <w:rFonts w:ascii="IRNazanin" w:hAnsi="IRNazanin" w:eastAsia="IRNazanin"/>
          <w:color w:val="111111"/>
          <w:sz w:val="28"/>
          <w:sz w:val="28"/>
          <w:szCs w:val="28"/>
          <w:rtl w:val="true"/>
          <w:lang w:bidi="fa-IR"/>
        </w:rPr>
        <w:t xml:space="preserve">في غيرِه جَسَد النَّبيّ صلّی الله علیه و آله و الأئمة علیهم السلام و البتول و الشهيد و من وجب تقديم غسله، و نحن في راحة من طهارة المعصوم علیه السلام مطلقاً؛ </w:t>
      </w:r>
    </w:p>
    <w:p>
      <w:pPr>
        <w:pStyle w:val="BookText"/>
        <w:rPr/>
      </w:pPr>
      <w:r>
        <w:rPr>
          <w:rFonts w:ascii="Amiri" w:hAnsi="Amiri" w:eastAsia="Amiri" w:cs="Amiri"/>
          <w:color w:val="111111"/>
          <w:sz w:val="28"/>
          <w:sz w:val="28"/>
          <w:szCs w:val="28"/>
          <w:rtl w:val="true"/>
          <w:lang w:bidi="ar-SA"/>
        </w:rPr>
        <w:t xml:space="preserve">لما قدّمناه مستوفىّ، فيشكل على الجواهر </w:t>
      </w:r>
      <w:r>
        <w:rPr>
          <w:rStyle w:val="FootnoteAnchor"/>
          <w:rtl w:val="true"/>
        </w:rPr>
        <w:footnoteReference w:id="1633"/>
      </w:r>
      <w:r>
        <w:rPr>
          <w:rFonts w:ascii="Amiri" w:hAnsi="Amiri" w:eastAsia="Amiri" w:cs="Amiri"/>
          <w:color w:val="111111"/>
          <w:sz w:val="28"/>
          <w:sz w:val="28"/>
          <w:szCs w:val="28"/>
          <w:rtl w:val="true"/>
          <w:lang w:bidi="ar-SA"/>
        </w:rPr>
        <w:t>و غيره</w:t>
      </w:r>
      <w:r>
        <w:rPr>
          <w:rStyle w:val="FootnoteAnchor"/>
          <w:rtl w:val="true"/>
        </w:rPr>
        <w:footnoteReference w:id="1634"/>
      </w:r>
      <w:r>
        <w:rPr>
          <w:rFonts w:ascii="Amiri" w:hAnsi="Amiri" w:eastAsia="Amiri" w:cs="Amiri"/>
          <w:color w:val="111111"/>
          <w:sz w:val="28"/>
          <w:sz w:val="28"/>
          <w:szCs w:val="28"/>
          <w:rtl w:val="true"/>
          <w:lang w:bidi="ar-SA"/>
        </w:rPr>
        <w:t>إبداء الفرق بين هذا و بين الأربعة الأوَل من الحكم بالنجاسة هناك و الطهارة هنا، فإن كانت العصمة مانعة فهي عاصمة فيهما معاً و إن كان لخصوص نصوص بالخصوص فقد ورد فيهما معاً و لا يرجّح أحدهما على الآخر، بل دليل العقل الغابر كافٍ في الجميع، و لعلّه تبع المصرّح بالأمرين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الشهيد و من تقدّم غسله فسيجيء الكلام فيه، و لا أظنّ أنّ نفس سقوط الغسل يوجب الطّهارة، و سقوط الغسل من دون دليل آخر تعبّدي، إذ الملازمة ممنوعة طرداً و عكساً، و اتّفاق تلازمهما في غالب الأوقات لا يقتضي الاشتراك في العلّية، و زاد المصنّفُ في الدّروس و غيره </w:t>
      </w:r>
      <w:r>
        <w:rPr>
          <w:rStyle w:val="FootnoteAnchor"/>
          <w:rtl w:val="true"/>
        </w:rPr>
        <w:footnoteReference w:id="1635"/>
      </w:r>
      <w:r>
        <w:rPr>
          <w:rFonts w:ascii="Amiri" w:hAnsi="Amiri" w:eastAsia="Amiri" w:cs="Amiri"/>
          <w:color w:val="111111"/>
          <w:sz w:val="28"/>
          <w:sz w:val="28"/>
          <w:szCs w:val="28"/>
          <w:rtl w:val="true"/>
          <w:lang w:bidi="ar-SA"/>
        </w:rPr>
        <w:t xml:space="preserve">كغيره لحوقَ الحكم المزبور لما قطع من الحيوان ممّا تحلّه الحياة، فإنّ الأجزاء نجسة كجملتها سواء أبِينَت من حَيّ أو ميّت قولاً مشهوراً؛ لعدم مدخليّة الانضمام في الحكم، و تردّد في المدارك </w:t>
      </w:r>
      <w:r>
        <w:rPr>
          <w:rStyle w:val="FootnoteAnchor"/>
          <w:rtl w:val="true"/>
        </w:rPr>
        <w:footnoteReference w:id="1636"/>
      </w:r>
      <w:r>
        <w:rPr>
          <w:rFonts w:ascii="Amiri" w:hAnsi="Amiri" w:eastAsia="Amiri" w:cs="Amiri"/>
          <w:color w:val="111111"/>
          <w:sz w:val="28"/>
          <w:sz w:val="28"/>
          <w:szCs w:val="28"/>
          <w:rtl w:val="true"/>
          <w:lang w:bidi="ar-SA"/>
        </w:rPr>
        <w:t>مستضعفاً لدليله زاعماً أنّ المستفاد من الأخبار نجاسة جسد الميّت، و هو لا يصدق على أجزائه قطعاً إلا باستصحاب حكمه قبل الإبانة، و فيه ما لا يخفى، و كأنّه أشار إلى الشكّ في الموضوع من حيث احتمال مدخليّة الانضمام فيه فلم يحرز موضوعه على التحقيق أو على مذاقه من إنكار أصله، و ظاهر كلامه اختصاصه بالميّت لا مطلق الميتة، فلا غفلة له عن ما قضى بنجاسة أجزاء غير الإنسان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فالتعجب من الجواهر مقلوب عليه، و لا بُعد في انفراد الميتة عن الميّت، لكن في الوسائل </w:t>
      </w:r>
      <w:r>
        <w:rPr>
          <w:rStyle w:val="FootnoteAnchor"/>
          <w:rtl w:val="true"/>
        </w:rPr>
        <w:footnoteReference w:id="1637"/>
      </w:r>
      <w:r>
        <w:rPr>
          <w:rFonts w:ascii="Amiri" w:hAnsi="Amiri" w:eastAsia="Amiri" w:cs="Amiri"/>
          <w:color w:val="111111"/>
          <w:sz w:val="28"/>
          <w:sz w:val="28"/>
          <w:szCs w:val="28"/>
          <w:rtl w:val="true"/>
          <w:lang w:bidi="ar-SA"/>
        </w:rPr>
        <w:t xml:space="preserve">استفادة الشمول و إن تبادر غير الآدمي من الميتة، و على فرضه فليس في النصوص نجاسة عنوان الميتة و على تقديره فما فيها بيان حكم أجزاء الميّت المنفصلة، و لا يقاس على </w:t>
      </w:r>
    </w:p>
    <w:p>
      <w:pPr>
        <w:pStyle w:val="BookText"/>
        <w:rPr/>
      </w:pPr>
      <w:r>
        <w:rPr>
          <w:rFonts w:ascii="Amiri" w:hAnsi="Amiri" w:eastAsia="Amiri" w:cs="Amiri"/>
          <w:color w:val="111111"/>
          <w:sz w:val="28"/>
          <w:sz w:val="28"/>
          <w:szCs w:val="28"/>
          <w:rtl w:val="true"/>
          <w:lang w:bidi="ar-SA"/>
        </w:rPr>
        <w:t>أجزاء الحيوان المفهوم حكمها من أخبار الحبالة</w:t>
      </w:r>
      <w:r>
        <w:rPr>
          <w:rStyle w:val="FootnoteAnchor"/>
          <w:rtl w:val="true"/>
        </w:rPr>
        <w:footnoteReference w:id="1638"/>
      </w:r>
      <w:r>
        <w:rPr>
          <w:rFonts w:ascii="Amiri" w:hAnsi="Amiri" w:eastAsia="Amiri" w:cs="Amiri"/>
          <w:color w:val="111111"/>
          <w:sz w:val="28"/>
          <w:sz w:val="28"/>
          <w:szCs w:val="28"/>
          <w:rtl w:val="true"/>
          <w:lang w:bidi="ar-SA"/>
        </w:rPr>
        <w:t xml:space="preserve">و الإلية </w:t>
      </w:r>
      <w:r>
        <w:rPr>
          <w:rStyle w:val="FootnoteAnchor"/>
          <w:rtl w:val="true"/>
        </w:rPr>
        <w:footnoteReference w:id="1639"/>
      </w:r>
      <w:r>
        <w:rPr>
          <w:rFonts w:ascii="Amiri" w:hAnsi="Amiri" w:eastAsia="Amiri" w:cs="Amiri"/>
          <w:color w:val="111111"/>
          <w:sz w:val="28"/>
          <w:sz w:val="28"/>
          <w:szCs w:val="28"/>
          <w:rtl w:val="true"/>
          <w:lang w:bidi="ar-SA"/>
        </w:rPr>
        <w:t xml:space="preserve">و المستثنيات </w:t>
      </w:r>
      <w:r>
        <w:rPr>
          <w:rStyle w:val="FootnoteAnchor"/>
          <w:rtl w:val="true"/>
        </w:rPr>
        <w:footnoteReference w:id="1640"/>
      </w:r>
      <w:r>
        <w:rPr>
          <w:rFonts w:ascii="Amiri" w:hAnsi="Amiri" w:eastAsia="Amiri" w:cs="Amiri"/>
          <w:color w:val="111111"/>
          <w:sz w:val="28"/>
          <w:sz w:val="28"/>
          <w:szCs w:val="28"/>
          <w:rtl w:val="true"/>
          <w:lang w:bidi="ar-SA"/>
        </w:rPr>
        <w:t xml:space="preserve">، بل لولا روايتا </w:t>
      </w:r>
      <w:r>
        <w:rPr>
          <w:rStyle w:val="FootnoteAnchor"/>
          <w:rtl w:val="true"/>
        </w:rPr>
        <w:footnoteReference w:id="1641"/>
      </w:r>
      <w:r>
        <w:rPr>
          <w:rFonts w:ascii="Amiri" w:hAnsi="Amiri" w:eastAsia="Amiri" w:cs="Amiri"/>
          <w:color w:val="111111"/>
          <w:sz w:val="28"/>
          <w:sz w:val="28"/>
          <w:szCs w:val="28"/>
          <w:rtl w:val="true"/>
          <w:lang w:bidi="ar-SA"/>
        </w:rPr>
        <w:t xml:space="preserve">الحلبي و الاحتجاج لكانت العمومات قاصرة عن إثبات نجاسة الميّت كُلاً أو بعضاً، فيبقى ما ينفصل من حَيّ الإنسان بلا دليل غير ظاهر الإجماع </w:t>
      </w:r>
      <w:r>
        <w:rPr>
          <w:rStyle w:val="FootnoteAnchor"/>
          <w:rtl w:val="true"/>
        </w:rPr>
        <w:footnoteReference w:id="1642"/>
      </w:r>
      <w:r>
        <w:rPr>
          <w:rFonts w:ascii="Amiri" w:hAnsi="Amiri" w:eastAsia="Amiri" w:cs="Amiri"/>
          <w:color w:val="111111"/>
          <w:sz w:val="28"/>
          <w:sz w:val="28"/>
          <w:szCs w:val="28"/>
          <w:rtl w:val="true"/>
          <w:lang w:bidi="ar-SA"/>
        </w:rPr>
        <w:t>المتأمّل في مدركه دون أصله، بل و لا مُرسَل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فإذا مسّه إنسان فكلّ ما كان فيه عظم فقد وجبَ على مَن يمسه الغُسل</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 فإنّه عمل غير صالح، للدلالة على جريان أحكام الميتة في القطعة و إن قضى بأنها ميتة، إذ المفيد دلالته على أنّها نجسة لا ميتة؛ لمنع كلّية نجاسة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ظهور تنزيلها منزلة الميتة في الخبر؛ لعدم مساعدة العرف على صدقها عليها فليس معنى التنزيل لحوق حكمها مطلقاً للقطعة، إذ يكفي فيه ثبوت بعض الأحكام لها، و هو هنا خصوص غسل المسّ؛ للانصراف إليه و لو بمعونة تفريعه عليه، بل تفريع بعض الأحكام في الخطابات على المنزلة أقوى مانع من دلالتها على العموم، فالمرجع الإجماع مركّبه أو بسيطه في خصوص المسألة أو بإثبات الحكم لقطعات الحيوان غير الآدمي، و به يتمّ مركّباً، إذ لم ينقل الخلاف من أحد بيّن، أو لجهة التلازم بين مضموم الغسل و مفتوحه، فلا مناص عن القول به و لو لمجموع ما ذكرنا، فالأقوى نجاستها مطلقاً و إن تقدّم على الموت قطعها، أو كانت 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صدق عليها لفظ الميتة حقيقةً أو استعارةً جرى عليها أحكام الميتة التي أظهرها الحرمة و النجاسة </w:t>
      </w:r>
      <w:r>
        <w:rPr>
          <w:rStyle w:val="FootnoteAnchor"/>
          <w:rtl w:val="true"/>
        </w:rPr>
        <w:footnoteReference w:id="16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التّبعي، إذ الموت و الحياة من صفات نفس الحيوان لا أجزائه، و لأجله </w:t>
      </w:r>
    </w:p>
    <w:p>
      <w:pPr>
        <w:pStyle w:val="BookText"/>
        <w:rPr/>
      </w:pPr>
      <w:r>
        <w:rPr>
          <w:rFonts w:ascii="IRNazanin" w:hAnsi="IRNazanin" w:eastAsia="IRNazanin"/>
          <w:color w:val="111111"/>
          <w:sz w:val="28"/>
          <w:sz w:val="28"/>
          <w:szCs w:val="28"/>
          <w:rtl w:val="true"/>
          <w:lang w:bidi="fa-IR"/>
        </w:rPr>
        <w:t xml:space="preserve">توقف الأُستاذ </w:t>
      </w:r>
      <w:r>
        <w:rPr>
          <w:rStyle w:val="FootnoteAnchor"/>
          <w:rtl w:val="true"/>
        </w:rPr>
        <w:footnoteReference w:id="1645"/>
      </w:r>
      <w:r>
        <w:rPr>
          <w:rFonts w:ascii="Amiri" w:hAnsi="Amiri" w:eastAsia="Amiri" w:cs="Amiri"/>
          <w:color w:val="111111"/>
          <w:sz w:val="28"/>
          <w:sz w:val="28"/>
          <w:szCs w:val="28"/>
          <w:rtl w:val="true"/>
          <w:lang w:bidi="ar-SA"/>
        </w:rPr>
        <w:t xml:space="preserve">في الميّت المتّصل من أجزاء الحيوان مطلقاً، فحكمَ بطهارته، و اعتذر عن نجاسة الجزء المبان من الحَيّ أنّه جعله الشارع بمنزلة الميتة، فيقتصر فيه على المُبان دون المتّصل؛ لأنه المتيقّن، و هو كذلك، نعم لا بدّ أن يستثنى ممّا تحلّه الحياة بعض ما يتحقّق الحَرَج النّوعي في اجتنابه كما هو ظاهر </w:t>
      </w:r>
      <w:r>
        <w:rPr>
          <w:rStyle w:val="FootnoteAnchor"/>
          <w:rtl w:val="true"/>
        </w:rPr>
        <w:footnoteReference w:id="1646"/>
      </w:r>
      <w:r>
        <w:rPr>
          <w:rFonts w:ascii="Amiri" w:hAnsi="Amiri" w:eastAsia="Amiri" w:cs="Amiri"/>
          <w:color w:val="111111"/>
          <w:sz w:val="28"/>
          <w:sz w:val="28"/>
          <w:szCs w:val="28"/>
          <w:rtl w:val="true"/>
          <w:lang w:bidi="ar-SA"/>
        </w:rPr>
        <w:t>الأصحاب كالقطع التي تسقط من اليَد و الرِّجل في غسلهما أو مطلقاً، و الملاصقة للشَّعر و الصوف و الظفر سواء سقطت فماتت أو سقطت قبل الموت، صغيرة كانت الأجزاء المعتاد سقوطها أو كبيرة، فيدخل فيه مثل الثالول و الأجزاء الصغار من اللّحم، و تستصحب طهارتها قبل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عرفت انحصار دليل النجاسة بالإجماع، فأكثر المجمعين صرّحوا بالطّهارة في هذه الأشياء، فلا يقال بانصراف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صغار الأجزاء، إذ ليس للصغّر و غيره في سلب الاسم من أثر، بل كلّ من استند للحرج في عدم نجاستها لازمه الاعتراف بعموم أدلّة النجاسة و قيام المقتضي لها لولا دليل العفو، و به ردّ المعالم </w:t>
      </w:r>
      <w:r>
        <w:rPr>
          <w:rStyle w:val="FootnoteAnchor"/>
          <w:rtl w:val="true"/>
        </w:rPr>
        <w:footnoteReference w:id="1647"/>
      </w:r>
      <w:r>
        <w:rPr>
          <w:rFonts w:ascii="IRNazanin" w:hAnsi="IRNazanin" w:eastAsia="IRNazanin"/>
          <w:color w:val="111111"/>
          <w:sz w:val="28"/>
          <w:sz w:val="28"/>
          <w:szCs w:val="28"/>
          <w:rtl w:val="true"/>
          <w:lang w:bidi="fa-IR"/>
        </w:rPr>
        <w:t xml:space="preserve">المنتهى </w:t>
      </w:r>
      <w:r>
        <w:rPr>
          <w:rStyle w:val="FootnoteAnchor"/>
          <w:rtl w:val="true"/>
        </w:rPr>
        <w:footnoteReference w:id="1648"/>
      </w:r>
      <w:r>
        <w:rPr>
          <w:rFonts w:ascii="Amiri" w:hAnsi="Amiri" w:eastAsia="Amiri" w:cs="Amiri"/>
          <w:color w:val="111111"/>
          <w:sz w:val="28"/>
          <w:sz w:val="28"/>
          <w:szCs w:val="28"/>
          <w:rtl w:val="true"/>
          <w:lang w:bidi="ar-SA"/>
        </w:rPr>
        <w:t xml:space="preserve">و خرّج الطهارة على ما انفصل حال وجود الحياة فيه لا ما زالت حياته قبل انفصاله كتخريج المدارك </w:t>
      </w:r>
      <w:r>
        <w:rPr>
          <w:rStyle w:val="FootnoteAnchor"/>
          <w:rtl w:val="true"/>
        </w:rPr>
        <w:footnoteReference w:id="1649"/>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الركون إلى مصحّحة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يقطع الثالول و هو في صلاته،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يتخوّف أن يسيل الدّم فلا بأس</w:t>
      </w:r>
      <w:r>
        <w:rPr>
          <w:rFonts w:eastAsia="IRNazanin" w:cs="IRNazanin"/>
          <w:color w:val="111111"/>
          <w:sz w:val="28"/>
          <w:szCs w:val="28"/>
          <w:rtl w:val="true"/>
          <w:lang w:bidi="fa-IR"/>
        </w:rPr>
        <w:t xml:space="preserve">» </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الاستفصال عقيب السؤال يفيد العموم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الوالد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كان ظاهره تعلّق السؤال بجواز الفعل و عدمه في الصلاة، لا طهارة المقطوع و عدمها، لكن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تركه أو يتنجس بمسّه، </w:t>
      </w:r>
    </w:p>
    <w:p>
      <w:pPr>
        <w:pStyle w:val="BookText"/>
        <w:rPr/>
      </w:pPr>
      <w:r>
        <w:rPr>
          <w:rFonts w:ascii="Amiri" w:hAnsi="Amiri" w:eastAsia="Amiri" w:cs="Amiri"/>
          <w:color w:val="111111"/>
          <w:sz w:val="28"/>
          <w:sz w:val="28"/>
          <w:szCs w:val="28"/>
          <w:rtl w:val="true"/>
          <w:lang w:bidi="ar-SA"/>
        </w:rPr>
        <w:t xml:space="preserve">مع أنّ الغالب مسّه برطوبة و التنجيس به لو كان نجساً دليل على طهارته </w:t>
      </w:r>
      <w:r>
        <w:rPr>
          <w:rStyle w:val="FootnoteAnchor"/>
          <w:rtl w:val="true"/>
        </w:rPr>
        <w:footnoteReference w:id="16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مراده رحمه الله أنّ التفصيل بين سيلان الدّم و عدمه صريح في أنّ الجواب لبيان حكم الواقعة من جميع الجهات، و إلّا لكان الاقتصار على مجرّد نفي البأس من دون تفصيل أجدر، فَدَلَّت على أنّه لا يفسد الصلاة شيء هنا سوى سيلان الدّم، و لو كان الثالول نجساً كانت فاسدة مطلقاً، أو على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أساتيدنا بعد أن قبل عموم الرواية و نسبَ كاشف اللّثام في ميله إلى مخالفة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محل إشكال، و الاحتياط لا ينبغي تركه في غير ما يعدّ من قبيل القشور شيئاً زائداً </w:t>
      </w:r>
      <w:r>
        <w:rPr>
          <w:rStyle w:val="FootnoteAnchor"/>
          <w:rtl w:val="true"/>
        </w:rPr>
        <w:footnoteReference w:id="16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عليه يشكل الأمر في بعض ما تأكله الآكلة و في بعض الجروح الحادثة من الرّصاص و غيره، و عمل الناس اليوم فيه و أمثاله على الطّهارة و لا بعد في إلحاقه بالثالول فتنحصر النجاسة بما يُسمّى عضواً منقطعاً كاليَد و الرِّجل و غيرهما حتّى الإصبع ممّا يسمّى عضواً ينقص بدن الحيوان عن تمام خلقته به، و يلحق به فأرة المسك بعد القطع بطهارة مسكها مطلقاً فتوى </w:t>
      </w:r>
      <w:r>
        <w:rPr>
          <w:rStyle w:val="FootnoteAnchor"/>
          <w:rtl w:val="true"/>
        </w:rPr>
        <w:footnoteReference w:id="1653"/>
      </w:r>
      <w:r>
        <w:rPr>
          <w:rFonts w:ascii="Amiri" w:hAnsi="Amiri" w:eastAsia="Amiri" w:cs="Amiri"/>
          <w:color w:val="111111"/>
          <w:sz w:val="28"/>
          <w:sz w:val="28"/>
          <w:szCs w:val="28"/>
          <w:rtl w:val="true"/>
          <w:lang w:bidi="ar-SA"/>
        </w:rPr>
        <w:t xml:space="preserve">و نصّاً </w:t>
      </w:r>
      <w:r>
        <w:rPr>
          <w:rStyle w:val="FootnoteAnchor"/>
          <w:rtl w:val="true"/>
        </w:rPr>
        <w:footnoteReference w:id="1654"/>
      </w:r>
      <w:r>
        <w:rPr>
          <w:rFonts w:ascii="Amiri" w:hAnsi="Amiri" w:eastAsia="Amiri" w:cs="Amiri"/>
          <w:color w:val="111111"/>
          <w:sz w:val="28"/>
          <w:sz w:val="28"/>
          <w:szCs w:val="28"/>
          <w:rtl w:val="true"/>
          <w:lang w:bidi="ar-SA"/>
        </w:rPr>
        <w:t>لأنها ممّا تحلّها الحياة، فهي نجسة ذاتاً مع الموت، و لا دليل من إجماع و غيره على طهارتها فيخصّص عموم نجاسة الميتة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ذكرى المصنّف </w:t>
      </w:r>
      <w:r>
        <w:rPr>
          <w:rStyle w:val="FootnoteAnchor"/>
          <w:rtl w:val="true"/>
        </w:rPr>
        <w:footnoteReference w:id="1655"/>
      </w:r>
      <w:r>
        <w:rPr>
          <w:rFonts w:ascii="Amiri" w:hAnsi="Amiri" w:eastAsia="Amiri" w:cs="Amiri"/>
          <w:color w:val="111111"/>
          <w:sz w:val="28"/>
          <w:sz w:val="28"/>
          <w:szCs w:val="28"/>
          <w:rtl w:val="true"/>
          <w:lang w:bidi="ar-SA"/>
        </w:rPr>
        <w:t xml:space="preserve">تبعاً للتذكرة </w:t>
      </w:r>
      <w:r>
        <w:rPr>
          <w:rStyle w:val="FootnoteAnchor"/>
          <w:rtl w:val="true"/>
        </w:rPr>
        <w:footnoteReference w:id="1656"/>
      </w:r>
      <w:r>
        <w:rPr>
          <w:rFonts w:ascii="IRNazanin" w:hAnsi="IRNazanin" w:eastAsia="IRNazanin"/>
          <w:color w:val="111111"/>
          <w:sz w:val="28"/>
          <w:sz w:val="28"/>
          <w:szCs w:val="28"/>
          <w:rtl w:val="true"/>
          <w:lang w:bidi="fa-IR"/>
        </w:rPr>
        <w:t xml:space="preserve">طهارتها مطلقاً، و المنتهى </w:t>
      </w:r>
      <w:r>
        <w:rPr>
          <w:rStyle w:val="FootnoteAnchor"/>
          <w:rtl w:val="true"/>
        </w:rPr>
        <w:footnoteReference w:id="1657"/>
      </w:r>
      <w:r>
        <w:rPr>
          <w:rFonts w:ascii="Amiri" w:hAnsi="Amiri" w:eastAsia="Amiri" w:cs="Amiri"/>
          <w:color w:val="111111"/>
          <w:sz w:val="28"/>
          <w:sz w:val="28"/>
          <w:szCs w:val="28"/>
          <w:rtl w:val="true"/>
          <w:lang w:bidi="ar-SA"/>
        </w:rPr>
        <w:t xml:space="preserve">قيد الطهارة بالمأخوذ من المذكّى أو الحَيّ، و قرّب نجاسة المأخوذة من الميتة مع طهارة المسك، و هو إمّا للحرج </w:t>
      </w:r>
    </w:p>
    <w:p>
      <w:pPr>
        <w:pStyle w:val="BookText"/>
        <w:rPr/>
      </w:pPr>
      <w:r>
        <w:rPr>
          <w:rFonts w:ascii="IRNazanin" w:hAnsi="IRNazanin" w:eastAsia="IRNazanin"/>
          <w:color w:val="111111"/>
          <w:sz w:val="28"/>
          <w:sz w:val="28"/>
          <w:szCs w:val="28"/>
          <w:rtl w:val="true"/>
          <w:lang w:bidi="fa-IR"/>
        </w:rPr>
        <w:t>أو لتعارض أصالة عدم الملاقاة حين الرطوبة؛ لأصالة عدم الجفاف قبل الملاقاة، و المرجع الطهارة بعد التساقط، أو لما ورد من نفي البأس عن الصلاة و في الثياب فأرة مسك إذا حمل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ذكياً</w:t>
      </w:r>
      <w:r>
        <w:rPr>
          <w:rFonts w:eastAsia="IRNazanin" w:cs="IRNazanin"/>
          <w:color w:val="111111"/>
          <w:sz w:val="28"/>
          <w:szCs w:val="28"/>
          <w:rtl w:val="true"/>
          <w:lang w:bidi="fa-IR"/>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في الأخرى على أنّه لم تصبه نجاسة خارجيّة تمنع من الصلاة و إن كان من المحمول، و إلّا فتقيّد الأولى بالثانية إذا حملنا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المذكّى متجه، و الأمر سهل بعد طهارة ما يتعاطاه المسلمون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نجاسة المسك بعد معلوميّة أخذه من الميتة و معلوميّة أنّ جلده ممّا تحلّه الحياة، فيخرج هذا الفرد عن إطلاقها المتصدّر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المعلوميّة الثانية إنّ كلّ ما لا تحلّه الحياة من أجزاء الميتة مستثنى من الحكم بنجاستها بلا خلاف في خصوص الصوف و الشعر و الوبر و الظفر إذا أُخذت جزّاً، و العظم و القرن و السّن و الرّيش و الحافر و غيرها، و الأصل فيه جملة أخبار </w:t>
      </w:r>
      <w:r>
        <w:rPr>
          <w:rStyle w:val="FootnoteAnchor"/>
          <w:rtl w:val="true"/>
        </w:rPr>
        <w:footnoteReference w:id="1659"/>
      </w:r>
      <w:r>
        <w:rPr>
          <w:rFonts w:ascii="Amiri" w:hAnsi="Amiri" w:eastAsia="Amiri" w:cs="Amiri"/>
          <w:color w:val="111111"/>
          <w:sz w:val="28"/>
          <w:sz w:val="28"/>
          <w:szCs w:val="28"/>
          <w:rtl w:val="true"/>
          <w:lang w:bidi="ar-SA"/>
        </w:rPr>
        <w:t xml:space="preserve">تفيد بمجموعها الحكم المذكور من دون فرق بين حالتي الاتصال و عدمه، و لا بين أخذها من حَيّ أو مذكّى أو ميتة، و لا بين أخذها جزّاً أو قلعاً أو نتفاً على المشهور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في أُصول الرّيش و الشّعر و الصوف المقلوع دون غيره و غيرها؛ لاتّصال الأصول باللّحم، فيُعدّ من أجزائه، فإذا تميّز بالخروج استحال صوفاً و شعراً </w:t>
      </w:r>
      <w:r>
        <w:rPr>
          <w:rStyle w:val="FootnoteAnchor"/>
          <w:rtl w:val="true"/>
        </w:rPr>
        <w:footnoteReference w:id="1661"/>
      </w:r>
      <w:r>
        <w:rPr>
          <w:rFonts w:ascii="Amiri" w:hAnsi="Amiri" w:eastAsia="Amiri" w:cs="Amiri"/>
          <w:color w:val="111111"/>
          <w:sz w:val="28"/>
          <w:sz w:val="28"/>
          <w:szCs w:val="28"/>
          <w:rtl w:val="true"/>
          <w:lang w:bidi="ar-SA"/>
        </w:rPr>
        <w:t>، و يؤيّده أنّ المتخلّف باللحم بعد قطع الخارج يجري عليه حكم اللّحم ألبتة، فلا ينفع صدق الاسم في الموجود باللّحم، إذ الخارج بالقطع كالمتخلّف مع الجَزّ فيندرج فيما تحلّه الحياة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في النصوص ما يستفاد منه حكم الأُصول حال القطع لكان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اجتهاد في مقابلة النصّ وجه، غايته الحكم بطهارة الشَّعر و نحوه، و المتبادر بحكم المتعارف و الغلبة هو ما أخذ جزاً، و غيره إمّا خارج عن الإطلاق أو مشكوك الخروج، فتشمله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ذلك من باب الشبهة الموضوعيّة؛ لانقسام أجزائها إلى ما تحلّه الحياة و ما لا تحلّه، و حينئذ فكونه من هذا ليس بأَولى من كونه من ذاك، و بالآخرة يكون المرجع أصالة الطهارة، إذ الخارج هو ما علم أنّه لا روح له، فيلحق المشكوك به منها بذي الرّوح حتّى يعلم أنّه لا روح له، فلو سلّم التنويع لا يجدي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أشكل الأمر في غير المنصوص مع ظهور أنّه لا تحلّه الحياة لكن حيث حصل الشك به لخلوّ النّص عنه ألحقه جماعة </w:t>
      </w:r>
      <w:r>
        <w:rPr>
          <w:rStyle w:val="FootnoteAnchor"/>
          <w:rtl w:val="true"/>
        </w:rPr>
        <w:footnoteReference w:id="1662"/>
      </w:r>
      <w:r>
        <w:rPr>
          <w:rFonts w:ascii="IRNazanin" w:hAnsi="IRNazanin" w:eastAsia="IRNazanin"/>
          <w:color w:val="111111"/>
          <w:sz w:val="28"/>
          <w:sz w:val="28"/>
          <w:szCs w:val="28"/>
          <w:rtl w:val="true"/>
          <w:lang w:bidi="fa-IR"/>
        </w:rPr>
        <w:t>بباقي أجزاء الميتة، و لا يفيد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أخذته منه بعد موته فاغسله و صلِّ فيه</w:t>
      </w:r>
      <w:r>
        <w:rPr>
          <w:rFonts w:eastAsia="IRNazanin" w:cs="IRNazanin"/>
          <w:color w:val="111111"/>
          <w:sz w:val="28"/>
          <w:szCs w:val="28"/>
          <w:rtl w:val="true"/>
          <w:lang w:bidi="fa-IR"/>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لا نصرافه إلى ما جزّ دون ما قطع، بل يجب الحمل عليه جمعاً بين ما قضي بعدم جواز الصلاة في الميتة و بينه مع عدم ظهور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الأصول إلا بطريق الاستخدام المرغوب عنه، فلا بدّ أن يكون الأمر بالغسل في تمام الشِّعر ليس لإزالة النجاسة، بل تنزيها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إرجاع الضمير إلى الأصول و الاعتراف بأنها ممّا تحلّها الحياة و القول بخروجها من حكم ذي الرّوح بهذه الرّواية، فإنّه مشكل في مشكل، لكن مع ذلك أعرض الأصحاب عنه مع أنّه محلّ للتوقّف و الاحتياط، و كأنهم قاطعون بعدم الفرق بين الأصل و غيره، و لحوق الشعر الباطنيّ بالميتة؛ لعدم إمكان تميّزه، فلو تميّز لحقه حكمه، و أنّ مناط الطّهارة فيه موجود، فهو طاهر ذكي، كلّ ذلك في الأجزاء</w:t>
      </w:r>
      <w:r>
        <w:rPr>
          <w:rFonts w:eastAsia="Amiri" w:cs="Amiri" w:ascii="Amiri" w:hAnsi="Amiri"/>
          <w:color w:val="111111"/>
          <w:sz w:val="28"/>
          <w:szCs w:val="28"/>
          <w:rtl w:val="true"/>
          <w:lang w:bidi="ar-SA"/>
        </w:rPr>
        <w:t xml:space="preserve">. </w:t>
      </w:r>
      <w:bookmarkStart w:id="128" w:name="pg9146_86164"/>
    </w:p>
    <w:p>
      <w:pPr>
        <w:pStyle w:val="Heading2"/>
        <w:numPr>
          <w:ilvl w:val="1"/>
          <w:numId w:val="1"/>
        </w:numPr>
        <w:rPr/>
      </w:pPr>
      <w:bookmarkStart w:id="129" w:name="__RefHeading___Toc3322610_2870459653"/>
      <w:bookmarkStart w:id="130" w:name="_Toc43"/>
      <w:bookmarkEnd w:id="128"/>
      <w:bookmarkEnd w:id="129"/>
      <w:r>
        <w:rPr>
          <w:rtl w:val="true"/>
        </w:rPr>
        <w:t>[</w:t>
      </w:r>
      <w:r>
        <w:rPr>
          <w:rtl w:val="true"/>
        </w:rPr>
        <w:t>طهارة الإنفحة</w:t>
      </w:r>
      <w:r>
        <w:rPr>
          <w:rtl w:val="true"/>
        </w:rPr>
        <w:t>]</w:t>
      </w:r>
      <w:bookmarkEnd w:id="130"/>
    </w:p>
    <w:p>
      <w:pPr>
        <w:pStyle w:val="BookText"/>
        <w:rPr/>
      </w:pPr>
      <w:r>
        <w:rPr>
          <w:rFonts w:ascii="Amiri" w:hAnsi="Amiri" w:eastAsia="Amiri" w:cs="Amiri"/>
          <w:color w:val="111111"/>
          <w:sz w:val="28"/>
          <w:sz w:val="28"/>
          <w:szCs w:val="28"/>
          <w:rtl w:val="true"/>
          <w:lang w:bidi="ar-SA"/>
        </w:rPr>
        <w:t xml:space="preserve">و أمّا ما يخرج من باطن الحيوان مطلقاً، أو غير ما لا يؤكل لحمه مطلقاً، من اللبن و البيضة و الإنفحة و الجنين، فلا رَيب في طهارتها الذّاتيّة بغير خلاف </w:t>
      </w:r>
      <w:r>
        <w:rPr>
          <w:rStyle w:val="FootnoteAnchor"/>
          <w:rtl w:val="true"/>
        </w:rPr>
        <w:footnoteReference w:id="1664"/>
      </w:r>
      <w:r>
        <w:rPr>
          <w:rFonts w:ascii="Amiri" w:hAnsi="Amiri" w:eastAsia="Amiri" w:cs="Amiri"/>
          <w:color w:val="111111"/>
          <w:sz w:val="28"/>
          <w:sz w:val="28"/>
          <w:szCs w:val="28"/>
          <w:rtl w:val="true"/>
          <w:lang w:bidi="ar-SA"/>
        </w:rPr>
        <w:t xml:space="preserve">، و عليه تنزّل أخبار </w:t>
      </w:r>
      <w:r>
        <w:rPr>
          <w:rStyle w:val="FootnoteAnchor"/>
          <w:rtl w:val="true"/>
        </w:rPr>
        <w:footnoteReference w:id="1665"/>
      </w:r>
      <w:r>
        <w:rPr>
          <w:rFonts w:ascii="Amiri" w:hAnsi="Amiri" w:eastAsia="Amiri" w:cs="Amiri"/>
          <w:color w:val="111111"/>
          <w:sz w:val="28"/>
          <w:sz w:val="28"/>
          <w:szCs w:val="28"/>
          <w:rtl w:val="true"/>
          <w:lang w:bidi="ar-SA"/>
        </w:rPr>
        <w:t>نفي البأس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العرضيّة الحاصلة من ملاقاة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بالنجاسة في الأوّلين؛ لقاعدة الملاقاة الجابرة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في اللّبن، و لملاقاة جلد البيضة لرطب في الميتة فيتنجّس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 الأوّل لا يطهر إلّا إذا اختلط بالمعتصم، و الثاني يطهر بغسل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مرادهم على اختلافهم في ثوب البيضة هو ما يقطع بعدم سراية النجاسة إليها معه، و ربّما اختلف ذلك بحسب الأنظار، فكلّ اعتبر شيئاً، و مال الجميع إلى ما حرّرنا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جماعة القدماء </w:t>
      </w:r>
      <w:r>
        <w:rPr>
          <w:rStyle w:val="FootnoteAnchor"/>
          <w:rtl w:val="true"/>
        </w:rPr>
        <w:footnoteReference w:id="1667"/>
      </w:r>
      <w:r>
        <w:rPr>
          <w:rFonts w:ascii="IRNazanin" w:hAnsi="IRNazanin" w:eastAsia="IRNazanin"/>
          <w:color w:val="111111"/>
          <w:sz w:val="28"/>
          <w:sz w:val="28"/>
          <w:szCs w:val="28"/>
          <w:rtl w:val="true"/>
          <w:lang w:bidi="fa-IR"/>
        </w:rPr>
        <w:t xml:space="preserve">و صحاح النّصوص </w:t>
      </w:r>
      <w:r>
        <w:rPr>
          <w:rStyle w:val="FootnoteAnchor"/>
          <w:rtl w:val="true"/>
        </w:rPr>
        <w:footnoteReference w:id="1668"/>
      </w:r>
      <w:r>
        <w:rPr>
          <w:rFonts w:ascii="Amiri" w:hAnsi="Amiri" w:eastAsia="Amiri" w:cs="Amiri"/>
          <w:color w:val="111111"/>
          <w:sz w:val="28"/>
          <w:sz w:val="28"/>
          <w:szCs w:val="28"/>
          <w:rtl w:val="true"/>
          <w:lang w:bidi="ar-SA"/>
        </w:rPr>
        <w:t xml:space="preserve">هو الطّهارة، بل كأنّه الأشهر فيهما، و نزّلها الوالد رحمه الله </w:t>
      </w:r>
      <w:r>
        <w:rPr>
          <w:rStyle w:val="FootnoteAnchor"/>
          <w:rtl w:val="true"/>
        </w:rPr>
        <w:footnoteReference w:id="1669"/>
      </w:r>
      <w:r>
        <w:rPr>
          <w:rFonts w:ascii="Amiri" w:hAnsi="Amiri" w:eastAsia="Amiri" w:cs="Amiri"/>
          <w:color w:val="111111"/>
          <w:sz w:val="28"/>
          <w:sz w:val="28"/>
          <w:szCs w:val="28"/>
          <w:rtl w:val="true"/>
          <w:lang w:bidi="ar-SA"/>
        </w:rPr>
        <w:t xml:space="preserve">على الطّهارة الذاتيّة جمعاً معتضداً بحسنة حريز </w:t>
      </w:r>
      <w:r>
        <w:rPr>
          <w:rStyle w:val="FootnoteAnchor"/>
          <w:rtl w:val="true"/>
        </w:rPr>
        <w:footnoteReference w:id="1670"/>
      </w:r>
      <w:r>
        <w:rPr>
          <w:rFonts w:ascii="Amiri" w:hAnsi="Amiri" w:eastAsia="Amiri" w:cs="Amiri"/>
          <w:color w:val="111111"/>
          <w:sz w:val="28"/>
          <w:sz w:val="28"/>
          <w:szCs w:val="28"/>
          <w:rtl w:val="true"/>
          <w:lang w:bidi="ar-SA"/>
        </w:rPr>
        <w:t>القاضية بغسل ما يؤخذ من الشاة بعد أن تموت مطلقاً، و بالخبر الذاكر لجواز الانتفاع بالشِّعر و الوبر و الإنفحة و القرن،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إلى غيرها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نقل الحلّي الإجماع على النجاسة مطلقاً </w:t>
      </w:r>
      <w:r>
        <w:rPr>
          <w:rStyle w:val="FootnoteAnchor"/>
          <w:rtl w:val="true"/>
        </w:rPr>
        <w:footnoteReference w:id="1671"/>
      </w:r>
      <w:r>
        <w:rPr>
          <w:rFonts w:ascii="Amiri" w:hAnsi="Amiri" w:eastAsia="Amiri" w:cs="Amiri"/>
          <w:color w:val="111111"/>
          <w:sz w:val="28"/>
          <w:sz w:val="28"/>
          <w:szCs w:val="28"/>
          <w:rtl w:val="true"/>
          <w:lang w:bidi="ar-SA"/>
        </w:rPr>
        <w:t xml:space="preserve">، و يبعّده أنّه لا فائدة لذكر طاهرة اللّبن </w:t>
      </w:r>
    </w:p>
    <w:p>
      <w:pPr>
        <w:pStyle w:val="BookText"/>
        <w:rPr/>
      </w:pPr>
      <w:r>
        <w:rPr>
          <w:rFonts w:ascii="Amiri" w:hAnsi="Amiri" w:eastAsia="Amiri" w:cs="Amiri"/>
          <w:color w:val="111111"/>
          <w:sz w:val="28"/>
          <w:sz w:val="28"/>
          <w:szCs w:val="28"/>
          <w:rtl w:val="true"/>
          <w:lang w:bidi="ar-SA"/>
        </w:rPr>
        <w:t xml:space="preserve">في الخبر، و لا ثمرة له مع مَيل شيوخ المذهب إليه عملاً بمرسل الصّدوق كالكليني </w:t>
      </w:r>
      <w:r>
        <w:rPr>
          <w:rStyle w:val="FootnoteAnchor"/>
          <w:rtl w:val="true"/>
        </w:rPr>
        <w:footnoteReference w:id="1672"/>
      </w:r>
      <w:r>
        <w:rPr>
          <w:rFonts w:ascii="IRNazanin" w:hAnsi="IRNazanin" w:eastAsia="IRNazanin"/>
          <w:color w:val="111111"/>
          <w:sz w:val="28"/>
          <w:sz w:val="28"/>
          <w:szCs w:val="28"/>
          <w:rtl w:val="true"/>
          <w:lang w:bidi="fa-IR"/>
        </w:rPr>
        <w:t xml:space="preserve">و الصدوق </w:t>
      </w:r>
      <w:r>
        <w:rPr>
          <w:rStyle w:val="FootnoteAnchor"/>
          <w:rtl w:val="true"/>
        </w:rPr>
        <w:footnoteReference w:id="1673"/>
      </w:r>
      <w:r>
        <w:rPr>
          <w:rFonts w:ascii="Amiri" w:hAnsi="Amiri" w:eastAsia="Amiri" w:cs="Amiri"/>
          <w:color w:val="111111"/>
          <w:sz w:val="28"/>
          <w:sz w:val="28"/>
          <w:szCs w:val="28"/>
          <w:rtl w:val="true"/>
          <w:lang w:bidi="ar-SA"/>
        </w:rPr>
        <w:t xml:space="preserve">و الشيخين </w:t>
      </w:r>
      <w:r>
        <w:rPr>
          <w:rStyle w:val="FootnoteAnchor"/>
          <w:rtl w:val="true"/>
        </w:rPr>
        <w:footnoteReference w:id="1674"/>
      </w:r>
      <w:r>
        <w:rPr>
          <w:rFonts w:ascii="Amiri" w:hAnsi="Amiri" w:eastAsia="Amiri" w:cs="Amiri"/>
          <w:color w:val="111111"/>
          <w:sz w:val="28"/>
          <w:sz w:val="28"/>
          <w:szCs w:val="28"/>
          <w:rtl w:val="true"/>
          <w:lang w:bidi="ar-SA"/>
        </w:rPr>
        <w:t xml:space="preserve">و القاضي </w:t>
      </w:r>
      <w:r>
        <w:rPr>
          <w:rStyle w:val="FootnoteAnchor"/>
          <w:rtl w:val="true"/>
        </w:rPr>
        <w:footnoteReference w:id="1675"/>
      </w:r>
      <w:r>
        <w:rPr>
          <w:rFonts w:ascii="Amiri" w:hAnsi="Amiri" w:eastAsia="Amiri" w:cs="Amiri"/>
          <w:color w:val="111111"/>
          <w:sz w:val="28"/>
          <w:sz w:val="28"/>
          <w:szCs w:val="28"/>
          <w:rtl w:val="true"/>
          <w:lang w:bidi="ar-SA"/>
        </w:rPr>
        <w:t xml:space="preserve">و ابنَي زُهرة </w:t>
      </w:r>
      <w:r>
        <w:rPr>
          <w:rStyle w:val="FootnoteAnchor"/>
          <w:rtl w:val="true"/>
        </w:rPr>
        <w:footnoteReference w:id="1676"/>
      </w:r>
      <w:r>
        <w:rPr>
          <w:rFonts w:ascii="Amiri" w:hAnsi="Amiri" w:eastAsia="Amiri" w:cs="Amiri"/>
          <w:color w:val="111111"/>
          <w:sz w:val="28"/>
          <w:sz w:val="28"/>
          <w:szCs w:val="28"/>
          <w:rtl w:val="true"/>
          <w:lang w:bidi="ar-SA"/>
        </w:rPr>
        <w:t xml:space="preserve">و حمزة </w:t>
      </w:r>
      <w:r>
        <w:rPr>
          <w:rStyle w:val="FootnoteAnchor"/>
          <w:rtl w:val="true"/>
        </w:rPr>
        <w:footnoteReference w:id="1677"/>
      </w:r>
      <w:r>
        <w:rPr>
          <w:rFonts w:ascii="Amiri" w:hAnsi="Amiri" w:eastAsia="Amiri" w:cs="Amiri"/>
          <w:color w:val="111111"/>
          <w:sz w:val="28"/>
          <w:sz w:val="28"/>
          <w:szCs w:val="28"/>
          <w:rtl w:val="true"/>
          <w:lang w:bidi="ar-SA"/>
        </w:rPr>
        <w:t xml:space="preserve">، فتخصّص القاعدة بأخبار الطهارة كالإنفحة بلا خلاف يعتدّ به، لكن حيث إنّ المخالف أيضاً كثير كالحلّي </w:t>
      </w:r>
      <w:r>
        <w:rPr>
          <w:rStyle w:val="FootnoteAnchor"/>
          <w:rtl w:val="true"/>
        </w:rPr>
        <w:footnoteReference w:id="1678"/>
      </w:r>
      <w:r>
        <w:rPr>
          <w:rFonts w:ascii="Amiri" w:hAnsi="Amiri" w:eastAsia="Amiri" w:cs="Amiri"/>
          <w:color w:val="111111"/>
          <w:sz w:val="28"/>
          <w:sz w:val="28"/>
          <w:szCs w:val="28"/>
          <w:rtl w:val="true"/>
          <w:lang w:bidi="ar-SA"/>
        </w:rPr>
        <w:t xml:space="preserve">و سلّار </w:t>
      </w:r>
      <w:r>
        <w:rPr>
          <w:rStyle w:val="FootnoteAnchor"/>
          <w:rtl w:val="true"/>
        </w:rPr>
        <w:footnoteReference w:id="1679"/>
      </w:r>
      <w:r>
        <w:rPr>
          <w:rFonts w:ascii="Amiri" w:hAnsi="Amiri" w:eastAsia="Amiri" w:cs="Amiri"/>
          <w:color w:val="111111"/>
          <w:sz w:val="28"/>
          <w:sz w:val="28"/>
          <w:szCs w:val="28"/>
          <w:rtl w:val="true"/>
          <w:lang w:bidi="ar-SA"/>
        </w:rPr>
        <w:t xml:space="preserve">و الفاضلين </w:t>
      </w:r>
      <w:r>
        <w:rPr>
          <w:rStyle w:val="FootnoteAnchor"/>
          <w:rtl w:val="true"/>
        </w:rPr>
        <w:footnoteReference w:id="1680"/>
      </w:r>
      <w:r>
        <w:rPr>
          <w:rFonts w:ascii="Amiri" w:hAnsi="Amiri" w:eastAsia="Amiri" w:cs="Amiri"/>
          <w:color w:val="111111"/>
          <w:sz w:val="28"/>
          <w:sz w:val="28"/>
          <w:szCs w:val="28"/>
          <w:rtl w:val="true"/>
          <w:lang w:bidi="ar-SA"/>
        </w:rPr>
        <w:t xml:space="preserve">لم تكن لنا جرأة على الإفتاء بالطهارة، و إن كان هو الأوفق بحسب الدليل، و هو المرجع، إذ يلزم منه طرح الأخبار الصحيحة مع عدم مخالفته لأصول المذهب، و بعد استقراء طريقتهم من الأخذ بالطّهارة بأقلّ من هذا و فتواهم في الإنفحة لا وقع لما في حاشية المدارك </w:t>
      </w:r>
      <w:r>
        <w:rPr>
          <w:rStyle w:val="FootnoteAnchor"/>
          <w:rtl w:val="true"/>
        </w:rPr>
        <w:footnoteReference w:id="1681"/>
      </w:r>
      <w:r>
        <w:rPr>
          <w:rFonts w:ascii="Amiri" w:hAnsi="Amiri" w:eastAsia="Amiri" w:cs="Amiri"/>
          <w:color w:val="111111"/>
          <w:sz w:val="28"/>
          <w:sz w:val="28"/>
          <w:szCs w:val="28"/>
          <w:rtl w:val="true"/>
          <w:lang w:bidi="ar-SA"/>
        </w:rPr>
        <w:t xml:space="preserve">، لكن يجب قصر اللبن حينئذ على لبن مأكول اللّحم؛ لأنه المنصوص </w:t>
      </w:r>
      <w:r>
        <w:rPr>
          <w:rStyle w:val="FootnoteAnchor"/>
          <w:rtl w:val="true"/>
        </w:rPr>
        <w:footnoteReference w:id="1682"/>
      </w:r>
      <w:r>
        <w:rPr>
          <w:rFonts w:ascii="Amiri" w:hAnsi="Amiri" w:eastAsia="Amiri" w:cs="Amiri"/>
          <w:color w:val="111111"/>
          <w:sz w:val="28"/>
          <w:sz w:val="28"/>
          <w:szCs w:val="28"/>
          <w:rtl w:val="true"/>
          <w:lang w:bidi="ar-SA"/>
        </w:rPr>
        <w:t xml:space="preserve">دون البيضة و إن قصرها الفاضل </w:t>
      </w:r>
      <w:r>
        <w:rPr>
          <w:rStyle w:val="FootnoteAnchor"/>
          <w:rtl w:val="true"/>
        </w:rPr>
        <w:footnoteReference w:id="1683"/>
      </w:r>
      <w:r>
        <w:rPr>
          <w:rFonts w:ascii="Amiri" w:hAnsi="Amiri" w:eastAsia="Amiri" w:cs="Amiri"/>
          <w:color w:val="111111"/>
          <w:sz w:val="28"/>
          <w:sz w:val="28"/>
          <w:szCs w:val="28"/>
          <w:rtl w:val="true"/>
          <w:lang w:bidi="ar-SA"/>
        </w:rPr>
        <w:t>لخلوّ قصره عن برهان، و منه يظهر حكم الإنفحة على المعتمد في معناها، و حال ظاهرها حال قميص البيضة، و باطنها كباطنها، و تخالف البيضة في أنّ الأُولى قصرها على مأكول اللّحم، دونها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لا إشكال في الإنفحة موضوعاً و حكماً، فإنّه و إن نقل الاختلاف فيها لغةٌ </w:t>
      </w:r>
      <w:r>
        <w:rPr>
          <w:rStyle w:val="FootnoteAnchor"/>
          <w:rtl w:val="true"/>
        </w:rPr>
        <w:footnoteReference w:id="16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على فرض ثبوته غير قادح؛ لوضوح المراد من الأدلّة و الأخبار، و خلاصته أنّها هي التي يُصْنَع منها الجبن، فإنّه يكون في بطن الجدي شيء صغير فيه لبن غليظ يحسن الجبن بإدخال اليسير منه فيه، و هو للجدي بمنزلة المعدة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ذلك اللّبن، و اللّبن، و ظرفهما معاً، و الإنفحة يمكن أن تكون اِسماً لأحد الثلاثة فإن كانت اسماً للبن، أو لظرفه الذي هو بمنزلة بيضة الدّجاجة، فطهارة اللبن لا شبهة فيها، فإنّه و ظرفه ممّا لا تحلّه الحياة يقيناً في الأوّل، و ظاهراً في الثاني، و إن كانت اسماً للجلد الواسع الذي يجتمع فيه الفضلات التي منها ظرف ذلك اللّبن فالحكم بطهارته و إن لم يستلزم عقلاً طهارة اللّبن و ظرفه، لكن التفكيك بينهما بعيد في الغاية، إذ لا وجه لطهارة الكرش و نجاسة ما فيه سوى أنّ ما فيه ممّا يمكن أن تحلّه الحياة، و هو بعد منعه أنّ وجود هذا المعنى في الكرش أظهر فكيف يطهر دونه، و بعد تسليم وضع الأنفحة له لا يمكن حمل الأخبار عليه، ضرورة أنّ الجبن لا يصنع منه، و المحكوم بطهارته هو ما يصنع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تشبيهه بالبيضة كالصّريح في إرادة غيره؛ إذ لا مشابهة بينهما، و يكون المراد أحد المعنيين، و التشبيه يقتضي إرادة ما فيه اللّبن من ذلك الشيء الأصفر الذي هو بمنزلة المعدة، و حينئذ لا إشكال في 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جعلت في الجبن أنفحة الميّت </w:t>
      </w:r>
      <w:r>
        <w:rPr>
          <w:rStyle w:val="FootnoteAnchor"/>
          <w:rtl w:val="true"/>
        </w:rPr>
        <w:footnoteReference w:id="1685"/>
      </w:r>
      <w:r>
        <w:rPr>
          <w:rFonts w:ascii="Amiri" w:hAnsi="Amiri" w:eastAsia="Amiri" w:cs="Amiri"/>
          <w:color w:val="111111"/>
          <w:sz w:val="28"/>
          <w:sz w:val="28"/>
          <w:szCs w:val="28"/>
          <w:rtl w:val="true"/>
          <w:lang w:bidi="ar-SA"/>
        </w:rPr>
        <w:t>، ممّا يؤيّد أنّ المراد اللّبن، و يبقى الإشكال في طهارة جلده الذي حَلَّ فيه بعد الجزم بطهارة ذاته و لو مع الشكّ في كونه ممّا تحلّه الحياة، فيجري فيه ما يجري في قشر البيضة الملاقي للميتة، و الأقوى هنا مثله هناك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قطع بأنّه ممّا تحلّه الحياة يدور الأمر بين تخصيص قاعدة تنجّس المائع بملاقاة النجس و بين إخراج بعض ما تحلّه الحياة عن حكم النجاسة، و لا مرجّح، فيرجع لأصالة الطّهارة، و كأنّ أوّل التخصيصين أَهْوَن عندهم؛ لتصريحهم </w:t>
      </w:r>
      <w:r>
        <w:rPr>
          <w:rStyle w:val="FootnoteAnchor"/>
          <w:rtl w:val="true"/>
        </w:rPr>
        <w:footnoteReference w:id="1686"/>
      </w:r>
      <w:r>
        <w:rPr>
          <w:rFonts w:ascii="Amiri" w:hAnsi="Amiri" w:eastAsia="Amiri" w:cs="Amiri"/>
          <w:color w:val="111111"/>
          <w:sz w:val="28"/>
          <w:sz w:val="28"/>
          <w:szCs w:val="28"/>
          <w:rtl w:val="true"/>
          <w:lang w:bidi="ar-SA"/>
        </w:rPr>
        <w:t>بطهارة اللبن الظاهر منه نجاسة الثدي في اللّبن</w:t>
      </w:r>
      <w:r>
        <w:rPr>
          <w:rFonts w:eastAsia="Amiri" w:cs="Amiri" w:ascii="Amiri" w:hAnsi="Amiri"/>
          <w:color w:val="111111"/>
          <w:sz w:val="28"/>
          <w:szCs w:val="28"/>
          <w:rtl w:val="true"/>
          <w:lang w:bidi="ar-SA"/>
        </w:rPr>
        <w:t xml:space="preserve">. </w:t>
      </w:r>
      <w:bookmarkStart w:id="131" w:name="pg9146_86167"/>
    </w:p>
    <w:p>
      <w:pPr>
        <w:pStyle w:val="BookText"/>
        <w:rPr/>
      </w:pPr>
      <w:bookmarkEnd w:id="131"/>
      <w:r>
        <w:rPr>
          <w:rFonts w:ascii="Amiri" w:hAnsi="Amiri" w:eastAsia="Amiri" w:cs="Amiri"/>
          <w:color w:val="111111"/>
          <w:sz w:val="28"/>
          <w:sz w:val="28"/>
          <w:szCs w:val="28"/>
          <w:rtl w:val="true"/>
          <w:lang w:bidi="ar-SA"/>
        </w:rPr>
        <w:t xml:space="preserve">فظهر معنى طهارة الأنفحة، و أنّه لا ضَرَر في اختلاف اللّغويِّين فيها بعد وضوح المراد، و كأنّه هو المتيقن الذي أراده في المدارك </w:t>
      </w:r>
      <w:r>
        <w:rPr>
          <w:rStyle w:val="FootnoteAnchor"/>
          <w:rtl w:val="true"/>
        </w:rPr>
        <w:footnoteReference w:id="1687"/>
      </w:r>
      <w:r>
        <w:rPr>
          <w:rFonts w:ascii="Amiri" w:hAnsi="Amiri" w:eastAsia="Amiri" w:cs="Amiri"/>
          <w:color w:val="111111"/>
          <w:sz w:val="28"/>
          <w:sz w:val="28"/>
          <w:szCs w:val="28"/>
          <w:rtl w:val="true"/>
          <w:lang w:bidi="ar-SA"/>
        </w:rPr>
        <w:t xml:space="preserve">، و عليه لا يقصر الحكم على أنفحة ما لا يؤكل الطعام، بل ينبغي اتّباع ذكرى المصنّف </w:t>
      </w:r>
      <w:r>
        <w:rPr>
          <w:rStyle w:val="FootnoteAnchor"/>
          <w:rtl w:val="true"/>
        </w:rPr>
        <w:footnoteReference w:id="1688"/>
      </w:r>
      <w:r>
        <w:rPr>
          <w:rFonts w:ascii="Amiri" w:hAnsi="Amiri" w:eastAsia="Amiri" w:cs="Amiri"/>
          <w:color w:val="111111"/>
          <w:sz w:val="28"/>
          <w:sz w:val="28"/>
          <w:szCs w:val="28"/>
          <w:rtl w:val="true"/>
          <w:lang w:bidi="ar-SA"/>
        </w:rPr>
        <w:t>فيها من طرد الحكم إلّا إذا فطم الجدي، فإنّ عدم صدق الاسم لو سلّم غير ضائر بعد وضوح المراد، أو أنّ مراده بانقلاب اسمها كرشاً لو مزج رضاعها بالأكل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الكرش اسم للنوع فلا ينافي صدق الجنس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الطهارة مَدار الفائدة المقصودة، فمتى ارتفعت زالَت، و المرجع العُرف، و الله العالم</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3322612_2870459653"/>
      <w:bookmarkStart w:id="133" w:name="_Toc44"/>
      <w:bookmarkEnd w:id="132"/>
      <w:r>
        <w:rPr>
          <w:rtl w:val="true"/>
        </w:rPr>
        <w:t>[</w:t>
      </w:r>
      <w:r>
        <w:rPr>
          <w:rtl w:val="true"/>
        </w:rPr>
        <w:t>نجاسة الجنين</w:t>
      </w:r>
      <w:r>
        <w:rPr>
          <w:rtl w:val="true"/>
        </w:rPr>
        <w:t>]</w:t>
      </w:r>
      <w:bookmarkEnd w:id="133"/>
    </w:p>
    <w:p>
      <w:pPr>
        <w:pStyle w:val="BookText"/>
        <w:rPr/>
      </w:pPr>
      <w:r>
        <w:rPr>
          <w:rFonts w:ascii="Amiri" w:hAnsi="Amiri" w:eastAsia="Amiri" w:cs="Amiri"/>
          <w:color w:val="111111"/>
          <w:sz w:val="28"/>
          <w:sz w:val="28"/>
          <w:szCs w:val="28"/>
          <w:rtl w:val="true"/>
          <w:lang w:bidi="ar-SA"/>
        </w:rPr>
        <w:t xml:space="preserve">و أمّا الجنين فصرّح الجد الأكبر قدس سره </w:t>
      </w:r>
      <w:r>
        <w:rPr>
          <w:rStyle w:val="FootnoteAnchor"/>
          <w:rtl w:val="true"/>
        </w:rPr>
        <w:footnoteReference w:id="1689"/>
      </w:r>
      <w:r>
        <w:rPr>
          <w:rFonts w:ascii="IRNazanin" w:hAnsi="IRNazanin" w:eastAsia="IRNazanin"/>
          <w:color w:val="111111"/>
          <w:sz w:val="28"/>
          <w:sz w:val="28"/>
          <w:szCs w:val="28"/>
          <w:rtl w:val="true"/>
          <w:lang w:bidi="fa-IR"/>
        </w:rPr>
        <w:t xml:space="preserve">بنجاسته تبعاً للفاضل </w:t>
      </w:r>
      <w:r>
        <w:rPr>
          <w:rStyle w:val="FootnoteAnchor"/>
          <w:rtl w:val="true"/>
        </w:rPr>
        <w:footnoteReference w:id="1690"/>
      </w:r>
      <w:r>
        <w:rPr>
          <w:rFonts w:ascii="IRNazanin" w:hAnsi="IRNazanin" w:eastAsia="IRNazanin"/>
          <w:color w:val="111111"/>
          <w:sz w:val="28"/>
          <w:sz w:val="28"/>
          <w:szCs w:val="28"/>
          <w:rtl w:val="true"/>
          <w:lang w:bidi="fa-IR"/>
        </w:rPr>
        <w:t xml:space="preserve">ما لم يكن تامّاً، أو كان و لم يذّك؛ لأنّ إيلاج الروح فيه تابع لأمّه، فهو ممّا تحلّه الحياة، فيعمّه الحكم، لكن هذا مبنیّ علی مساواته لسائر الأجزاء من الأمعاء، مع أنّ الظاهر استقلاله و أنّه كالبيضة و الدّود في الرّحم إلَّا أن يرجع فيه لحديث </w:t>
      </w:r>
      <w:r>
        <w:rPr>
          <w:rStyle w:val="FootnoteAnchor"/>
          <w:rtl w:val="true"/>
        </w:rPr>
        <w:footnoteReference w:id="1691"/>
      </w:r>
      <w:r>
        <w:rPr>
          <w:rFonts w:ascii="Amiri" w:hAnsi="Amiri" w:eastAsia="Amiri" w:cs="Amiri"/>
          <w:color w:val="111111"/>
          <w:sz w:val="28"/>
          <w:sz w:val="28"/>
          <w:szCs w:val="28"/>
          <w:rtl w:val="true"/>
          <w:lang w:bidi="ar-SA"/>
        </w:rPr>
        <w:t>الذّكاة و ينفى انصرافه إلى ما ولجته الرّوح من الجنين؛ لعدم اشتراطهم ذلك في التذكية بعد تمام الخلقة، فيتمّ الحكم بهذه الصّورة و بالإجماع المركّب فيما قبلها، و المناط فيه عدم و لوج الرّوح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الأخرى في دليله أنّه حيوان ذو حياة ولو من جهة اشتماله على دَم و عظم فيشمله ما قضی بنجاسة غيره المماثل،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ربّما ينافي قولهم بالنجاسة تصريحهم </w:t>
      </w:r>
      <w:r>
        <w:rPr>
          <w:rStyle w:val="FootnoteAnchor"/>
          <w:rtl w:val="true"/>
        </w:rPr>
        <w:footnoteReference w:id="1692"/>
      </w:r>
      <w:r>
        <w:rPr>
          <w:rFonts w:ascii="Amiri" w:hAnsi="Amiri" w:eastAsia="Amiri" w:cs="Amiri"/>
          <w:color w:val="111111"/>
          <w:sz w:val="28"/>
          <w:sz w:val="28"/>
          <w:szCs w:val="28"/>
          <w:rtl w:val="true"/>
          <w:lang w:bidi="ar-SA"/>
        </w:rPr>
        <w:t>بعدم وجوب الغُسل مضموماً قبل ولوج الرّوح؛ لأنه لا حياة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 بأنّ وجوب المضموم على النوع الإنساني و حياته و ولوجه الروح، فإذا فُتح وجبَ على النوع الحيواني، و حياته اشتماله على الدّم و العظم و العرق، و لقد ذكرا </w:t>
      </w:r>
      <w:r>
        <w:rPr>
          <w:rStyle w:val="FootnoteAnchor"/>
          <w:rtl w:val="true"/>
        </w:rPr>
        <w:footnoteReference w:id="1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أطعمتهما بعض ما تعرّضنا له هنا، فإذا مَدَّ الله تعالى بالأجَل زدناه وضوحاً في مقامه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كلب الصيد مطلقاً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 القيد لا يحتاجان إلى تجسّم الاستدلال؛ لأنّ النجاسة فيهما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الصّدوق </w:t>
      </w:r>
      <w:r>
        <w:rPr>
          <w:rStyle w:val="FootnoteAnchor"/>
          <w:rtl w:val="true"/>
        </w:rPr>
        <w:footnoteReference w:id="1694"/>
      </w:r>
      <w:r>
        <w:rPr>
          <w:rFonts w:ascii="Amiri" w:hAnsi="Amiri" w:eastAsia="Amiri" w:cs="Amiri"/>
          <w:color w:val="111111"/>
          <w:sz w:val="28"/>
          <w:sz w:val="28"/>
          <w:szCs w:val="28"/>
          <w:rtl w:val="true"/>
          <w:lang w:bidi="ar-SA"/>
        </w:rPr>
        <w:t xml:space="preserve">طهارة كلب الصّيد، و هو محجوج بالإجماع </w:t>
      </w:r>
      <w:r>
        <w:rPr>
          <w:rStyle w:val="FootnoteAnchor"/>
          <w:rtl w:val="true"/>
        </w:rPr>
        <w:footnoteReference w:id="1695"/>
      </w:r>
      <w:r>
        <w:rPr>
          <w:rFonts w:ascii="Amiri" w:hAnsi="Amiri" w:eastAsia="Amiri" w:cs="Amiri"/>
          <w:color w:val="111111"/>
          <w:sz w:val="28"/>
          <w:sz w:val="28"/>
          <w:szCs w:val="28"/>
          <w:rtl w:val="true"/>
          <w:lang w:bidi="ar-SA"/>
        </w:rPr>
        <w:t>قبله و بعده، و 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مسسته فاغسل يدك</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و لعبارته محمل غير الظاهر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غيره كالحلّي </w:t>
      </w:r>
      <w:r>
        <w:rPr>
          <w:rStyle w:val="FootnoteAnchor"/>
          <w:rtl w:val="true"/>
        </w:rPr>
        <w:footnoteReference w:id="1697"/>
      </w:r>
      <w:r>
        <w:rPr>
          <w:rFonts w:ascii="Amiri" w:hAnsi="Amiri" w:eastAsia="Amiri" w:cs="Amiri"/>
          <w:color w:val="111111"/>
          <w:sz w:val="28"/>
          <w:sz w:val="28"/>
          <w:szCs w:val="28"/>
          <w:rtl w:val="true"/>
          <w:lang w:bidi="ar-SA"/>
        </w:rPr>
        <w:t xml:space="preserve">عموم الحكم للمائي فيهما، و استقر به الفاضل في المنتهى </w:t>
      </w:r>
      <w:r>
        <w:rPr>
          <w:rStyle w:val="FootnoteAnchor"/>
          <w:rtl w:val="true"/>
        </w:rPr>
        <w:footnoteReference w:id="1698"/>
      </w:r>
      <w:r>
        <w:rPr>
          <w:rFonts w:ascii="Amiri" w:hAnsi="Amiri" w:eastAsia="Amiri" w:cs="Amiri"/>
          <w:color w:val="111111"/>
          <w:sz w:val="28"/>
          <w:sz w:val="28"/>
          <w:szCs w:val="28"/>
          <w:rtl w:val="true"/>
          <w:lang w:bidi="ar-SA"/>
        </w:rPr>
        <w:t xml:space="preserve">، و تردّد فيه في البيان </w:t>
      </w:r>
      <w:r>
        <w:rPr>
          <w:rStyle w:val="FootnoteAnchor"/>
          <w:rtl w:val="true"/>
        </w:rPr>
        <w:footnoteReference w:id="1699"/>
      </w:r>
      <w:r>
        <w:rPr>
          <w:rFonts w:ascii="Amiri" w:hAnsi="Amiri" w:eastAsia="Amiri" w:cs="Amiri"/>
          <w:color w:val="111111"/>
          <w:sz w:val="28"/>
          <w:sz w:val="28"/>
          <w:szCs w:val="28"/>
          <w:rtl w:val="true"/>
          <w:lang w:bidi="ar-SA"/>
        </w:rPr>
        <w:t xml:space="preserve">، و جعل الوالد رحمه الله التجنّب أحوط؛ لشبهة صدق الاسم و فتوى البعض به </w:t>
      </w:r>
      <w:r>
        <w:rPr>
          <w:rStyle w:val="FootnoteAnchor"/>
          <w:rtl w:val="true"/>
        </w:rPr>
        <w:footnoteReference w:id="1700"/>
      </w:r>
      <w:r>
        <w:rPr>
          <w:rFonts w:ascii="Amiri" w:hAnsi="Amiri" w:eastAsia="Amiri" w:cs="Amiri"/>
          <w:color w:val="111111"/>
          <w:sz w:val="28"/>
          <w:sz w:val="28"/>
          <w:szCs w:val="28"/>
          <w:rtl w:val="true"/>
          <w:lang w:bidi="ar-SA"/>
        </w:rPr>
        <w:t>، ولكن الظاهر عدم العموم؛ لمنع الصدق على وجه الحقيقة، أو لأنه مشترك لفظاً، و لا يجوز حمل المشترك على معنييه مع وجود قرينة الحمل على أحدهما لو 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لو فرض أنّ الاشتراك معنويّ يعيّن البرّي انصرافهما له عند الإطلاق كانصراف الماء للمطلق فيتوقّف الصدق في البحري على الإضافة إليه و للمصحّح في جلود الخَزّ،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بها بأس،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إنّها في بلادي إنّما هي كلاب تخرج من الماء؟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الماء تعيش خارجة من الماء؟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يتمّ الحكم بخنزير البحر قضاءً لحقّ التعليل و لعدم المفصّل، لكن يدفع الاشتراك اللّفظي أصالة عدمه و صحّة التقسيم عرفاً من غير تجوّز في المقسم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الانصراف؛ فللأنس بالبرّي، فهو بدوي لا ينفع في تقييد المطلقات، مع أنّه لا دليل على نجاسة ميتة البحري سوى العمومات و لم يدّع الانصراف أحدٌ هناك و لا فرق، و الرّواية لا يظهر منها غير التفصيل في المائي بين ما يعيش و ما لا يعيش، و لعلّ الثاني لا نفس له، فتدلّ على نجاسة ما يعيش، و حيث لا مفصّل هنا يجب طرحها، كدعوى مجازيّة إطلاق الاسم عليه، فإنّ مآلَهُ إلى ملاحظة نجاسة البرّي و وضع اللّفظ له، و الأصل العدم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احتمال اختصاص الموضوع بالبرّي يكفي في سلب الأحكام عن غيره، و لا قطع بعدم الاختصاص، و الأصل معارض بأصالة عدم ملاحظة العموم، و الانصراف بمعونة فهم العلماء لا يخال عنه، فيفرق بين المقام وبين الميتة أنّ الميتة اسمٌ لمن تحقّق الوصف فيه كالمشتقّ، و الحكم المعلّق عليها حينئذ يتبع تحقّق ذلك المعنى الملحوظ في التسمية، و لذا لم ينصرف لقسم من أقسام ذي الرّوح، و لا كذلك الكلب و صاحبه و غيرهما من سائر الأعيان؛ لوضوح إمكان تحقّق الانصراف، فالمتّجه الطهارة في خبر البريّ </w:t>
      </w:r>
      <w:r>
        <w:rPr>
          <w:rStyle w:val="FootnoteAnchor"/>
          <w:rtl w:val="true"/>
        </w:rPr>
        <w:footnoteReference w:id="17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في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من اللّبن و الأنفحة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تحلّها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كالشعر و غيره، بل و سائر فضلاتها كالعرق و اللّعاب على المشهور </w:t>
      </w:r>
      <w:r>
        <w:rPr>
          <w:rStyle w:val="FootnoteAnchor"/>
          <w:rtl w:val="true"/>
        </w:rPr>
        <w:footnoteReference w:id="1703"/>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 xml:space="preserve">. </w:t>
      </w:r>
      <w:bookmarkStart w:id="134" w:name="pg9146_86170"/>
    </w:p>
    <w:p>
      <w:pPr>
        <w:pStyle w:val="BookText"/>
        <w:rPr/>
      </w:pPr>
      <w:bookmarkEnd w:id="134"/>
      <w:r>
        <w:rPr>
          <w:rFonts w:ascii="IRNazanin" w:hAnsi="IRNazanin" w:eastAsia="IRNazanin"/>
          <w:color w:val="111111"/>
          <w:sz w:val="28"/>
          <w:sz w:val="28"/>
          <w:szCs w:val="28"/>
          <w:rtl w:val="true"/>
          <w:lang w:bidi="fa-IR"/>
        </w:rPr>
        <w:t xml:space="preserve">و بعض الأخبار </w:t>
      </w:r>
      <w:r>
        <w:rPr>
          <w:rStyle w:val="FootnoteAnchor"/>
          <w:rtl w:val="true"/>
        </w:rPr>
        <w:footnoteReference w:id="1704"/>
      </w:r>
      <w:r>
        <w:rPr>
          <w:rFonts w:ascii="Amiri" w:hAnsi="Amiri" w:eastAsia="Amiri" w:cs="Amiri"/>
          <w:color w:val="111111"/>
          <w:sz w:val="28"/>
          <w:sz w:val="28"/>
          <w:szCs w:val="28"/>
          <w:rtl w:val="true"/>
          <w:lang w:bidi="ar-SA"/>
        </w:rPr>
        <w:t xml:space="preserve">كالصّريح فيه، فخلاف المرتضى </w:t>
      </w:r>
      <w:r>
        <w:rPr>
          <w:rStyle w:val="FootnoteAnchor"/>
          <w:rtl w:val="true"/>
        </w:rPr>
        <w:footnoteReference w:id="1705"/>
      </w:r>
      <w:r>
        <w:rPr>
          <w:rFonts w:ascii="Amiri" w:hAnsi="Amiri" w:eastAsia="Amiri" w:cs="Amiri"/>
          <w:color w:val="111111"/>
          <w:sz w:val="28"/>
          <w:sz w:val="28"/>
          <w:szCs w:val="28"/>
          <w:rtl w:val="true"/>
          <w:lang w:bidi="ar-SA"/>
        </w:rPr>
        <w:t xml:space="preserve">و ابنه لا عِبرَة به، لا لما قيل </w:t>
      </w:r>
      <w:r>
        <w:rPr>
          <w:rStyle w:val="FootnoteAnchor"/>
          <w:rtl w:val="true"/>
        </w:rPr>
        <w:footnoteReference w:id="1706"/>
      </w:r>
      <w:r>
        <w:rPr>
          <w:rFonts w:ascii="Amiri" w:hAnsi="Amiri" w:eastAsia="Amiri" w:cs="Amiri"/>
          <w:color w:val="111111"/>
          <w:sz w:val="28"/>
          <w:sz w:val="28"/>
          <w:szCs w:val="28"/>
          <w:rtl w:val="true"/>
          <w:lang w:bidi="ar-SA"/>
        </w:rPr>
        <w:t>من أنّ نجاسة عينها توجب عموم الحكم لكلّ الأجزاء، فالخارج محتاج إلى الدّليل؛ لانحصار فائدة النجاسة العينيّة بعدم قبول التطهير، أو عدم اعتبار الموت، و لا شيء منهما في المقام، بل لضعف ما استند إليه؛ إذ مرجعه إلى القياس، أو التحكّم في أنّه لا يكون من جملة الحَيَّ إِلَّا ما تحلّه الحياة كما هو صريحهما</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3322614_2870459653"/>
      <w:bookmarkStart w:id="136" w:name="_Toc45"/>
      <w:bookmarkEnd w:id="135"/>
      <w:r>
        <w:rPr>
          <w:rtl w:val="true"/>
        </w:rPr>
        <w:t>[</w:t>
      </w:r>
      <w:r>
        <w:rPr>
          <w:rtl w:val="true"/>
        </w:rPr>
        <w:t xml:space="preserve">ما تولد من الكلب و الخنزير </w:t>
      </w:r>
      <w:r>
        <w:rPr>
          <w:rtl w:val="true"/>
        </w:rPr>
        <w:t>]</w:t>
      </w:r>
      <w:bookmarkEnd w:id="136"/>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حكمها عندهما في غيره تبعاً للفاضل </w:t>
      </w:r>
      <w:r>
        <w:rPr>
          <w:rStyle w:val="FootnoteAnchor"/>
          <w:rtl w:val="true"/>
        </w:rPr>
        <w:footnoteReference w:id="1707"/>
      </w:r>
      <w:r>
        <w:rPr>
          <w:rFonts w:ascii="Amiri" w:hAnsi="Amiri" w:eastAsia="Amiri" w:cs="Amiri"/>
          <w:color w:val="111111"/>
          <w:sz w:val="28"/>
          <w:sz w:val="28"/>
          <w:szCs w:val="28"/>
          <w:rtl w:val="true"/>
          <w:lang w:bidi="ar-SA"/>
        </w:rPr>
        <w:t xml:space="preserve">في بعض زبره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تولّد منهما و إن باينهما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وافق طاهراً أو نجساً غيرهما لو كان، و هو مشكل كما في التذكرة </w:t>
      </w:r>
      <w:r>
        <w:rPr>
          <w:rStyle w:val="FootnoteAnchor"/>
          <w:rtl w:val="true"/>
        </w:rPr>
        <w:footnoteReference w:id="1708"/>
      </w:r>
      <w:r>
        <w:rPr>
          <w:rFonts w:ascii="IRNazanin" w:hAnsi="IRNazanin" w:eastAsia="IRNazanin"/>
          <w:color w:val="111111"/>
          <w:sz w:val="28"/>
          <w:sz w:val="28"/>
          <w:szCs w:val="28"/>
          <w:rtl w:val="true"/>
          <w:lang w:bidi="fa-IR"/>
        </w:rPr>
        <w:t>للأصل السالم عن المعارض فيما لو و افق طاهراً و إن شابهها؛ إذ لا وجه للتبعيّة سوى تغليب جانب الأمّ، و هو اعتباری، و التكوّن من مائهما لا يفيد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المتولّد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فطاهر ككلب و شاة 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يتبع في الحكم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موافقاً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وفاقاً للفاضلين </w:t>
      </w:r>
      <w:r>
        <w:rPr>
          <w:rStyle w:val="FootnoteAnchor"/>
          <w:rtl w:val="true"/>
        </w:rPr>
        <w:footnoteReference w:id="1709"/>
      </w:r>
      <w:r>
        <w:rPr>
          <w:rFonts w:ascii="Amiri" w:hAnsi="Amiri" w:eastAsia="Amiri" w:cs="Amiri"/>
          <w:color w:val="111111"/>
          <w:sz w:val="28"/>
          <w:sz w:val="28"/>
          <w:szCs w:val="28"/>
          <w:rtl w:val="true"/>
          <w:lang w:bidi="ar-SA"/>
        </w:rPr>
        <w:t xml:space="preserve">و البيان و الذكرى </w:t>
      </w:r>
      <w:r>
        <w:rPr>
          <w:rStyle w:val="FootnoteAnchor"/>
          <w:rtl w:val="true"/>
        </w:rPr>
        <w:footnoteReference w:id="1710"/>
      </w:r>
      <w:r>
        <w:rPr>
          <w:rFonts w:ascii="Amiri" w:hAnsi="Amiri" w:eastAsia="Amiri" w:cs="Amiri"/>
          <w:color w:val="111111"/>
          <w:sz w:val="28"/>
          <w:sz w:val="28"/>
          <w:szCs w:val="28"/>
          <w:rtl w:val="true"/>
          <w:lang w:bidi="ar-SA"/>
        </w:rPr>
        <w:t xml:space="preserve">من غير استشكال، و سرّه تساوي احتمال أن يكون من ماء النجس لاحتمال أن يكون من الطاهر، و لا مرجّح، فلا يبقى إلّا رعاية الاسم و الأصل، ولكن البعضيّة كافية في التردّد في الطهارة، فلا معنى لنفي الإشكال هنا و إثباته هناك، هذا إذا كان له مُشاكل،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انتفى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طهارته و إن حرم لحمه؛ للأصل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يصدق عليه اسم أحدهما </w:t>
      </w:r>
    </w:p>
    <w:p>
      <w:pPr>
        <w:pStyle w:val="BookText"/>
        <w:rPr/>
      </w:pPr>
      <w:r>
        <w:rPr>
          <w:rFonts w:ascii="Amiri" w:hAnsi="Amiri" w:eastAsia="Amiri" w:cs="Amiri"/>
          <w:color w:val="111111"/>
          <w:sz w:val="28"/>
          <w:sz w:val="28"/>
          <w:szCs w:val="28"/>
          <w:rtl w:val="true"/>
          <w:lang w:bidi="ar-SA"/>
        </w:rPr>
        <w:t xml:space="preserve">و لا غيرهما ممّا هو معلوم الحكم فالأقوى فيه الطَّهارة و التحريم </w:t>
      </w:r>
      <w:r>
        <w:rPr>
          <w:rStyle w:val="FootnoteAnchor"/>
          <w:rtl w:val="true"/>
        </w:rPr>
        <w:footnoteReference w:id="17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التفكيك إن كان بعد الذبح فهو لا وجه له؛ لأنّ ما يقبل التذكية من المشتبه لا شبهة في حلِّية لحمه؛ إذ التذكية و إن لم تكن سبباً تاماً للحلّيّة، لكنّها في غير المعلوم حرمته و صحّت تذكيته بالفرض هي سبب تامّ في الحليّة قولاً واحداً، بل الأقوى أنّ محرّم اللحم لا تقع عليه التذكية، و سيجيء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كان قبله فلا ثمرة في الحكم بحرمة لحمه؛ إذ كلّ طاهر قبل التذكية حرام اللحم، و لا معنى لاستصحاب حرمة لحم الحَیّ إلى ما بعد الحياة؛ لتبدّل الموضوع جزماً، فيحتمل قويّاً أنّ مراده بالأصلين طهارته و حرمة لحمه حال الحياة قبل التذكية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قبوله للتذكية و عدمه فهو موكول إلى تنقيح الأصل فيه، و كلّ على بنائه، و في العبارة مسكوتٌ عنه، فلا وقع للإنكار عليه كما في الحدائق </w:t>
      </w:r>
      <w:r>
        <w:rPr>
          <w:rStyle w:val="FootnoteAnchor"/>
          <w:rtl w:val="true"/>
        </w:rPr>
        <w:footnoteReference w:id="1712"/>
      </w:r>
      <w:r>
        <w:rPr>
          <w:rFonts w:ascii="Amiri" w:hAnsi="Amiri" w:eastAsia="Amiri" w:cs="Amiri"/>
          <w:color w:val="111111"/>
          <w:sz w:val="28"/>
          <w:sz w:val="28"/>
          <w:szCs w:val="28"/>
          <w:rtl w:val="true"/>
          <w:lang w:bidi="ar-SA"/>
        </w:rPr>
        <w:t xml:space="preserve">المصرّ عليه الأُستاد تحريراً و تقريراً في أصوله </w:t>
      </w:r>
      <w:r>
        <w:rPr>
          <w:rStyle w:val="FootnoteAnchor"/>
          <w:rtl w:val="true"/>
        </w:rPr>
        <w:footnoteReference w:id="1713"/>
      </w:r>
      <w:r>
        <w:rPr>
          <w:rFonts w:ascii="IRNazanin" w:hAnsi="IRNazanin" w:eastAsia="IRNazanin"/>
          <w:color w:val="111111"/>
          <w:sz w:val="28"/>
          <w:sz w:val="28"/>
          <w:szCs w:val="28"/>
          <w:rtl w:val="true"/>
          <w:lang w:bidi="fa-IR"/>
        </w:rPr>
        <w:t xml:space="preserve">و فقهه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و على الظاهر المفهوم منه لا معنى لحمل المعلّقين عليه من عدم انحصار الحيوانات المحرّمة لكثرتها فيلحق هذا الفرد بالمحرّم للغلبة، أو أنّ النجاسات محصورة و المحلّلات كذلك، و ليس هذا منها فيكون طاهراً و حراماً كما هو نصّهم؛ إذ مرجعه حينئذ إلى الغلبة التي لا تفيد علماً و لا عملاً بعد تسليمها فعسى أن تكون الحيوانات كالطّيور، بل أصالة الحلّ تساوق أصالة الطّهارة هنا؛ للنّص</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فالسؤال عن المحلّل في النصوص من باب الفحص عن المخصص كالسؤال عن النّجس، و حينئذٍ يمكن أن يريد به أصالة عدم التذكية المتوقّف عليها الحلّ و لو من حيث إخراج المذكّى عن عنوان الميتة، و لا ينكر ترتّب أحكام الميتة عليه في الشبهات الموضوعيّة </w:t>
      </w:r>
    </w:p>
    <w:p>
      <w:pPr>
        <w:pStyle w:val="BookText"/>
        <w:rPr/>
      </w:pPr>
      <w:r>
        <w:rPr>
          <w:rFonts w:ascii="IRNazanin" w:hAnsi="IRNazanin" w:eastAsia="IRNazanin"/>
          <w:color w:val="111111"/>
          <w:sz w:val="28"/>
          <w:sz w:val="28"/>
          <w:szCs w:val="28"/>
          <w:rtl w:val="true"/>
          <w:lang w:bidi="fa-IR"/>
        </w:rPr>
        <w:t xml:space="preserve">و إن خالف البعض </w:t>
      </w:r>
      <w:r>
        <w:rPr>
          <w:rStyle w:val="FootnoteAnchor"/>
          <w:rtl w:val="true"/>
        </w:rPr>
        <w:footnoteReference w:id="1715"/>
      </w:r>
      <w:r>
        <w:rPr>
          <w:rFonts w:ascii="Amiri" w:hAnsi="Amiri" w:eastAsia="Amiri" w:cs="Amiri"/>
          <w:color w:val="111111"/>
          <w:sz w:val="28"/>
          <w:sz w:val="28"/>
          <w:szCs w:val="28"/>
          <w:rtl w:val="true"/>
          <w:lang w:bidi="ar-SA"/>
        </w:rPr>
        <w:t>، على اختلافهم في إنكار حجّيّة أصالة العدم أو إناطة الحرّمة و النجاسة على الموت حتف الأنف لا على عدم التذكية، و هما منفيّان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 xml:space="preserve">و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 و وضوح ثبوت الحرمة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الحكميّة فالذي يرى انقلاب أصالة عدم قابليّة الحيوان مطلقاً للتذكية إلى أصالة قبوله مطلقاً إلَّا ما خرج كان الحكم في مقامنا هو الحلّ بلا شبهة، و من لا يرى الانقلاب يحكم بالحرمة؛ إذ التذكية أمرٌ شرعىّ يتوقّف ثبوته على دليله، فيجري أصالة عدمها حتّى تثبت، فيتوقّف الحكم بالحلّية على تحقّق الأصل الثانوي و انقلاب الأوّلي إليه يظهر من الفاضل في القواعد </w:t>
      </w:r>
      <w:r>
        <w:rPr>
          <w:rStyle w:val="FootnoteAnchor"/>
          <w:rtl w:val="true"/>
        </w:rPr>
        <w:footnoteReference w:id="1718"/>
      </w:r>
      <w:r>
        <w:rPr>
          <w:rFonts w:ascii="Amiri" w:hAnsi="Amiri" w:eastAsia="Amiri" w:cs="Amiri"/>
          <w:color w:val="111111"/>
          <w:sz w:val="28"/>
          <w:sz w:val="28"/>
          <w:szCs w:val="28"/>
          <w:rtl w:val="true"/>
          <w:lang w:bidi="ar-SA"/>
        </w:rPr>
        <w:t xml:space="preserve">و المصنّف </w:t>
      </w:r>
      <w:r>
        <w:rPr>
          <w:rStyle w:val="FootnoteAnchor"/>
          <w:rtl w:val="true"/>
        </w:rPr>
        <w:footnoteReference w:id="1719"/>
      </w:r>
      <w:r>
        <w:rPr>
          <w:rFonts w:ascii="Amiri" w:hAnsi="Amiri" w:eastAsia="Amiri" w:cs="Amiri"/>
          <w:color w:val="111111"/>
          <w:sz w:val="28"/>
          <w:sz w:val="28"/>
          <w:szCs w:val="28"/>
          <w:rtl w:val="true"/>
          <w:lang w:bidi="ar-SA"/>
        </w:rPr>
        <w:t xml:space="preserve">، فيكون القبول أصلاً ثانويّاً قاطعاً للأوّل و هو الأقوى عند الأستاذ </w:t>
      </w:r>
      <w:r>
        <w:rPr>
          <w:rStyle w:val="FootnoteAnchor"/>
          <w:rtl w:val="true"/>
        </w:rPr>
        <w:footnoteReference w:id="1720"/>
      </w:r>
      <w:r>
        <w:rPr>
          <w:rFonts w:ascii="Amiri" w:hAnsi="Amiri" w:eastAsia="Amiri" w:cs="Amiri"/>
          <w:color w:val="111111"/>
          <w:sz w:val="28"/>
          <w:sz w:val="28"/>
          <w:szCs w:val="28"/>
          <w:rtl w:val="true"/>
          <w:lang w:bidi="ar-SA"/>
        </w:rPr>
        <w:t xml:space="preserve">، و من آخرين كالشارح </w:t>
      </w:r>
      <w:r>
        <w:rPr>
          <w:rStyle w:val="FootnoteAnchor"/>
          <w:rtl w:val="true"/>
        </w:rPr>
        <w:footnoteReference w:id="1721"/>
      </w:r>
      <w:r>
        <w:rPr>
          <w:rFonts w:ascii="Amiri" w:hAnsi="Amiri" w:eastAsia="Amiri" w:cs="Amiri"/>
          <w:color w:val="111111"/>
          <w:sz w:val="28"/>
          <w:sz w:val="28"/>
          <w:szCs w:val="28"/>
          <w:rtl w:val="true"/>
          <w:lang w:bidi="ar-SA"/>
        </w:rPr>
        <w:t xml:space="preserve">و غيره </w:t>
      </w:r>
      <w:r>
        <w:rPr>
          <w:rStyle w:val="FootnoteAnchor"/>
          <w:rtl w:val="true"/>
        </w:rPr>
        <w:footnoteReference w:id="1722"/>
      </w:r>
      <w:r>
        <w:rPr>
          <w:rFonts w:ascii="Amiri" w:hAnsi="Amiri" w:eastAsia="Amiri" w:cs="Amiri"/>
          <w:color w:val="111111"/>
          <w:sz w:val="28"/>
          <w:sz w:val="28"/>
          <w:szCs w:val="28"/>
          <w:rtl w:val="true"/>
          <w:lang w:bidi="ar-SA"/>
        </w:rPr>
        <w:t xml:space="preserve">عدم الانقلاب و إنكار استفادة الأصل الثانوي من الأخبار، بل هو ظاهر كلّ </w:t>
      </w:r>
      <w:r>
        <w:rPr>
          <w:rStyle w:val="FootnoteAnchor"/>
          <w:rtl w:val="true"/>
        </w:rPr>
        <w:footnoteReference w:id="1723"/>
      </w:r>
      <w:r>
        <w:rPr>
          <w:rFonts w:ascii="Amiri" w:hAnsi="Amiri" w:eastAsia="Amiri" w:cs="Amiri"/>
          <w:color w:val="111111"/>
          <w:sz w:val="28"/>
          <w:sz w:val="28"/>
          <w:szCs w:val="28"/>
          <w:rtl w:val="true"/>
          <w:lang w:bidi="ar-SA"/>
        </w:rPr>
        <w:t xml:space="preserve">من منع وقوع الذكاة على المسوخ و الحشرات و السّباع و قال بطهارتها، فإنّه لا دليل لهم سوى الأصل الأوّلي، مع ورود بعض النصوص بخلافه، فأعجب لنفي خلاف الحدائق </w:t>
      </w:r>
      <w:r>
        <w:rPr>
          <w:rStyle w:val="FootnoteAnchor"/>
          <w:rtl w:val="true"/>
        </w:rPr>
        <w:footnoteReference w:id="1724"/>
      </w:r>
      <w:r>
        <w:rPr>
          <w:rFonts w:ascii="Amiri" w:hAnsi="Amiri" w:eastAsia="Amiri" w:cs="Amiri"/>
          <w:color w:val="111111"/>
          <w:sz w:val="28"/>
          <w:sz w:val="28"/>
          <w:szCs w:val="28"/>
          <w:rtl w:val="true"/>
          <w:lang w:bidi="ar-SA"/>
        </w:rPr>
        <w:t>في قبول كلّ حيوان للتذكية، فراجع الذباحة لتقف على المسألة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عسى أنّ أصالة الطهارة و الإباحة تكفي في ردّ الشارح رحمه الله فيهما، فيثبت بأصالة الإباحة قابليّة الحيوان للتذكية بناءً على عدم الفرق بين الإباحة الفعليّة و الشأنيّة في الأصل </w:t>
      </w:r>
    </w:p>
    <w:p>
      <w:pPr>
        <w:pStyle w:val="BookText"/>
        <w:rPr/>
      </w:pPr>
      <w:r>
        <w:rPr>
          <w:rFonts w:ascii="Amiri" w:hAnsi="Amiri" w:eastAsia="Amiri" w:cs="Amiri"/>
          <w:color w:val="111111"/>
          <w:sz w:val="28"/>
          <w:sz w:val="28"/>
          <w:szCs w:val="28"/>
          <w:rtl w:val="true"/>
          <w:lang w:bidi="ar-SA"/>
        </w:rPr>
        <w:t>الأوليّ الثابت من الشرع و العقل، كإحراز قابلية نكاح كلّ امرأة في قِبال ما يحرم نكاحها، فيكون أصالة قبول التذكية في الحيوان و النكاح في المرأة وارد و مزيل لأصالة عدم و أصالة عدم النكاح، و تمام الكلام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الظاهر أنّ المرجع هنا هو الأصل الموضوعي الجاري في المشكوك، و هو عدم تذكيته، دون الأصل الحكمي فتأمل، فإنّ إطالة الفكر في أمثال المقام هو الاجتهاد في الأحكام المبرئ للذّمّة 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مطلقاً </w:t>
      </w:r>
      <w:r>
        <w:rPr>
          <w:rStyle w:val="FootnoteAnchor"/>
          <w:rtl w:val="true"/>
        </w:rPr>
        <w:footnoteReference w:id="17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أقسامه و أجزائه حتّى الشّعر و نحوه </w:t>
      </w:r>
      <w:r>
        <w:rPr>
          <w:rStyle w:val="FootnoteAnchor"/>
          <w:rtl w:val="true"/>
        </w:rPr>
        <w:footnoteReference w:id="1726"/>
      </w:r>
      <w:r>
        <w:rPr>
          <w:rFonts w:ascii="IRNazanin" w:hAnsi="IRNazanin" w:eastAsia="IRNazanin"/>
          <w:color w:val="111111"/>
          <w:sz w:val="28"/>
          <w:sz w:val="28"/>
          <w:szCs w:val="28"/>
          <w:rtl w:val="true"/>
          <w:lang w:bidi="fa-IR"/>
        </w:rPr>
        <w:t xml:space="preserve">، و خلاف المرتضى </w:t>
      </w:r>
      <w:r>
        <w:rPr>
          <w:rStyle w:val="FootnoteAnchor"/>
          <w:rtl w:val="true"/>
        </w:rPr>
        <w:footnoteReference w:id="1727"/>
      </w:r>
      <w:r>
        <w:rPr>
          <w:rFonts w:ascii="Amiri" w:hAnsi="Amiri" w:eastAsia="Amiri" w:cs="Amiri"/>
          <w:color w:val="111111"/>
          <w:sz w:val="28"/>
          <w:sz w:val="28"/>
          <w:szCs w:val="28"/>
          <w:rtl w:val="true"/>
          <w:lang w:bidi="ar-SA"/>
        </w:rPr>
        <w:t>آت فيما لا تحلّه الحياة منه، و دليل استثنائه له الكلب و أخويه جارٍ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الإطلاق؛ لصدق اسم الكافر على جميع أجزائه الذي لا ينافيه بقاء الصّدق في انتفاء بعضها، فلا فرق بين الأجزاء كما هو بين الأقسام من الحربي و الذمّي و المُعاهِد و الكتابي و غيره، و الفطری و الملّي، و من كان كفره الجحود أو شكّ سواء تعلّقا بالخالق أو رُسُله أو بلوازمها المعلومة من الدِّين ضرورةً، أو الضروري و إن لم يكن لازماً من أحوال المعاد و الفروع الضرورية، فالمُنكِر كافر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انتحلَ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ادّعاه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ضروريّاته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إثباته لما انتفى من الدّين بالضرورة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المعلوم عند المسلم و غيره أنّه من دين محمّد صلّی الله علیه و آله، و لا يحتاج إثباته إلى دليل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المعتبر أنّ المجمع عليه ضروريّ </w:t>
      </w:r>
      <w:r>
        <w:rPr>
          <w:rStyle w:val="FootnoteAnchor"/>
          <w:rtl w:val="true"/>
        </w:rPr>
        <w:footnoteReference w:id="1728"/>
      </w:r>
      <w:r>
        <w:rPr>
          <w:rFonts w:ascii="Amiri" w:hAnsi="Amiri" w:eastAsia="Amiri" w:cs="Amiri"/>
          <w:color w:val="111111"/>
          <w:sz w:val="28"/>
          <w:sz w:val="28"/>
          <w:szCs w:val="28"/>
          <w:rtl w:val="true"/>
          <w:lang w:bidi="ar-SA"/>
        </w:rPr>
        <w:t xml:space="preserve">، و منه إنكار ما علمٍ أنّه من الدّين بأيّ أنحاء </w:t>
      </w:r>
      <w:bookmarkStart w:id="137" w:name="pg9146_86174"/>
    </w:p>
    <w:p>
      <w:pPr>
        <w:pStyle w:val="BookText"/>
        <w:rPr/>
      </w:pPr>
      <w:bookmarkEnd w:id="137"/>
      <w:r>
        <w:rPr>
          <w:rFonts w:ascii="IRNazanin" w:hAnsi="IRNazanin" w:eastAsia="IRNazanin"/>
          <w:color w:val="111111"/>
          <w:sz w:val="28"/>
          <w:sz w:val="28"/>
          <w:szCs w:val="28"/>
          <w:rtl w:val="true"/>
          <w:lang w:bidi="fa-IR"/>
        </w:rPr>
        <w:t>العلم و إن لم يكن ضروريّاً عند الجميع، نحو سماع الحكم شفاها من النبيّ صلّی الله علیه و آله أو أحد الأئمّة علیهم السلام، لكن لا يترتّب حكم الكافر عليه إلّا بعد إقراره على نفسه بإنكاره لما علم أنّه من الدّين</w:t>
      </w:r>
      <w:r>
        <w:rPr>
          <w:rFonts w:eastAsia="IRNazanin" w:cs="IRNazanin"/>
          <w:color w:val="111111"/>
          <w:sz w:val="28"/>
          <w:szCs w:val="28"/>
          <w:rtl w:val="true"/>
          <w:lang w:bidi="fa-IR"/>
        </w:rPr>
        <w:t>.</w:t>
      </w:r>
    </w:p>
    <w:p>
      <w:pPr>
        <w:pStyle w:val="Heading2"/>
        <w:numPr>
          <w:ilvl w:val="1"/>
          <w:numId w:val="1"/>
        </w:numPr>
        <w:rPr/>
      </w:pPr>
      <w:bookmarkStart w:id="138" w:name="__RefHeading___Toc3322616_2870459653"/>
      <w:bookmarkStart w:id="139" w:name="_Toc46"/>
      <w:bookmarkEnd w:id="138"/>
      <w:r>
        <w:rPr>
          <w:rtl w:val="true"/>
        </w:rPr>
        <w:t>[</w:t>
      </w:r>
      <w:r>
        <w:rPr>
          <w:rtl w:val="true"/>
        </w:rPr>
        <w:t>ضابط الكفر</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يشمل جميع أقسامه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كالدّهرية،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لنبيّنا صلّی الله علیه و آله، أو مطلقاً، و مَن أنكرَ غير نبيّنا صلّی الله علیه و آله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معترفاً برسالة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شبهة، ففي كفره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لو أنكرَ جميع غير الضّروري؛ إذ الجميع ضروري ثبوته بوصف الجميعية،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علم ثبوته من الدين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فيشمل المُنكِر لغير نبيّنا من الرُّسل لا عن شبهة، و المنكر للوحدانيّة، بل سائر الصفات الثبوتيّة و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بحكمه من لم يصدّق و إن لم يكن منكراً، كلّ ذلك للإجماع المحقِّق الجاري على لسان جماعة </w:t>
      </w:r>
      <w:r>
        <w:rPr>
          <w:rStyle w:val="FootnoteAnchor"/>
          <w:rtl w:val="true"/>
        </w:rPr>
        <w:footnoteReference w:id="1729"/>
      </w:r>
      <w:r>
        <w:rPr>
          <w:rFonts w:ascii="Amiri" w:hAnsi="Amiri" w:eastAsia="Amiri" w:cs="Amiri"/>
          <w:color w:val="111111"/>
          <w:sz w:val="28"/>
          <w:sz w:val="28"/>
          <w:szCs w:val="28"/>
          <w:rtl w:val="true"/>
          <w:lang w:bidi="ar-SA"/>
        </w:rPr>
        <w:t xml:space="preserve">، إجماعهم فضلاً عن نقلهم يكفي في إثبات الحكم الجابر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 xml:space="preserve">، فقد نصّ غير واحد </w:t>
      </w:r>
      <w:r>
        <w:rPr>
          <w:rStyle w:val="FootnoteAnchor"/>
          <w:rtl w:val="true"/>
        </w:rPr>
        <w:footnoteReference w:id="1731"/>
      </w:r>
      <w:r>
        <w:rPr>
          <w:rFonts w:ascii="Amiri" w:hAnsi="Amiri" w:eastAsia="Amiri" w:cs="Amiri"/>
          <w:color w:val="111111"/>
          <w:sz w:val="28"/>
          <w:sz w:val="28"/>
          <w:szCs w:val="28"/>
          <w:rtl w:val="true"/>
          <w:lang w:bidi="ar-SA"/>
        </w:rPr>
        <w:t>على تعميم المشرك لجميع أقسام الكافر، و أنّ المراد بالنجاسة معناها الذي تقدّم فلا تحمل على المعنويّة، فإنّ الأخبار و سائر الاستعمالات الشرعيّة كلّها شاهدة على إرادة النجاسة الشرعيّة في إطلاق النجاسة، بل يثبت المدّعى لو حملنا النجاسة على معناها اللغوي؛ إذ كونهم أقذاراً عند الشارع يكفي في إثبات نجاستهم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أريد بالمشركين المعهودون الذين منعوا من المسجد الحرام عَمَّ الحكم أيضاً؛ لعدم المفصل، و لتعلّق الحكم على الوصف، و لبعض النصوص الظاهر ذلك منها، كموثّقة الأعرج </w:t>
      </w:r>
    </w:p>
    <w:p>
      <w:pPr>
        <w:pStyle w:val="BookText"/>
        <w:rPr/>
      </w:pPr>
      <w:r>
        <w:rPr>
          <w:rFonts w:ascii="Amiri" w:hAnsi="Amiri" w:eastAsia="Amiri" w:cs="Amiri"/>
          <w:color w:val="111111"/>
          <w:sz w:val="28"/>
          <w:sz w:val="28"/>
          <w:szCs w:val="28"/>
          <w:rtl w:val="true"/>
          <w:lang w:bidi="ar-SA"/>
        </w:rPr>
        <w:t xml:space="preserve">في سؤر اليهودي </w:t>
      </w:r>
      <w:r>
        <w:rPr>
          <w:rStyle w:val="FootnoteAnchor"/>
          <w:rtl w:val="true"/>
        </w:rPr>
        <w:footnoteReference w:id="1732"/>
      </w:r>
      <w:r>
        <w:rPr>
          <w:rFonts w:ascii="Amiri" w:hAnsi="Amiri" w:eastAsia="Amiri" w:cs="Amiri"/>
          <w:color w:val="111111"/>
          <w:sz w:val="28"/>
          <w:sz w:val="28"/>
          <w:szCs w:val="28"/>
          <w:rtl w:val="true"/>
          <w:lang w:bidi="ar-SA"/>
        </w:rPr>
        <w:t xml:space="preserve">، و رواية أبي بصير في مصافحته </w:t>
      </w:r>
      <w:r>
        <w:rPr>
          <w:rStyle w:val="FootnoteAnchor"/>
          <w:rtl w:val="true"/>
        </w:rPr>
        <w:footnoteReference w:id="1733"/>
      </w:r>
      <w:r>
        <w:rPr>
          <w:rFonts w:ascii="Amiri" w:hAnsi="Amiri" w:eastAsia="Amiri" w:cs="Amiri"/>
          <w:color w:val="111111"/>
          <w:sz w:val="28"/>
          <w:sz w:val="28"/>
          <w:szCs w:val="28"/>
          <w:rtl w:val="true"/>
          <w:lang w:bidi="ar-SA"/>
        </w:rPr>
        <w:t xml:space="preserve">، و رواية عليّ بن جعفر عن النّصراني إذا اغتسل مع المسلم </w:t>
      </w:r>
      <w:r>
        <w:rPr>
          <w:rStyle w:val="FootnoteAnchor"/>
          <w:rtl w:val="true"/>
        </w:rPr>
        <w:footnoteReference w:id="1734"/>
      </w:r>
      <w:r>
        <w:rPr>
          <w:rFonts w:ascii="Amiri" w:hAnsi="Amiri" w:eastAsia="Amiri" w:cs="Amiri"/>
          <w:color w:val="111111"/>
          <w:sz w:val="28"/>
          <w:sz w:val="28"/>
          <w:szCs w:val="28"/>
          <w:rtl w:val="true"/>
          <w:lang w:bidi="ar-SA"/>
        </w:rPr>
        <w:t xml:space="preserve">و غيرها </w:t>
      </w:r>
      <w:r>
        <w:rPr>
          <w:rStyle w:val="FootnoteAnchor"/>
          <w:rtl w:val="true"/>
        </w:rPr>
        <w:footnoteReference w:id="1735"/>
      </w:r>
      <w:r>
        <w:rPr>
          <w:rFonts w:ascii="Amiri" w:hAnsi="Amiri" w:eastAsia="Amiri" w:cs="Amiri"/>
          <w:color w:val="111111"/>
          <w:sz w:val="28"/>
          <w:sz w:val="28"/>
          <w:szCs w:val="28"/>
          <w:rtl w:val="true"/>
          <w:lang w:bidi="ar-SA"/>
        </w:rPr>
        <w:t>، الظاهر منها النجاسة ظهوراً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الإغضاء عمّا ذكرنا فاستفاضة هذه الإجماعات كاشفة قطعا عن دليل معتبر قائم على العموم، و لأجله ما تعرّض للمسألة في المختلف المعدّ للمسائل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فقد تردّد بعض المتأخِّرين </w:t>
      </w:r>
      <w:r>
        <w:rPr>
          <w:rStyle w:val="FootnoteAnchor"/>
          <w:rtl w:val="true"/>
        </w:rPr>
        <w:footnoteReference w:id="1736"/>
      </w:r>
      <w:r>
        <w:rPr>
          <w:rFonts w:ascii="Amiri" w:hAnsi="Amiri" w:eastAsia="Amiri" w:cs="Amiri"/>
          <w:color w:val="111111"/>
          <w:sz w:val="28"/>
          <w:sz w:val="28"/>
          <w:szCs w:val="28"/>
          <w:rtl w:val="true"/>
          <w:lang w:bidi="ar-SA"/>
        </w:rPr>
        <w:t xml:space="preserve">في نجاسة الكتابي مطلقاً، و أولاد الكفّار مطلقاً، و الكفّار الإضافية لا مطلقاً، بعد أن نَسَب الطَّهارة في الأوّل للمفيد و الشيخ في النهاية و الإسكافي و العماني، و النسبة موهونة بوجود الكراهة في كلام الأوّل، و لا يبعد إرادة الحرمة منها كما في بعض الأخبار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و يعضده تصريحه بالنجاسة في غير الرّسالة و حكم تلامذته بها، و يلحقه الثاني بالحمل و رفض الكلّ خلاف الثالث، و الرابع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ننكر وجود جملة من الأخبار </w:t>
      </w:r>
      <w:r>
        <w:rPr>
          <w:rStyle w:val="FootnoteAnchor"/>
          <w:rtl w:val="true"/>
        </w:rPr>
        <w:footnoteReference w:id="1738"/>
      </w:r>
      <w:r>
        <w:rPr>
          <w:rFonts w:ascii="Amiri" w:hAnsi="Amiri" w:eastAsia="Amiri" w:cs="Amiri"/>
          <w:color w:val="111111"/>
          <w:sz w:val="28"/>
          <w:sz w:val="28"/>
          <w:szCs w:val="28"/>
          <w:rtl w:val="true"/>
          <w:lang w:bidi="ar-SA"/>
        </w:rPr>
        <w:t>القاضية بجواز مباشرتهم الدّالة على طهارتهم، فإن كان مدرك الإجماع على النجاسة الآية و الأخبار التي بأيدينا و لا مدرك غيرهما يشكل الأمر؛ لتطرّق الوَهْن فيهما من حيث الدّلالة أو السّند، و إن كان هناك دليل قاطع هو مدرك الإجماع كان الحكم بها قويّاً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إعراض جُلّهم عن أخبار الطهارة، و فيها الصريح الصحيح، ممّا يؤيّد وقوفهم </w:t>
      </w:r>
    </w:p>
    <w:p>
      <w:pPr>
        <w:pStyle w:val="BookText"/>
        <w:rPr/>
      </w:pPr>
      <w:r>
        <w:rPr>
          <w:rFonts w:ascii="IRNazanin" w:hAnsi="IRNazanin" w:eastAsia="IRNazanin"/>
          <w:color w:val="111111"/>
          <w:sz w:val="28"/>
          <w:sz w:val="28"/>
          <w:szCs w:val="28"/>
          <w:rtl w:val="true"/>
          <w:lang w:bidi="fa-IR"/>
        </w:rPr>
        <w:t>على قاطع، فتنزّل أخبار الطّهارة على التقيّة، و يشهد له مصحّحة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طعام أهل الكتاب؟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 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و لا تتركه تقول إنّه حرام، ولكن تتركه تنزيهاً عنه، إنّ في آنيتهم الخمر و لحم الخنزير</w:t>
      </w:r>
      <w:r>
        <w:rPr>
          <w:rFonts w:eastAsia="IRNazanin" w:cs="IRNazanin"/>
          <w:color w:val="111111"/>
          <w:sz w:val="28"/>
          <w:szCs w:val="28"/>
          <w:rtl w:val="true"/>
          <w:lang w:bidi="fa-IR"/>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هي صريحة بالكراهة و التقيّة؛ للسّكوت المتخلّل، فيطّرد الحمل في أخبار الباب کرواية زكريّا </w:t>
      </w:r>
      <w:r>
        <w:rPr>
          <w:rStyle w:val="FootnoteAnchor"/>
          <w:rtl w:val="true"/>
        </w:rPr>
        <w:footnoteReference w:id="1740"/>
      </w:r>
      <w:r>
        <w:rPr>
          <w:rFonts w:ascii="Amiri" w:hAnsi="Amiri" w:eastAsia="Amiri" w:cs="Amiri"/>
          <w:color w:val="111111"/>
          <w:sz w:val="28"/>
          <w:sz w:val="28"/>
          <w:szCs w:val="28"/>
          <w:rtl w:val="true"/>
          <w:lang w:bidi="ar-SA"/>
        </w:rPr>
        <w:t xml:space="preserve">و الكاهلي </w:t>
      </w:r>
      <w:r>
        <w:rPr>
          <w:rStyle w:val="FootnoteAnchor"/>
          <w:rtl w:val="true"/>
        </w:rPr>
        <w:footnoteReference w:id="1741"/>
      </w:r>
      <w:r>
        <w:rPr>
          <w:rFonts w:ascii="Amiri" w:hAnsi="Amiri" w:eastAsia="Amiri" w:cs="Amiri"/>
          <w:color w:val="111111"/>
          <w:sz w:val="28"/>
          <w:sz w:val="28"/>
          <w:szCs w:val="28"/>
          <w:rtl w:val="true"/>
          <w:lang w:bidi="ar-SA"/>
        </w:rPr>
        <w:t xml:space="preserve">و البزنطي </w:t>
      </w:r>
      <w:r>
        <w:rPr>
          <w:rStyle w:val="FootnoteAnchor"/>
          <w:rtl w:val="true"/>
        </w:rPr>
        <w:footnoteReference w:id="1742"/>
      </w:r>
      <w:r>
        <w:rPr>
          <w:rFonts w:ascii="Amiri" w:hAnsi="Amiri" w:eastAsia="Amiri" w:cs="Amiri"/>
          <w:color w:val="111111"/>
          <w:sz w:val="28"/>
          <w:sz w:val="28"/>
          <w:szCs w:val="28"/>
          <w:rtl w:val="true"/>
          <w:lang w:bidi="ar-SA"/>
        </w:rPr>
        <w:t xml:space="preserve">و عمّار </w:t>
      </w:r>
      <w:r>
        <w:rPr>
          <w:rStyle w:val="FootnoteAnchor"/>
          <w:rtl w:val="true"/>
        </w:rPr>
        <w:footnoteReference w:id="1743"/>
      </w:r>
      <w:r>
        <w:rPr>
          <w:rFonts w:ascii="Amiri" w:hAnsi="Amiri" w:eastAsia="Amiri" w:cs="Amiri"/>
          <w:color w:val="111111"/>
          <w:sz w:val="28"/>
          <w:sz w:val="28"/>
          <w:szCs w:val="28"/>
          <w:rtl w:val="true"/>
          <w:lang w:bidi="ar-SA"/>
        </w:rPr>
        <w:t xml:space="preserve">و صحيحَتي إبراهيم </w:t>
      </w:r>
      <w:r>
        <w:rPr>
          <w:rStyle w:val="FootnoteAnchor"/>
          <w:rtl w:val="true"/>
        </w:rPr>
        <w:footnoteReference w:id="1744"/>
      </w:r>
      <w:r>
        <w:rPr>
          <w:rFonts w:ascii="Amiri" w:hAnsi="Amiri" w:eastAsia="Amiri" w:cs="Amiri"/>
          <w:color w:val="111111"/>
          <w:sz w:val="28"/>
          <w:sz w:val="28"/>
          <w:szCs w:val="28"/>
          <w:rtl w:val="true"/>
          <w:lang w:bidi="ar-SA"/>
        </w:rPr>
        <w:t xml:space="preserve">و رواية أبي جميلة </w:t>
      </w:r>
      <w:r>
        <w:rPr>
          <w:rStyle w:val="FootnoteAnchor"/>
          <w:rtl w:val="true"/>
        </w:rPr>
        <w:footnoteReference w:id="1745"/>
      </w:r>
      <w:r>
        <w:rPr>
          <w:rFonts w:ascii="Amiri" w:hAnsi="Amiri" w:eastAsia="Amiri" w:cs="Amiri"/>
          <w:color w:val="111111"/>
          <w:sz w:val="28"/>
          <w:sz w:val="28"/>
          <w:szCs w:val="28"/>
          <w:rtl w:val="true"/>
          <w:lang w:bidi="ar-SA"/>
        </w:rPr>
        <w:t xml:space="preserve">و صحيحة المعلّى بن خُنيس </w:t>
      </w:r>
      <w:r>
        <w:rPr>
          <w:rStyle w:val="FootnoteAnchor"/>
          <w:rtl w:val="true"/>
        </w:rPr>
        <w:footnoteReference w:id="1746"/>
      </w:r>
      <w:r>
        <w:rPr>
          <w:rFonts w:ascii="Amiri" w:hAnsi="Amiri" w:eastAsia="Amiri" w:cs="Amiri"/>
          <w:color w:val="111111"/>
          <w:sz w:val="28"/>
          <w:sz w:val="28"/>
          <w:szCs w:val="28"/>
          <w:rtl w:val="true"/>
          <w:lang w:bidi="ar-SA"/>
        </w:rPr>
        <w:t xml:space="preserve">و صحيحة الحلبي </w:t>
      </w:r>
      <w:r>
        <w:rPr>
          <w:rStyle w:val="FootnoteAnchor"/>
          <w:rtl w:val="true"/>
        </w:rPr>
        <w:footnoteReference w:id="1747"/>
      </w:r>
      <w:r>
        <w:rPr>
          <w:rFonts w:ascii="Amiri" w:hAnsi="Amiri" w:eastAsia="Amiri" w:cs="Amiri"/>
          <w:color w:val="111111"/>
          <w:sz w:val="28"/>
          <w:sz w:val="28"/>
          <w:szCs w:val="28"/>
          <w:rtl w:val="true"/>
          <w:lang w:bidi="ar-SA"/>
        </w:rPr>
        <w:t>و غيرها فإنّها متضمِّنة لعدم تحريم مواكلتهم مطلقاً، أو مع عدم وجود لحم الخنزير في آنيتهم في الأوليين، و جواز الأكلّ من طعامهم في الثالثة، و جواز التوضؤ من سؤرهم في الرابعة و نفي البأس عن المباشرة في الصحيحتين، و جواز لبس ما صنعوا من الثياب مع عدم الفحص في السادسة و السابعة و الثامنة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باقي الأخبار، فإنّ قواعد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حمل أوامر الغسل و التجنّب على الاستحباب؛ الشيوعه فيها، و احتمالُ لزوم التجوّز الموجب لحمل أخبار الطهارة على المباشرة مع اليبس و إبقاء أوامر الغسل على الوجوب فلا تجوّز، موهونٌ بإنكار التجوّز، و على فرضه فربّ مجاز خير من الحقيقة، مع عدم جريان الحمل في جميعها كخبر عمّار و نحوه و عدم نصوصيّة أخبار النّجاسة عليها؛ إذ المنع من مباشرتهم مع الرّطوبة أعمّ من </w:t>
      </w:r>
    </w:p>
    <w:p>
      <w:pPr>
        <w:pStyle w:val="BookText"/>
        <w:rPr/>
      </w:pPr>
      <w:r>
        <w:rPr>
          <w:rFonts w:ascii="Amiri" w:hAnsi="Amiri" w:eastAsia="Amiri" w:cs="Amiri"/>
          <w:color w:val="111111"/>
          <w:sz w:val="28"/>
          <w:sz w:val="28"/>
          <w:szCs w:val="28"/>
          <w:rtl w:val="true"/>
          <w:lang w:bidi="ar-SA"/>
        </w:rPr>
        <w:t>المدّعى، فلعلّه حرام في ذاته غير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 تعليق الحلّ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 xml:space="preserve">إفادة العموم بجميع أفراد الماهيّة إذا لم يكُن ثَمّة عَهد و لا قرينة مخصّصة، و إرادةُ المنتقلين من أهل الكتاب إلى الإسلام بقرينة ذكره حِلّ طعام المسلمين لهم إذ لا فائدة لبيانها للكفّار، فيجوز إطلاق المشتقّ حينئذٍ على المتّصف بالمبدأ في الزمن الماضي، بعيدٌ جدّاً؛ لأنه من التصرّف المرفوض لاشتماله على مخالفة الأصل، و القرينة عليه ممنوعة بتصريح المفسّرين </w:t>
      </w:r>
      <w:r>
        <w:rPr>
          <w:rStyle w:val="FootnoteAnchor"/>
          <w:rtl w:val="true"/>
        </w:rPr>
        <w:footnoteReference w:id="1749"/>
      </w:r>
      <w:r>
        <w:rPr>
          <w:rFonts w:ascii="Amiri" w:hAnsi="Amiri" w:eastAsia="Amiri" w:cs="Amiri"/>
          <w:color w:val="111111"/>
          <w:sz w:val="28"/>
          <w:sz w:val="28"/>
          <w:szCs w:val="28"/>
          <w:rtl w:val="true"/>
          <w:lang w:bidi="ar-SA"/>
        </w:rPr>
        <w:t>بأنّ المراد جواز إطعامهم عند المخمصة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صرّح غير واحد بأنّ الطعام مراد به البرّ أو الحبوب و البقول </w:t>
      </w:r>
      <w:r>
        <w:rPr>
          <w:rStyle w:val="FootnoteAnchor"/>
          <w:rtl w:val="true"/>
        </w:rPr>
        <w:footnoteReference w:id="1750"/>
      </w:r>
      <w:r>
        <w:rPr>
          <w:rFonts w:ascii="IRNazanin" w:hAnsi="IRNazanin" w:eastAsia="IRNazanin"/>
          <w:color w:val="111111"/>
          <w:sz w:val="28"/>
          <w:sz w:val="28"/>
          <w:szCs w:val="28"/>
          <w:rtl w:val="true"/>
          <w:lang w:bidi="fa-IR"/>
        </w:rPr>
        <w:t xml:space="preserve">و أمثالها </w:t>
      </w:r>
      <w:r>
        <w:rPr>
          <w:rStyle w:val="FootnoteAnchor"/>
          <w:rtl w:val="true"/>
        </w:rPr>
        <w:footnoteReference w:id="1751"/>
      </w:r>
      <w:r>
        <w:rPr>
          <w:rFonts w:ascii="Amiri" w:hAnsi="Amiri" w:eastAsia="Amiri" w:cs="Amiri"/>
          <w:color w:val="111111"/>
          <w:sz w:val="28"/>
          <w:sz w:val="28"/>
          <w:szCs w:val="28"/>
          <w:rtl w:val="true"/>
          <w:lang w:bidi="ar-SA"/>
        </w:rPr>
        <w:t>،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البُرِّ خاصّة </w:t>
      </w:r>
      <w:r>
        <w:rPr>
          <w:rStyle w:val="FootnoteAnchor"/>
          <w:rtl w:val="true"/>
        </w:rPr>
        <w:footnoteReference w:id="1752"/>
      </w:r>
      <w:r>
        <w:rPr>
          <w:rFonts w:ascii="Amiri" w:hAnsi="Amiri" w:eastAsia="Amiri" w:cs="Amiri"/>
          <w:color w:val="111111"/>
          <w:sz w:val="28"/>
          <w:sz w:val="28"/>
          <w:szCs w:val="28"/>
          <w:rtl w:val="true"/>
          <w:lang w:bidi="ar-SA"/>
        </w:rPr>
        <w:t xml:space="preserve">، و في الاحتكار صرّحوا به </w:t>
      </w:r>
      <w:r>
        <w:rPr>
          <w:rStyle w:val="FootnoteAnchor"/>
          <w:rtl w:val="true"/>
        </w:rPr>
        <w:footnoteReference w:id="1753"/>
      </w:r>
      <w:r>
        <w:rPr>
          <w:rFonts w:ascii="Amiri" w:hAnsi="Amiri" w:eastAsia="Amiri" w:cs="Amiri"/>
          <w:color w:val="111111"/>
          <w:sz w:val="28"/>
          <w:sz w:val="28"/>
          <w:szCs w:val="28"/>
          <w:rtl w:val="true"/>
          <w:lang w:bidi="ar-SA"/>
        </w:rPr>
        <w:t>، فينفي الرّكون للآية، و يبقى سؤال تخصيص الحكم بأهل الكتاب فيُجاب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لابتلاء أهل المدينة بهم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تتّضح فائدة العطف و تنحصر الرخصة في خصوص البُرّ أو مطلق البقول من بين الطيّبات التي بأيديهم ممّا لم يعلم مباشرتهم له برطوبة، و حيث فهم منه المنع عن مطلق طيّباتهم غير الطعام لم نقتصر فيه على طيّبهم المحرّم عندنا و المنع من طيّباتهم المحلّلة لا مطلقاً ليس إلّا لتأثير نجاستهم فيها فتدخل في المحرّم، و إلّا ما كان لعطف الطعام فائدة، فهي على خلاف المدّعى أدلّ، و مثلها الأخبار المشتملة على لفظ الطعام، فالأقوى ما عليه عامّة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المُغرِضين عن هذه النصوص التي تلّقيناها منهم</w:t>
      </w:r>
      <w:r>
        <w:rPr>
          <w:rFonts w:eastAsia="Amiri" w:cs="Amiri" w:ascii="Amiri" w:hAnsi="Amiri"/>
          <w:color w:val="111111"/>
          <w:sz w:val="28"/>
          <w:szCs w:val="28"/>
          <w:rtl w:val="true"/>
          <w:lang w:bidi="ar-SA"/>
        </w:rPr>
        <w:t xml:space="preserve">. </w:t>
      </w:r>
      <w:bookmarkStart w:id="140" w:name="pg9146_86178"/>
    </w:p>
    <w:p>
      <w:pPr>
        <w:pStyle w:val="Heading2"/>
        <w:numPr>
          <w:ilvl w:val="1"/>
          <w:numId w:val="1"/>
        </w:numPr>
        <w:rPr/>
      </w:pPr>
      <w:bookmarkStart w:id="141" w:name="__RefHeading___Toc3322618_2870459653"/>
      <w:bookmarkStart w:id="142" w:name="_Toc47"/>
      <w:bookmarkEnd w:id="140"/>
      <w:bookmarkEnd w:id="141"/>
      <w:r>
        <w:rPr>
          <w:rtl w:val="true"/>
        </w:rPr>
        <w:t>[</w:t>
      </w:r>
      <w:r>
        <w:rPr>
          <w:rtl w:val="true"/>
        </w:rPr>
        <w:t>نجاسة أولاد الكفار</w:t>
      </w:r>
      <w:r>
        <w:rPr>
          <w:rtl w:val="true"/>
        </w:rPr>
        <w:t>]</w:t>
      </w:r>
      <w:bookmarkEnd w:id="142"/>
    </w:p>
    <w:p>
      <w:pPr>
        <w:pStyle w:val="BookText"/>
        <w:rPr/>
      </w:pPr>
      <w:r>
        <w:rPr>
          <w:rFonts w:ascii="Amiri" w:hAnsi="Amiri" w:eastAsia="Amiri" w:cs="Amiri"/>
          <w:color w:val="111111"/>
          <w:sz w:val="28"/>
          <w:sz w:val="28"/>
          <w:szCs w:val="28"/>
          <w:rtl w:val="true"/>
          <w:lang w:bidi="ar-SA"/>
        </w:rPr>
        <w:t xml:space="preserve">و أمّا أولاد الكفّار مطلقاً فلحوقهم بآبائهم في الكفر كان الإجماع عليه أيضاً </w:t>
      </w:r>
      <w:r>
        <w:rPr>
          <w:rStyle w:val="FootnoteAnchor"/>
          <w:rtl w:val="true"/>
        </w:rPr>
        <w:footnoteReference w:id="1754"/>
      </w:r>
      <w:r>
        <w:rPr>
          <w:rFonts w:ascii="Amiri" w:hAnsi="Amiri" w:eastAsia="Amiri" w:cs="Amiri"/>
          <w:color w:val="111111"/>
          <w:sz w:val="28"/>
          <w:sz w:val="28"/>
          <w:szCs w:val="28"/>
          <w:rtl w:val="true"/>
          <w:lang w:bidi="ar-SA"/>
        </w:rPr>
        <w:t xml:space="preserve">، و مرسل إرسال المسلّمات إلّا في نهاية الفاضل </w:t>
      </w:r>
      <w:r>
        <w:rPr>
          <w:rStyle w:val="FootnoteAnchor"/>
          <w:rtl w:val="true"/>
        </w:rPr>
        <w:footnoteReference w:id="1755"/>
      </w:r>
      <w:r>
        <w:rPr>
          <w:rFonts w:ascii="Amiri" w:hAnsi="Amiri" w:eastAsia="Amiri" w:cs="Amiri"/>
          <w:color w:val="111111"/>
          <w:sz w:val="28"/>
          <w:sz w:val="28"/>
          <w:szCs w:val="28"/>
          <w:rtl w:val="true"/>
          <w:lang w:bidi="ar-SA"/>
        </w:rPr>
        <w:t xml:space="preserve">فإنّه قرّبه، و تقريبه يورِث الخلاف فيه، و لأجله استشكل في دليله البعض </w:t>
      </w:r>
      <w:r>
        <w:rPr>
          <w:rStyle w:val="FootnoteAnchor"/>
          <w:rtl w:val="true"/>
        </w:rPr>
        <w:footnoteReference w:id="1756"/>
      </w:r>
      <w:r>
        <w:rPr>
          <w:rFonts w:ascii="Amiri" w:hAnsi="Amiri" w:eastAsia="Amiri" w:cs="Amiri"/>
          <w:color w:val="111111"/>
          <w:sz w:val="28"/>
          <w:sz w:val="28"/>
          <w:szCs w:val="28"/>
          <w:rtl w:val="true"/>
          <w:lang w:bidi="ar-SA"/>
        </w:rPr>
        <w:t>نظراً إلى عدم صدق الكافر عليه، و عدم نجاسة الفرع المخالف لأصله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التبعيّة المستفادة من بعض النصوص </w:t>
      </w:r>
      <w:r>
        <w:rPr>
          <w:rStyle w:val="FootnoteAnchor"/>
          <w:rtl w:val="true"/>
        </w:rPr>
        <w:footnoteReference w:id="1757"/>
      </w:r>
      <w:r>
        <w:rPr>
          <w:rFonts w:ascii="Amiri" w:hAnsi="Amiri" w:eastAsia="Amiri" w:cs="Amiri"/>
          <w:color w:val="111111"/>
          <w:sz w:val="28"/>
          <w:sz w:val="28"/>
          <w:szCs w:val="28"/>
          <w:rtl w:val="true"/>
          <w:lang w:bidi="ar-SA"/>
        </w:rPr>
        <w:t xml:space="preserve">تردّه، و مَن </w:t>
      </w:r>
      <w:r>
        <w:rPr>
          <w:rStyle w:val="FootnoteAnchor"/>
          <w:rtl w:val="true"/>
        </w:rPr>
        <w:footnoteReference w:id="1758"/>
      </w:r>
      <w:r>
        <w:rPr>
          <w:rFonts w:ascii="Amiri" w:hAnsi="Amiri" w:eastAsia="Amiri" w:cs="Amiri"/>
          <w:color w:val="111111"/>
          <w:sz w:val="28"/>
          <w:sz w:val="28"/>
          <w:szCs w:val="28"/>
          <w:rtl w:val="true"/>
          <w:lang w:bidi="ar-SA"/>
        </w:rPr>
        <w:t>حكمَ بنجاسة المتولِّد بين نجسين مطلقاً يلزمه الحكم هنا، و استصحاب نجاسة العلقة مع عدم المداقّة في الموضوع يقضي به أيضاً، و شمول بعض أحكام آبائهم كالاسترقاق مؤيد آخر؛ إذ المناط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منهم مسبيّ المسلم الصّغير العاري عن أبويه في وجه عليه جماعة </w:t>
      </w:r>
      <w:r>
        <w:rPr>
          <w:rStyle w:val="FootnoteAnchor"/>
          <w:rtl w:val="true"/>
        </w:rPr>
        <w:footnoteReference w:id="1759"/>
      </w:r>
      <w:r>
        <w:rPr>
          <w:rFonts w:ascii="Amiri" w:hAnsi="Amiri" w:eastAsia="Amiri" w:cs="Amiri"/>
          <w:color w:val="111111"/>
          <w:sz w:val="28"/>
          <w:sz w:val="28"/>
          <w:szCs w:val="28"/>
          <w:rtl w:val="true"/>
          <w:lang w:bidi="ar-SA"/>
        </w:rPr>
        <w:t>لانقلاب التبعيّة التي يدور الحكم مَدارها، و للرّواية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يهوّدانه و ينصّرانه</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 xml:space="preserve">، و هما ضعيفان ساقطان بما في المسالك </w:t>
      </w:r>
      <w:r>
        <w:rPr>
          <w:rStyle w:val="FootnoteAnchor"/>
          <w:rtl w:val="true"/>
        </w:rPr>
        <w:footnoteReference w:id="1761"/>
      </w:r>
      <w:r>
        <w:rPr>
          <w:rFonts w:ascii="Amiri" w:hAnsi="Amiri" w:eastAsia="Amiri" w:cs="Amiri"/>
          <w:color w:val="111111"/>
          <w:sz w:val="28"/>
          <w:sz w:val="28"/>
          <w:szCs w:val="28"/>
          <w:rtl w:val="true"/>
          <w:lang w:bidi="ar-SA"/>
        </w:rPr>
        <w:t>كسقوط استصحاب الكفر فيه و استصحاب أحكامه؛ للشكّ في تبدّل الموضوع من حيث احتمال توقّف كفره على مصاحبته والديه، و هو كافٍ في قطعه، و الوجه بقاء أحكام الكفر عدا النجاسة في وجه قويّ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فلعدم التزامهم بخروج ابن الكافر عن الكفر بأيّ سببٍ يُؤدِّي إلى مفارقة أبويه، مثل موتهما، أو السّبي بيَد غير المسلم، أو المصاحبة له من دون سبي، أو غيرها، و منه </w:t>
      </w:r>
    </w:p>
    <w:p>
      <w:pPr>
        <w:pStyle w:val="BookText"/>
        <w:rPr/>
      </w:pPr>
      <w:r>
        <w:rPr>
          <w:rFonts w:ascii="Amiri" w:hAnsi="Amiri" w:eastAsia="Amiri" w:cs="Amiri"/>
          <w:color w:val="111111"/>
          <w:sz w:val="28"/>
          <w:sz w:val="28"/>
          <w:szCs w:val="28"/>
          <w:rtl w:val="true"/>
          <w:lang w:bidi="ar-SA"/>
        </w:rPr>
        <w:t>يظهر أنّه لا يجدي جعل الشرط عدم مصاحبة المسلم لا مصاحبة الوالدين؛ لعدم الاطّراد أيضاً، و لرجوعه إلى مانعيّة مصاحبة المسلم، فإنّ معنى شرطيّة الأمر العدمي هو مانعيّة الوجود، و كذا لو جعل الشرط عدم السّبي فراراً عن النقوض؛ لعوده إلى المانعيّة، و معه يجري الاستصحاب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فلظاهر اتّفاقهم </w:t>
      </w:r>
      <w:r>
        <w:rPr>
          <w:rStyle w:val="FootnoteAnchor"/>
          <w:rtl w:val="true"/>
        </w:rPr>
        <w:footnoteReference w:id="1762"/>
      </w:r>
      <w:r>
        <w:rPr>
          <w:rFonts w:ascii="Amiri" w:hAnsi="Amiri" w:eastAsia="Amiri" w:cs="Amiri"/>
          <w:color w:val="111111"/>
          <w:sz w:val="28"/>
          <w:sz w:val="28"/>
          <w:szCs w:val="28"/>
          <w:rtl w:val="true"/>
          <w:lang w:bidi="ar-SA"/>
        </w:rPr>
        <w:t xml:space="preserve">عليه، و لأصالة الطهارة، و للحرج المنفي، و للرواية </w:t>
      </w:r>
      <w:r>
        <w:rPr>
          <w:rStyle w:val="FootnoteAnchor"/>
          <w:rtl w:val="true"/>
        </w:rPr>
        <w:footnoteReference w:id="1763"/>
      </w:r>
      <w:r>
        <w:rPr>
          <w:rFonts w:ascii="Amiri" w:hAnsi="Amiri" w:eastAsia="Amiri" w:cs="Amiri"/>
          <w:color w:val="111111"/>
          <w:sz w:val="28"/>
          <w:sz w:val="28"/>
          <w:szCs w:val="28"/>
          <w:rtl w:val="true"/>
          <w:lang w:bidi="ar-SA"/>
        </w:rPr>
        <w:t xml:space="preserve">القاضية بأنّ الولد على الفطرة حتّى ينتقل إلى غير الإسلام، لكن الكلّ محلّ تأمل؛ لوجود المخالف لحكومة الاستصحاب على أصالة الطهارة، و لا تجدي مقالة الرياض </w:t>
      </w:r>
      <w:r>
        <w:rPr>
          <w:rStyle w:val="FootnoteAnchor"/>
          <w:rtl w:val="true"/>
        </w:rPr>
        <w:footnoteReference w:id="1764"/>
      </w:r>
      <w:r>
        <w:rPr>
          <w:rFonts w:ascii="Amiri" w:hAnsi="Amiri" w:eastAsia="Amiri" w:cs="Amiri"/>
          <w:color w:val="111111"/>
          <w:sz w:val="28"/>
          <w:sz w:val="28"/>
          <w:szCs w:val="28"/>
          <w:rtl w:val="true"/>
          <w:lang w:bidi="ar-SA"/>
        </w:rPr>
        <w:t xml:space="preserve">أنّ الفرض إثبات طهارة الملاقي، و الأصل فيه سليم عن المعارض؛ إذ بعد تسليم النجاسة و أنّ الرطب تسري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لبقاء أصالة طهارة الملاقي، و لأيّ شيء اختصّ هذا الأصل بخصوص هذا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تحكّم، و لردّ الحرج و الرّواية بعدم قابليّة الأوّل لإثبات الطّهارة و إلّا لأثبتها في غير المَسبيّ مطلقاً، أو من الأولاد من المصاحب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على خلاف المطلوب أدلّ، فإنّ انتفاء التهويد و أخويه إنّما ينقطع بانقطاعه عن أبويه، و إلّا لحكم بإسلامه حتّى يتديّن بدين أبويه عند التمييز، و هو منافٍ للحكم بالتبعيّة للرواية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اعتمد الأُستاذ رحمه الله على الطّهارة بالسِّيرَة على عدم التحرز منهم </w:t>
      </w:r>
      <w:r>
        <w:rPr>
          <w:rStyle w:val="FootnoteAnchor"/>
          <w:rtl w:val="true"/>
        </w:rPr>
        <w:footnoteReference w:id="1765"/>
      </w:r>
      <w:r>
        <w:rPr>
          <w:rFonts w:ascii="Amiri" w:hAnsi="Amiri" w:eastAsia="Amiri" w:cs="Amiri"/>
          <w:color w:val="111111"/>
          <w:sz w:val="28"/>
          <w:sz w:val="28"/>
          <w:szCs w:val="28"/>
          <w:rtl w:val="true"/>
          <w:lang w:bidi="ar-SA"/>
        </w:rPr>
        <w:t xml:space="preserve">، و هي موقوفة على ثبوت التحرّز عن الكبير في سببه المعلوم عدمه، فلا تجدي في إثبات المدّعى، فالمعتمد الإجماع أو ظاهر الاتّفاق على الطهارة كما اعترف به الشارح في غيره </w:t>
      </w:r>
      <w:r>
        <w:rPr>
          <w:rStyle w:val="FootnoteAnchor"/>
          <w:rtl w:val="true"/>
        </w:rPr>
        <w:footnoteReference w:id="1766"/>
      </w:r>
      <w:r>
        <w:rPr>
          <w:rFonts w:ascii="Amiri" w:hAnsi="Amiri" w:eastAsia="Amiri" w:cs="Amiri"/>
          <w:color w:val="111111"/>
          <w:sz w:val="28"/>
          <w:sz w:val="28"/>
          <w:szCs w:val="28"/>
          <w:rtl w:val="true"/>
          <w:lang w:bidi="ar-SA"/>
        </w:rPr>
        <w:t xml:space="preserve">، بل لم أجد مُصرِّحاً بالنجاسة، </w:t>
      </w:r>
    </w:p>
    <w:p>
      <w:pPr>
        <w:pStyle w:val="BookText"/>
        <w:rPr/>
      </w:pPr>
      <w:r>
        <w:rPr>
          <w:rFonts w:ascii="Amiri" w:hAnsi="Amiri" w:eastAsia="Amiri" w:cs="Amiri"/>
          <w:color w:val="111111"/>
          <w:sz w:val="28"/>
          <w:sz w:val="28"/>
          <w:szCs w:val="28"/>
          <w:rtl w:val="true"/>
          <w:lang w:bidi="ar-SA"/>
        </w:rPr>
        <w:t xml:space="preserve">فإنّ المصنّف في الدّروس </w:t>
      </w:r>
      <w:r>
        <w:rPr>
          <w:rStyle w:val="FootnoteAnchor"/>
          <w:rtl w:val="true"/>
        </w:rPr>
        <w:footnoteReference w:id="1767"/>
      </w:r>
      <w:r>
        <w:rPr>
          <w:rFonts w:ascii="Amiri" w:hAnsi="Amiri" w:eastAsia="Amiri" w:cs="Amiri"/>
          <w:color w:val="111111"/>
          <w:sz w:val="28"/>
          <w:sz w:val="28"/>
          <w:szCs w:val="28"/>
          <w:rtl w:val="true"/>
          <w:lang w:bidi="ar-SA"/>
        </w:rPr>
        <w:t xml:space="preserve">قال بالتبعيّة مطلقاً و إن تردّد في الذكرى </w:t>
      </w:r>
      <w:r>
        <w:rPr>
          <w:rStyle w:val="FootnoteAnchor"/>
          <w:rtl w:val="true"/>
        </w:rPr>
        <w:footnoteReference w:id="1768"/>
      </w:r>
      <w:r>
        <w:rPr>
          <w:rFonts w:ascii="Amiri" w:hAnsi="Amiri" w:eastAsia="Amiri" w:cs="Amiri"/>
          <w:color w:val="111111"/>
          <w:sz w:val="28"/>
          <w:sz w:val="28"/>
          <w:szCs w:val="28"/>
          <w:rtl w:val="true"/>
          <w:lang w:bidi="ar-SA"/>
        </w:rPr>
        <w:t xml:space="preserve">، و مثله الفاضل في لقطات القواعد </w:t>
      </w:r>
      <w:r>
        <w:rPr>
          <w:rStyle w:val="FootnoteAnchor"/>
          <w:rtl w:val="true"/>
        </w:rPr>
        <w:footnoteReference w:id="1769"/>
      </w:r>
      <w:r>
        <w:rPr>
          <w:rFonts w:ascii="Amiri" w:hAnsi="Amiri" w:eastAsia="Amiri" w:cs="Amiri"/>
          <w:color w:val="111111"/>
          <w:sz w:val="28"/>
          <w:sz w:val="28"/>
          <w:szCs w:val="28"/>
          <w:rtl w:val="true"/>
          <w:lang w:bidi="ar-SA"/>
        </w:rPr>
        <w:t xml:space="preserve">و إن تردّد في التذكرة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باقي الأحكام فالأصل بقاؤها، و لا معارض له و إن لزم من يناقش في استصحاب الطّهارة بتغيّر الموضوع، أو عدم إحراز العلم بكفر الأولاد قبل السَّبي نفيها أيضاً، فإنّه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سُبيَ منضمّاً لأبويه أو لأحدهما فالتحقيق عدم لحوق حكم الانفراد و بقاء أحكام الكفر مطلقاً، و لعلّه المشهور </w:t>
      </w:r>
      <w:r>
        <w:rPr>
          <w:rStyle w:val="FootnoteAnchor"/>
          <w:rtl w:val="true"/>
        </w:rPr>
        <w:footnoteReference w:id="1771"/>
      </w:r>
      <w:r>
        <w:rPr>
          <w:rFonts w:ascii="IRNazanin" w:hAnsi="IRNazanin" w:eastAsia="IRNazanin"/>
          <w:color w:val="111111"/>
          <w:sz w:val="28"/>
          <w:sz w:val="28"/>
          <w:szCs w:val="28"/>
          <w:rtl w:val="true"/>
          <w:lang w:bidi="fa-IR"/>
        </w:rPr>
        <w:t xml:space="preserve">عندنا خلافاً لمشهور </w:t>
      </w:r>
      <w:r>
        <w:rPr>
          <w:rStyle w:val="FootnoteAnchor"/>
          <w:rtl w:val="true"/>
        </w:rPr>
        <w:footnoteReference w:id="1772"/>
      </w:r>
      <w:r>
        <w:rPr>
          <w:rFonts w:ascii="IRNazanin" w:hAnsi="IRNazanin" w:eastAsia="IRNazanin"/>
          <w:color w:val="111111"/>
          <w:sz w:val="28"/>
          <w:sz w:val="28"/>
          <w:szCs w:val="28"/>
          <w:rtl w:val="true"/>
          <w:lang w:bidi="fa-IR"/>
        </w:rPr>
        <w:t xml:space="preserve">الناس مع إطباقهم </w:t>
      </w:r>
      <w:r>
        <w:rPr>
          <w:rStyle w:val="FootnoteAnchor"/>
          <w:rtl w:val="true"/>
        </w:rPr>
        <w:footnoteReference w:id="1773"/>
      </w:r>
      <w:r>
        <w:rPr>
          <w:rFonts w:ascii="IRNazanin" w:hAnsi="IRNazanin" w:eastAsia="IRNazanin"/>
          <w:color w:val="111111"/>
          <w:sz w:val="28"/>
          <w:sz w:val="28"/>
          <w:szCs w:val="28"/>
          <w:rtl w:val="true"/>
          <w:lang w:bidi="fa-IR"/>
        </w:rPr>
        <w:t>أنّ الملكيّة ليست مُزيلَة للكفر، فلا رافع للنجاسة السابقة، إذ المتيقّن هی التبعیّة بقیودها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حال ما یجلبه التجّار فی ماننا من سائر أصناف الکَفَرَة، و ما تلتقطه فی دار الإسلام، أو الکَفَرَة و فیها مسلم، فإنّ المتّجه الحکم بالطهارة فی الجمیع، و عدم ترتّب أحکام الإسلام فیما ثبت فیه شرطیّته، دون ما ثبت فیه مانعیّة الکفر فيترتّب؛ للأصل فيهما كما اعترف به الأستاذ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نقله السّابي بالبيع و غيره لغيره ففي بقاء حكم التّبعيّة و عدمه و جهان، من استصحاب حكم التبعيّة و لم يثبت أنّ النقل مزيل، و من الأخذ بالمتيقّن من متابعة السابي </w:t>
      </w:r>
    </w:p>
    <w:p>
      <w:pPr>
        <w:pStyle w:val="BookText"/>
        <w:rPr/>
      </w:pPr>
      <w:r>
        <w:rPr>
          <w:rFonts w:ascii="Amiri" w:hAnsi="Amiri" w:eastAsia="Amiri" w:cs="Amiri"/>
          <w:color w:val="111111"/>
          <w:sz w:val="28"/>
          <w:sz w:val="28"/>
          <w:szCs w:val="28"/>
          <w:rtl w:val="true"/>
          <w:lang w:bidi="ar-SA"/>
        </w:rPr>
        <w:t>فقط، و مع فقده رجع إلى أصله خصوصاً إذا باعه من كافر معاهد بناءً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الأوجه الثاني؛ لعدم اعتبار مطلق المتابعة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حكَمَ الشيخ </w:t>
      </w:r>
      <w:r>
        <w:rPr>
          <w:rStyle w:val="FootnoteAnchor"/>
          <w:rtl w:val="true"/>
        </w:rPr>
        <w:footnoteReference w:id="1775"/>
      </w:r>
      <w:r>
        <w:rPr>
          <w:rFonts w:ascii="Amiri" w:hAnsi="Amiri" w:eastAsia="Amiri" w:cs="Amiri"/>
          <w:color w:val="111111"/>
          <w:sz w:val="28"/>
          <w:sz w:val="28"/>
          <w:szCs w:val="28"/>
          <w:rtl w:val="true"/>
          <w:lang w:bidi="ar-SA"/>
        </w:rPr>
        <w:t>بعدم تأثير المتابعة مع موت الأبوين أو أحدهما و إن ضعف سنده، لكن محطّ نظره ما قلنا،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ممّا شمله الضابط، و هو الكافر المتجزّي </w:t>
      </w:r>
      <w:r>
        <w:rPr>
          <w:rStyle w:val="FootnoteAnchor"/>
          <w:rtl w:val="true"/>
        </w:rPr>
        <w:footnoteReference w:id="1776"/>
      </w:r>
      <w:r>
        <w:rPr>
          <w:rFonts w:ascii="IRNazanin" w:hAnsi="IRNazanin" w:eastAsia="IRNazanin"/>
          <w:color w:val="111111"/>
          <w:sz w:val="28"/>
          <w:sz w:val="28"/>
          <w:szCs w:val="28"/>
          <w:rtl w:val="true"/>
          <w:lang w:bidi="fa-IR"/>
        </w:rPr>
        <w:t>، فأقسام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ما هو مستثنى من الكافر حكماً، و منه ما هو معلوم الدّخول، و منه ما شكّ فی دخوله و عدمه؛ فالأوّل المخالف مطلقاً و إن كان من فِرَق الشيعة غير الاثني عشريّة مطلقاً، و الكلام أوّلاً في كفرهم، و أُخرى في لحوق أحكام الكافر لهم كُلاً أو بعضاً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فلا شبهة في دخولهم تحت الضابط، فلولا أنّ الإمامة على هذا النحو ليست من ضروريّات الدّين لما كان المنكر عند الإماميّة أعظم عناءً من الكافر، بل الأربعة </w:t>
      </w:r>
      <w:r>
        <w:rPr>
          <w:rStyle w:val="FootnoteAnchor"/>
          <w:rtl w:val="true"/>
        </w:rPr>
        <w:footnoteReference w:id="1777"/>
      </w:r>
      <w:r>
        <w:rPr>
          <w:rFonts w:ascii="Amiri" w:hAnsi="Amiri" w:eastAsia="Amiri" w:cs="Amiri"/>
          <w:color w:val="111111"/>
          <w:sz w:val="28"/>
          <w:sz w:val="28"/>
          <w:szCs w:val="28"/>
          <w:rtl w:val="true"/>
          <w:lang w:bidi="ar-SA"/>
        </w:rPr>
        <w:t xml:space="preserve">مشحونة بإطلاق الكفر عليهم الذي لا داعي إلى التجوّز فيه، و الإجماع المحقّق عليه؛ إذ لم يُذكر الخلاف من أحد صريحاً، و عليه المرتضى </w:t>
      </w:r>
      <w:r>
        <w:rPr>
          <w:rStyle w:val="FootnoteAnchor"/>
          <w:rtl w:val="true"/>
        </w:rPr>
        <w:footnoteReference w:id="1778"/>
      </w:r>
      <w:r>
        <w:rPr>
          <w:rFonts w:ascii="Amiri" w:hAnsi="Amiri" w:eastAsia="Amiri" w:cs="Amiri"/>
          <w:color w:val="111111"/>
          <w:sz w:val="28"/>
          <w:sz w:val="28"/>
          <w:szCs w:val="28"/>
          <w:rtl w:val="true"/>
          <w:lang w:bidi="ar-SA"/>
        </w:rPr>
        <w:t xml:space="preserve">، و الحلّي </w:t>
      </w:r>
      <w:r>
        <w:rPr>
          <w:rStyle w:val="FootnoteAnchor"/>
          <w:rtl w:val="true"/>
        </w:rPr>
        <w:footnoteReference w:id="1779"/>
      </w:r>
      <w:r>
        <w:rPr>
          <w:rFonts w:ascii="Amiri" w:hAnsi="Amiri" w:eastAsia="Amiri" w:cs="Amiri"/>
          <w:color w:val="111111"/>
          <w:sz w:val="28"/>
          <w:sz w:val="28"/>
          <w:szCs w:val="28"/>
          <w:rtl w:val="true"/>
          <w:lang w:bidi="ar-SA"/>
        </w:rPr>
        <w:t xml:space="preserve">أخرج المستضعفين و نفى الخلاف في كفر الباقي، و هو ظاهر القاضي </w:t>
      </w:r>
      <w:r>
        <w:rPr>
          <w:rStyle w:val="FootnoteAnchor"/>
          <w:rtl w:val="true"/>
        </w:rPr>
        <w:footnoteReference w:id="1780"/>
      </w:r>
      <w:r>
        <w:rPr>
          <w:rFonts w:ascii="Amiri" w:hAnsi="Amiri" w:eastAsia="Amiri" w:cs="Amiri"/>
          <w:color w:val="111111"/>
          <w:sz w:val="28"/>
          <w:sz w:val="28"/>
          <w:szCs w:val="28"/>
          <w:rtl w:val="true"/>
          <w:lang w:bidi="ar-SA"/>
        </w:rPr>
        <w:t xml:space="preserve">و المفيد </w:t>
      </w:r>
      <w:r>
        <w:rPr>
          <w:rStyle w:val="FootnoteAnchor"/>
          <w:rtl w:val="true"/>
        </w:rPr>
        <w:footnoteReference w:id="1781"/>
      </w:r>
      <w:r>
        <w:rPr>
          <w:rFonts w:ascii="Amiri" w:hAnsi="Amiri" w:eastAsia="Amiri" w:cs="Amiri"/>
          <w:color w:val="111111"/>
          <w:sz w:val="28"/>
          <w:sz w:val="28"/>
          <w:szCs w:val="28"/>
          <w:rtl w:val="true"/>
          <w:lang w:bidi="ar-SA"/>
        </w:rPr>
        <w:t xml:space="preserve">و كلّ من قال بعدم تغسيل المخالف، و هو </w:t>
      </w:r>
    </w:p>
    <w:p>
      <w:pPr>
        <w:pStyle w:val="BookText"/>
        <w:rPr/>
      </w:pPr>
      <w:r>
        <w:rPr>
          <w:rFonts w:ascii="Amiri" w:hAnsi="Amiri" w:eastAsia="Amiri" w:cs="Amiri"/>
          <w:color w:val="111111"/>
          <w:sz w:val="28"/>
          <w:sz w:val="28"/>
          <w:szCs w:val="28"/>
          <w:rtl w:val="true"/>
          <w:lang w:bidi="ar-SA"/>
        </w:rPr>
        <w:t xml:space="preserve">صريح التهذيب </w:t>
      </w:r>
      <w:r>
        <w:rPr>
          <w:rStyle w:val="FootnoteAnchor"/>
          <w:rtl w:val="true"/>
        </w:rPr>
        <w:footnoteReference w:id="1782"/>
      </w:r>
      <w:r>
        <w:rPr>
          <w:rFonts w:ascii="Amiri" w:hAnsi="Amiri" w:eastAsia="Amiri" w:cs="Amiri"/>
          <w:color w:val="111111"/>
          <w:sz w:val="28"/>
          <w:sz w:val="28"/>
          <w:szCs w:val="28"/>
          <w:rtl w:val="true"/>
          <w:lang w:bidi="ar-SA"/>
        </w:rPr>
        <w:t xml:space="preserve">و ظاهر الفاضلين </w:t>
      </w:r>
      <w:r>
        <w:rPr>
          <w:rStyle w:val="FootnoteAnchor"/>
          <w:rtl w:val="true"/>
        </w:rPr>
        <w:footnoteReference w:id="1783"/>
      </w:r>
      <w:r>
        <w:rPr>
          <w:rFonts w:ascii="IRNazanin" w:hAnsi="IRNazanin" w:eastAsia="IRNazanin"/>
          <w:color w:val="111111"/>
          <w:sz w:val="28"/>
          <w:sz w:val="28"/>
          <w:szCs w:val="28"/>
          <w:rtl w:val="true"/>
          <w:lang w:bidi="fa-IR"/>
        </w:rPr>
        <w:t xml:space="preserve">في بعض زكواتهما و غیرهم </w:t>
      </w:r>
      <w:r>
        <w:rPr>
          <w:rStyle w:val="FootnoteAnchor"/>
          <w:rtl w:val="true"/>
        </w:rPr>
        <w:footnoteReference w:id="1784"/>
      </w:r>
      <w:r>
        <w:rPr>
          <w:rFonts w:ascii="IRNazanin" w:hAnsi="IRNazanin" w:eastAsia="IRNazanin"/>
          <w:color w:val="111111"/>
          <w:sz w:val="28"/>
          <w:sz w:val="28"/>
          <w:szCs w:val="28"/>
          <w:rtl w:val="true"/>
          <w:lang w:bidi="fa-IR"/>
        </w:rPr>
        <w:t>، فإنكاره مكابرة صرفة، و لو لا أنّه من ضروري الدّين لما بذل الحسين علیه السلام نفسه لإحيائه و إظهاره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توقّف كلّ ما حكم بأنّه علم من الدّين ضرورة عليه، فلا يصحّ عمل إلَّا به، فهو جزء لكلّ حكم ضروريّ، بل العقل مانع من جعل غير الولاية من الضروريّات دونها، فحالها حال الرِّسالة حَذو النعل بالنعل و القذة بالقذة، و حالهما ككلمة التوحيد لا أثر لأحدها بدون صاحبيه من جميع الآثار، و لم يحارب عليّ علیه السلام و لا ولداه علیهما السلام إلَّا على إظهار الولاية، و إلَّا فكلمتا الشهادة كانت موجودة، و لعلّ تردّد الأُستاذ رحمه الله في كون الولاية من الضروريّات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ثبوت صفة الكفر لهم ممّا لا إشكال فيه ظاهراً كما عرفت من الأصحاب </w:t>
      </w:r>
      <w:r>
        <w:rPr>
          <w:rStyle w:val="FootnoteAnchor"/>
          <w:rtl w:val="true"/>
        </w:rPr>
        <w:footnoteReference w:id="1785"/>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المماشاة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مطلقاً، أو عدمه مطلقاً، أو التفصيل بين النجاسة و عدمها مطلقاً، أو بين</w:t>
      </w:r>
    </w:p>
    <w:p>
      <w:pPr>
        <w:pStyle w:val="BookText"/>
        <w:rPr/>
      </w:pPr>
      <w:r>
        <w:rPr>
          <w:rFonts w:ascii="Amiri" w:hAnsi="Amiri" w:eastAsia="Amiri" w:cs="Amiri"/>
          <w:color w:val="111111"/>
          <w:sz w:val="28"/>
          <w:sz w:val="28"/>
          <w:szCs w:val="28"/>
          <w:rtl w:val="true"/>
          <w:lang w:bidi="ar-SA"/>
        </w:rPr>
        <w:t>التغسيل و غيره مطلقاً، وجوه، بل أقوال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نحن بصدده هو الثالث، و المعروف كفرهم بين القدماء </w:t>
      </w:r>
      <w:r>
        <w:rPr>
          <w:rStyle w:val="FootnoteAnchor"/>
          <w:rtl w:val="true"/>
        </w:rPr>
        <w:footnoteReference w:id="1786"/>
      </w:r>
      <w:r>
        <w:rPr>
          <w:rFonts w:ascii="Amiri" w:hAnsi="Amiri" w:eastAsia="Amiri" w:cs="Amiri"/>
          <w:color w:val="111111"/>
          <w:sz w:val="28"/>
          <w:sz w:val="28"/>
          <w:szCs w:val="28"/>
          <w:rtl w:val="true"/>
          <w:lang w:bidi="ar-SA"/>
        </w:rPr>
        <w:t xml:space="preserve">كما ذكرنا، و هو أعمّ من النجاسة، و لذا أنكر الفاضلان </w:t>
      </w:r>
      <w:r>
        <w:rPr>
          <w:rStyle w:val="FootnoteAnchor"/>
          <w:rtl w:val="true"/>
        </w:rPr>
        <w:footnoteReference w:id="1787"/>
      </w:r>
      <w:r>
        <w:rPr>
          <w:rFonts w:ascii="Amiri" w:hAnsi="Amiri" w:eastAsia="Amiri" w:cs="Amiri"/>
          <w:color w:val="111111"/>
          <w:sz w:val="28"/>
          <w:sz w:val="28"/>
          <w:szCs w:val="28"/>
          <w:rtl w:val="true"/>
          <w:lang w:bidi="ar-SA"/>
        </w:rPr>
        <w:t xml:space="preserve">النجاسة هنا و أثبتا الكفر في زكاتيهما و غيرهما كذلك، لكن في الحدائق </w:t>
      </w:r>
      <w:r>
        <w:rPr>
          <w:rStyle w:val="FootnoteAnchor"/>
          <w:rtl w:val="true"/>
        </w:rPr>
        <w:footnoteReference w:id="1788"/>
      </w:r>
      <w:r>
        <w:rPr>
          <w:rFonts w:ascii="Amiri" w:hAnsi="Amiri" w:eastAsia="Amiri" w:cs="Amiri"/>
          <w:color w:val="111111"/>
          <w:sz w:val="28"/>
          <w:sz w:val="28"/>
          <w:szCs w:val="28"/>
          <w:rtl w:val="true"/>
          <w:lang w:bidi="ar-SA"/>
        </w:rPr>
        <w:t xml:space="preserve">نسبة القول بها إلى المتقدِّمين و لعلّه من جهة اشتهار كفرهم، نعم هو صريح </w:t>
      </w:r>
    </w:p>
    <w:p>
      <w:pPr>
        <w:pStyle w:val="BookText"/>
        <w:rPr/>
      </w:pPr>
      <w:r>
        <w:rPr>
          <w:rFonts w:ascii="Amiri" w:hAnsi="Amiri" w:eastAsia="Amiri" w:cs="Amiri"/>
          <w:color w:val="111111"/>
          <w:sz w:val="28"/>
          <w:sz w:val="28"/>
          <w:szCs w:val="28"/>
          <w:rtl w:val="true"/>
          <w:lang w:bidi="ar-SA"/>
        </w:rPr>
        <w:t xml:space="preserve">السيّد رحمه الله </w:t>
      </w:r>
      <w:r>
        <w:rPr>
          <w:rStyle w:val="FootnoteAnchor"/>
          <w:rtl w:val="true"/>
        </w:rPr>
        <w:footnoteReference w:id="1789"/>
      </w:r>
      <w:r>
        <w:rPr>
          <w:rFonts w:ascii="IRNazanin" w:hAnsi="IRNazanin" w:eastAsia="IRNazanin"/>
          <w:color w:val="111111"/>
          <w:sz w:val="28"/>
          <w:sz w:val="28"/>
          <w:szCs w:val="28"/>
          <w:rtl w:val="true"/>
          <w:lang w:bidi="fa-IR"/>
        </w:rPr>
        <w:t xml:space="preserve">و بعض أتباعه </w:t>
      </w:r>
      <w:r>
        <w:rPr>
          <w:rStyle w:val="FootnoteAnchor"/>
          <w:rtl w:val="true"/>
        </w:rPr>
        <w:footnoteReference w:id="1790"/>
      </w:r>
      <w:r>
        <w:rPr>
          <w:rFonts w:ascii="IRNazanin" w:hAnsi="IRNazanin" w:eastAsia="IRNazanin"/>
          <w:color w:val="111111"/>
          <w:sz w:val="28"/>
          <w:sz w:val="28"/>
          <w:szCs w:val="28"/>
          <w:rtl w:val="true"/>
          <w:lang w:bidi="fa-IR"/>
        </w:rPr>
        <w:t xml:space="preserve">، و ظاهر الشارح هنا و بروضه </w:t>
      </w:r>
      <w:r>
        <w:rPr>
          <w:rStyle w:val="FootnoteAnchor"/>
          <w:rtl w:val="true"/>
        </w:rPr>
        <w:footnoteReference w:id="1791"/>
      </w:r>
      <w:r>
        <w:rPr>
          <w:rFonts w:ascii="Amiri" w:hAnsi="Amiri" w:eastAsia="Amiri" w:cs="Amiri"/>
          <w:color w:val="111111"/>
          <w:sz w:val="28"/>
          <w:sz w:val="28"/>
          <w:szCs w:val="28"/>
          <w:rtl w:val="true"/>
          <w:lang w:bidi="ar-SA"/>
        </w:rPr>
        <w:t>أظهر، فإنّ ضابطه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جدّنا الأكبر الجزم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إنكار الإمامة المستلزمة لإنكار النبوّة </w:t>
      </w:r>
      <w:r>
        <w:rPr>
          <w:rStyle w:val="FootnoteAnchor"/>
          <w:rtl w:val="true"/>
        </w:rPr>
        <w:footnoteReference w:id="1792"/>
      </w:r>
      <w:r>
        <w:rPr>
          <w:rFonts w:ascii="Amiri" w:hAnsi="Amiri" w:eastAsia="Amiri" w:cs="Amiri"/>
          <w:color w:val="111111"/>
          <w:sz w:val="28"/>
          <w:sz w:val="28"/>
          <w:szCs w:val="28"/>
          <w:rtl w:val="true"/>
          <w:lang w:bidi="ar-SA"/>
        </w:rPr>
        <w:t>، و المتّبع الدّليل، و هو محصور بدخولهم بعموم نجاسة الكافر أو منكر الضّروري أو الناصبي، و الأوّل لا عموم فيه بحيث يشمل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اعتمدنا في نجاسة الكتابي على الإجماع </w:t>
      </w:r>
      <w:r>
        <w:rPr>
          <w:rStyle w:val="FootnoteAnchor"/>
          <w:rtl w:val="true"/>
        </w:rPr>
        <w:footnoteReference w:id="1793"/>
      </w:r>
      <w:r>
        <w:rPr>
          <w:rFonts w:ascii="Amiri" w:hAnsi="Amiri" w:eastAsia="Amiri" w:cs="Amiri"/>
          <w:color w:val="111111"/>
          <w:sz w:val="28"/>
          <w:sz w:val="28"/>
          <w:szCs w:val="28"/>
          <w:rtl w:val="true"/>
          <w:lang w:bidi="ar-SA"/>
        </w:rPr>
        <w:t>لعدم وثوقنا بتلك العمومات و هو حجّة مَن تأمّل في نجاسته، فكيف يعم المخالف مع شيوع المخالف، و الثاني مسلّم فيمن علم أنّه ضروري و أنكر لا 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لم يعلم ذلك؛ لقصور أو تقصير أو لشبهة عَرَضَت له، فكفره و عدمه مبنيّ على أنّ العلم بالضروري أُخذ شرطاً أو شطراً أو لا، بل حال إنكار الضروري كحال إنكار الوحدانيّة من جميع الجهات في أنّه سبب تامّ في الكفر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كلمات العلماء هو الثاني، و منهم الماتن و الشارح إذا 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للفاعل في كلامهما هنا و بغيره </w:t>
      </w:r>
      <w:r>
        <w:rPr>
          <w:rStyle w:val="FootnoteAnchor"/>
          <w:rtl w:val="true"/>
        </w:rPr>
        <w:footnoteReference w:id="1794"/>
      </w:r>
      <w:r>
        <w:rPr>
          <w:rFonts w:ascii="Amiri" w:hAnsi="Amiri" w:eastAsia="Amiri" w:cs="Amiri"/>
          <w:color w:val="111111"/>
          <w:sz w:val="28"/>
          <w:sz w:val="28"/>
          <w:szCs w:val="28"/>
          <w:rtl w:val="true"/>
          <w:lang w:bidi="ar-SA"/>
        </w:rPr>
        <w:t xml:space="preserve">، و كذا من عبّر بمثل هذه العبارة غيرهما، و ظاهر الأخبار </w:t>
      </w:r>
      <w:r>
        <w:rPr>
          <w:rStyle w:val="FootnoteAnchor"/>
          <w:rtl w:val="true"/>
        </w:rPr>
        <w:footnoteReference w:id="1795"/>
      </w:r>
      <w:r>
        <w:rPr>
          <w:rFonts w:ascii="Amiri" w:hAnsi="Amiri" w:eastAsia="Amiri" w:cs="Amiri"/>
          <w:color w:val="111111"/>
          <w:sz w:val="28"/>
          <w:sz w:val="28"/>
          <w:szCs w:val="28"/>
          <w:rtl w:val="true"/>
          <w:lang w:bidi="ar-SA"/>
        </w:rPr>
        <w:t>هو الأوّل، و أنّ الجاهل معذور مطلقاً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 المقصّر مُعاقَب على تعاقده </w:t>
      </w:r>
      <w:r>
        <w:rPr>
          <w:rStyle w:val="FootnoteAnchor"/>
          <w:rtl w:val="true"/>
        </w:rPr>
        <w:footnoteReference w:id="1796"/>
      </w:r>
      <w:r>
        <w:rPr>
          <w:rFonts w:ascii="Amiri" w:hAnsi="Amiri" w:eastAsia="Amiri" w:cs="Amiri"/>
          <w:color w:val="111111"/>
          <w:sz w:val="28"/>
          <w:sz w:val="28"/>
          <w:szCs w:val="28"/>
          <w:rtl w:val="true"/>
          <w:lang w:bidi="ar-SA"/>
        </w:rPr>
        <w:t xml:space="preserve">و تركه التعلّم، فإن استلزم تقصيره بأحد اللّوازم لإنكار ما علم ثبوته من الدّين ضرورة كان كافراً قطعاً و إلَّا فلا، و المعتمد عندي هو الأوّل، </w:t>
      </w:r>
    </w:p>
    <w:p>
      <w:pPr>
        <w:pStyle w:val="BookText"/>
        <w:rPr/>
      </w:pPr>
      <w:r>
        <w:rPr>
          <w:rFonts w:ascii="Amiri" w:hAnsi="Amiri" w:eastAsia="Amiri" w:cs="Amiri"/>
          <w:color w:val="111111"/>
          <w:sz w:val="28"/>
          <w:sz w:val="28"/>
          <w:szCs w:val="28"/>
          <w:rtl w:val="true"/>
          <w:lang w:bidi="ar-SA"/>
        </w:rPr>
        <w:t>بمعنى أنَّ إنكار الضروريّ بوصف أنّه كذلك تامّ في الكفر في حالة العلم سواء، لكن بحيث لو اطّلع المُنكِر اعترف بأنّه من ضروريّات الدّين، فيترتّب عليه جميع أحكام الكافر</w:t>
      </w:r>
    </w:p>
    <w:p>
      <w:pPr>
        <w:pStyle w:val="BookText"/>
        <w:rPr/>
      </w:pPr>
      <w:r>
        <w:rPr>
          <w:rFonts w:ascii="Amiri" w:hAnsi="Amiri" w:eastAsia="Amiri" w:cs="Amiri"/>
          <w:color w:val="111111"/>
          <w:sz w:val="28"/>
          <w:sz w:val="28"/>
          <w:szCs w:val="28"/>
          <w:rtl w:val="true"/>
          <w:lang w:bidi="ar-SA"/>
        </w:rPr>
        <w:t>الشرعيّة من النجاسة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العقوبات الأُخرويّة فلا أقول بترتّبها على الجاهل مطلقاً إلَّا من حيث التقصير كما مرّ؛ قضاءً لحكم العقل بتوقّف العقاب على ترك المأمور به في حقّ العالم، و حينئذٍ فمنكر الضروريّ عن شبهة أو عدم علم به كافر حاله حال أولاد الكفّار، و المجنون منهم بعد بلوغه في الدّنيا و الآخرة و عقابه كعقابهم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طريق جمع بين ما قضى بكفر المنكر للضروري، و بين ما خصّ الكفر بالمنكر لا</w:t>
      </w:r>
    </w:p>
    <w:p>
      <w:pPr>
        <w:pStyle w:val="BookText"/>
        <w:rPr/>
      </w:pPr>
      <w:r>
        <w:rPr>
          <w:rFonts w:ascii="Amiri" w:hAnsi="Amiri" w:eastAsia="Amiri" w:cs="Amiri"/>
          <w:color w:val="111111"/>
          <w:sz w:val="28"/>
          <w:sz w:val="28"/>
          <w:szCs w:val="28"/>
          <w:rtl w:val="true"/>
          <w:lang w:bidi="ar-SA"/>
        </w:rPr>
        <w:t xml:space="preserve">عن شبهة من أخبار الباب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إنكار ضروريّات الدّين سبباً مقابلاً للإقرار بالرّسالة و التصديق بما جاء به النّبيّ صلّی الله علیه و آله، و قوله علیه السلام في صحيحة أبي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من جَحد الفرائض كان كافراً</w:t>
      </w:r>
      <w:r>
        <w:rPr>
          <w:rFonts w:eastAsia="IRNazanin" w:cs="IRNazanin"/>
          <w:color w:val="111111"/>
          <w:sz w:val="28"/>
          <w:szCs w:val="28"/>
          <w:rtl w:val="true"/>
          <w:lang w:bidi="fa-IR"/>
        </w:rPr>
        <w:t xml:space="preserve">» </w:t>
      </w:r>
      <w:r>
        <w:rPr>
          <w:rStyle w:val="FootnoteAnchor"/>
          <w:rtl w:val="true"/>
        </w:rPr>
        <w:footnoteReference w:id="1798"/>
      </w:r>
      <w:r>
        <w:rPr>
          <w:rFonts w:ascii="Amiri" w:hAnsi="Amiri" w:eastAsia="Amiri" w:cs="Amiri"/>
          <w:color w:val="111111"/>
          <w:sz w:val="28"/>
          <w:sz w:val="28"/>
          <w:szCs w:val="28"/>
          <w:rtl w:val="true"/>
          <w:lang w:bidi="ar-SA"/>
        </w:rPr>
        <w:t>، يقضي بأخذ التدّين بها في الإيمان الملازم عدمه للكفر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في مكاتبة عبد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يخرجه إلى الكفر إلَّا الجحود و الاستحلال بأن يقول للحلال هذا حرام و للحرام هذا حلال و دانَ بذلك، فعندها يكون خارجاً عن الإيمان و الإسلام داخلاً في الكفر</w:t>
      </w:r>
      <w:r>
        <w:rPr>
          <w:rFonts w:eastAsia="IRNazanin" w:cs="IRNazanin"/>
          <w:color w:val="111111"/>
          <w:sz w:val="28"/>
          <w:szCs w:val="28"/>
          <w:rtl w:val="true"/>
          <w:lang w:bidi="fa-IR"/>
        </w:rPr>
        <w:t xml:space="preserve">» </w:t>
      </w:r>
      <w:r>
        <w:rPr>
          <w:rStyle w:val="FootnoteAnchor"/>
          <w:rtl w:val="true"/>
        </w:rPr>
        <w:footnoteReference w:id="1799"/>
      </w:r>
      <w:r>
        <w:rPr>
          <w:rFonts w:ascii="IRNazanin" w:hAnsi="IRNazanin" w:eastAsia="IRNazanin"/>
          <w:color w:val="111111"/>
          <w:sz w:val="28"/>
          <w:sz w:val="28"/>
          <w:szCs w:val="28"/>
          <w:rtl w:val="true"/>
          <w:lang w:bidi="fa-IR"/>
        </w:rPr>
        <w:t>، و قال علیه السلام في صحيحة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ارتكب كبيرة فزعم أنّها حلال أخرجه ذلك عن الإسلام</w:t>
      </w:r>
      <w:r>
        <w:rPr>
          <w:rFonts w:eastAsia="IRNazanin" w:cs="IRNazanin"/>
          <w:color w:val="111111"/>
          <w:sz w:val="28"/>
          <w:szCs w:val="28"/>
          <w:rtl w:val="true"/>
          <w:lang w:bidi="fa-IR"/>
        </w:rPr>
        <w:t xml:space="preserve">» </w:t>
      </w:r>
      <w:r>
        <w:rPr>
          <w:rStyle w:val="FootnoteAnchor"/>
          <w:rtl w:val="true"/>
        </w:rPr>
        <w:footnoteReference w:id="1800"/>
      </w:r>
      <w:r>
        <w:rPr>
          <w:rFonts w:ascii="IRNazanin" w:hAnsi="IRNazanin" w:eastAsia="IRNazanin"/>
          <w:color w:val="111111"/>
          <w:sz w:val="28"/>
          <w:sz w:val="28"/>
          <w:szCs w:val="28"/>
          <w:rtl w:val="true"/>
          <w:lang w:bidi="fa-IR"/>
        </w:rPr>
        <w:t>، و قوله علیه السلام في صحيحة بريد العجلي عن أدنى ما يكون به العبد مشركاً؟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للنّواة حصاة و للحصاة أنّها نواة ثمّ دانَ به</w:t>
      </w:r>
      <w:r>
        <w:rPr>
          <w:rFonts w:eastAsia="IRNazanin" w:cs="IRNazanin"/>
          <w:color w:val="111111"/>
          <w:sz w:val="28"/>
          <w:szCs w:val="28"/>
          <w:rtl w:val="true"/>
          <w:lang w:bidi="fa-IR"/>
        </w:rPr>
        <w:t xml:space="preserve">» </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ظاهرها ما قلنا، و حيث أُبهِم الأمر على بعضهم </w:t>
      </w:r>
      <w:r>
        <w:rPr>
          <w:rStyle w:val="FootnoteAnchor"/>
          <w:rtl w:val="true"/>
        </w:rPr>
        <w:footnoteReference w:id="1802"/>
      </w:r>
      <w:r>
        <w:rPr>
          <w:rFonts w:ascii="Amiri" w:hAnsi="Amiri" w:eastAsia="Amiri" w:cs="Amiri"/>
          <w:color w:val="111111"/>
          <w:sz w:val="28"/>
          <w:sz w:val="28"/>
          <w:szCs w:val="28"/>
          <w:rtl w:val="true"/>
          <w:lang w:bidi="ar-SA"/>
        </w:rPr>
        <w:t>، و لم تتنوّر له الفائدة المقصودة من الحكم بكفر المنكر مطلقاً، حكمَ بأنّ كُفر مُنكِر الضروري من جهة رجوعه إلى إنكار</w:t>
      </w:r>
    </w:p>
    <w:p>
      <w:pPr>
        <w:pStyle w:val="BookText"/>
        <w:rPr/>
      </w:pPr>
      <w:r>
        <w:rPr>
          <w:rFonts w:ascii="IRNazanin" w:hAnsi="IRNazanin" w:eastAsia="IRNazanin"/>
          <w:color w:val="111111"/>
          <w:sz w:val="28"/>
          <w:sz w:val="28"/>
          <w:szCs w:val="28"/>
          <w:rtl w:val="true"/>
          <w:lang w:bidi="fa-IR"/>
        </w:rPr>
        <w:t xml:space="preserve">صلى الله صدق النَّبيّ صلّی الله علیه و آله، و خصّه بما ثبت ذلك عنده و علم به أنّه من دين النَّبيّ صلّی الله علیه و آله، و جعل المدار فيه على حصول العلم بأنّه ممّا جاء به النَّبيّ صلّی الله علیه و آله، و صرف قولهم بكفر المنكر مطلقاً إلى أنّه لمّا كان 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التعذيب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الضّروري غالباً أُنيط الحكم به، فالمجمع عليه إذا لم يكن ضروريّا لم يؤثِّر، و لازمه أن لا يكفر بعض من أنكر الضّروريات لجهل أو شبهة عَرَضَت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فالشّاك في أنّ هذا الضّروري ممّا جاء به النَّبيّ صلّی الله علیه و آله أم لا يرجع شكّه إلى تكذيب النَّبيّ صلّی الله علیه و آله فلا يكفر، و كأنّ محطّ نظره أنّ ما قضى ببيان الإسلام و حدّده لم يقض باعتبار التصديق بالضّروريات من حيث إنّها كذلك كالتصديق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 كلام واهٍ لا محصّل له، ينفتق منه خَرق لا يمكن سَدّه، فإنّ العقل و النقل قاضيان بإرادة انتشار دين الإسلام للمليك العلاّم، فحكم بكفاية الشهادتين في حدوثه، و بكفر المنتحل له مع التديّن ببعض الأحكام أو إنكار بعضها ليرجع المنكر إذا بلغه كفره فيزيل شبهته، و لا يقصر في طلب الحقّ، و هو السّبب في كفر أولاد الكفّار و ضعفائهم، و السبب في تكفير الخوارج و النّواصب و غيرهم ممّن يعتقد أنّ ما تديّن به هو عين ما جاء به النَّبيّ صلّی الله علیه و آله لا أنّه مكذّب 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فرق حينئذ بين مَن عَرفَ الحق و أنكره عِناداً، و بين من كذّب النَّبيّ صلّی الله علیه و آله، و بين مَن أنكر الضّروري عالماً به أو لا، في ترتيب أحكام الكفر سواء كان المنكر مفوّتاً ما هو من قبيل العقائد الواجب التديّن بها، أو من قبيل الأحكام العمليّة كوجوب الصلاة و حُرمَة الخمر بوصف الضروريّة في كون إنكارهما موجباً للكفر الغير اللازم للعذاب، فلا يحرم عليه العمل و يكفر بترك التديّن بحرمته، فلو كان حرمة الخمر ضروريّة مثلاً و لم يتديّن به؛ لجهل بذلك مطلقاً فتناولها، دريء عنه الحَدّ و حكم بكفره و نجاسته، و لا بُعد فيه كعدم عقاب القائل خطأ و إن لحقه حكمٌ آخر، فالأقوى تساوي أحكام الشريعة اعتقاديّات أو عمليّات في الضّرورة </w:t>
      </w:r>
    </w:p>
    <w:p>
      <w:pPr>
        <w:pStyle w:val="BookText"/>
        <w:rPr/>
      </w:pPr>
      <w:r>
        <w:rPr>
          <w:rFonts w:ascii="Amiri" w:hAnsi="Amiri" w:eastAsia="Amiri" w:cs="Amiri"/>
          <w:color w:val="111111"/>
          <w:sz w:val="28"/>
          <w:sz w:val="28"/>
          <w:szCs w:val="28"/>
          <w:rtl w:val="true"/>
          <w:lang w:bidi="ar-SA"/>
        </w:rPr>
        <w:t>و النّظر، فغير الضّروري منهما حكم واحد، و الضّروري الذي بني عليه الدّين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يجري على الجاهل المُنكِر حكم الارتداد و إن جَرَت عليه أحكام الكفر؛ إذ المختار أنّ الارتداد هو الرجوع عمّا تديّن به بعد صدق تديّنه به، فمّن أنكر ما لم يتديّن به من الضروريّات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مرتدّ و إن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كفر المخالف مطلقاً، و لا رَيْبَ فيه بعد تحقّق إنكاره للضّروري، فالواجب ثبوت أحكام الكفر له التي منها نجاسته، لكن حيث كان المشهور هو الطّهارة جمعنا بين القولين بإثبات العفو لا مطلقاً، بل حيث لا يمكن التحرّز؛ أخذاً بالقَدْر اليقيني فيما يتنزّل عليه أخبار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حملهم لأخبار طهارة الكتابي على التقيّة </w:t>
      </w:r>
      <w:r>
        <w:rPr>
          <w:rStyle w:val="FootnoteAnchor"/>
          <w:rtl w:val="true"/>
        </w:rPr>
        <w:footnoteReference w:id="1803"/>
      </w:r>
      <w:r>
        <w:rPr>
          <w:rFonts w:ascii="IRNazanin" w:hAnsi="IRNazanin" w:eastAsia="IRNazanin"/>
          <w:color w:val="111111"/>
          <w:sz w:val="28"/>
          <w:sz w:val="28"/>
          <w:szCs w:val="28"/>
          <w:rtl w:val="true"/>
          <w:lang w:bidi="fa-IR"/>
        </w:rPr>
        <w:t>و عدمه هنا، مع أنّه أجلى</w:t>
      </w:r>
    </w:p>
    <w:p>
      <w:pPr>
        <w:pStyle w:val="BookText"/>
        <w:rPr/>
      </w:pPr>
      <w:r>
        <w:rPr>
          <w:rFonts w:ascii="Amiri" w:hAnsi="Amiri" w:eastAsia="Amiri" w:cs="Amiri"/>
          <w:color w:val="111111"/>
          <w:sz w:val="28"/>
          <w:sz w:val="28"/>
          <w:szCs w:val="28"/>
          <w:rtl w:val="true"/>
          <w:lang w:bidi="ar-SA"/>
        </w:rPr>
        <w:t>و أوضح، فلو قلنا بالطّهارة حكمنا بها في المقامين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الاعتماد بشمول ما قضى بكفر الناصب للمخالف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صغراه و كبراه من عدم شمول الناصبي للمخالف مطلقاً مع الإغماض عن ظاهرها، و على فرضه فمّا دلّ على نجاسة الناصبي من الإجماع </w:t>
      </w:r>
      <w:r>
        <w:rPr>
          <w:rStyle w:val="FootnoteAnchor"/>
          <w:rtl w:val="true"/>
        </w:rPr>
        <w:footnoteReference w:id="1804"/>
      </w:r>
      <w:r>
        <w:rPr>
          <w:rFonts w:ascii="IRNazanin" w:hAnsi="IRNazanin" w:eastAsia="IRNazanin"/>
          <w:color w:val="111111"/>
          <w:sz w:val="28"/>
          <w:sz w:val="28"/>
          <w:szCs w:val="28"/>
          <w:rtl w:val="true"/>
          <w:lang w:bidi="fa-IR"/>
        </w:rPr>
        <w:t xml:space="preserve">و الأخبار </w:t>
      </w:r>
      <w:r>
        <w:rPr>
          <w:rStyle w:val="FootnoteAnchor"/>
          <w:rtl w:val="true"/>
        </w:rPr>
        <w:footnoteReference w:id="1805"/>
      </w:r>
      <w:r>
        <w:rPr>
          <w:rFonts w:ascii="IRNazanin" w:hAnsi="IRNazanin" w:eastAsia="IRNazanin"/>
          <w:color w:val="111111"/>
          <w:sz w:val="28"/>
          <w:sz w:val="28"/>
          <w:szCs w:val="28"/>
          <w:rtl w:val="true"/>
          <w:lang w:bidi="fa-IR"/>
        </w:rPr>
        <w:t>مختصّ وضعاً أو انصرافاً بخصوص المُعلِن بعداوة أهل البيت علیهم السلام، و ليس كلّ مخالف كذلك خصوصاً إذا كان من فرق الشيعة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سقوط ما اعتمد عليه في الطّهارة من أخبار كلّها لا تأبى التقييد بأخبار النّجاسة، نحو قوله علیه السلام في جملة 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هو الظاهر الذي عليه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 أنّ محمداً رسول الله صلّی الله علیه و آله، و إقام الصلاة و إيتاء الزكوة، و حجّ البيت، و صيام شهر رمضان، فهذا الإسلام، و الإيمانُ معرفة هذا الأمر، مع هذا فإنْ أَقَرَّ بها و لم يعرف هذا </w:t>
      </w:r>
    </w:p>
    <w:p>
      <w:pPr>
        <w:pStyle w:val="BookText"/>
        <w:rPr/>
      </w:pPr>
      <w:r>
        <w:rPr>
          <w:rFonts w:ascii="Amiri" w:hAnsi="Amiri" w:eastAsia="Amiri" w:cs="Amiri"/>
          <w:color w:val="111111"/>
          <w:sz w:val="28"/>
          <w:sz w:val="28"/>
          <w:szCs w:val="28"/>
          <w:rtl w:val="true"/>
          <w:lang w:bidi="ar-SA"/>
        </w:rPr>
        <w:t>الأمر كان مسلماً ضالاً</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محبوب </w:t>
      </w:r>
      <w:r>
        <w:rPr>
          <w:rStyle w:val="FootnoteAnchor"/>
          <w:rtl w:val="true"/>
        </w:rPr>
        <w:footnoteReference w:id="1807"/>
      </w:r>
      <w:r>
        <w:rPr>
          <w:rFonts w:ascii="IRNazanin" w:hAnsi="IRNazanin" w:eastAsia="IRNazanin"/>
          <w:color w:val="111111"/>
          <w:sz w:val="28"/>
          <w:sz w:val="28"/>
          <w:szCs w:val="28"/>
          <w:rtl w:val="true"/>
          <w:lang w:bidi="fa-IR"/>
        </w:rPr>
        <w:t>، و ما في رواية زرارة و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لم يصنع ذلك و دخل في ما دخل فيه الناس على غير علم و لا عداوة لأمير المؤمنين علیه السلام، فإنّ ذلك لا يكفره و لا يخرجه عن الإسلام إلى الكفر</w:t>
      </w:r>
      <w:r>
        <w:rPr>
          <w:rFonts w:eastAsia="IRNazanin" w:cs="IRNazanin"/>
          <w:color w:val="111111"/>
          <w:sz w:val="28"/>
          <w:szCs w:val="28"/>
          <w:rtl w:val="true"/>
          <w:lang w:bidi="fa-IR"/>
        </w:rPr>
        <w:t xml:space="preserve">» </w:t>
      </w:r>
      <w:r>
        <w:rPr>
          <w:rStyle w:val="FootnoteAnchor"/>
          <w:rtl w:val="true"/>
        </w:rPr>
        <w:footnoteReference w:id="1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كثير </w:t>
      </w:r>
      <w:r>
        <w:rPr>
          <w:rStyle w:val="FootnoteAnchor"/>
          <w:rtl w:val="true"/>
        </w:rPr>
        <w:footnoteReference w:id="1809"/>
      </w:r>
      <w:r>
        <w:rPr>
          <w:rFonts w:ascii="Amiri" w:hAnsi="Amiri" w:eastAsia="Amiri" w:cs="Amiri"/>
          <w:color w:val="111111"/>
          <w:sz w:val="28"/>
          <w:sz w:val="28"/>
          <w:szCs w:val="28"/>
          <w:rtl w:val="true"/>
          <w:lang w:bidi="ar-SA"/>
        </w:rPr>
        <w:t>، فإنّ دلالتها على عدم اعتبار الإيمان بالمعنى الأخصّ ليست إلَّا من باب الإطلاق القابل للمناقشة، فما دلّ على كفر المخالف إذا قيّدناه بتعميم الإسلام في بعض الروايات المصرّحة بحصوله مع عدم التصديق بالإمامة ممّا كان ليدلّ على كفاية الإسلام النّاقص في ثبوت الأحكام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أعرضَ غير واحد </w:t>
      </w:r>
      <w:r>
        <w:rPr>
          <w:rStyle w:val="FootnoteAnchor"/>
          <w:rtl w:val="true"/>
        </w:rPr>
        <w:footnoteReference w:id="1810"/>
      </w:r>
      <w:r>
        <w:rPr>
          <w:rFonts w:ascii="Amiri" w:hAnsi="Amiri" w:eastAsia="Amiri" w:cs="Amiri"/>
          <w:color w:val="111111"/>
          <w:sz w:val="28"/>
          <w:sz w:val="28"/>
          <w:szCs w:val="28"/>
          <w:rtl w:val="true"/>
          <w:lang w:bidi="ar-SA"/>
        </w:rPr>
        <w:t xml:space="preserve">عن التمسّك بالأخبار في هذا المضمار، و بعض </w:t>
      </w:r>
      <w:r>
        <w:rPr>
          <w:rStyle w:val="FootnoteAnchor"/>
          <w:rtl w:val="true"/>
        </w:rPr>
        <w:footnoteReference w:id="1811"/>
      </w:r>
      <w:r>
        <w:rPr>
          <w:rFonts w:ascii="Amiri" w:hAnsi="Amiri" w:eastAsia="Amiri" w:cs="Amiri"/>
          <w:color w:val="111111"/>
          <w:sz w:val="28"/>
          <w:sz w:val="28"/>
          <w:szCs w:val="28"/>
          <w:rtl w:val="true"/>
          <w:lang w:bidi="ar-SA"/>
        </w:rPr>
        <w:t>الحاكم بالطّهارة مطلقاً لمّا أعوزه الدّليل فزع طَوْراً إلى الحَرَج المنفيّ، و أُخرى إلى مساورة النَّبيّ صلّى الله عليه و آله لدافعي نَصّ عليّ علیه السلام و الأئمة علیهم السلام كذلك، و تارةً إلى ما قضى بحلّ ذبيحة الموحِّد العام لهم، و مرّةً إلى أنّ التقيّة كما تحكم على الحكم التكليفي تحكم على الوضعي أيضاً، فتقضي بالطّهارة ظاهراً و واقعاً، و الجميع كما ترى؛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لا يفيد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 الخلاف زمان مساورة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سلّمنا، فللنَّبيّ صلّى الله عليه و آله خصائص لا يشاركه غيره، و أحكامُ بدء الإسلام مختصّةٌ به لمصالحه، و لم يثبت عدم التجنّب من الأئمة علیهم السلام، فإنّ نفس المباشرة لا يقتضيه أبداً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بمقامه نتكلّم فيه، و لعلّنا لا ننكره؛ لدليله</w:t>
      </w:r>
      <w:r>
        <w:rPr>
          <w:rFonts w:eastAsia="Amiri" w:cs="Amiri" w:ascii="Amiri" w:hAnsi="Amiri"/>
          <w:color w:val="111111"/>
          <w:sz w:val="28"/>
          <w:szCs w:val="28"/>
          <w:rtl w:val="true"/>
          <w:lang w:bidi="ar-SA"/>
        </w:rPr>
        <w:t xml:space="preserve">. </w:t>
      </w:r>
      <w:bookmarkStart w:id="143" w:name="pg9146_86188"/>
    </w:p>
    <w:p>
      <w:pPr>
        <w:pStyle w:val="BookText"/>
        <w:rPr/>
      </w:pPr>
      <w:bookmarkEnd w:id="143"/>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التقيّة لا تقتضي رفع الأثر عن تلك النجاسة و إن أحلّت عدم الاجتناب كما هو محقّق في محلّه </w:t>
      </w:r>
      <w:r>
        <w:rPr>
          <w:rStyle w:val="FootnoteAnchor"/>
          <w:rtl w:val="true"/>
        </w:rPr>
        <w:footnoteReference w:id="1812"/>
      </w:r>
      <w:r>
        <w:rPr>
          <w:rFonts w:ascii="Amiri" w:hAnsi="Amiri" w:eastAsia="Amiri" w:cs="Amiri"/>
          <w:color w:val="111111"/>
          <w:sz w:val="28"/>
          <w:sz w:val="28"/>
          <w:szCs w:val="28"/>
          <w:rtl w:val="true"/>
          <w:lang w:bidi="ar-SA"/>
        </w:rPr>
        <w:t xml:space="preserve">، ثمّ بعد أن قلنا بالعفو يرتفع ذلك كلّه، كما لا ينافيه استحباب المخالطة معهم و تشييع جنائزهم و الصلاة بصلاتهم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جعفر بن محمّد ما كان أحسن ما يؤدّب به أصحابه</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 فإنّه يجري مجرى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 عَدْوًا</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 و عليه جرى فعل العلماء إلى عصرنا هذا، فتقدّر الضرورة بقدرها، و لقد شاهدت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عندهم غسل فاه ويديه مع أ أنّه مُفتٍ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أحكام الكافر فنتكلّم عليها في محالّها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لحوق جميع أحكام الكتابي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الإرث، فإنّه لا خلاف لأصحابنا في مواريثهم و إن لم أعثر على نَصّ منهم في خصوصه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الكلام في فِرَق الشيعة غيرهم من الواقفيّة و الزيديّة و الفطحيّة و غيرهم كالكلام فيهم بلا فرق، و يقضي بكفرهم طوائف من الأخبار،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الناصبي نَصَبَ لكُم، و الزيدي نصبَ لنا</w:t>
      </w:r>
      <w:r>
        <w:rPr>
          <w:rFonts w:eastAsia="IRNazanin" w:cs="IRNazanin"/>
          <w:color w:val="111111"/>
          <w:sz w:val="28"/>
          <w:szCs w:val="28"/>
          <w:rtl w:val="true"/>
          <w:lang w:bidi="fa-IR"/>
        </w:rPr>
        <w:t xml:space="preserve">» </w:t>
      </w: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الله العالم</w:t>
      </w:r>
      <w:r>
        <w:rPr>
          <w:rFonts w:eastAsia="IRNazanin" w:cs="IRNazanin"/>
          <w:color w:val="111111"/>
          <w:sz w:val="28"/>
          <w:szCs w:val="28"/>
          <w:rtl w:val="true"/>
          <w:lang w:bidi="fa-IR"/>
        </w:rPr>
        <w:t>.</w:t>
      </w:r>
    </w:p>
    <w:p>
      <w:pPr>
        <w:pStyle w:val="Heading2"/>
        <w:numPr>
          <w:ilvl w:val="1"/>
          <w:numId w:val="1"/>
        </w:numPr>
        <w:rPr/>
      </w:pPr>
      <w:bookmarkStart w:id="144" w:name="__RefHeading___Toc3322620_2870459653"/>
      <w:bookmarkStart w:id="145" w:name="_Toc48"/>
      <w:bookmarkEnd w:id="144"/>
      <w:r>
        <w:rPr>
          <w:rtl w:val="true"/>
        </w:rPr>
        <w:t>[</w:t>
      </w:r>
      <w:r>
        <w:rPr>
          <w:rtl w:val="true"/>
        </w:rPr>
        <w:t>النواصب و الخوارج</w:t>
      </w:r>
      <w:r>
        <w:rPr>
          <w:rtl w:val="true"/>
        </w:rPr>
        <w:t>]</w:t>
      </w:r>
      <w:bookmarkEnd w:id="14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بدخوله في الكافر حكماً و موضوعاً، و هم النّواصب و الخوارج و الغُلاة في المشهور </w:t>
      </w:r>
      <w:r>
        <w:rPr>
          <w:rStyle w:val="FootnoteAnchor"/>
          <w:rtl w:val="true"/>
        </w:rPr>
        <w:footnoteReference w:id="1816"/>
      </w:r>
      <w:r>
        <w:rPr>
          <w:rFonts w:ascii="Amiri" w:hAnsi="Amiri" w:eastAsia="Amiri" w:cs="Amiri"/>
          <w:color w:val="111111"/>
          <w:sz w:val="28"/>
          <w:sz w:val="28"/>
          <w:szCs w:val="28"/>
          <w:rtl w:val="true"/>
          <w:lang w:bidi="ar-SA"/>
        </w:rPr>
        <w:t xml:space="preserve">للنّصوص الجَليّة </w:t>
      </w:r>
      <w:r>
        <w:rPr>
          <w:rStyle w:val="FootnoteAnchor"/>
          <w:rtl w:val="true"/>
        </w:rPr>
        <w:footnoteReference w:id="1817"/>
      </w:r>
      <w:r>
        <w:rPr>
          <w:rFonts w:ascii="IRNazanin" w:hAnsi="IRNazanin" w:eastAsia="IRNazanin"/>
          <w:color w:val="111111"/>
          <w:sz w:val="28"/>
          <w:sz w:val="28"/>
          <w:szCs w:val="28"/>
          <w:rtl w:val="true"/>
          <w:lang w:bidi="fa-IR"/>
        </w:rPr>
        <w:t>بخصوصهم، و النَّصْبُ هو الإعلان بعداوة عليّ علیه السلام أو مطلق الأئمة علیهم السلام، و يدخل فيهم الزّهراء عليها السلام في وجهٍ قويّ</w:t>
      </w:r>
      <w:r>
        <w:rPr>
          <w:rFonts w:eastAsia="IRNazanin" w:cs="IRNazanin"/>
          <w:color w:val="111111"/>
          <w:sz w:val="28"/>
          <w:szCs w:val="28"/>
          <w:rtl w:val="true"/>
          <w:lang w:bidi="fa-IR"/>
        </w:rPr>
        <w:t xml:space="preserve">. </w:t>
      </w:r>
      <w:bookmarkStart w:id="146" w:name="pg9146_86189"/>
    </w:p>
    <w:p>
      <w:pPr>
        <w:pStyle w:val="BookText"/>
        <w:rPr/>
      </w:pPr>
      <w:bookmarkEnd w:id="146"/>
      <w:r>
        <w:rPr>
          <w:rFonts w:ascii="Amiri" w:hAnsi="Amiri" w:eastAsia="Amiri" w:cs="Amiri"/>
          <w:color w:val="111111"/>
          <w:sz w:val="28"/>
          <w:sz w:val="28"/>
          <w:szCs w:val="28"/>
          <w:rtl w:val="true"/>
          <w:lang w:bidi="ar-SA"/>
        </w:rPr>
        <w:t xml:space="preserve">و لقد أباحَ الجدّ الأكبر في السنة الخامسة و العشرين بعد المئتين في الفيحاء دماء مَن سَبّ البتول الزّهراء حتّى سفكت و قتل من أجل ذلك خَلْقٌ كثير و غضبت العامّة، و الحكاية معروفة </w:t>
      </w:r>
      <w:r>
        <w:rPr>
          <w:rStyle w:val="FootnoteAnchor"/>
          <w:rtl w:val="true"/>
        </w:rPr>
        <w:footnoteReference w:id="1818"/>
      </w:r>
      <w:r>
        <w:rPr>
          <w:rFonts w:ascii="IRNazanin" w:hAnsi="IRNazanin" w:eastAsia="IRNazanin"/>
          <w:color w:val="111111"/>
          <w:sz w:val="28"/>
          <w:sz w:val="28"/>
          <w:szCs w:val="28"/>
          <w:rtl w:val="true"/>
          <w:lang w:bidi="fa-IR"/>
        </w:rPr>
        <w:t>، و يدلّ على أنّ معنى النَّصب ذلك حكاية المرتضى مع شيخه المخالف لمّا سأله عن إعراب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مفعول و هو منصوب،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نصبه؟ أجابه 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فأبدى عجباً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جماعة ذهبوا إلى أنّ الناصب كلّ مَن قدَّم على عليِّ علیه السلام غيره؛ ليعمّ المخالف مطلقاً </w:t>
      </w:r>
      <w:r>
        <w:rPr>
          <w:rStyle w:val="FootnoteAnchor"/>
          <w:rtl w:val="true"/>
        </w:rPr>
        <w:footnoteReference w:id="1820"/>
      </w:r>
      <w:r>
        <w:rPr>
          <w:rFonts w:ascii="Amiri" w:hAnsi="Amiri" w:eastAsia="Amiri" w:cs="Amiri"/>
          <w:color w:val="111111"/>
          <w:sz w:val="28"/>
          <w:sz w:val="28"/>
          <w:szCs w:val="28"/>
          <w:rtl w:val="true"/>
          <w:lang w:bidi="ar-SA"/>
        </w:rPr>
        <w:t>، و لا دليل لهم، و لا فائدة بعد اتّحاد الحكم من حيث إنكار الضروري المكفر</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3322622_2870459653"/>
      <w:bookmarkStart w:id="148" w:name="_Toc49"/>
      <w:bookmarkEnd w:id="147"/>
      <w:r>
        <w:rPr>
          <w:rtl w:val="true"/>
        </w:rPr>
        <w:t>[</w:t>
      </w:r>
      <w:r>
        <w:rPr>
          <w:rtl w:val="true"/>
        </w:rPr>
        <w:t>المجسّمة و المجبّرة</w:t>
      </w:r>
      <w:r>
        <w:rPr>
          <w:rtl w:val="true"/>
        </w:rPr>
        <w:t>]</w:t>
      </w:r>
      <w:bookmarkEnd w:id="14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في دخوله و عدمه، و هم فرق المجسمة </w:t>
      </w:r>
      <w:r>
        <w:rPr>
          <w:rStyle w:val="FootnoteAnchor"/>
          <w:rtl w:val="true"/>
        </w:rPr>
        <w:footnoteReference w:id="1821"/>
      </w:r>
      <w:r>
        <w:rPr>
          <w:rFonts w:ascii="Amiri" w:hAnsi="Amiri" w:eastAsia="Amiri" w:cs="Amiri"/>
          <w:color w:val="111111"/>
          <w:sz w:val="28"/>
          <w:sz w:val="28"/>
          <w:szCs w:val="28"/>
          <w:rtl w:val="true"/>
          <w:lang w:bidi="ar-SA"/>
        </w:rPr>
        <w:t xml:space="preserve">أو بعضهم، و المجبّرة </w:t>
      </w:r>
      <w:r>
        <w:rPr>
          <w:rStyle w:val="FootnoteAnchor"/>
          <w:rtl w:val="true"/>
        </w:rPr>
        <w:footnoteReference w:id="1822"/>
      </w:r>
      <w:r>
        <w:rPr>
          <w:rFonts w:ascii="Amiri" w:hAnsi="Amiri" w:eastAsia="Amiri" w:cs="Amiri"/>
          <w:color w:val="111111"/>
          <w:sz w:val="28"/>
          <w:sz w:val="28"/>
          <w:szCs w:val="28"/>
          <w:rtl w:val="true"/>
          <w:lang w:bidi="ar-SA"/>
        </w:rPr>
        <w:t xml:space="preserve">، و المفوّضة </w:t>
      </w:r>
      <w:r>
        <w:rPr>
          <w:rStyle w:val="FootnoteAnchor"/>
          <w:rtl w:val="true"/>
        </w:rPr>
        <w:footnoteReference w:id="1823"/>
      </w:r>
      <w:r>
        <w:rPr>
          <w:rFonts w:ascii="Amiri" w:hAnsi="Amiri" w:eastAsia="Amiri" w:cs="Amiri"/>
          <w:color w:val="111111"/>
          <w:sz w:val="28"/>
          <w:sz w:val="28"/>
          <w:szCs w:val="28"/>
          <w:rtl w:val="true"/>
          <w:lang w:bidi="ar-SA"/>
        </w:rPr>
        <w:t>، أمّا المخالف منهم فقد عرفت حكمه، و أمّا غيره فالأصل طهارته استضعافاً لدليل النّجاسة، و يظهر من كشف جدّنا الأكبر اندراج هذه الفِرَق جميعاً في الكفّار موضوعاً و حكماً، حيث قسّم الكافر إلى قسمين و عمّم الثاني للقائل بالجبر و التفويض، و الوعد و الوعيد، و قِدَم العالم أو المجرّدات، و التجسيم و التشبيه بالحقيقة، و وحدة الوجود و الموجود أو الاتّحاد، و ثبوت الزمان و المكان، و غيرها،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إن صرّح باللّوازم أو اعتقدها كَفَر وجرى عليه حكم الارتداد الفطري، و إلَّا فإن يكن عن شُبهة عَرَضَتْ له استُتيب و قُبِلَت </w:t>
      </w:r>
    </w:p>
    <w:p>
      <w:pPr>
        <w:pStyle w:val="BookText"/>
        <w:rPr/>
      </w:pPr>
      <w:r>
        <w:rPr>
          <w:rFonts w:ascii="Amiri" w:hAnsi="Amiri" w:eastAsia="Amiri" w:cs="Amiri"/>
          <w:color w:val="111111"/>
          <w:sz w:val="28"/>
          <w:sz w:val="28"/>
          <w:szCs w:val="28"/>
          <w:rtl w:val="true"/>
          <w:lang w:bidi="ar-SA"/>
        </w:rPr>
        <w:t xml:space="preserve">توبته، و إن امتنع قُتِل في الرّابعة، و إن لم يكن أُخرج من البلاد و نادى المُنادي بالبراءة منه على رؤوس الأشهاد، و يجري ذلك في حقّ المبدعين في فروع الدّين، المُدّعين للاستقلال، الباعثين على إضلال الجهّال، العاملين بظاهر الرّوايات، و المتوجِّهين للمحاكمات بالرّجوع لفتاوى الأموات </w:t>
      </w:r>
      <w:r>
        <w:rPr>
          <w:rStyle w:val="FootnoteAnchor"/>
          <w:rtl w:val="true"/>
        </w:rPr>
        <w:footnoteReference w:id="1824"/>
      </w:r>
      <w:r>
        <w:rPr>
          <w:rFonts w:ascii="IRNazanin" w:hAnsi="IRNazanin" w:eastAsia="IRNazanin"/>
          <w:color w:val="111111"/>
          <w:sz w:val="28"/>
          <w:sz w:val="28"/>
          <w:szCs w:val="28"/>
          <w:rtl w:val="true"/>
          <w:lang w:bidi="fa-IR"/>
        </w:rPr>
        <w:t>، انتهى 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إطلاقه محلّ إشكال، و الميزان في الكفر و عدمه هو إنكار الضّروري و عدمه، و مع الشك يجري الأصل في المُنكَر و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خمر و غيره، نجس إجماعاً </w:t>
      </w:r>
      <w:r>
        <w:rPr>
          <w:rStyle w:val="FootnoteAnchor"/>
          <w:rtl w:val="true"/>
        </w:rPr>
        <w:footnoteReference w:id="1825"/>
      </w:r>
      <w:r>
        <w:rPr>
          <w:rFonts w:ascii="Amiri" w:hAnsi="Amiri" w:eastAsia="Amiri" w:cs="Amiri"/>
          <w:color w:val="111111"/>
          <w:sz w:val="28"/>
          <w:sz w:val="28"/>
          <w:szCs w:val="28"/>
          <w:rtl w:val="true"/>
          <w:lang w:bidi="ar-SA"/>
        </w:rPr>
        <w:t xml:space="preserve">نصّاً </w:t>
      </w:r>
      <w:r>
        <w:rPr>
          <w:rStyle w:val="FootnoteAnchor"/>
          <w:rtl w:val="true"/>
        </w:rPr>
        <w:footnoteReference w:id="1826"/>
      </w:r>
      <w:r>
        <w:rPr>
          <w:rFonts w:ascii="IRNazanin" w:hAnsi="IRNazanin" w:eastAsia="IRNazanin"/>
          <w:color w:val="111111"/>
          <w:sz w:val="28"/>
          <w:sz w:val="28"/>
          <w:szCs w:val="28"/>
          <w:rtl w:val="true"/>
          <w:lang w:bidi="fa-IR"/>
        </w:rPr>
        <w:t xml:space="preserve">و فتوى </w:t>
      </w:r>
      <w:r>
        <w:rPr>
          <w:rStyle w:val="FootnoteAnchor"/>
          <w:rtl w:val="true"/>
        </w:rPr>
        <w:footnoteReference w:id="1827"/>
      </w:r>
      <w:r>
        <w:rPr>
          <w:rFonts w:ascii="IRNazanin" w:hAnsi="IRNazanin" w:eastAsia="IRNazanin"/>
          <w:color w:val="111111"/>
          <w:sz w:val="28"/>
          <w:sz w:val="28"/>
          <w:szCs w:val="28"/>
          <w:rtl w:val="true"/>
          <w:lang w:bidi="fa-IR"/>
        </w:rPr>
        <w:t xml:space="preserve">، و قصره الشارح </w:t>
      </w:r>
      <w:r>
        <w:rPr>
          <w:rStyle w:val="FootnoteAnchor"/>
          <w:rtl w:val="true"/>
        </w:rPr>
        <w:footnoteReference w:id="1828"/>
      </w:r>
      <w:r>
        <w:rPr>
          <w:rFonts w:ascii="Amiri" w:hAnsi="Amiri" w:eastAsia="Amiri" w:cs="Amiri"/>
          <w:color w:val="111111"/>
          <w:sz w:val="28"/>
          <w:sz w:val="28"/>
          <w:szCs w:val="28"/>
          <w:rtl w:val="true"/>
          <w:lang w:bidi="ar-SA"/>
        </w:rPr>
        <w:t xml:space="preserve">كغيره </w:t>
      </w:r>
      <w:r>
        <w:rPr>
          <w:rStyle w:val="FootnoteAnchor"/>
          <w:rtl w:val="true"/>
        </w:rPr>
        <w:footnoteReference w:id="1829"/>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المائع بالأصالة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لإدخال ما عرض له الجمود بعد الميعان و إخراج الجامد بالأصل و إن ذاب ممّا يسكر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جَمعٌ من أصحابنا </w:t>
      </w:r>
      <w:r>
        <w:rPr>
          <w:rStyle w:val="FootnoteAnchor"/>
          <w:rtl w:val="true"/>
        </w:rPr>
        <w:footnoteReference w:id="1830"/>
      </w:r>
      <w:r>
        <w:rPr>
          <w:rFonts w:ascii="Amiri" w:hAnsi="Amiri" w:eastAsia="Amiri" w:cs="Amiri"/>
          <w:color w:val="111111"/>
          <w:sz w:val="28"/>
          <w:sz w:val="28"/>
          <w:szCs w:val="28"/>
          <w:rtl w:val="true"/>
          <w:lang w:bidi="ar-SA"/>
        </w:rPr>
        <w:t xml:space="preserve">إلى الطّهارة؛ للأصل بعد تعارض أخباريهما، و لا مرجّح من حيث السّند و الدّلالة لأحد الفريقين كما اعترف به بروضه </w:t>
      </w:r>
      <w:r>
        <w:rPr>
          <w:rStyle w:val="FootnoteAnchor"/>
          <w:rtl w:val="true"/>
        </w:rPr>
        <w:footnoteReference w:id="1831"/>
      </w:r>
      <w:r>
        <w:rPr>
          <w:rFonts w:ascii="Amiri" w:hAnsi="Amiri" w:eastAsia="Amiri" w:cs="Amiri"/>
          <w:color w:val="111111"/>
          <w:sz w:val="28"/>
          <w:sz w:val="28"/>
          <w:szCs w:val="28"/>
          <w:rtl w:val="true"/>
          <w:lang w:bidi="ar-SA"/>
        </w:rPr>
        <w:t xml:space="preserve">إلَّا برواية ابن مهزيار </w:t>
      </w:r>
      <w:r>
        <w:rPr>
          <w:rStyle w:val="FootnoteAnchor"/>
          <w:rtl w:val="true"/>
        </w:rPr>
        <w:footnoteReference w:id="1832"/>
      </w:r>
      <w:r>
        <w:rPr>
          <w:rFonts w:ascii="IRNazanin" w:hAnsi="IRNazanin" w:eastAsia="IRNazanin"/>
          <w:color w:val="111111"/>
          <w:sz w:val="28"/>
          <w:sz w:val="28"/>
          <w:szCs w:val="28"/>
          <w:rtl w:val="true"/>
          <w:lang w:bidi="fa-IR"/>
        </w:rPr>
        <w:t>و إن تفوّقت بصحّة السَّنَد، لكنّها غير صريحة الدّلالة؛ للأمر فيها باتبّاع أبي عبد الله علیه السلام بعد نقل الحكمين عنه، لكن في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الصّدوق و الجعفي و ابن أبي عقيل تمسّكوا بأحاديث لا </w:t>
      </w:r>
    </w:p>
    <w:p>
      <w:pPr>
        <w:pStyle w:val="BookText"/>
        <w:rPr/>
      </w:pPr>
      <w:r>
        <w:rPr>
          <w:rFonts w:ascii="IRNazanin" w:hAnsi="IRNazanin" w:eastAsia="IRNazanin"/>
          <w:color w:val="111111"/>
          <w:sz w:val="28"/>
          <w:sz w:val="28"/>
          <w:szCs w:val="28"/>
          <w:rtl w:val="true"/>
          <w:lang w:bidi="fa-IR"/>
        </w:rPr>
        <w:t xml:space="preserve">تعارض القطعی </w:t>
      </w:r>
      <w:r>
        <w:rPr>
          <w:rStyle w:val="FootnoteAnchor"/>
          <w:rtl w:val="true"/>
        </w:rPr>
        <w:footnoteReference w:id="183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إمّا الآية </w:t>
      </w:r>
      <w:r>
        <w:rPr>
          <w:rStyle w:val="FootnoteAnchor"/>
          <w:rtl w:val="true"/>
        </w:rPr>
        <w:footnoteReference w:id="1834"/>
      </w:r>
      <w:r>
        <w:rPr>
          <w:rFonts w:ascii="Amiri" w:hAnsi="Amiri" w:eastAsia="Amiri" w:cs="Amiri"/>
          <w:color w:val="111111"/>
          <w:sz w:val="28"/>
          <w:sz w:val="28"/>
          <w:szCs w:val="28"/>
          <w:rtl w:val="true"/>
          <w:lang w:bidi="ar-SA"/>
        </w:rPr>
        <w:t xml:space="preserve">بعد تفسيره الرِّجس بالنّجس فيها، و إمّا المكاتبة </w:t>
      </w:r>
      <w:r>
        <w:rPr>
          <w:rStyle w:val="FootnoteAnchor"/>
          <w:rtl w:val="true"/>
        </w:rPr>
        <w:footnoteReference w:id="1835"/>
      </w:r>
      <w:r>
        <w:rPr>
          <w:rFonts w:ascii="Amiri" w:hAnsi="Amiri" w:eastAsia="Amiri" w:cs="Amiri"/>
          <w:color w:val="111111"/>
          <w:sz w:val="28"/>
          <w:sz w:val="28"/>
          <w:szCs w:val="28"/>
          <w:rtl w:val="true"/>
          <w:lang w:bidi="ar-SA"/>
        </w:rPr>
        <w:t>العاليّة السّند، و إمّا الإجماع، و الأولان لا رَيب في تطرّق الوَهْن فيهما من وجوه، فينحصر بالثالث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كلامه إرادة الأوّل؛ إذ عليه اعتمد الشيخ في الاستبصار </w:t>
      </w:r>
      <w:r>
        <w:rPr>
          <w:rStyle w:val="FootnoteAnchor"/>
          <w:rtl w:val="true"/>
        </w:rPr>
        <w:footnoteReference w:id="1836"/>
      </w:r>
      <w:r>
        <w:rPr>
          <w:rFonts w:ascii="Amiri" w:hAnsi="Amiri" w:eastAsia="Amiri" w:cs="Amiri"/>
          <w:color w:val="111111"/>
          <w:sz w:val="28"/>
          <w:sz w:val="28"/>
          <w:szCs w:val="28"/>
          <w:rtl w:val="true"/>
          <w:lang w:bidi="ar-SA"/>
        </w:rPr>
        <w:t xml:space="preserve">جازماً بظهور الآية، فحَذا حَذْوه، و حينئذٍ فإن تمّ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أغنانا عن الفكر في دليله، و إلَّا فظاهر الجمع أن تحمل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لأنه المنقول من مذهبهم، أو على الكراهة لوجوب حمل الظاهر على النّص في مقام الجمع؛ لأنّ أخبار الطهارة نصّ فيها، و أخبار النجاسة ظاهرة بها، لكن الشيخ حمل أخبار الطهارة على التقيّة، و استوجهه بعض الأفاضل </w:t>
      </w:r>
      <w:r>
        <w:rPr>
          <w:rStyle w:val="FootnoteAnchor"/>
          <w:rtl w:val="true"/>
        </w:rPr>
        <w:footnoteReference w:id="1837"/>
      </w:r>
      <w:r>
        <w:rPr>
          <w:rFonts w:ascii="IRNazanin" w:hAnsi="IRNazanin" w:eastAsia="IRNazanin"/>
          <w:color w:val="111111"/>
          <w:sz w:val="28"/>
          <w:sz w:val="28"/>
          <w:szCs w:val="28"/>
          <w:rtl w:val="true"/>
          <w:lang w:bidi="fa-IR"/>
        </w:rPr>
        <w:t>لتلفيقات لا محصّل لها بعد كون جمهورهم على النّجاسة، و لو تَمّ الحمل لسرى في غیره نحو شربه، بل و باقي المحرّمات التي يستبيحها ملوكهم و تحرّمها علماؤهم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ثبت أن قاضي ذلك الوقت مُفتٍ بالطهارة كان للتقيّة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الحكم لا شبهة فيه في الخمر و في غيره ممّا يُسكِر مطلقاً إِلَّا الجامد بالأصل؛ لاتّحاد المناط، و شذوذ المفصّل، و ظهور طائفة من الأخبار </w:t>
      </w:r>
      <w:r>
        <w:rPr>
          <w:rStyle w:val="FootnoteAnchor"/>
          <w:rtl w:val="true"/>
        </w:rPr>
        <w:footnoteReference w:id="1838"/>
      </w:r>
      <w:r>
        <w:rPr>
          <w:rFonts w:ascii="Amiri" w:hAnsi="Amiri" w:eastAsia="Amiri" w:cs="Amiri"/>
          <w:color w:val="111111"/>
          <w:sz w:val="28"/>
          <w:sz w:val="28"/>
          <w:szCs w:val="28"/>
          <w:rtl w:val="true"/>
          <w:lang w:bidi="ar-SA"/>
        </w:rPr>
        <w:t>في غيره، فهو مقطوع 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محکوم بنجاسة؛ لخصوص خبره </w:t>
      </w:r>
      <w:r>
        <w:rPr>
          <w:rStyle w:val="FootnoteAnchor"/>
          <w:rtl w:val="true"/>
        </w:rPr>
        <w:footnoteReference w:id="1839"/>
      </w:r>
      <w:r>
        <w:rPr>
          <w:rFonts w:ascii="IRNazanin" w:hAnsi="IRNazanin" w:eastAsia="IRNazanin"/>
          <w:color w:val="111111"/>
          <w:sz w:val="28"/>
          <w:sz w:val="28"/>
          <w:szCs w:val="28"/>
          <w:rtl w:val="true"/>
          <w:lang w:bidi="fa-IR"/>
        </w:rPr>
        <w:t xml:space="preserve">المنجبر، أو لأنه خمرٌ استصغره الناس کما فی عدّة أخبار </w:t>
      </w:r>
      <w:r>
        <w:rPr>
          <w:rStyle w:val="FootnoteAnchor"/>
          <w:rtl w:val="true"/>
        </w:rPr>
        <w:footnoteReference w:id="1840"/>
      </w:r>
      <w:r>
        <w:rPr>
          <w:rFonts w:ascii="Amiri" w:hAnsi="Amiri" w:eastAsia="Amiri" w:cs="Amiri"/>
          <w:color w:val="111111"/>
          <w:sz w:val="28"/>
          <w:sz w:val="28"/>
          <w:szCs w:val="28"/>
          <w:rtl w:val="true"/>
          <w:lang w:bidi="ar-SA"/>
        </w:rPr>
        <w:t xml:space="preserve">، فيلحقه حكمه؛ لثبوت الموضوع، </w:t>
      </w:r>
    </w:p>
    <w:p>
      <w:pPr>
        <w:pStyle w:val="BookText"/>
        <w:rPr/>
      </w:pPr>
      <w:r>
        <w:rPr>
          <w:rFonts w:ascii="Amiri" w:hAnsi="Amiri" w:eastAsia="Amiri" w:cs="Amiri"/>
          <w:color w:val="111111"/>
          <w:sz w:val="28"/>
          <w:sz w:val="28"/>
          <w:szCs w:val="28"/>
          <w:rtl w:val="true"/>
          <w:lang w:bidi="ar-SA"/>
        </w:rPr>
        <w:t>أو عموم المنزلة، أو للحوق الشائع من أحكامه له التي أظهرها النّجاسة بعد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موضوعه الذي ثبت له الحكم مشتبه بين المأخوذ من ماء الشعير، أو هو و الزّبيب، أو غيرهما كالمعمول من الرّمان و الدّبس و السُّكَّر ممّا يُطلَق عليه اسمه، و كأنّ المأخوذ من الشعير لا شبهة فيه، و قيّده المصنّف في جواب المسائل المقداديّة بما يحصل به النشيش و القَفَزان </w:t>
      </w:r>
      <w:r>
        <w:rPr>
          <w:rStyle w:val="FootnoteAnchor"/>
          <w:rtl w:val="true"/>
        </w:rPr>
        <w:footnoteReference w:id="1841"/>
      </w:r>
      <w:r>
        <w:rPr>
          <w:rFonts w:ascii="Amiri" w:hAnsi="Amiri" w:eastAsia="Amiri" w:cs="Amiri"/>
          <w:color w:val="111111"/>
          <w:sz w:val="28"/>
          <w:sz w:val="28"/>
          <w:szCs w:val="28"/>
          <w:rtl w:val="true"/>
          <w:lang w:bidi="ar-SA"/>
        </w:rPr>
        <w:t>، و قبلهما لا يسمّى فقاعاً بل أقسماً؛ و لذا قال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الأصل فيه أن يتّخذ من ماء الشعير</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خصّه الفاضل في بعض كلماته به أيضاً </w:t>
      </w:r>
      <w:r>
        <w:rPr>
          <w:rStyle w:val="FootnoteAnchor"/>
          <w:rtl w:val="true"/>
        </w:rPr>
        <w:footnoteReference w:id="1843"/>
      </w:r>
      <w:r>
        <w:rPr>
          <w:rFonts w:ascii="Amiri" w:hAnsi="Amiri" w:eastAsia="Amiri" w:cs="Amiri"/>
          <w:color w:val="111111"/>
          <w:sz w:val="28"/>
          <w:sz w:val="28"/>
          <w:szCs w:val="28"/>
          <w:rtl w:val="true"/>
          <w:lang w:bidi="ar-SA"/>
        </w:rPr>
        <w:t>، و الشارح في أطعمة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اُتّخذ من الزّبيب و الشعير حتّى وجد فيه النشيش و الحركة و أُطلق عليه عرفاً ما لم يعلم انتفاء خاصيّته </w:t>
      </w:r>
      <w:r>
        <w:rPr>
          <w:rStyle w:val="FootnoteAnchor"/>
          <w:rtl w:val="true"/>
        </w:rPr>
        <w:footnoteReference w:id="18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أغلب مَن ذكره لم يعتبر فيه الإسكار، و ظاهر كلماتهما هنا و في غيره ذلك </w:t>
      </w:r>
      <w:r>
        <w:rPr>
          <w:rStyle w:val="FootnoteAnchor"/>
          <w:rtl w:val="true"/>
        </w:rPr>
        <w:footnoteReference w:id="1845"/>
      </w:r>
      <w:r>
        <w:rPr>
          <w:rFonts w:ascii="Amiri" w:hAnsi="Amiri" w:eastAsia="Amiri" w:cs="Amiri"/>
          <w:color w:val="111111"/>
          <w:sz w:val="28"/>
          <w:sz w:val="28"/>
          <w:szCs w:val="28"/>
          <w:rtl w:val="true"/>
          <w:lang w:bidi="ar-SA"/>
        </w:rPr>
        <w:t>، و بعد أن استظهر أصله بما خصّه به مع رأيه لتعميم حكمه استدرك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لمّا ورد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w:t>
      </w:r>
      <w:r>
        <w:rPr>
          <w:rStyle w:val="FootnoteAnchor"/>
          <w:rtl w:val="true"/>
        </w:rPr>
        <w:footnoteReference w:id="1846"/>
      </w:r>
      <w:r>
        <w:rPr>
          <w:rFonts w:ascii="Amiri" w:hAnsi="Amiri" w:eastAsia="Amiri" w:cs="Amiri"/>
          <w:color w:val="111111"/>
          <w:sz w:val="28"/>
          <w:sz w:val="28"/>
          <w:szCs w:val="28"/>
          <w:rtl w:val="true"/>
          <w:lang w:bidi="ar-SA"/>
        </w:rPr>
        <w:t xml:space="preserve">كالفتاوى </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أُطلق عليه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إلَّا أن يعلم تغاير زمانَي الإطلاق فيؤخذ به من ورود النّص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حصول خاصيّته أو اشتباه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الحقيقة أو الاشتراك المعنوي، و كأنّ قيد حصول الخاصية للتوضيح، و إلَّا فبعد عدم حصول خاصيّة المأخوذ من الشعير في المأخوذ من غيره يكون الإطلاق من باب الاشتراك اللّفظي، فلا يفيد في تعميم الحكم، و أجلى الخواص النشيش و القفزان، و منه الأثر المترتّب على شربه و إن لم يُسْكِر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منه </w:t>
      </w:r>
      <w:r>
        <w:rPr>
          <w:rStyle w:val="FootnoteAnchor"/>
          <w:rtl w:val="true"/>
        </w:rPr>
        <w:footnoteReference w:id="1848"/>
      </w:r>
      <w:r>
        <w:rPr>
          <w:rFonts w:ascii="Amiri" w:hAnsi="Amiri" w:eastAsia="Amiri" w:cs="Amiri"/>
          <w:color w:val="111111"/>
          <w:sz w:val="28"/>
          <w:sz w:val="28"/>
          <w:szCs w:val="28"/>
          <w:rtl w:val="true"/>
          <w:lang w:bidi="ar-SA"/>
        </w:rPr>
        <w:t>كغيره عدم إناطة الحرمة و النّجاسة بالإسكار فيه و في الملحق به و عموم الحكم لغيره ممّا صدق عليه الاسم و ظهرت فيه الخاصيّة، و أنّ المشتبه بحسب الزمان أو الأفراد مُلحق به بشرطه، و الجميع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ذكره الأُستاذ رحمه الله بعد اعترافه أنّ ظاهر النصوص و معاقد الإجماع عدم اعتبار الإسكار فيه، قال بإنصافه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الأخبار الدّالة على أنّها خمر أو بمنزلتها اعتبار الإسكار فيه </w:t>
      </w:r>
      <w:r>
        <w:rPr>
          <w:rStyle w:val="FootnoteAnchor"/>
          <w:rtl w:val="true"/>
        </w:rPr>
        <w:footnoteReference w:id="18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أيّده بأنّ حرمة الخمر لا لاسمه، بل لعاقبته، و فيه بعد مخالفته لكلماتهم أنّ دين الله تعالى لا يُصاب بالعقول، و لو كان كذلك لعلّل الحرمة في الخمر بالإسكار، و مجرّد التشبيه لا يوجبه قطعاً، أترى لو اشتبه البول بالخمر جرى فيه ذلك، و لو لا فهمهم أنّه من أقسام النجاسة لأدْرَجُوه في الخمر كما أُدرج المسكِر فيه مطلقاً، و كثير من النجاسات ما يشبّه بعضها ببعض ممّا يعلم بعدم حصول المشبه في المشبّه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قاله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إلحاق الموضوع الحادث ممّا يطلق عليه الاسم و یشك في صدقه زمن تحريمه بالموضوع المعلوم في ذلك الزّمان لا دليل عليه، و أصالة عدم النقل كأصالة الاشتراك غير مُجدية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غفل عن تقديم الاشتراك المعنوي على المجاز لو دارَ الأمر بينهما، و لا يجدي أصالة تأخّر الحادث في استثنائه؛ لمعارضته بأصالة عدم نقله، و تعارف بعض أفراده في بعض الأزمنة لا يوجب انصراف اللّفظ له، كالاستعمال الموجب للانصراف</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اختصاص الاسم، أو أنّه المُتّخذ من الشعير كما قاله الشارح، لكن فحوى ما قضى بتحريم الخمر لإسكاره يقضي بتحريم الفقاع الخاصيّته، فيعمّ الحكم كلّ ما أفاد تلك الخاصيّة و إن لم يوافقه في الاسم، فيكون الإلحاق حكميّاً، مضافاً إلى التصريح بعموم الوضع </w:t>
      </w:r>
    </w:p>
    <w:p>
      <w:pPr>
        <w:pStyle w:val="BookText"/>
        <w:rPr/>
      </w:pPr>
      <w:r>
        <w:rPr>
          <w:rFonts w:ascii="Amiri" w:hAnsi="Amiri" w:eastAsia="Amiri" w:cs="Amiri"/>
          <w:color w:val="111111"/>
          <w:sz w:val="28"/>
          <w:sz w:val="28"/>
          <w:szCs w:val="28"/>
          <w:rtl w:val="true"/>
          <w:lang w:bidi="ar-SA"/>
        </w:rPr>
        <w:t xml:space="preserve">سابقاً و لاحقاً له، فقد صرّح جماعة </w:t>
      </w:r>
      <w:r>
        <w:rPr>
          <w:rStyle w:val="FootnoteAnchor"/>
          <w:rtl w:val="true"/>
        </w:rPr>
        <w:footnoteReference w:id="1851"/>
      </w:r>
      <w:r>
        <w:rPr>
          <w:rFonts w:ascii="Amiri" w:hAnsi="Amiri" w:eastAsia="Amiri" w:cs="Amiri"/>
          <w:color w:val="111111"/>
          <w:sz w:val="28"/>
          <w:sz w:val="28"/>
          <w:szCs w:val="28"/>
          <w:rtl w:val="true"/>
          <w:lang w:bidi="ar-SA"/>
        </w:rPr>
        <w:t xml:space="preserve">بأنّه يعمل منه و من القمح، بل يظهر من المصنّف ذلك و إن احتمل الإلحاق الحكمي في بعض كلماته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بعض النصوص حلّية بعض أفراده كالنبيذ، فيشكل الأمر في المائز عند الاشتباه بناءً على التعميم للمسكر و غيره كما استفدناه منهما، فيؤخذ بأصالة الإباحة وفق القاعدة في كلّ مشترك معنويّ، و عسى أنّ حكم الشارح هنا و بروضه </w:t>
      </w:r>
      <w:r>
        <w:rPr>
          <w:rStyle w:val="FootnoteAnchor"/>
          <w:rtl w:val="true"/>
        </w:rPr>
        <w:footnoteReference w:id="1853"/>
      </w:r>
      <w:r>
        <w:rPr>
          <w:rFonts w:ascii="Amiri" w:hAnsi="Amiri" w:eastAsia="Amiri" w:cs="Amiri"/>
          <w:color w:val="111111"/>
          <w:sz w:val="28"/>
          <w:sz w:val="28"/>
          <w:szCs w:val="28"/>
          <w:rtl w:val="true"/>
          <w:lang w:bidi="ar-SA"/>
        </w:rPr>
        <w:t>بالنجاسة مع صدق الاسم في غير معلوم الخروج مبنيٌّ على صحّة العمل بالعام المخصّص في الشُّبهة الموضوعيّة، و فيه منعٌ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1854"/>
      </w:r>
      <w:r>
        <w:rPr>
          <w:rFonts w:ascii="IRNazanin" w:hAnsi="IRNazanin" w:eastAsia="IRNazanin"/>
          <w:color w:val="111111"/>
          <w:sz w:val="28"/>
          <w:sz w:val="28"/>
          <w:szCs w:val="28"/>
          <w:rtl w:val="true"/>
          <w:lang w:bidi="fa-IR"/>
        </w:rPr>
        <w:t xml:space="preserve">الردّ على جامع المقاصد </w:t>
      </w:r>
      <w:r>
        <w:rPr>
          <w:rStyle w:val="FootnoteAnchor"/>
          <w:rtl w:val="true"/>
        </w:rPr>
        <w:footnoteReference w:id="1855"/>
      </w:r>
      <w:r>
        <w:rPr>
          <w:rFonts w:ascii="Amiri" w:hAnsi="Amiri" w:eastAsia="Amiri" w:cs="Amiri"/>
          <w:color w:val="111111"/>
          <w:sz w:val="28"/>
          <w:sz w:val="28"/>
          <w:szCs w:val="28"/>
          <w:rtl w:val="true"/>
          <w:lang w:bidi="ar-SA"/>
        </w:rPr>
        <w:t xml:space="preserve">و الرّوض </w:t>
      </w:r>
      <w:r>
        <w:rPr>
          <w:rStyle w:val="FootnoteAnchor"/>
          <w:rtl w:val="true"/>
        </w:rPr>
        <w:footnoteReference w:id="1856"/>
      </w:r>
      <w:r>
        <w:rPr>
          <w:rFonts w:ascii="Amiri" w:hAnsi="Amiri" w:eastAsia="Amiri" w:cs="Amiri"/>
          <w:color w:val="111111"/>
          <w:sz w:val="28"/>
          <w:sz w:val="28"/>
          <w:szCs w:val="28"/>
          <w:rtl w:val="true"/>
          <w:lang w:bidi="ar-SA"/>
        </w:rPr>
        <w:t>بأنّ هذا من مشتبه الموضوع، و لا قاطع لاستصحاب طهارته بعد التنويع في أصله، و في الدّماء أجرى الأصل في مشتبه الموضوع جازماً به بعد ثبوت أصالة النجاسة في الدّماء، فراجع لتَقِف على التّهافت،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الأمر مع عدم اعتبار الإسكار في حكمه في ما يصنع اليوم من ماء الشعير، بل أظهر أفراده؛ لأخذه من الشعير و اشتماله على النشيش و الحركة التي هي خاصيّته، فلا بُعد بحرمته و نجاسته، و الله أعلم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العشر ممّا لا إشكال في نجاستها في الجملة كما بيّناه مفصّلاً</w:t>
      </w:r>
      <w:r>
        <w:rPr>
          <w:rFonts w:eastAsia="Amiri" w:cs="Amiri" w:ascii="Amiri" w:hAnsi="Amiri"/>
          <w:color w:val="111111"/>
          <w:sz w:val="28"/>
          <w:szCs w:val="28"/>
          <w:rtl w:val="true"/>
          <w:lang w:bidi="ar-SA"/>
        </w:rPr>
        <w:t xml:space="preserve">. </w:t>
      </w:r>
      <w:bookmarkStart w:id="149" w:name="pg9146_86195"/>
    </w:p>
    <w:p>
      <w:pPr>
        <w:pStyle w:val="Heading2"/>
        <w:numPr>
          <w:ilvl w:val="1"/>
          <w:numId w:val="1"/>
        </w:numPr>
        <w:rPr/>
      </w:pPr>
      <w:bookmarkStart w:id="150" w:name="__RefHeading___Toc3322624_2870459653"/>
      <w:bookmarkStart w:id="151" w:name="_Toc50"/>
      <w:bookmarkEnd w:id="149"/>
      <w:bookmarkEnd w:id="150"/>
      <w:r>
        <w:rPr>
          <w:rtl w:val="true"/>
        </w:rPr>
        <w:t>[</w:t>
      </w:r>
      <w:r>
        <w:rPr>
          <w:rtl w:val="true"/>
        </w:rPr>
        <w:t>العصير العنبي</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الذكرى و لا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النجاسات العصيرَ 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غيره له </w:t>
      </w:r>
      <w:r>
        <w:rPr>
          <w:rStyle w:val="FootnoteAnchor"/>
          <w:rtl w:val="true"/>
        </w:rPr>
        <w:footnoteReference w:id="1857"/>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غلى واشتدّ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صار أعلاه أسفله، بنفسه </w:t>
      </w:r>
      <w:r>
        <w:rPr>
          <w:rStyle w:val="FootnoteAnchor"/>
          <w:rtl w:val="true"/>
        </w:rPr>
        <w:footnoteReference w:id="1858"/>
      </w:r>
      <w:r>
        <w:rPr>
          <w:rFonts w:ascii="Amiri" w:hAnsi="Amiri" w:eastAsia="Amiri" w:cs="Amiri"/>
          <w:color w:val="111111"/>
          <w:sz w:val="28"/>
          <w:sz w:val="28"/>
          <w:szCs w:val="28"/>
          <w:rtl w:val="true"/>
          <w:lang w:bidi="ar-SA"/>
        </w:rPr>
        <w:t xml:space="preserve">أو بعلاج كإلقائه بالشمس </w:t>
      </w:r>
      <w:r>
        <w:rPr>
          <w:rStyle w:val="FootnoteAnchor"/>
          <w:rtl w:val="true"/>
        </w:rPr>
        <w:footnoteReference w:id="1859"/>
      </w:r>
      <w:r>
        <w:rPr>
          <w:rFonts w:ascii="Amiri" w:hAnsi="Amiri" w:eastAsia="Amiri" w:cs="Amiri"/>
          <w:color w:val="111111"/>
          <w:sz w:val="28"/>
          <w:sz w:val="28"/>
          <w:szCs w:val="28"/>
          <w:rtl w:val="true"/>
          <w:lang w:bidi="ar-SA"/>
        </w:rPr>
        <w:t xml:space="preserve">أو نضجه بالنّار بحيث حصلت ثخانة و اشتداد </w:t>
      </w:r>
      <w:r>
        <w:rPr>
          <w:rStyle w:val="FootnoteAnchor"/>
          <w:rtl w:val="true"/>
        </w:rPr>
        <w:footnoteReference w:id="1860"/>
      </w:r>
      <w:r>
        <w:rPr>
          <w:rFonts w:ascii="Amiri" w:hAnsi="Amiri" w:eastAsia="Amiri" w:cs="Amiri"/>
          <w:color w:val="111111"/>
          <w:sz w:val="28"/>
          <w:sz w:val="28"/>
          <w:szCs w:val="28"/>
          <w:rtl w:val="true"/>
          <w:lang w:bidi="ar-SA"/>
        </w:rPr>
        <w:t xml:space="preserve">، فما ذلك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وقوفه على دليل يقتضي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تمريضه لما اعتمده غيره </w:t>
      </w:r>
      <w:r>
        <w:rPr>
          <w:rStyle w:val="FootnoteAnchor"/>
          <w:rtl w:val="true"/>
        </w:rPr>
        <w:footnoteReference w:id="1861"/>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اعترف به في الذكرى و البيان </w:t>
      </w:r>
      <w:r>
        <w:rPr>
          <w:rStyle w:val="FootnoteAnchor"/>
          <w:rtl w:val="true"/>
        </w:rPr>
        <w:footnoteReference w:id="1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نصّ على نجاسة غير المسكر و هو منتفٍ هنا، و في الثاني نحوه، لكن كيف يكفي هذا في العذر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أنّ ذهاب ثُلثيه مطهّر، و هو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حكمه بتنجيسه فلا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هذا 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كونه في حكم المسكر كما ذكره في بعض كتبه </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دخوله فيه حيث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يكتفى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دخل في حكمه حيث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عليه أن يضيفه إلى المسكر في كلامه أو ما في حكمه ليدخل و يحسن منه ذكره في المطهرات لذهاب ثُلثيه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نظر؛ لأنّ المؤاخذة و إن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ما في حكمه، و يحتمل في معناه أنّه حيث يذكر حُكم المسكر يشمل العصير؛ لتساويهما في النجاسة و الحرمة، و معلوم أنّ نفس التساوي بالحكم لا يقتضي شمول المسكر له حيث يطلق، و إلَّا لشمل الفقاع و غیره ممّا يساويه حكماً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دخل، و هو أنّ الاشتراك في الحكم يكفي في عدم التعرض له مستقلاً،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دخوله بحكمه إذا ذكر حكمه لا يقتضي صحّة إطلاقه عليه؛ لأنّ مثل هذه </w:t>
      </w:r>
    </w:p>
    <w:p>
      <w:pPr>
        <w:pStyle w:val="BookText"/>
        <w:rPr/>
      </w:pPr>
      <w:r>
        <w:rPr>
          <w:rFonts w:ascii="Amiri" w:hAnsi="Amiri" w:eastAsia="Amiri" w:cs="Amiri"/>
          <w:color w:val="111111"/>
          <w:sz w:val="28"/>
          <w:sz w:val="28"/>
          <w:szCs w:val="28"/>
          <w:rtl w:val="true"/>
          <w:lang w:bidi="ar-SA"/>
        </w:rPr>
        <w:t xml:space="preserve">العلاقة لا تصحّح الإطلاق و إن نصّ كلّ من </w:t>
      </w:r>
      <w:r>
        <w:rPr>
          <w:rStyle w:val="FootnoteAnchor"/>
          <w:rtl w:val="true"/>
        </w:rPr>
        <w:footnoteReference w:id="1864"/>
      </w:r>
      <w:r>
        <w:rPr>
          <w:rFonts w:ascii="Amiri" w:hAnsi="Amiri" w:eastAsia="Amiri" w:cs="Amiri"/>
          <w:color w:val="111111"/>
          <w:sz w:val="28"/>
          <w:sz w:val="28"/>
          <w:szCs w:val="28"/>
          <w:rtl w:val="true"/>
          <w:lang w:bidi="ar-SA"/>
        </w:rPr>
        <w:t>ذكره أنّه بحكم الخمر دون غيره، فلا 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يصحّ ما ذكره في المطهّرات قرينة على تعميم الإطلاق في المسكر إلَّا أن يركن إلى إطلاق الخمر عليه حقيقةً، فيكون من أنواعه كما هو حجّة مَن بنى على نجاسته و حرمته، و إن كان ظاهر الإلحاق أنّه ليس منه، ففي موثّقة معاوية بن عمّار بعد توصيفه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خمر لا تشربه </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الشيخ </w:t>
      </w:r>
      <w:r>
        <w:rPr>
          <w:rStyle w:val="FootnoteAnchor"/>
          <w:rtl w:val="true"/>
        </w:rPr>
        <w:footnoteReference w:id="1866"/>
      </w:r>
      <w:r>
        <w:rPr>
          <w:rFonts w:ascii="Amiri" w:hAnsi="Amiri" w:eastAsia="Amiri" w:cs="Amiri"/>
          <w:color w:val="111111"/>
          <w:sz w:val="28"/>
          <w:sz w:val="28"/>
          <w:szCs w:val="28"/>
          <w:rtl w:val="true"/>
          <w:lang w:bidi="ar-SA"/>
        </w:rPr>
        <w:t>، و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خمر</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 الأوّل بمطابقته لتعبير الصدوق في الرسالة، حيث حكم بأنّ الكَرْم إذا أصابته النار أو غلى بدونها فهو خَمر </w:t>
      </w:r>
      <w:r>
        <w:rPr>
          <w:rStyle w:val="FootnoteAnchor"/>
          <w:rtl w:val="true"/>
        </w:rPr>
        <w:footnoteReference w:id="1868"/>
      </w:r>
      <w:r>
        <w:rPr>
          <w:rFonts w:ascii="Amiri" w:hAnsi="Amiri" w:eastAsia="Amiri" w:cs="Amiri"/>
          <w:color w:val="111111"/>
          <w:sz w:val="28"/>
          <w:sz w:val="28"/>
          <w:szCs w:val="28"/>
          <w:rtl w:val="true"/>
          <w:lang w:bidi="ar-SA"/>
        </w:rPr>
        <w:t xml:space="preserve">، فأطلق عليه و إن لم ينجس الخمر كابنه </w:t>
      </w:r>
      <w:r>
        <w:rPr>
          <w:rStyle w:val="FootnoteAnchor"/>
          <w:rtl w:val="true"/>
        </w:rPr>
        <w:footnoteReference w:id="1869"/>
      </w:r>
      <w:r>
        <w:rPr>
          <w:rFonts w:ascii="Amiri" w:hAnsi="Amiri" w:eastAsia="Amiri" w:cs="Amiri"/>
          <w:color w:val="111111"/>
          <w:sz w:val="28"/>
          <w:sz w:val="28"/>
          <w:szCs w:val="28"/>
          <w:rtl w:val="true"/>
          <w:lang w:bidi="ar-SA"/>
        </w:rPr>
        <w:t>و الثاني بأنّه أضبط، و في الرّياض بعد إسناد الرواية إلى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مرويّ في الكافي و ليس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احتمال السقوط أولى من احتمال الزيادة و إن كان راوي الأوّل أضبط جداً </w:t>
      </w:r>
      <w:r>
        <w:rPr>
          <w:rStyle w:val="FootnoteAnchor"/>
          <w:rtl w:val="true"/>
        </w:rPr>
        <w:footnoteReference w:id="18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وصله لا محلّ له؛ لدلالته على تأييد غير الأولى مع أنّه مؤيّد لاختياره، و لو أرجعناه إلى الشيخ باعتبار أوّليته نافاه تصريحهم بعدم ضبطه، فكان عليه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أولويّة احتمال السقوط لا محصّل لها، بل الظاهر عدم الزيادة، فالأولويّة مقلوبة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فرض الزيادة لا تَنهَض دليلاً لاحتمال أن يكون التشبيه في خصوص الحرمة، و عموم المنزلة لا يكفي في إثبات جميع الأحكام؛ لتوقّفه على عدم أولويّة إرادة بعض الأحكام من بعض بأن تتساوى معنىً و أن لا تكون قرينة صارفة إلى معيّن لفظاً، و لما كان نجاسة الخمر </w:t>
      </w:r>
    </w:p>
    <w:p>
      <w:pPr>
        <w:pStyle w:val="BookText"/>
        <w:rPr/>
      </w:pPr>
      <w:r>
        <w:rPr>
          <w:rFonts w:ascii="Amiri" w:hAnsi="Amiri" w:eastAsia="Amiri" w:cs="Amiri"/>
          <w:color w:val="111111"/>
          <w:sz w:val="28"/>
          <w:sz w:val="28"/>
          <w:szCs w:val="28"/>
          <w:rtl w:val="true"/>
          <w:lang w:bidi="ar-SA"/>
        </w:rPr>
        <w:t>منحطّة عن تحريمها المتّفق عليه فيكون المراد و يمنع تفريعه عن ثبوت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العموم و لو بملاحظة التأييد و ضميمة بعض الأخبار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الهيثم و رواية أبي بصير، ففي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 حتّى يذهب ثُلثاه</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دون ذلك فليس فيه خير</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نفي الخير مطلقاً، و لو كان طاهراً لكان فيه بعضه؛ لأنّ غاية ما تفيد هذه التقريبات هو الظنّ، و هو لا يجدي؛ لأنه من الظنون المطلقة لا من الظهور اللّفظي، و اعتمد المتأخِّر الماهر تبعاً لغيره من الأكابر في قطع أصالة الطهارة و العمومات على إجماع الطريحي في مجمعه </w:t>
      </w:r>
      <w:r>
        <w:rPr>
          <w:rStyle w:val="FootnoteAnchor"/>
          <w:rtl w:val="true"/>
        </w:rPr>
        <w:footnoteReference w:id="1873"/>
      </w:r>
      <w:r>
        <w:rPr>
          <w:rFonts w:ascii="Amiri" w:hAnsi="Amiri" w:eastAsia="Amiri" w:cs="Amiri"/>
          <w:color w:val="111111"/>
          <w:sz w:val="28"/>
          <w:sz w:val="28"/>
          <w:szCs w:val="28"/>
          <w:rtl w:val="true"/>
          <w:lang w:bidi="ar-SA"/>
        </w:rPr>
        <w:t xml:space="preserve">المنجبر باتفاق التنقيح </w:t>
      </w:r>
      <w:r>
        <w:rPr>
          <w:rStyle w:val="FootnoteAnchor"/>
          <w:rtl w:val="true"/>
        </w:rPr>
        <w:footnoteReference w:id="1874"/>
      </w:r>
      <w:r>
        <w:rPr>
          <w:rFonts w:ascii="Amiri" w:hAnsi="Amiri" w:eastAsia="Amiri" w:cs="Amiri"/>
          <w:color w:val="111111"/>
          <w:sz w:val="28"/>
          <w:sz w:val="28"/>
          <w:szCs w:val="28"/>
          <w:rtl w:val="true"/>
          <w:lang w:bidi="ar-SA"/>
        </w:rPr>
        <w:t xml:space="preserve">، و الشهرة، و بأنّ العصير من أفراد الخُمر، و إطلاقه عليه من باب الحقيقة فتلحقه أحكامه، مستظهراً ذلك من جماعة </w:t>
      </w:r>
      <w:r>
        <w:rPr>
          <w:rStyle w:val="FootnoteAnchor"/>
          <w:rtl w:val="true"/>
        </w:rPr>
        <w:footnoteReference w:id="1875"/>
      </w:r>
      <w:r>
        <w:rPr>
          <w:rFonts w:ascii="Amiri" w:hAnsi="Amiri" w:eastAsia="Amiri" w:cs="Amiri"/>
          <w:color w:val="111111"/>
          <w:sz w:val="28"/>
          <w:sz w:val="28"/>
          <w:szCs w:val="28"/>
          <w:rtl w:val="true"/>
          <w:lang w:bidi="ar-SA"/>
        </w:rPr>
        <w:t xml:space="preserve">منّا و من غيرنا </w:t>
      </w:r>
      <w:r>
        <w:rPr>
          <w:rStyle w:val="FootnoteAnchor"/>
          <w:rtl w:val="true"/>
        </w:rPr>
        <w:footnoteReference w:id="1876"/>
      </w:r>
      <w:r>
        <w:rPr>
          <w:rFonts w:ascii="Amiri" w:hAnsi="Amiri" w:eastAsia="Amiri" w:cs="Amiri"/>
          <w:color w:val="111111"/>
          <w:sz w:val="28"/>
          <w:sz w:val="28"/>
          <w:szCs w:val="28"/>
          <w:rtl w:val="true"/>
          <w:lang w:bidi="ar-SA"/>
        </w:rPr>
        <w:t>، و بأنّ السارد للأخبار يحصل له الظنّ القويّ إن لم يكن القطع بدخول عصير العنب مع الغليان في مسمّى الخمر حقيقةً أو مساواته في حكمه، و لا يقدح فيه اعتبار الإسكار في مفهوم الخمر المفقود في بعض أفراد العصير؛ لعدم تحقّق الاعتبار و إن تحقّق في بدئه و لو لحصول الصّفة في كلّ أنواع العصير، لكنّها تخفى في بعض أفراده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بنى الطباطبائي </w:t>
      </w:r>
      <w:r>
        <w:rPr>
          <w:rStyle w:val="FootnoteAnchor"/>
          <w:rtl w:val="true"/>
        </w:rPr>
        <w:footnoteReference w:id="1877"/>
      </w:r>
      <w:r>
        <w:rPr>
          <w:rFonts w:ascii="Amiri" w:hAnsi="Amiri" w:eastAsia="Amiri" w:cs="Amiri"/>
          <w:color w:val="111111"/>
          <w:sz w:val="28"/>
          <w:sz w:val="28"/>
          <w:szCs w:val="28"/>
          <w:rtl w:val="true"/>
          <w:lang w:bidi="ar-SA"/>
        </w:rPr>
        <w:t xml:space="preserve">حرمته، و أيّده رحمه الله بتعليق الحرمة في النبيذ و غيره في النصوص على صفة السُّكر، و استفاضة الأخبار بحرمة العصير بشرطه تقتضي تخصيص تلك المطلقات، و لا داعي له؛ لفقد مقتضيه، و تمنع شهادة الوجدان بعدم إسكاره لا مطلقاً، فلعله لخفائه لا يدرك كقليل الخمر، بل يمنع تحقّق النزاع في معلوم عدم الإسكار و إن تحقّق في المشكوك في إسكاره منه، فالنزاع في العصير العاري عن التقييد؛ لاحتمال لزوم الوصف له و لو بكثيره، </w:t>
      </w:r>
    </w:p>
    <w:p>
      <w:pPr>
        <w:pStyle w:val="BookText"/>
        <w:rPr/>
      </w:pPr>
      <w:r>
        <w:rPr>
          <w:rFonts w:ascii="Amiri" w:hAnsi="Amiri" w:eastAsia="Amiri" w:cs="Amiri"/>
          <w:color w:val="111111"/>
          <w:sz w:val="28"/>
          <w:sz w:val="28"/>
          <w:szCs w:val="28"/>
          <w:rtl w:val="true"/>
          <w:lang w:bidi="ar-SA"/>
        </w:rPr>
        <w:t xml:space="preserve">و لو رجع النزاع إلى خصوص الأفراد أنّها ممّا تسكر أو لا، كان في الموضوع الذي لا يليق للفقيه النّزاع فيه إلى أن أنصف و حكم بعدم علم المطهّر و المنجس بالإسكار و عدمه إلَّا من جهة التلازم بين النجاسة و الإسكار للثاني فيستدل بأحدهما على الآخر </w:t>
      </w:r>
      <w:r>
        <w:rPr>
          <w:rStyle w:val="FootnoteAnchor"/>
          <w:rtl w:val="true"/>
        </w:rPr>
        <w:footnoteReference w:id="1878"/>
      </w:r>
      <w:r>
        <w:rPr>
          <w:rFonts w:ascii="Amiri" w:hAnsi="Amiri" w:eastAsia="Amiri" w:cs="Amiri"/>
          <w:color w:val="111111"/>
          <w:sz w:val="28"/>
          <w:sz w:val="28"/>
          <w:szCs w:val="28"/>
          <w:rtl w:val="true"/>
          <w:lang w:bidi="ar-SA"/>
        </w:rPr>
        <w:t>، انتهى ملخّصاً و مهذّباً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غايته إفادة الظنّ من أخبارهم بكون الخمر اسماً للعصير أنّ المراد به شرعاً ذلك، أو أنّه لغةً كذلك في زمن صدور الأدلّة فيجب العمل به؛ لأنّ قول العدل في الحكم الشرعي معتبر جدّاً، فيقال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الدلالة، و أظهرها عبارةً المهذّب </w:t>
      </w:r>
      <w:r>
        <w:rPr>
          <w:rStyle w:val="FootnoteAnchor"/>
          <w:rtl w:val="true"/>
        </w:rPr>
        <w:footnoteReference w:id="1879"/>
      </w:r>
      <w:r>
        <w:rPr>
          <w:rFonts w:ascii="Amiri" w:hAnsi="Amiri" w:eastAsia="Amiri" w:cs="Amiri"/>
          <w:color w:val="111111"/>
          <w:sz w:val="28"/>
          <w:sz w:val="28"/>
          <w:szCs w:val="28"/>
          <w:rtl w:val="true"/>
          <w:lang w:bidi="ar-SA"/>
        </w:rPr>
        <w:t xml:space="preserve">و كنز العرفان </w:t>
      </w:r>
      <w:r>
        <w:rPr>
          <w:rStyle w:val="FootnoteAnchor"/>
          <w:rtl w:val="true"/>
        </w:rPr>
        <w:footnoteReference w:id="1880"/>
      </w:r>
      <w:r>
        <w:rPr>
          <w:rFonts w:ascii="IRNazanin" w:hAnsi="IRNazanin" w:eastAsia="IRNazanin"/>
          <w:color w:val="111111"/>
          <w:sz w:val="28"/>
          <w:sz w:val="28"/>
          <w:szCs w:val="28"/>
          <w:rtl w:val="true"/>
          <w:lang w:bidi="fa-IR"/>
        </w:rPr>
        <w:t xml:space="preserve">و والد الصدوق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الأوّلين تمييز جنس الخمر، و أنه من عصير العنب، و الشاهد الإجماع لإخراج صيرورته من عصير الزبيب مثلاً، و ليس المراد كونه اسماً للعصير حتّى قبل صيرورته خمراً لينفع، فهما مسوقان لتمييز الجنس، و بيان وجه التسمية في عبارة كنز العرفان من أقوى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حكاه ابن الصدوق عن أبيه فمفاده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العصير خمر، و هو الموصوف، لا أنّ كلّ عصير خمر، و بينهما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إجماعه بمخالفة كثير من القدماء كما ذكره المصنّف </w:t>
      </w:r>
      <w:r>
        <w:rPr>
          <w:rStyle w:val="FootnoteAnchor"/>
          <w:rtl w:val="true"/>
        </w:rPr>
        <w:footnoteReference w:id="1882"/>
      </w:r>
      <w:r>
        <w:rPr>
          <w:rFonts w:ascii="IRNazanin" w:hAnsi="IRNazanin" w:eastAsia="IRNazanin"/>
          <w:color w:val="111111"/>
          <w:sz w:val="28"/>
          <w:sz w:val="28"/>
          <w:szCs w:val="28"/>
          <w:rtl w:val="true"/>
          <w:lang w:bidi="fa-IR"/>
        </w:rPr>
        <w:t>مع قُرب العهد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القائل بالنجاسة كابن حمزة </w:t>
      </w:r>
      <w:r>
        <w:rPr>
          <w:rStyle w:val="FootnoteAnchor"/>
          <w:rtl w:val="true"/>
        </w:rPr>
        <w:footnoteReference w:id="1883"/>
      </w:r>
      <w:r>
        <w:rPr>
          <w:rFonts w:ascii="Amiri" w:hAnsi="Amiri" w:eastAsia="Amiri" w:cs="Amiri"/>
          <w:color w:val="111111"/>
          <w:sz w:val="28"/>
          <w:sz w:val="28"/>
          <w:szCs w:val="28"/>
          <w:rtl w:val="true"/>
          <w:lang w:bidi="ar-SA"/>
        </w:rPr>
        <w:t xml:space="preserve">حكمَ بنجاسة ما غلى بنفسه، و طهارة ما غلى بالنّار مع حرمته، قاطعاً أنّ الأوّل من الخمر دون الثاني، بل و إليه يرجع إجماع المجمع الذي حكاه </w:t>
      </w:r>
    </w:p>
    <w:p>
      <w:pPr>
        <w:pStyle w:val="BookText"/>
        <w:rPr/>
      </w:pPr>
      <w:r>
        <w:rPr>
          <w:rFonts w:ascii="Amiri" w:hAnsi="Amiri" w:eastAsia="Amiri" w:cs="Amiri"/>
          <w:color w:val="111111"/>
          <w:sz w:val="28"/>
          <w:sz w:val="28"/>
          <w:szCs w:val="28"/>
          <w:rtl w:val="true"/>
          <w:lang w:bidi="ar-SA"/>
        </w:rPr>
        <w:t>و اعتمده؛ إذ لا وجه للتفرقة بين الاشتداد و عدمه إذا غلى، فتحريمه له قبل الاشتداد و بعده النّجاسة و الحرمة ممّا يدلّ صريحاً على أنّ جامع الوصفين خمر حقيقةً دون فاقدهما أو الاشتداد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سرد كلماتهم هنا و في باب الأطعمة يجزم بأنهم يتّبعون النجاسة و التحريم في جميع الأشربة؛ للإسكار، فيظهر منهم عكس المدّعى، و هو الطهارة فيها فقد الإسكار و لو شكّاً، و مع التنزّل فأقصاه ثبوت إجماع من قال بنجاسة الخمر، و هو 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تأييده رحمه الله فهو من متفرداته؛ إذ المصنّف كالعلّامة </w:t>
      </w:r>
      <w:r>
        <w:rPr>
          <w:rStyle w:val="FootnoteAnchor"/>
          <w:rtl w:val="true"/>
        </w:rPr>
        <w:footnoteReference w:id="1884"/>
      </w:r>
      <w:r>
        <w:rPr>
          <w:rFonts w:ascii="IRNazanin" w:hAnsi="IRNazanin" w:eastAsia="IRNazanin"/>
          <w:color w:val="111111"/>
          <w:sz w:val="28"/>
          <w:sz w:val="28"/>
          <w:szCs w:val="28"/>
          <w:rtl w:val="true"/>
          <w:lang w:bidi="fa-IR"/>
        </w:rPr>
        <w:t xml:space="preserve">و المحقق </w:t>
      </w:r>
      <w:r>
        <w:rPr>
          <w:rStyle w:val="FootnoteAnchor"/>
          <w:rtl w:val="true"/>
        </w:rPr>
        <w:footnoteReference w:id="1885"/>
      </w:r>
      <w:r>
        <w:rPr>
          <w:rFonts w:ascii="IRNazanin" w:hAnsi="IRNazanin" w:eastAsia="IRNazanin"/>
          <w:color w:val="111111"/>
          <w:sz w:val="28"/>
          <w:sz w:val="28"/>
          <w:szCs w:val="28"/>
          <w:rtl w:val="true"/>
          <w:lang w:bidi="fa-IR"/>
        </w:rPr>
        <w:t>، بل و سائر الأصحاب، قابلوا العصير للمسكرات مطلقاً، و لا أدرجه أحدٌ فيها، ثمّ جعل الحرمة بعد إثباتها حجّة على الإسكار و النجاسة ممّا لا ينبغي؛ لضعفه مع عدم القائل به، ثمّ صريح المفصّل بين الحرمة و النّجاسة عدم كون الحرمة من مقتضياتها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يدّعي التلازم و يخفى ذلك على مثل المحقق، مضافاً إلى صریح أخبار التمر و الزّبيب </w:t>
      </w:r>
      <w:r>
        <w:rPr>
          <w:rStyle w:val="FootnoteAnchor"/>
          <w:rtl w:val="true"/>
        </w:rPr>
        <w:footnoteReference w:id="1886"/>
      </w:r>
      <w:r>
        <w:rPr>
          <w:rFonts w:ascii="Amiri" w:hAnsi="Amiri" w:eastAsia="Amiri" w:cs="Amiri"/>
          <w:color w:val="111111"/>
          <w:sz w:val="28"/>
          <w:sz w:val="28"/>
          <w:szCs w:val="28"/>
          <w:rtl w:val="true"/>
          <w:lang w:bidi="ar-SA"/>
        </w:rPr>
        <w:t>أنّ في مطبوخها حالة الإسكار و حالة عدمه، فبأيّ دلالة يفهم منها إسكار العصير المقابل للمسكرات إن لم نقل بفهم طهارة العصير من فحواها قضاءً لحقّ المقابلة، على أنّ الوجدان قاض بعدم إسكار المقدار المتعارف منه و لو كان كثيراً، و غير المتعارف غير موضوع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 متنافيان لا يَكاد يجتمعان في رأي واحد بالضّرورة إلَّا محض التأييد الذي لا يفيد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أوجه ما يستدلّ به في المقام قول الصادق علیه السلام لأبي جميل لما سأله 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 فإنّه خمر مجهول، فإذا أصاب ثوبك فاغسله</w:t>
      </w:r>
      <w:r>
        <w:rPr>
          <w:rFonts w:eastAsia="IRNazanin" w:cs="IRNazanin"/>
          <w:color w:val="111111"/>
          <w:sz w:val="28"/>
          <w:szCs w:val="28"/>
          <w:rtl w:val="true"/>
          <w:lang w:bidi="fa-IR"/>
        </w:rPr>
        <w:t xml:space="preserve">» </w:t>
      </w: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بظاهر التفريع من أنّ كلّ ما كان مجهولاً و بمنزلة الخمر له حكم الخمر من الحرمة و النجاسة، و لا ريب أن العصير كالفقاع في </w:t>
      </w:r>
    </w:p>
    <w:p>
      <w:pPr>
        <w:pStyle w:val="BookText"/>
        <w:rPr/>
      </w:pPr>
      <w:r>
        <w:rPr>
          <w:rFonts w:ascii="Amiri" w:hAnsi="Amiri" w:eastAsia="Amiri" w:cs="Amiri"/>
          <w:color w:val="111111"/>
          <w:sz w:val="28"/>
          <w:sz w:val="28"/>
          <w:szCs w:val="28"/>
          <w:rtl w:val="true"/>
          <w:lang w:bidi="ar-SA"/>
        </w:rPr>
        <w:t xml:space="preserve">تنزيله مَنْزِلَة الخمر في بعض الأخبار، كذا قيل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رأيت الخبر في الوسائل </w:t>
      </w:r>
      <w:r>
        <w:rPr>
          <w:rStyle w:val="FootnoteAnchor"/>
          <w:rtl w:val="true"/>
        </w:rPr>
        <w:footnoteReference w:id="1889"/>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1890"/>
      </w:r>
      <w:r>
        <w:rPr>
          <w:rFonts w:ascii="Amiri" w:hAnsi="Amiri" w:eastAsia="Amiri" w:cs="Amiri"/>
          <w:color w:val="111111"/>
          <w:sz w:val="28"/>
          <w:sz w:val="28"/>
          <w:szCs w:val="28"/>
          <w:rtl w:val="true"/>
          <w:lang w:bidi="ar-SA"/>
        </w:rPr>
        <w:t>بدل فاء التفريعيّة واواً، و عليه فلا تنهض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أنّه لا دليل على النّجاسة سوى الشهرة وفاقاً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فتبنى المسألة على حجّيتها مع جهل المدرك، لكن الأقوى في النظر النجاسةُ، لا أقلّ من لزوم الإحتياط في الاجتناب؛ للأولوية القطعيّة فيه لو قيل بنجاسة مطبوخ الزّبيب و التمّر، و لما قاله الحلّي </w:t>
      </w:r>
      <w:r>
        <w:rPr>
          <w:rStyle w:val="FootnoteAnchor"/>
          <w:rtl w:val="true"/>
        </w:rPr>
        <w:footnoteReference w:id="1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أطعمته ردّاً على الشيخ رحمه الله، و لا ذهب أحدٌ من أصحابنا إلى أنّ المايع النّجس بالغليان يطهر إلَّا ما خرج بالدّليل من العصير إذا ذهب بالنّار و الغليان ثُلثاه فقد طهر و حَلَّ الثَّلث الباقي، و إن أمكنَ حمله على ما حصل الإسكار فيه؛ و لذا صرّح في المستند أنّ الطبقة الأولى المصرّح منهم بالنجاسة إما قليل أو معدوم </w:t>
      </w:r>
      <w:r>
        <w:rPr>
          <w:rStyle w:val="FootnoteAnchor"/>
          <w:rtl w:val="true"/>
        </w:rPr>
        <w:footnoteReference w:id="1892"/>
      </w:r>
      <w:r>
        <w:rPr>
          <w:rFonts w:ascii="Amiri" w:hAnsi="Amiri" w:eastAsia="Amiri" w:cs="Amiri"/>
          <w:color w:val="111111"/>
          <w:sz w:val="28"/>
          <w:sz w:val="28"/>
          <w:szCs w:val="28"/>
          <w:rtl w:val="true"/>
          <w:lang w:bidi="ar-SA"/>
        </w:rPr>
        <w:t xml:space="preserve">، ثمّ نقل عن الحلّي </w:t>
      </w:r>
      <w:r>
        <w:rPr>
          <w:rStyle w:val="FootnoteAnchor"/>
          <w:rtl w:val="true"/>
        </w:rPr>
        <w:footnoteReference w:id="1893"/>
      </w:r>
      <w:r>
        <w:rPr>
          <w:rFonts w:ascii="Amiri" w:hAnsi="Amiri" w:eastAsia="Amiri" w:cs="Amiri"/>
          <w:color w:val="111111"/>
          <w:sz w:val="28"/>
          <w:sz w:val="28"/>
          <w:szCs w:val="28"/>
          <w:rtl w:val="true"/>
          <w:lang w:bidi="ar-SA"/>
        </w:rPr>
        <w:t>غير ما نقلناه، و حكم بعدم دلالة كلامه، لكنّه اعترف بشهرة النجاسة في الطبقة الثانية و الطهارة في الثالثة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النجاسة فشرطها الغليان و الاشتداد كما اعتمده البعض و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قبلهما فلا حرمة و لا نجاسة، و الذي يقوى هو حمل الشّهرة المدّعاة على نجاسته و تخصيصها بما جمع الوصفين من العصير، و كأنّه لا شبهة في إسكاره حينئذ فيدخل تحت الكلّية، أعني كلّ مسكر مائع نجس، فتلتئم الكلمات عن جميع الشُّبه؛ ضرورة أنّه لا دليل يقضي باعتبار </w:t>
      </w:r>
    </w:p>
    <w:p>
      <w:pPr>
        <w:pStyle w:val="BookText"/>
        <w:rPr/>
      </w:pPr>
      <w:r>
        <w:rPr>
          <w:rFonts w:ascii="Amiri" w:hAnsi="Amiri" w:eastAsia="Amiri" w:cs="Amiri"/>
          <w:color w:val="111111"/>
          <w:sz w:val="28"/>
          <w:sz w:val="28"/>
          <w:szCs w:val="28"/>
          <w:rtl w:val="true"/>
          <w:lang w:bidi="ar-SA"/>
        </w:rPr>
        <w:t xml:space="preserve">الاشتداد المفارق للغليان، و لو جعلناهما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ظاهر الفخر </w:t>
      </w:r>
      <w:r>
        <w:rPr>
          <w:rStyle w:val="FootnoteAnchor"/>
          <w:rtl w:val="true"/>
        </w:rPr>
        <w:footnoteReference w:id="1894"/>
      </w:r>
      <w:r>
        <w:rPr>
          <w:rFonts w:ascii="Amiri" w:hAnsi="Amiri" w:eastAsia="Amiri" w:cs="Amiri"/>
          <w:color w:val="111111"/>
          <w:sz w:val="28"/>
          <w:sz w:val="28"/>
          <w:szCs w:val="28"/>
          <w:rtl w:val="true"/>
          <w:lang w:bidi="ar-SA"/>
        </w:rPr>
        <w:t xml:space="preserve">و ثاني المحقّقين </w:t>
      </w:r>
      <w:r>
        <w:rPr>
          <w:rStyle w:val="FootnoteAnchor"/>
          <w:rtl w:val="true"/>
        </w:rPr>
        <w:footnoteReference w:id="1895"/>
      </w:r>
      <w:r>
        <w:rPr>
          <w:rFonts w:ascii="Amiri" w:hAnsi="Amiri" w:eastAsia="Amiri" w:cs="Amiri"/>
          <w:color w:val="111111"/>
          <w:sz w:val="28"/>
          <w:sz w:val="28"/>
          <w:szCs w:val="28"/>
          <w:rtl w:val="true"/>
          <w:lang w:bidi="ar-SA"/>
        </w:rPr>
        <w:t xml:space="preserve">في حاشية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الذي يقذف بالزّبد و يصير أعلاه أسفله، أو أوّل أخذه بالثخانة التي من لوازم الغليان لعنى ذكره في كلام من اعتبره و قرنه مع الغليان، بل صريح المحقّق رحمه الله </w:t>
      </w:r>
      <w:r>
        <w:rPr>
          <w:rStyle w:val="FootnoteAnchor"/>
          <w:rtl w:val="true"/>
        </w:rPr>
        <w:footnoteReference w:id="1896"/>
      </w:r>
      <w:r>
        <w:rPr>
          <w:rFonts w:ascii="Amiri" w:hAnsi="Amiri" w:eastAsia="Amiri" w:cs="Amiri"/>
          <w:color w:val="111111"/>
          <w:sz w:val="28"/>
          <w:sz w:val="28"/>
          <w:szCs w:val="28"/>
          <w:rtl w:val="true"/>
          <w:lang w:bidi="ar-SA"/>
        </w:rPr>
        <w:t xml:space="preserve">المغايرة بينهما لتفكيكه بين الحرمة و النجاسة، فالأوّل بالغليان، و الثاني بالاشتداد، كالفاضل في التذكرة </w:t>
      </w:r>
      <w:r>
        <w:rPr>
          <w:rStyle w:val="FootnoteAnchor"/>
          <w:rtl w:val="true"/>
        </w:rPr>
        <w:footnoteReference w:id="1897"/>
      </w:r>
      <w:r>
        <w:rPr>
          <w:rFonts w:ascii="Amiri" w:hAnsi="Amiri" w:eastAsia="Amiri" w:cs="Amiri"/>
          <w:color w:val="111111"/>
          <w:sz w:val="28"/>
          <w:sz w:val="28"/>
          <w:szCs w:val="28"/>
          <w:rtl w:val="true"/>
          <w:lang w:bidi="ar-SA"/>
        </w:rPr>
        <w:t xml:space="preserve">و غيرهما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فنفي ظهور تفسيره بالثخانة الموجبة للمغايرة من الأصحاب كما في حاشية المدارك </w:t>
      </w:r>
      <w:r>
        <w:rPr>
          <w:rStyle w:val="FootnoteAnchor"/>
          <w:rtl w:val="true"/>
        </w:rPr>
        <w:footnoteReference w:id="1899"/>
      </w:r>
      <w:r>
        <w:rPr>
          <w:rFonts w:ascii="Amiri" w:hAnsi="Amiri" w:eastAsia="Amiri" w:cs="Amiri"/>
          <w:color w:val="111111"/>
          <w:sz w:val="28"/>
          <w:sz w:val="28"/>
          <w:szCs w:val="28"/>
          <w:rtl w:val="true"/>
          <w:lang w:bidi="ar-SA"/>
        </w:rPr>
        <w:t>غير لائق، نعم نفي ظهوره مأخذه جيّد، بل لولا كلام مَن عرفت لقُلنا إنّهما بمعنى، حيث إنّه إن كان دليلاً على النّجاسة فهو دليل الحرمة، و مفقود اعتبار الاشتداد في أدلّتها قطعاً، فالمرجع فيه إلى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الشرائع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بها العصير إذا غلى و اشتدّ </w:t>
      </w: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الإلحاق هو المشاركة في الحكم دون الموضوع فعليه ذكر سنده بعد ظهور مغايرتهما و عدم لزومه للإسكافي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ابن حمزة في مباحات الوسيلة </w:t>
      </w:r>
      <w:r>
        <w:rPr>
          <w:rStyle w:val="FootnoteAnchor"/>
          <w:rtl w:val="true"/>
        </w:rPr>
        <w:footnoteReference w:id="1901"/>
      </w:r>
      <w:r>
        <w:rPr>
          <w:rFonts w:ascii="Amiri" w:hAnsi="Amiri" w:eastAsia="Amiri" w:cs="Amiri"/>
          <w:color w:val="111111"/>
          <w:sz w:val="28"/>
          <w:sz w:val="28"/>
          <w:szCs w:val="28"/>
          <w:rtl w:val="true"/>
          <w:lang w:bidi="ar-SA"/>
        </w:rPr>
        <w:t xml:space="preserve">بأنّ ما غلى بنفسه ينجس دون ما غلى بالنّار، و لم يذكر في باب النجاسات شيئاً، و كأنّه لدخول الأوّل في المسكر فهو من الذاهبين إلى الطّهارة، فما في ذكرى المصنّف </w:t>
      </w:r>
      <w:r>
        <w:rPr>
          <w:rStyle w:val="FootnoteAnchor"/>
          <w:rtl w:val="true"/>
        </w:rPr>
        <w:footnoteReference w:id="1902"/>
      </w:r>
      <w:r>
        <w:rPr>
          <w:rFonts w:ascii="Amiri" w:hAnsi="Amiri" w:eastAsia="Amiri" w:cs="Amiri"/>
          <w:color w:val="111111"/>
          <w:sz w:val="28"/>
          <w:sz w:val="28"/>
          <w:szCs w:val="28"/>
          <w:rtl w:val="true"/>
          <w:lang w:bidi="ar-SA"/>
        </w:rPr>
        <w:t>من نسبة النجاسة إليه في غير موقعه</w:t>
      </w:r>
      <w:r>
        <w:rPr>
          <w:rFonts w:eastAsia="Amiri" w:cs="Amiri" w:ascii="Amiri" w:hAnsi="Amiri"/>
          <w:color w:val="111111"/>
          <w:sz w:val="28"/>
          <w:szCs w:val="28"/>
          <w:rtl w:val="true"/>
          <w:lang w:bidi="ar-SA"/>
        </w:rPr>
        <w:t xml:space="preserve">. </w:t>
      </w:r>
      <w:bookmarkStart w:id="152" w:name="pg9146_86202"/>
    </w:p>
    <w:p>
      <w:pPr>
        <w:pStyle w:val="Heading2"/>
        <w:numPr>
          <w:ilvl w:val="1"/>
          <w:numId w:val="1"/>
        </w:numPr>
        <w:rPr/>
      </w:pPr>
      <w:bookmarkStart w:id="153" w:name="__RefHeading___Toc3322626_2870459653"/>
      <w:bookmarkStart w:id="154" w:name="_Toc51"/>
      <w:bookmarkEnd w:id="152"/>
      <w:bookmarkEnd w:id="153"/>
      <w:r>
        <w:rPr>
          <w:rtl w:val="true"/>
        </w:rPr>
        <w:t>[</w:t>
      </w:r>
      <w:r>
        <w:rPr>
          <w:rtl w:val="true"/>
        </w:rPr>
        <w:t>طهارة عصير الزبيب و التمر</w:t>
      </w:r>
      <w:r>
        <w:rPr>
          <w:rtl w:val="true"/>
        </w:rPr>
        <w:t>]</w:t>
      </w:r>
      <w:bookmarkEnd w:id="154"/>
    </w:p>
    <w:p>
      <w:pPr>
        <w:pStyle w:val="BookText"/>
        <w:rPr/>
      </w:pPr>
      <w:r>
        <w:rPr>
          <w:rFonts w:ascii="Amiri" w:hAnsi="Amiri" w:eastAsia="Amiri" w:cs="Amiri"/>
          <w:color w:val="111111"/>
          <w:sz w:val="28"/>
          <w:sz w:val="28"/>
          <w:szCs w:val="28"/>
          <w:rtl w:val="true"/>
          <w:lang w:bidi="ar-SA"/>
        </w:rPr>
        <w:t>و أمّا عصير الزبيب و التّمر و الحصرم و سائر الفواكه فسيجيء الكلام فيها عند تعرّض</w:t>
      </w:r>
    </w:p>
    <w:p>
      <w:pPr>
        <w:pStyle w:val="BookText"/>
        <w:rPr/>
      </w:pPr>
      <w:r>
        <w:rPr>
          <w:rFonts w:ascii="Amiri" w:hAnsi="Amiri" w:eastAsia="Amiri" w:cs="Amiri"/>
          <w:color w:val="111111"/>
          <w:sz w:val="28"/>
          <w:sz w:val="28"/>
          <w:szCs w:val="28"/>
          <w:rtl w:val="true"/>
          <w:lang w:bidi="ar-SA"/>
        </w:rPr>
        <w:t>المصنّف في الأطعمة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المعتمد ما عليه هما من عدم الحرمة و النجاسة فيها؛ لفَقْد الدّليل القاطع لعمومات </w:t>
      </w:r>
      <w:r>
        <w:rPr>
          <w:rStyle w:val="FootnoteAnchor"/>
          <w:rtl w:val="true"/>
        </w:rPr>
        <w:footnoteReference w:id="1903"/>
      </w:r>
      <w:r>
        <w:rPr>
          <w:rFonts w:ascii="Amiri" w:hAnsi="Amiri" w:eastAsia="Amiri" w:cs="Amiri"/>
          <w:color w:val="111111"/>
          <w:sz w:val="28"/>
          <w:sz w:val="28"/>
          <w:szCs w:val="28"/>
          <w:rtl w:val="true"/>
          <w:lang w:bidi="ar-SA"/>
        </w:rPr>
        <w:t xml:space="preserve">الإباحة، و خير ما للمخالف فيها أو أحدها هو المساواة لعصير العنب في الحكم، و هذا من الظنون المطلقة الخارجة من مداليل الظواهر بجميع أنواع الدّلالة، و إنّما هو استظهار ناشٍ من مراعاة العلّة المستنبطة أو الحكمة المنصوصة، فهو إلى القياس أشبه من اندراجه تحت الظواهر كاستصحاب الطباطبائي </w:t>
      </w:r>
      <w:r>
        <w:rPr>
          <w:rStyle w:val="FootnoteAnchor"/>
          <w:rtl w:val="true"/>
        </w:rPr>
        <w:footnoteReference w:id="1904"/>
      </w:r>
      <w:r>
        <w:rPr>
          <w:rFonts w:ascii="Amiri" w:hAnsi="Amiri" w:eastAsia="Amiri" w:cs="Amiri"/>
          <w:color w:val="111111"/>
          <w:sz w:val="28"/>
          <w:sz w:val="28"/>
          <w:szCs w:val="28"/>
          <w:rtl w:val="true"/>
          <w:lang w:bidi="ar-SA"/>
        </w:rPr>
        <w:t>في خصوص الزّبيب المتوقّف على مقدّمات كلّها نظريّة من ثبوت الحكم في غير عصير العنب الذي لولا الشهرة لجزمنا بعدمه، و من المسامحة في الموضوع الذي يلغى عنوان العنبيّة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الشارح بأنّ العصير لو صار دبساً قبل ذهاب الثُّلثين أمكَن حلّه؛ لتغييرِ العنوان كما لو انقلب خلَّا </w:t>
      </w:r>
      <w:r>
        <w:rPr>
          <w:rStyle w:val="FootnoteAnchor"/>
          <w:rtl w:val="true"/>
        </w:rPr>
        <w:footnoteReference w:id="1905"/>
      </w:r>
      <w:r>
        <w:rPr>
          <w:rFonts w:ascii="Amiri" w:hAnsi="Amiri" w:eastAsia="Amiri" w:cs="Amiri"/>
          <w:color w:val="111111"/>
          <w:sz w:val="28"/>
          <w:sz w:val="28"/>
          <w:szCs w:val="28"/>
          <w:rtl w:val="true"/>
          <w:lang w:bidi="ar-SA"/>
        </w:rPr>
        <w:t>، و الفرق بين المقامين غير واضح و من عموم الحكم إلى ما خلا عن الأجزاء العنبيّة بالوصف و هو محلّ تأمّل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لا ننكر ورود بعض النصوص </w:t>
      </w:r>
      <w:r>
        <w:rPr>
          <w:rStyle w:val="FootnoteAnchor"/>
          <w:rtl w:val="true"/>
        </w:rPr>
        <w:footnoteReference w:id="1906"/>
      </w:r>
      <w:r>
        <w:rPr>
          <w:rFonts w:ascii="Amiri" w:hAnsi="Amiri" w:eastAsia="Amiri" w:cs="Amiri"/>
          <w:color w:val="111111"/>
          <w:sz w:val="28"/>
          <w:sz w:val="28"/>
          <w:szCs w:val="28"/>
          <w:rtl w:val="true"/>
          <w:lang w:bidi="ar-SA"/>
        </w:rPr>
        <w:t>الصريحة في إفادة الحرمة في الأوّلين، إلَّا أن العمل بها متوقِّف على تقديمها بعد معارضتها لكلّ ما قضى من الأخبار بإناطة الحرمة بالإسكار في مطبوخ التّمر و الزبيب أو في مطلق النّبيذ، فإنّها تقضي بإباحة غير المسكر قبل ذهاب الثَّلثين، و هو مورد التّعارض، و لا أولويّة تقضي بتخصيصها إن لم يكن العكس أولى، غايته التساقط و الرّجوع إلى الأصل، مع أنّ شرط العمل بأخبار الآحاد المُتقَنة سنداً و دلالةً هو عمل السّلف أو بعض شيوخهم، فكم ردّوا صحاح النّصوص لندرة العامل، فكيف مع عدمه، و نحن لم نَقِف على عامل بها و إن لم نتحقق عدم العامل أيضاً، لكن الأوّل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أعرف من أيّ فتوى استظهر الطباطبائي الحرمة من الطبقة الأُولى، بل و الثانية، أقصاه أنّ </w:t>
      </w:r>
      <w:bookmarkStart w:id="155" w:name="pg9146_86203"/>
    </w:p>
    <w:p>
      <w:pPr>
        <w:pStyle w:val="BookText"/>
        <w:rPr/>
      </w:pPr>
      <w:bookmarkEnd w:id="155"/>
      <w:r>
        <w:rPr>
          <w:rFonts w:ascii="Amiri" w:hAnsi="Amiri" w:eastAsia="Amiri" w:cs="Amiri"/>
          <w:color w:val="111111"/>
          <w:sz w:val="28"/>
          <w:sz w:val="28"/>
          <w:szCs w:val="28"/>
          <w:rtl w:val="true"/>
          <w:lang w:bidi="ar-SA"/>
        </w:rPr>
        <w:t>كلماتهم غير وافية بشيء من الطرفين فلا أولويّة في حملها على أحدهما إن لم يكن العكس أَولى، بدعوى ظهور أنّ الأمر بإذهاب الثلثين فيها إرشاديٌ؛ لجهة خوف وجود العلّة التي يثبت معها الحكم، و هو غير مفقود النظير، لكن بعد فرض التباين الجزئي بين أخبار الحِلّ والحُرمَة يشكل عدم جريان الاستصحاب؛ لعدم التنافي بينه و بين أصالة الحِلّ من جهة وروده عليه، فيزيل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فعدم العامل بالخبر بعد فرض صحّته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و صراحته من جهة الدلالة لا يُوهِن العمل به قطعاً، إلَّا أن يكشف عن نقص فيه و لو إجمالاً، و هو مفقود في المقام؛ لأنّ عدم العمل بهذه الأخبار على هذا الوجه غير بيِّن فيحتمل ذلك، و يحتمل أنّهم عملوا و لم يصل إلينا و لم يعرضوا، إذ لا قرينة على أحدهما سوى فتوى بعض </w:t>
      </w:r>
      <w:r>
        <w:rPr>
          <w:rStyle w:val="FootnoteAnchor"/>
          <w:rtl w:val="true"/>
        </w:rPr>
        <w:footnoteReference w:id="1907"/>
      </w:r>
      <w:r>
        <w:rPr>
          <w:rFonts w:ascii="Amiri" w:hAnsi="Amiri" w:eastAsia="Amiri" w:cs="Amiri"/>
          <w:color w:val="111111"/>
          <w:sz w:val="28"/>
          <w:sz w:val="28"/>
          <w:szCs w:val="28"/>
          <w:rtl w:val="true"/>
          <w:lang w:bidi="ar-SA"/>
        </w:rPr>
        <w:t>الأساطين بالحلية و الطّهارة، و الاشتباه في حقّهم ليس بممنوع، بمعونة تردّد آخرين فيهما، فإنّ نفس عدم العلم بالعمل لا يجدي، و المفيد على تأصل العلم بالإعراض عنها و عدم العمل بها، فلا محيص عن الاحتياط؛ لأنّ الأدلّة و الفتاوى فيها على طَرفَي النقيض، و تمامه في محلّه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3322628_2870459653"/>
      <w:bookmarkStart w:id="157" w:name="_Toc52"/>
      <w:bookmarkEnd w:id="156"/>
      <w:r>
        <w:rPr>
          <w:rtl w:val="true"/>
        </w:rPr>
        <w:t>[</w:t>
      </w:r>
      <w:r>
        <w:rPr>
          <w:rtl w:val="true"/>
        </w:rPr>
        <w:t>وجوب إزالة النجاسة</w:t>
      </w:r>
      <w:r>
        <w:rPr>
          <w:rtl w:val="true"/>
        </w:rPr>
        <w:t>]</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النجاسات العشر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إزالتها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طوافاً؛ لإطلاقها عليه في الخبر </w:t>
      </w:r>
      <w:r>
        <w:rPr>
          <w:rStyle w:val="FootnoteAnchor"/>
          <w:rtl w:val="true"/>
        </w:rPr>
        <w:footnoteReference w:id="1908"/>
      </w:r>
      <w:r>
        <w:rPr>
          <w:rFonts w:ascii="Amiri" w:hAnsi="Amiri" w:eastAsia="Amiri" w:cs="Amiri"/>
          <w:color w:val="111111"/>
          <w:sz w:val="28"/>
          <w:sz w:val="28"/>
          <w:szCs w:val="28"/>
          <w:rtl w:val="true"/>
          <w:lang w:bidi="ar-SA"/>
        </w:rPr>
        <w:t xml:space="preserve">، و ترك ذِكره إمّا لدخوله في الصلاة، أو لبيان تعميم الحكم لما يجب إزالته عن المسجد للملوث و غيره </w:t>
      </w:r>
      <w:r>
        <w:rPr>
          <w:rStyle w:val="FootnoteAnchor"/>
          <w:rtl w:val="true"/>
        </w:rPr>
        <w:footnoteReference w:id="1909"/>
      </w:r>
      <w:r>
        <w:rPr>
          <w:rFonts w:ascii="Amiri" w:hAnsi="Amiri" w:eastAsia="Amiri" w:cs="Amiri"/>
          <w:color w:val="111111"/>
          <w:sz w:val="28"/>
          <w:sz w:val="28"/>
          <w:szCs w:val="28"/>
          <w:rtl w:val="true"/>
          <w:lang w:bidi="ar-SA"/>
        </w:rPr>
        <w:t>من حيث إنّ الطائف بالمسجد، فتأمل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وجوبه وجوب شرطي؛ للإجماع على عدم وجوبه النفسي، من غير فرق بين الكثير و غيره، و لا بين الخفيف و غيره إلَّا مستثنى الدّم كما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منّا، خلافاً للمرتضى في جميع مساقط الأعضاء </w:t>
      </w:r>
      <w:r>
        <w:rPr>
          <w:rStyle w:val="FootnoteAnchor"/>
          <w:rtl w:val="true"/>
        </w:rPr>
        <w:footnoteReference w:id="1910"/>
      </w:r>
      <w:r>
        <w:rPr>
          <w:rFonts w:ascii="Amiri" w:hAnsi="Amiri" w:eastAsia="Amiri" w:cs="Amiri"/>
          <w:color w:val="111111"/>
          <w:sz w:val="28"/>
          <w:sz w:val="28"/>
          <w:szCs w:val="28"/>
          <w:rtl w:val="true"/>
          <w:lang w:bidi="ar-SA"/>
        </w:rPr>
        <w:t xml:space="preserve">، و لأبي الصّلاح في باقي مساجد الأعضاء الستّة </w:t>
      </w:r>
      <w:r>
        <w:rPr>
          <w:rStyle w:val="FootnoteAnchor"/>
          <w:rtl w:val="true"/>
        </w:rPr>
        <w:footnoteReference w:id="1911"/>
      </w:r>
      <w:r>
        <w:rPr>
          <w:rFonts w:ascii="Amiri" w:hAnsi="Amiri" w:eastAsia="Amiri" w:cs="Amiri"/>
          <w:color w:val="111111"/>
          <w:sz w:val="28"/>
          <w:sz w:val="28"/>
          <w:szCs w:val="28"/>
          <w:rtl w:val="true"/>
          <w:lang w:bidi="ar-SA"/>
        </w:rPr>
        <w:t xml:space="preserve">فإنّهما أوجبا الإزالة فيها، و لا مستند لهما سوى النبوي </w:t>
      </w:r>
      <w:r>
        <w:rPr>
          <w:rStyle w:val="FootnoteAnchor"/>
          <w:rtl w:val="true"/>
        </w:rPr>
        <w:footnoteReference w:id="1912"/>
      </w:r>
      <w:r>
        <w:rPr>
          <w:rFonts w:ascii="Amiri" w:hAnsi="Amiri" w:eastAsia="Amiri" w:cs="Amiri"/>
          <w:color w:val="111111"/>
          <w:sz w:val="28"/>
          <w:sz w:val="28"/>
          <w:szCs w:val="28"/>
          <w:rtl w:val="true"/>
          <w:lang w:bidi="ar-SA"/>
        </w:rPr>
        <w:t>المنصرف إلى المسجد أو مسجد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بالبدن ما لا تحلّه الحياة، و بالثوب أطرافه و اللّباس غيره، و بالصلاة أجزاؤها المنّسية و ركعاتها الاحتياطية و سجدتا السّهو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يعدّ لها ممّا صاحب المصلّي أو كان متّصلاً بلباسه من المحمول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وجوب إزالته؛ إذ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فيه، و منه يظهر الفرق بين المحمول ممّا هو في جيبه أو من ملبوسه كالخاتم و الخلخال و ما شاكلها </w:t>
      </w:r>
      <w:r>
        <w:rPr>
          <w:rStyle w:val="FootnoteAnchor"/>
          <w:rtl w:val="true"/>
        </w:rPr>
        <w:footnoteReference w:id="1913"/>
      </w:r>
      <w:r>
        <w:rPr>
          <w:rFonts w:ascii="Amiri" w:hAnsi="Amiri" w:eastAsia="Amiri" w:cs="Amiri"/>
          <w:color w:val="111111"/>
          <w:sz w:val="28"/>
          <w:sz w:val="28"/>
          <w:szCs w:val="28"/>
          <w:rtl w:val="true"/>
          <w:lang w:bidi="ar-SA"/>
        </w:rPr>
        <w:t>، و يجري الأصل في مشتبه الموضوع و الحكم، و المتفرّع على غير الملبوس من غيره من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أُطلق في بعض الأخبار </w:t>
      </w:r>
      <w:r>
        <w:rPr>
          <w:rStyle w:val="FootnoteAnchor"/>
          <w:rtl w:val="true"/>
        </w:rPr>
        <w:footnoteReference w:id="1914"/>
      </w:r>
      <w:r>
        <w:rPr>
          <w:rFonts w:ascii="Amiri" w:hAnsi="Amiri" w:eastAsia="Amiri" w:cs="Amiri"/>
          <w:color w:val="111111"/>
          <w:sz w:val="28"/>
          <w:sz w:val="28"/>
          <w:szCs w:val="28"/>
          <w:rtl w:val="true"/>
          <w:lang w:bidi="ar-SA"/>
        </w:rPr>
        <w:t xml:space="preserve">الصلاة في السّيف، و هو يقضي أنّ المحمول يصدق عليه أنّه يصلّى فيه، فيشكل الأمر في المحمول مطلقاً، و إليه يعود حكم الفاضل </w:t>
      </w:r>
      <w:r>
        <w:rPr>
          <w:rStyle w:val="FootnoteAnchor"/>
          <w:rtl w:val="true"/>
        </w:rPr>
        <w:footnoteReference w:id="1915"/>
      </w:r>
      <w:r>
        <w:rPr>
          <w:rFonts w:ascii="Amiri" w:hAnsi="Amiri" w:eastAsia="Amiri" w:cs="Amiri"/>
          <w:color w:val="111111"/>
          <w:sz w:val="28"/>
          <w:sz w:val="28"/>
          <w:szCs w:val="28"/>
          <w:rtl w:val="true"/>
          <w:lang w:bidi="ar-SA"/>
        </w:rPr>
        <w:t xml:space="preserve">و غيره </w:t>
      </w:r>
      <w:r>
        <w:rPr>
          <w:rStyle w:val="FootnoteAnchor"/>
          <w:rtl w:val="true"/>
        </w:rPr>
        <w:footnoteReference w:id="1916"/>
      </w:r>
      <w:r>
        <w:rPr>
          <w:rFonts w:ascii="Amiri" w:hAnsi="Amiri" w:eastAsia="Amiri" w:cs="Amiri"/>
          <w:color w:val="111111"/>
          <w:sz w:val="28"/>
          <w:sz w:val="28"/>
          <w:szCs w:val="28"/>
          <w:rtl w:val="true"/>
          <w:lang w:bidi="ar-SA"/>
        </w:rPr>
        <w:t xml:space="preserve">بفساد الصلاة و معه قارورة مشدودة الرأس فيها نجاسة، و 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تأبى المصاحبة، فالجواز حينئذٍ مشكل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الإزالة بالوجوب السابق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ممّا يحرم استعمالها، فإنّ حرمة الاستعمال لا ينافي وجوب التّطهير و إزالة النجاسة و جوباً شرطيّاً، لكن 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لاستعمالها في ما لا يتوقّف على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كحملها في الصلاة و إدخالها المسجد </w:t>
      </w:r>
    </w:p>
    <w:p>
      <w:pPr>
        <w:pStyle w:val="BookText"/>
        <w:rPr/>
      </w:pPr>
      <w:r>
        <w:rPr>
          <w:rFonts w:ascii="Amiri" w:hAnsi="Amiri" w:eastAsia="Amiri" w:cs="Amiri"/>
          <w:color w:val="111111"/>
          <w:sz w:val="28"/>
          <w:sz w:val="28"/>
          <w:szCs w:val="28"/>
          <w:rtl w:val="true"/>
          <w:lang w:bidi="ar-SA"/>
        </w:rPr>
        <w:t xml:space="preserve">على رأي </w:t>
      </w:r>
      <w:r>
        <w:rPr>
          <w:rStyle w:val="FootnoteAnchor"/>
          <w:rtl w:val="true"/>
        </w:rPr>
        <w:footnoteReference w:id="1917"/>
      </w:r>
      <w:r>
        <w:rPr>
          <w:rFonts w:ascii="Amiri" w:hAnsi="Amiri" w:eastAsia="Amiri" w:cs="Amiri"/>
          <w:color w:val="111111"/>
          <w:sz w:val="28"/>
          <w:sz w:val="28"/>
          <w:szCs w:val="28"/>
          <w:rtl w:val="true"/>
          <w:lang w:bidi="ar-SA"/>
        </w:rPr>
        <w:t>، أو مع لزوم التعدّي في الاستعمال في مثل الشرب و نحوه و الطهارة و أشباهها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إزالتها كفايةً لا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لو في أرض الخراج، بناءً على أنّ الأرض تتبع الآثار ما دامت باقية، فيصلح فيها النقل و الانتقال و الهبة و الوقف و غيرها، فتجري حينئذٍ أحكام المسجديّة على تلك الأرض ما دامت الصورة باقية، فإذا انتفت و عادَت أرضاً بيضاء لحقها حكم الأراضي الخراجيّة على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المشكوك في مسجديّته يجري فيه الأصل، و منه حيّز جدران المساجد ظاهراً و باطناً على الأقوى، و وجوب الإزالة عن المسجد في المتعدّي كأنّه لا شبهة فيه؛ لأمر النَّبيّ صلّی الله علیه و آله بالتطهير من بول الأعرابي </w:t>
      </w:r>
      <w:r>
        <w:rPr>
          <w:rStyle w:val="FootnoteAnchor"/>
          <w:rtl w:val="true"/>
        </w:rPr>
        <w:footnoteReference w:id="1918"/>
      </w:r>
      <w:r>
        <w:rPr>
          <w:rFonts w:ascii="Amiri" w:hAnsi="Amiri" w:eastAsia="Amiri" w:cs="Amiri"/>
          <w:color w:val="111111"/>
          <w:sz w:val="28"/>
          <w:sz w:val="28"/>
          <w:szCs w:val="28"/>
          <w:rtl w:val="true"/>
          <w:lang w:bidi="ar-SA"/>
        </w:rPr>
        <w:t xml:space="preserve">، و للإجماع المستفيض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الضّرائح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خصوص نبيّنا النَّبيّ صلّی الله علیه و آله و الأئمّة علیهم السلام و فاطمة عليها السلام، أو أُولي العَزم غيرهم، أو الشهداء معهم مطلقاً، أو خصوص البدريِّين و شهداء كربلاء، فأُلحقت بالمساجد هنا و في غيره بهذا الإطلاق، مع احتمال الانصراف إلى خصوص الأنبياء و الأئمة علیهم السلام و ما بحكمهم كالتُّربَة الحسينيّة، و سند الإلحاق لزوم الاحترام المنافي لعدم إزالة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مراتبه غير مُراد قطعاً، و إلَّا لحُرم النّوم و الأكل و الكلام غير الزيارة و الجلوس و الضحك و غيرها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إرادة البعض تحتاج إلى سند غيره، و اشتراكها مع المساجد حكماً فيثبت لها ما ثبت لها دون غيره من الاحترامات ممنوع؛ لتحقّق جواز الزينة لها دونها، و الخروج بالدّليل يحتاج إليه، و غيرها كثير، فليقتصر على ما يورِث الاستخفاف و عدم المبالاة عرفاً، و في اشتراط بعض </w:t>
      </w:r>
    </w:p>
    <w:p>
      <w:pPr>
        <w:pStyle w:val="BookText"/>
        <w:rPr/>
      </w:pPr>
      <w:r>
        <w:rPr>
          <w:rFonts w:ascii="Amiri" w:hAnsi="Amiri" w:eastAsia="Amiri" w:cs="Amiri"/>
          <w:color w:val="111111"/>
          <w:sz w:val="28"/>
          <w:sz w:val="28"/>
          <w:szCs w:val="28"/>
          <w:rtl w:val="true"/>
          <w:lang w:bidi="ar-SA"/>
        </w:rPr>
        <w:t xml:space="preserve">الزيارات </w:t>
      </w:r>
      <w:r>
        <w:rPr>
          <w:rStyle w:val="FootnoteAnchor"/>
          <w:rtl w:val="true"/>
        </w:rPr>
        <w:footnoteReference w:id="1921"/>
      </w:r>
      <w:r>
        <w:rPr>
          <w:rFonts w:ascii="Amiri" w:hAnsi="Amiri" w:eastAsia="Amiri" w:cs="Amiri"/>
          <w:color w:val="111111"/>
          <w:sz w:val="28"/>
          <w:sz w:val="28"/>
          <w:szCs w:val="28"/>
          <w:rtl w:val="true"/>
          <w:lang w:bidi="ar-SA"/>
        </w:rPr>
        <w:t>المخصوصة بتطهير الثّياب قرينة على جواز مطلقها مطلقاً، و إلَّا لما كان لاشتراطه معنى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الحكم في المسجد لجهة الاحترام لَحِقَ كلّ ما يجب اشتراطه فيه ذلك، و على فرضه في الجميع فهل يعمّ الحكم غير المتعدّية أم يخص بها؟ إطلاقُ معاقد الإجماع </w:t>
      </w:r>
      <w:r>
        <w:rPr>
          <w:rStyle w:val="FootnoteAnchor"/>
          <w:rtl w:val="true"/>
        </w:rPr>
        <w:footnoteReference w:id="1922"/>
      </w:r>
      <w:r>
        <w:rPr>
          <w:rFonts w:ascii="Amiri" w:hAnsi="Amiri" w:eastAsia="Amiri" w:cs="Amiri"/>
          <w:color w:val="111111"/>
          <w:sz w:val="28"/>
          <w:sz w:val="28"/>
          <w:szCs w:val="28"/>
          <w:rtl w:val="true"/>
          <w:lang w:bidi="ar-SA"/>
        </w:rPr>
        <w:t xml:space="preserve">كإطلاق الآية </w:t>
      </w:r>
      <w:r>
        <w:rPr>
          <w:rStyle w:val="FootnoteAnchor"/>
          <w:rtl w:val="true"/>
        </w:rPr>
        <w:footnoteReference w:id="1923"/>
      </w:r>
      <w:r>
        <w:rPr>
          <w:rFonts w:ascii="Amiri" w:hAnsi="Amiri" w:eastAsia="Amiri" w:cs="Amiri"/>
          <w:color w:val="111111"/>
          <w:sz w:val="28"/>
          <w:sz w:val="28"/>
          <w:szCs w:val="28"/>
          <w:rtl w:val="true"/>
          <w:lang w:bidi="ar-SA"/>
        </w:rPr>
        <w:t xml:space="preserve">و الرّواية </w:t>
      </w:r>
      <w:r>
        <w:rPr>
          <w:rStyle w:val="FootnoteAnchor"/>
          <w:rtl w:val="true"/>
        </w:rPr>
        <w:footnoteReference w:id="1924"/>
      </w:r>
      <w:r>
        <w:rPr>
          <w:rFonts w:ascii="Amiri" w:hAnsi="Amiri" w:eastAsia="Amiri" w:cs="Amiri"/>
          <w:color w:val="111111"/>
          <w:sz w:val="28"/>
          <w:sz w:val="28"/>
          <w:szCs w:val="28"/>
          <w:rtl w:val="true"/>
          <w:lang w:bidi="ar-SA"/>
        </w:rPr>
        <w:t>العمومُ خصوصاً في غير المتنجّس مطلقاً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الأمن وصريح آخرين </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 xml:space="preserve">الاختصاصُ بالمتعدّي مع اعترافهم بمنع الكافر مطلقاً؛ استضعافاً لدليل وجوب الإزالة، و اقتصاراً على الفرد المتيقّن، و ركوناً إلى بعض التلفيقات نحو رخصة مسح الدّمل للمصلّي من دون استفصال </w:t>
      </w:r>
      <w:r>
        <w:rPr>
          <w:rStyle w:val="FootnoteAnchor"/>
          <w:rtl w:val="true"/>
        </w:rPr>
        <w:footnoteReference w:id="1926"/>
      </w:r>
      <w:r>
        <w:rPr>
          <w:rFonts w:ascii="Amiri" w:hAnsi="Amiri" w:eastAsia="Amiri" w:cs="Amiri"/>
          <w:color w:val="111111"/>
          <w:sz w:val="28"/>
          <w:sz w:val="28"/>
          <w:szCs w:val="28"/>
          <w:rtl w:val="true"/>
          <w:lang w:bidi="ar-SA"/>
        </w:rPr>
        <w:t xml:space="preserve">، و دخول الجُنب و الحائض لمحض الاجتياز مع عدم خلوّ بدنهما عن النجاسة غالباً </w:t>
      </w:r>
      <w:r>
        <w:rPr>
          <w:rStyle w:val="FootnoteAnchor"/>
          <w:rtl w:val="true"/>
        </w:rPr>
        <w:footnoteReference w:id="1927"/>
      </w:r>
      <w:r>
        <w:rPr>
          <w:rFonts w:ascii="Amiri" w:hAnsi="Amiri" w:eastAsia="Amiri" w:cs="Amiri"/>
          <w:color w:val="111111"/>
          <w:sz w:val="28"/>
          <w:sz w:val="28"/>
          <w:szCs w:val="28"/>
          <w:rtl w:val="true"/>
          <w:lang w:bidi="ar-SA"/>
        </w:rPr>
        <w:t xml:space="preserve">، و جواز صلاة المستحاضة إذا لم يثقب دمها الكُرسف فيه </w:t>
      </w:r>
      <w:r>
        <w:rPr>
          <w:rStyle w:val="FootnoteAnchor"/>
          <w:rtl w:val="true"/>
        </w:rPr>
        <w:footnoteReference w:id="1928"/>
      </w:r>
      <w:r>
        <w:rPr>
          <w:rFonts w:ascii="Amiri" w:hAnsi="Amiri" w:eastAsia="Amiri" w:cs="Amiri"/>
          <w:color w:val="111111"/>
          <w:sz w:val="28"/>
          <w:sz w:val="28"/>
          <w:szCs w:val="28"/>
          <w:rtl w:val="true"/>
          <w:lang w:bidi="ar-SA"/>
        </w:rPr>
        <w:t xml:space="preserve">، و جواز إجراء الحدود فيها حتّى القصاص </w:t>
      </w:r>
      <w:r>
        <w:rPr>
          <w:rStyle w:val="FootnoteAnchor"/>
          <w:rtl w:val="true"/>
        </w:rPr>
        <w:footnoteReference w:id="1929"/>
      </w:r>
      <w:r>
        <w:rPr>
          <w:rFonts w:ascii="Amiri" w:hAnsi="Amiri" w:eastAsia="Amiri" w:cs="Amiri"/>
          <w:color w:val="111111"/>
          <w:sz w:val="28"/>
          <w:sz w:val="28"/>
          <w:szCs w:val="28"/>
          <w:rtl w:val="true"/>
          <w:lang w:bidi="ar-SA"/>
        </w:rPr>
        <w:t xml:space="preserve">، و إجماع الحلّي على خصوص جلوس غاسل الميّت في المسجد و عدمه </w:t>
      </w:r>
      <w:r>
        <w:rPr>
          <w:rStyle w:val="FootnoteAnchor"/>
          <w:rtl w:val="true"/>
        </w:rPr>
        <w:footnoteReference w:id="1930"/>
      </w:r>
      <w:r>
        <w:rPr>
          <w:rFonts w:ascii="Amiri" w:hAnsi="Amiri" w:eastAsia="Amiri" w:cs="Amiri"/>
          <w:color w:val="111111"/>
          <w:sz w:val="28"/>
          <w:sz w:val="28"/>
          <w:szCs w:val="28"/>
          <w:rtl w:val="true"/>
          <w:lang w:bidi="ar-SA"/>
        </w:rPr>
        <w:t xml:space="preserve">و استثناء ذي العاهة في دخول المسجد و حضور الجماعة </w:t>
      </w:r>
      <w:r>
        <w:rPr>
          <w:rStyle w:val="FootnoteAnchor"/>
          <w:rtl w:val="true"/>
        </w:rPr>
        <w:footnoteReference w:id="1931"/>
      </w:r>
      <w:r>
        <w:rPr>
          <w:rFonts w:ascii="Amiri" w:hAnsi="Amiri" w:eastAsia="Amiri" w:cs="Amiri"/>
          <w:color w:val="111111"/>
          <w:sz w:val="28"/>
          <w:sz w:val="28"/>
          <w:szCs w:val="28"/>
          <w:rtl w:val="true"/>
          <w:lang w:bidi="ar-SA"/>
        </w:rPr>
        <w:t xml:space="preserve">و لا يخلو بدنه غالباً عن النجاسة، فإنّ في بعض هذه الوجوه ما يقضي </w:t>
      </w:r>
    </w:p>
    <w:p>
      <w:pPr>
        <w:pStyle w:val="BookText"/>
        <w:rPr/>
      </w:pPr>
      <w:r>
        <w:rPr>
          <w:rFonts w:ascii="Amiri" w:hAnsi="Amiri" w:eastAsia="Amiri" w:cs="Amiri"/>
          <w:color w:val="111111"/>
          <w:sz w:val="28"/>
          <w:sz w:val="28"/>
          <w:szCs w:val="28"/>
          <w:rtl w:val="true"/>
          <w:lang w:bidi="ar-SA"/>
        </w:rPr>
        <w:t>بجواز إدخال النجاسة حتى بعض 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الجمع الاقتصار على ما يتعدّى و ما يلزم منه الاستخفاف، و تخلّصوا من عموم منع الكافر لغلظة النجاسة، و هو اجتهاد من غير مَدْرَك، و الآية </w:t>
      </w:r>
      <w:r>
        <w:rPr>
          <w:rStyle w:val="FootnoteAnchor"/>
          <w:rtl w:val="true"/>
        </w:rPr>
        <w:footnoteReference w:id="1932"/>
      </w:r>
      <w:r>
        <w:rPr>
          <w:rFonts w:ascii="Amiri" w:hAnsi="Amiri" w:eastAsia="Amiri" w:cs="Amiri"/>
          <w:color w:val="111111"/>
          <w:sz w:val="28"/>
          <w:sz w:val="28"/>
          <w:szCs w:val="28"/>
          <w:rtl w:val="true"/>
          <w:lang w:bidi="ar-SA"/>
        </w:rPr>
        <w:t>توجب خصوص المشرك لو اعتذر بها، و إلحاق غيره قياسٌ واضح، و مع صحّته يلزمه إلحاق دَم الحيض و سؤر الكلب؛ لشدّة النجاسة بالفحوى، و يتمّ في غيرهما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الوجوه كلّها مدخولة بالحمل على الخلوّ من النّجاسة في الجميع، و يؤخذ برواية الحلّي و تلغى درايته فيُقال بطهر يَد الغاسل للتبعيّة و لا ينكر إجماعه كما صنعه المحقّق </w:t>
      </w:r>
      <w:r>
        <w:rPr>
          <w:rStyle w:val="FootnoteAnchor"/>
          <w:rtl w:val="true"/>
        </w:rPr>
        <w:footnoteReference w:id="1933"/>
      </w:r>
      <w:r>
        <w:rPr>
          <w:rFonts w:ascii="Amiri" w:hAnsi="Amiri" w:eastAsia="Amiri" w:cs="Amiri"/>
          <w:color w:val="111111"/>
          <w:sz w:val="28"/>
          <w:sz w:val="28"/>
          <w:szCs w:val="28"/>
          <w:rtl w:val="true"/>
          <w:lang w:bidi="ar-SA"/>
        </w:rPr>
        <w:t>الأوّل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بالمساجد توابعها من فرشها، و سطح المسجد مسجد، و كالمسجد في الحكم أرضه و ما ينقل منها في غير الحرم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المصاحف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غلافها، فيلحق برواق الحضرات المقدّسة، و كذا هامشها و البياض بين سطورها؛ و دليله أولويّة ذلك من عدم جواز مَسّ المُحْدِث مطلقاً لكتابتها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الإزالة عن الجميع فوريّ و كفائي حتّى في حَقِّ المُدْخِل؛ لمبغوضيّة كون النّجاسة في المسجد، المستفادة من حرمة الإدخال و وجوب الإخراج، لا لأنّ الأمر للفور فإنّ اللازم عقلاً المبادرة إلى ما يرفع تلك المبغوضيّة، و إلَّا فاتَ الغرض الباعِث على الأمر في الآن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في المسجد نجاسة ملوّثة وجبَ إخراجها كفاية </w:t>
      </w:r>
      <w:r>
        <w:rPr>
          <w:rStyle w:val="FootnoteAnchor"/>
          <w:rtl w:val="true"/>
        </w:rPr>
        <w:footnoteReference w:id="1934"/>
      </w:r>
      <w:r>
        <w:rPr>
          <w:rFonts w:ascii="Amiri" w:hAnsi="Amiri" w:eastAsia="Amiri" w:cs="Amiri"/>
          <w:color w:val="111111"/>
          <w:sz w:val="28"/>
          <w:sz w:val="28"/>
          <w:szCs w:val="28"/>
          <w:rtl w:val="true"/>
          <w:lang w:bidi="ar-SA"/>
        </w:rPr>
        <w:t>، و لو أدخلَها المكلّف تعيّن عليه الإخراج، ثمّ قرّب صحّة الصلاة لو ترك الإخراج و الوقت موسّعٌ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الفورية و الكفاية إلَّا في حقّ المدخل، فيتعيّن عليه إخراجها و صحّة الصلاة لو ترك مع الإثم، و الأوّل بانَ وجهه، و الثاني لم نقف على وجهه إلَّا كونه هو السّبب </w:t>
      </w:r>
    </w:p>
    <w:p>
      <w:pPr>
        <w:pStyle w:val="BookText"/>
        <w:rPr/>
      </w:pPr>
      <w:r>
        <w:rPr>
          <w:rFonts w:ascii="IRNazanin" w:hAnsi="IRNazanin" w:eastAsia="IRNazanin"/>
          <w:color w:val="111111"/>
          <w:sz w:val="28"/>
          <w:sz w:val="28"/>
          <w:szCs w:val="28"/>
          <w:rtl w:val="true"/>
          <w:lang w:bidi="fa-IR"/>
        </w:rPr>
        <w:t>في تلويث المسجد فهو أحقّ بالإخراج، و هو استحساني، و كذا ما قيل من استصحاب الحكم السابق العيني الثابت في حقّه قبل الإخراج، فإنّه قد كان حرمة الإدخال، و لا بقاء له بعده حتّى لو كان دليل الحرمة وجوب الإزالة على وجه الكفاية؛ و على فرض العينيّة لا يشترك المدخل مع غيره في الوجوب الكفائي، و إن احتمل فإنّه لا يتصوّر إلَّا بالترتّب و التعليق کوجوب النّظر في أمر القصّر على الولّي عيناً و على غيره كفاية، فتؤخّر رتبة الكفائي عن العيني، و يعلّق على عدمه فلا اجتماع، و لأجله قال في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يتأكّد في حقّ المدخل، فإنّا لا نمنع اجتماع الاستحباب العيني مع الوجوب الكفائي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الثالث فبروضه تبعاً لذكراه </w:t>
      </w:r>
      <w:r>
        <w:rPr>
          <w:rStyle w:val="FootnoteAnchor"/>
          <w:rtl w:val="true"/>
        </w:rPr>
        <w:footnoteReference w:id="1936"/>
      </w:r>
      <w:r>
        <w:rPr>
          <w:rFonts w:ascii="Amiri" w:hAnsi="Amiri" w:eastAsia="Amiri" w:cs="Amiri"/>
          <w:color w:val="111111"/>
          <w:sz w:val="28"/>
          <w:sz w:val="28"/>
          <w:szCs w:val="28"/>
          <w:rtl w:val="true"/>
          <w:lang w:bidi="ar-SA"/>
        </w:rPr>
        <w:t xml:space="preserve">صحّة العبادة، و تبعهما جدّي الأكبر في كشفه </w:t>
      </w:r>
      <w:r>
        <w:rPr>
          <w:rStyle w:val="FootnoteAnchor"/>
          <w:rtl w:val="true"/>
        </w:rPr>
        <w:footnoteReference w:id="1937"/>
      </w: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وجوب الإزالة على الفور ينافي وجوب الصلاة مع سعة الوقت؛ لأنّ الوجوبين إن اجتمعا في وقت واحد مع بقاء الفوريّة في وجوب الإزالة كان تكليفاً بما لا يُطاق، و إلَّا خرج الواجب الفوريّ عن كونه واجباً فوريّاً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وجوب تقديم بعض الواجبات على بعض و كونه غير شرط في الصّحة، كما في مناسك مِنى يوم النّحر، فإنّ التّرتيب فيها واجب في الأصالة و لو خالف أجزأ، و لا امتناع في أن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عليك كُلّاً من الأمرين مع تضيق أحدهما و توسعة الآخر، و أنّك إن قدّمت المضيق امتَثَلت و سلمت من الإثم، و إن قدّمت الموسّع امتثلت و أثِمْت في المخالفة في التقديم، فلزوم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 xml:space="preserve">ما لا يطاق على هذا التقدير ممنوع </w:t>
      </w:r>
      <w:r>
        <w:rPr>
          <w:rStyle w:val="FootnoteAnchor"/>
          <w:rtl w:val="true"/>
        </w:rPr>
        <w:footnoteReference w:id="1939"/>
      </w:r>
      <w:r>
        <w:rPr>
          <w:rFonts w:ascii="IRNazanin" w:hAnsi="IRNazanin" w:eastAsia="IRNazanin"/>
          <w:color w:val="111111"/>
          <w:sz w:val="28"/>
          <w:sz w:val="28"/>
          <w:szCs w:val="28"/>
          <w:rtl w:val="true"/>
          <w:lang w:bidi="fa-IR"/>
        </w:rPr>
        <w:t>انتهى بلفظه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صريح الذكرى إنكار اقتضاء الأمر النّهي عن عن الضّدّ الخاص للزوم شبهة الكعبي </w:t>
      </w:r>
      <w:r>
        <w:rPr>
          <w:rStyle w:val="FootnoteAnchor"/>
          <w:rtl w:val="true"/>
        </w:rPr>
        <w:footnoteReference w:id="194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اقتضاء النّهي عن الضّد العام مسلّم لا ينهض بإتمام الحجّة، و فيما ذكراه نظر ظاهر تحقيقه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قاطع بأنّ ترك الضّدّ الخاصّ ممّا يتوقّف عليه فعل المأمور به، و واجب التّرك يلزمه النّهي عن الفعل التزاماً بيّناً، و متى حصل النّهي عن العبادة أفسد؛ لأنه إمّا مستمرّ مع الصلاة أو ساقط عند التلبّس بها، و الأوّل يفسد لعدم اجتماع المحبوبيّة و المبغوضيّة في آنٍ واحد قطعاً، و الثاني جزاف من القول، فإنّ نيّة الترك لا ترفع الأمر و تسقطه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شيء تخريج هؤلاء المحقِّقين للمسألة على ذلك كالشارح و المحقّق الثاني </w:t>
      </w:r>
      <w:r>
        <w:rPr>
          <w:rStyle w:val="FootnoteAnchor"/>
          <w:rtl w:val="true"/>
        </w:rPr>
        <w:footnoteReference w:id="1941"/>
      </w:r>
      <w:r>
        <w:rPr>
          <w:rFonts w:ascii="Amiri" w:hAnsi="Amiri" w:eastAsia="Amiri" w:cs="Amiri"/>
          <w:color w:val="111111"/>
          <w:sz w:val="28"/>
          <w:sz w:val="28"/>
          <w:szCs w:val="28"/>
          <w:rtl w:val="true"/>
          <w:lang w:bidi="ar-SA"/>
        </w:rPr>
        <w:t xml:space="preserve">و جدّي الأكبر </w:t>
      </w:r>
      <w:r>
        <w:rPr>
          <w:rStyle w:val="FootnoteAnchor"/>
          <w:rtl w:val="true"/>
        </w:rPr>
        <w:footnoteReference w:id="1942"/>
      </w:r>
      <w:r>
        <w:rPr>
          <w:rFonts w:ascii="Amiri" w:hAnsi="Amiri" w:eastAsia="Amiri" w:cs="Amiri"/>
          <w:color w:val="111111"/>
          <w:sz w:val="28"/>
          <w:sz w:val="28"/>
          <w:szCs w:val="28"/>
          <w:rtl w:val="true"/>
          <w:lang w:bidi="ar-SA"/>
        </w:rPr>
        <w:t xml:space="preserve">فإنّ القاضي بسائر مقدّماتها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Style w:val="FootnoteAnchor"/>
          <w:rtl w:val="true"/>
        </w:rPr>
        <w:footnoteReference w:id="1943"/>
      </w:r>
      <w:r>
        <w:rPr>
          <w:rFonts w:ascii="Amiri" w:hAnsi="Amiri" w:eastAsia="Amiri" w:cs="Amiri"/>
          <w:color w:val="111111"/>
          <w:sz w:val="28"/>
          <w:sz w:val="28"/>
          <w:szCs w:val="28"/>
          <w:rtl w:val="true"/>
          <w:lang w:bidi="ar-SA"/>
        </w:rPr>
        <w:t xml:space="preserve">العقلي الآبي عن التخصيص، نعم إنكار اقتضاء الأمر النّهي عن الضّد الخاص ربّما ينفع كما في الذكرى </w:t>
      </w:r>
      <w:r>
        <w:rPr>
          <w:rStyle w:val="FootnoteAnchor"/>
          <w:rtl w:val="true"/>
        </w:rPr>
        <w:footnoteReference w:id="1944"/>
      </w:r>
      <w:r>
        <w:rPr>
          <w:rFonts w:ascii="Amiri" w:hAnsi="Amiri" w:eastAsia="Amiri" w:cs="Amiri"/>
          <w:color w:val="111111"/>
          <w:sz w:val="28"/>
          <w:sz w:val="28"/>
          <w:szCs w:val="28"/>
          <w:rtl w:val="true"/>
          <w:lang w:bidi="ar-SA"/>
        </w:rPr>
        <w:t>و إن منع دليله من لزوم نفي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الشارح بروضه بعد أن ذكر كلام المصنّف و لم يسنده له اعترف بأنّ الوجوب من باب المقدّمة،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من هذا الباب ليس من نفي الأمر </w:t>
      </w:r>
      <w:r>
        <w:rPr>
          <w:rStyle w:val="FootnoteAnchor"/>
          <w:rtl w:val="true"/>
        </w:rPr>
        <w:footnoteReference w:id="19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ما تلوناه عليك، و نحن لا نرى لذلك وجهاً بعد أن أحكمنا إرادة المقدّمة، و أنّ النّهي التبعي كالأصلي في الإفساد، و هما عقليّان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شيخ أساتيدنا رحمه الله نقل عن بعض مشايخه تخريجاً آخر للحكم بالصّحة، و رأيته في تقريرات عَمّي المرحوم الشيخ عليّ، و قد تلمّذ هو عليه،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الفوريّة في أمر الإزالة بغير مَن اشتغلت ذمّته بموسّع ، و منشؤه إمّا ثبوت التخصيص بدليله، أو لإجمال أدلّة الفورية، فتخصّ بغير المفروض أخذاً بالقَدْر المتيقّن، و كلاهما غير وجيه؛ فالأخير بعدم تسليمه و لو سلّم فعلى وجه الإطلاق بالضّرورة، و نحن نفرضه في غير المجمل دليله من </w:t>
      </w:r>
    </w:p>
    <w:p>
      <w:pPr>
        <w:pStyle w:val="BookText"/>
        <w:rPr/>
      </w:pPr>
      <w:r>
        <w:rPr>
          <w:rFonts w:ascii="Amiri" w:hAnsi="Amiri" w:eastAsia="Amiri" w:cs="Amiri"/>
          <w:color w:val="111111"/>
          <w:sz w:val="28"/>
          <w:sz w:val="28"/>
          <w:szCs w:val="28"/>
          <w:rtl w:val="true"/>
          <w:lang w:bidi="ar-SA"/>
        </w:rPr>
        <w:t>الأفراد، فيرجع النزاع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إن كان غير ما قضى بوجوب الموسّع لزمه بيانه، و إن كان المخصص نفس دليل وجوب الموسّع فلا معارضة توجب قصر الفوريّة، بل أدلّة الفوريّة ترفع التوسعة الزّمانية نحو تخصيصها لما قضى بإباحة الأفعال في غير ذلك الزمان، و الفرق بين الواجب الموسّع مع المباح غير بيّن، فإنهما معاً قابلان لعروض الحرمة زمن التوسعة، بل لا ينافي وجوبه النهي عنه في بعض الموارد قبل تضيّقه سواء كان على وجه الكراهة أو التحريم لعدم السقوط المنافي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المعارضة وجب حينئذٍ تخصيص أدلّة الواجب الموسّع بما إذا لم يعارضه واجب فوري على حدّ تخصيصها بما إذا عارض الموسّع مضيّق يفوت وقته بفعل الموسّع، كصلاة الخسوف مع الفريضة، فإنّ الفريضة لا تصلحّ قولاً واحداً إذا تيقّن الانجلاء و فوات وقت الخسوف مع سعة وقتها، و المدرك متّحد و إن كان بينهما فرق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أغضينا عن كلّ ذلك و رجعنا إلى قواعد التعارض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عامَّين تعارضا يرجع في مورد اجتماعهما إمّا إلى الأصل لو فرض إجمال دليلها، و إمّا إلى التخيير في العمل بأحد الدّليلين إلحاقاً للتباين الجزئيّ بالكلّي، و على التقديرين لا يمكن الحكم بصحّة الصلاة؛ لقضاء الأصل فساد الموسّع من حيث الشكّ في تعلّق الأمر به، و لا يجيء ذلك في الإزالة حتّى لو فرض حرمتها؛ لأنّ صحّتها لا تتوقّف على إباحتها، مع أنّ المفروض عدم فوريّة الموسّع، فهي مباحة جزماً؛ لأنّ الشكّ إنّما نشأ من الفوريّة لا من نفس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التخيير فمرجعه إلى اختيار المجتهد، فإذا قدّم دليل الموسع و أخذ به صحّ العمل لكن لا من جهة تزاحم الواجبين، بل لجهة ترجيح أحد الدّليلين، و عليه يلزمه الحكم بفساد المضيّق لو كان عبادة؛ لأنّ الخارج عن دليله ليس خصوص الفوريّة لكي يبقى الوجوب بعدها، و إنّما الخارج دليله كُلّاً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نتعقل زوال الفورية بنفس الوجوب أو بالاشتغال بواجب آخر، كذا أفاده، و لقد أجاد، غير أنّ المفهوم من كلمات العَمّ قدس سرّه التي رأيناها هو إنكار الفوريّة في </w:t>
      </w:r>
      <w:bookmarkStart w:id="158" w:name="pg9146_86211"/>
    </w:p>
    <w:p>
      <w:pPr>
        <w:pStyle w:val="BookText"/>
        <w:rPr/>
      </w:pPr>
      <w:bookmarkEnd w:id="158"/>
      <w:r>
        <w:rPr>
          <w:rFonts w:ascii="Amiri" w:hAnsi="Amiri" w:eastAsia="Amiri" w:cs="Amiri"/>
          <w:color w:val="111111"/>
          <w:sz w:val="28"/>
          <w:sz w:val="28"/>
          <w:szCs w:val="28"/>
          <w:rtl w:val="true"/>
          <w:lang w:bidi="ar-SA"/>
        </w:rPr>
        <w:t xml:space="preserve">الأوامر رأساً، و على فرض وجود ما يقضى بها فغاية مفاده لزوم الفورية لغير من ذمّته بواجب مطلقاً، لتساوي الطّلب الوجوبي في نظر الآمر، فلا فوريّة لواجب بالنّسبة إلى آخر، بل المراد امتثال الأمر الوجوبي مهما أمكن، و هو و إن كنّا لا نرتضيه و لو بضميمة العقل، لكن يسقط جميع ما ذكر الأُستاذ عليه، فلاحظ تقارير الملّا فتّاح </w:t>
      </w:r>
      <w:r>
        <w:rPr>
          <w:rStyle w:val="FootnoteAnchor"/>
          <w:rtl w:val="true"/>
        </w:rPr>
        <w:footnoteReference w:id="1946"/>
      </w:r>
      <w:r>
        <w:rPr>
          <w:rFonts w:ascii="Amiri" w:hAnsi="Amiri" w:eastAsia="Amiri" w:cs="Amiri"/>
          <w:color w:val="111111"/>
          <w:sz w:val="28"/>
          <w:sz w:val="28"/>
          <w:szCs w:val="28"/>
          <w:rtl w:val="true"/>
          <w:lang w:bidi="ar-SA"/>
        </w:rPr>
        <w:t>ليتّضح لك الحال</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3322630_2870459653"/>
      <w:bookmarkStart w:id="160" w:name="_Toc53"/>
      <w:bookmarkEnd w:id="159"/>
      <w:r>
        <w:rPr>
          <w:rtl w:val="true"/>
        </w:rPr>
        <w:t>[</w:t>
      </w:r>
      <w:r>
        <w:rPr>
          <w:rtl w:val="true"/>
        </w:rPr>
        <w:t>المعفو عنه من النجاسات</w:t>
      </w:r>
      <w:r>
        <w:rPr>
          <w:rtl w:val="true"/>
        </w:rPr>
        <w:t xml:space="preserve">: </w:t>
      </w:r>
      <w:r>
        <w:rPr>
          <w:rtl w:val="true"/>
        </w:rPr>
        <w:t>الدم</w:t>
      </w:r>
      <w:r>
        <w:rPr>
          <w:rtl w:val="true"/>
        </w:rPr>
        <w:t>]</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اللّباس دون ما زاد منه على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زاد عن الخلقة المستوية كالرأس الثاني و الإصبع السادس، في خصوص الصلاة الشاملة للطواف و دخول المساجد و ما أُلحقَ بها مطلقاً، أو مع أمن التلويث، و الدّليل </w:t>
      </w:r>
      <w:r>
        <w:rPr>
          <w:rStyle w:val="FootnoteAnchor"/>
          <w:rtl w:val="true"/>
        </w:rPr>
        <w:footnoteReference w:id="1947"/>
      </w:r>
      <w:r>
        <w:rPr>
          <w:rFonts w:ascii="Amiri" w:hAnsi="Amiri" w:eastAsia="Amiri" w:cs="Amiri"/>
          <w:color w:val="111111"/>
          <w:sz w:val="28"/>
          <w:sz w:val="28"/>
          <w:szCs w:val="28"/>
          <w:rtl w:val="true"/>
          <w:lang w:bidi="ar-SA"/>
        </w:rPr>
        <w:t xml:space="preserve">مخصوص في الصلاة، و عموم المنزلة يقضي بالإلحاق، لكن قضيّة العسر بالأخبار لا تجيء في الملحق إلّا في الطُّواف إذا صدق العسر أو يفوت وقته، فالتعميم في الجواهر </w:t>
      </w:r>
      <w:r>
        <w:rPr>
          <w:rStyle w:val="FootnoteAnchor"/>
          <w:rtl w:val="true"/>
        </w:rPr>
        <w:footnoteReference w:id="1948"/>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فالعفو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 الجرح و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العرفيين من غير خلاف يُعْرَف، و قيّد العفو هنا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السّيلان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ترقأ،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لا يَسع زمن فواته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ملحق بدائم الجريان، و بالفوات أراد الانقطاع، و الظاهر أنّ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w:t>
      </w:r>
      <w:r>
        <w:rPr>
          <w:rStyle w:val="FootnoteAnchor"/>
          <w:rtl w:val="true"/>
        </w:rPr>
        <w:footnoteReference w:id="1949"/>
      </w:r>
      <w:r>
        <w:rPr>
          <w:rFonts w:ascii="Amiri" w:hAnsi="Amiri" w:eastAsia="Amiri" w:cs="Amiri"/>
          <w:color w:val="111111"/>
          <w:sz w:val="28"/>
          <w:sz w:val="28"/>
          <w:szCs w:val="28"/>
          <w:rtl w:val="true"/>
          <w:lang w:bidi="ar-SA"/>
        </w:rPr>
        <w:t>و غيّرتها النسّاخ لمشابهة الكتابة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وقت </w:t>
      </w:r>
      <w:r>
        <w:rPr>
          <w:rStyle w:val="FootnoteAnchor"/>
          <w:rtl w:val="true"/>
        </w:rPr>
        <w:footnoteReference w:id="1950"/>
      </w:r>
      <w:r>
        <w:rPr>
          <w:rFonts w:ascii="Amiri" w:hAnsi="Amiri" w:eastAsia="Amiri" w:cs="Amiri"/>
          <w:color w:val="111111"/>
          <w:sz w:val="28"/>
          <w:sz w:val="28"/>
          <w:szCs w:val="28"/>
          <w:rtl w:val="true"/>
          <w:lang w:bidi="ar-SA"/>
        </w:rPr>
        <w:t>يسعها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غير أذان أو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استقرب </w:t>
      </w:r>
    </w:p>
    <w:p>
      <w:pPr>
        <w:pStyle w:val="BookText"/>
        <w:rPr/>
      </w:pPr>
      <w:r>
        <w:rPr>
          <w:rFonts w:ascii="Amiri" w:hAnsi="Amiri" w:eastAsia="Amiri" w:cs="Amiri"/>
          <w:color w:val="111111"/>
          <w:sz w:val="28"/>
          <w:sz w:val="28"/>
          <w:szCs w:val="28"/>
          <w:rtl w:val="true"/>
          <w:lang w:bidi="ar-SA"/>
        </w:rPr>
        <w:t>المصنّف رحمه الله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للمعتبر </w:t>
      </w:r>
      <w:r>
        <w:rPr>
          <w:rStyle w:val="FootnoteAnchor"/>
          <w:rtl w:val="true"/>
        </w:rPr>
        <w:footnoteReference w:id="1951"/>
      </w:r>
      <w:r>
        <w:rPr>
          <w:rFonts w:ascii="Amiri" w:hAnsi="Amiri" w:eastAsia="Amiri" w:cs="Amiri"/>
          <w:color w:val="111111"/>
          <w:sz w:val="28"/>
          <w:sz w:val="28"/>
          <w:szCs w:val="28"/>
          <w:rtl w:val="true"/>
          <w:lang w:bidi="ar-SA"/>
        </w:rPr>
        <w:t xml:space="preserve">و الفاضل في الإرشاد على ما في الروض </w:t>
      </w:r>
      <w:r>
        <w:rPr>
          <w:rStyle w:val="FootnoteAnchor"/>
          <w:rtl w:val="true"/>
        </w:rPr>
        <w:footnoteReference w:id="1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الإزالة لانتفاء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تعاقب هذا الدّم بفترة تسع الصلاة فالأقرب إزالته و الصلاة؛ لزوال الضرورة، و يظهر من الرّواية عدمه </w:t>
      </w:r>
      <w:r>
        <w:rPr>
          <w:rStyle w:val="FootnoteAnchor"/>
          <w:rtl w:val="true"/>
        </w:rPr>
        <w:footnoteReference w:id="19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أغسل ثوبي حتّى يبرأ</w:t>
      </w:r>
      <w:r>
        <w:rPr>
          <w:rFonts w:eastAsia="IRNazanin" w:cs="IRNazanin"/>
          <w:color w:val="111111"/>
          <w:sz w:val="28"/>
          <w:szCs w:val="28"/>
          <w:rtl w:val="true"/>
          <w:lang w:bidi="fa-IR"/>
        </w:rPr>
        <w:t xml:space="preserve">» </w:t>
      </w:r>
      <w:r>
        <w:rPr>
          <w:rStyle w:val="FootnoteAnchor"/>
          <w:rtl w:val="true"/>
        </w:rPr>
        <w:footnoteReference w:id="1954"/>
      </w:r>
      <w:r>
        <w:rPr>
          <w:rFonts w:ascii="Amiri" w:hAnsi="Amiri" w:eastAsia="Amiri" w:cs="Amiri"/>
          <w:color w:val="111111"/>
          <w:sz w:val="28"/>
          <w:sz w:val="28"/>
          <w:szCs w:val="28"/>
          <w:rtl w:val="true"/>
          <w:lang w:bidi="ar-SA"/>
        </w:rPr>
        <w:t xml:space="preserve">، الشامل بإطلاقه للفترات الحاصلة في الأثناء قبل البرء، و قبلهما الحلّي </w:t>
      </w:r>
      <w:r>
        <w:rPr>
          <w:rStyle w:val="FootnoteAnchor"/>
          <w:rtl w:val="true"/>
        </w:rPr>
        <w:footnoteReference w:id="1955"/>
      </w:r>
      <w:r>
        <w:rPr>
          <w:rFonts w:ascii="Amiri" w:hAnsi="Amiri" w:eastAsia="Amiri" w:cs="Amiri"/>
          <w:color w:val="111111"/>
          <w:sz w:val="28"/>
          <w:sz w:val="28"/>
          <w:szCs w:val="28"/>
          <w:rtl w:val="true"/>
          <w:lang w:bidi="ar-SA"/>
        </w:rPr>
        <w:t>لشرطه عدم وقوف سيلانه في وقت من الأوقات في العفو، و نسبه مَن تأخّر إلى الأكثر،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كلامهم يُعطي لزوم الاستمرار على وجه لا يتيسّر الصلاة بدون الدّم </w:t>
      </w:r>
      <w:r>
        <w:rPr>
          <w:rStyle w:val="FootnoteAnchor"/>
          <w:rtl w:val="true"/>
        </w:rPr>
        <w:footnoteReference w:id="195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بأنوار فقاهة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رمسه</w:t>
      </w:r>
      <w:r>
        <w:rPr>
          <w:rFonts w:eastAsia="Amiri" w:cs="Amiri" w:ascii="Amiri" w:hAnsi="Amiri"/>
          <w:color w:val="111111"/>
          <w:sz w:val="28"/>
          <w:szCs w:val="28"/>
          <w:rtl w:val="true"/>
          <w:lang w:bidi="ar-SA"/>
        </w:rPr>
        <w:t xml:space="preserve">) </w:t>
      </w: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تحصيلاً، و حكمَ بأنّه الذي يتيقّن خروجه من عموم منع الصلاة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يجب انتظار زمن الفترة و إعادة الصلاة لو صلّى قبلها، و لو لم تَسَع الفترة إلَّا ركعة في الوقت ففي انتظارها و الصلاة قبلها على هذا القول وجهان، أقربهما العدم و أوفقهما بالأدلّة الوجوب و الصحّة؛ إذ وقوع بعض الركعات خارج الوقت المحكوم بصحّتها أَولى من الصلاة في النّجس المقصور عفوه على عدم الفترات، و يجري ذلك في المسلوس و المبطون و كأنّهم لا يلتزمونه فيما أظنّ، و سيجيء بيانه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في غير متيقّن الخروج و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الباب </w:t>
      </w:r>
      <w:r>
        <w:rPr>
          <w:rStyle w:val="FootnoteAnchor"/>
          <w:rtl w:val="true"/>
        </w:rPr>
        <w:footnoteReference w:id="1958"/>
      </w:r>
      <w:r>
        <w:rPr>
          <w:rFonts w:ascii="Amiri" w:hAnsi="Amiri" w:eastAsia="Amiri" w:cs="Amiri"/>
          <w:color w:val="111111"/>
          <w:sz w:val="28"/>
          <w:sz w:val="28"/>
          <w:szCs w:val="28"/>
          <w:rtl w:val="true"/>
          <w:lang w:bidi="ar-SA"/>
        </w:rPr>
        <w:t xml:space="preserve">و كلمات الأصحاب مجموعاً تقضي بتقييد العفو إمّا بدوام الإدماء، أو مشقّة الإزالة حتّى كان </w:t>
      </w:r>
    </w:p>
    <w:p>
      <w:pPr>
        <w:pStyle w:val="BookText"/>
        <w:rPr/>
      </w:pPr>
      <w:r>
        <w:rPr>
          <w:rFonts w:ascii="Amiri" w:hAnsi="Amiri" w:eastAsia="Amiri" w:cs="Amiri"/>
          <w:color w:val="111111"/>
          <w:sz w:val="28"/>
          <w:sz w:val="28"/>
          <w:szCs w:val="28"/>
          <w:rtl w:val="true"/>
          <w:lang w:bidi="ar-SA"/>
        </w:rPr>
        <w:t xml:space="preserve">اعتبار المشقة قولاً في المسألة للفاضل </w:t>
      </w:r>
      <w:r>
        <w:rPr>
          <w:rStyle w:val="FootnoteAnchor"/>
          <w:rtl w:val="true"/>
        </w:rPr>
        <w:footnoteReference w:id="1959"/>
      </w:r>
      <w:r>
        <w:rPr>
          <w:rFonts w:ascii="Amiri" w:hAnsi="Amiri" w:eastAsia="Amiri" w:cs="Amiri"/>
          <w:color w:val="111111"/>
          <w:sz w:val="28"/>
          <w:sz w:val="28"/>
          <w:szCs w:val="28"/>
          <w:rtl w:val="true"/>
          <w:lang w:bidi="ar-SA"/>
        </w:rPr>
        <w:t xml:space="preserve">و غيره </w:t>
      </w:r>
      <w:r>
        <w:rPr>
          <w:rStyle w:val="FootnoteAnchor"/>
          <w:rtl w:val="true"/>
        </w:rPr>
        <w:footnoteReference w:id="1960"/>
      </w:r>
      <w:r>
        <w:rPr>
          <w:rFonts w:ascii="Amiri" w:hAnsi="Amiri" w:eastAsia="Amiri" w:cs="Amiri"/>
          <w:color w:val="111111"/>
          <w:sz w:val="28"/>
          <w:sz w:val="28"/>
          <w:szCs w:val="28"/>
          <w:rtl w:val="true"/>
          <w:lang w:bidi="ar-SA"/>
        </w:rPr>
        <w:t xml:space="preserve">، و في الجواهر </w:t>
      </w:r>
      <w:r>
        <w:rPr>
          <w:rStyle w:val="FootnoteAnchor"/>
          <w:rtl w:val="true"/>
        </w:rPr>
        <w:footnoteReference w:id="1961"/>
      </w:r>
      <w:r>
        <w:rPr>
          <w:rFonts w:ascii="Amiri" w:hAnsi="Amiri" w:eastAsia="Amiri" w:cs="Amiri"/>
          <w:color w:val="111111"/>
          <w:sz w:val="28"/>
          <w:sz w:val="28"/>
          <w:szCs w:val="28"/>
          <w:rtl w:val="true"/>
          <w:lang w:bidi="ar-SA"/>
        </w:rPr>
        <w:t>نسبته إلى ظاهر الشارح أو صريحه في الرّوض، مع أنّه لا عين و لا أثر، بل صريحه اختيار ما عليه هنا، فإنّه بعد أن استظهر عموم خبر أبي بصير و أنّ العفو إلى البرء نسبه إلى المحقّق الثاني و أَسندَ إليه حمل عبارة الفاضل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مختاره حسن دون تفسيره؛ لأنّ ذلك ليس مذهباً للمصنّف </w:t>
      </w:r>
      <w:r>
        <w:rPr>
          <w:rStyle w:val="FootnoteAnchor"/>
          <w:rtl w:val="true"/>
        </w:rPr>
        <w:footnoteReference w:id="1962"/>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ردّه في غير موقعه؛ لاختلاف مذاهب العلّامة في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هنا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يستفاد من الأخبار عدم الوجوب مطلقاً حتّى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حصلت الفترة و أمكنت الإزالة بلا مشقّة أو أمكن إبدال الثوب أو أمكن غسله مرّة أو كان ذلك بفعل المكلّف نفسه، أو بفعل غيره اختياراً أو اضطراراً، باطناً كان الجرح حتّى البواسير و قرحة الرئة و ذات الجنب و غيرها، أو ظاهراً فيدخل الكَي و غيره، تيسّر تخفيفه أم غسل ما فوق الدّرهم منه أم لا، خالطه غيره من عرق و شبهه أم لا، أمكَن علاجه و برؤه أم لا، خَشي الضّرر من إزالته أم لا، أمكن منع خروجه أم لا، تجاوز عن محلّه إلى آخر أم لا، فإنّ ظاهره أنّ عدم العفو عدم البرء فيدور الحكم مداره،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اعتماداً على إطلاق النّصوص، ولكن الظنّ القوي بعدم الأخذ بهذا الإطلاق، و خروج بعضها عنه مع حصول بعضها عارٍ عن الدّليل فلا محيص إلّا الرجوع للقَدر المتيقّن في العفو، و اختلاف الأصحاب من أعظم الشواهد على اختلال هذا الإطلاق، بل لا تكاد عبارة تَسْلَم من قيد في الحكم، فإذا قطعنا باختلاله و اشتبه الفرد الخارج حكَّمنا الأُصول فيه، و مقتضاها القول بالنجاسة في غير دائم السيلان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عسى أنّ المصنّف رحمه الله أطلق الحكم في غير الذكرى </w:t>
      </w:r>
      <w:r>
        <w:rPr>
          <w:rStyle w:val="FootnoteAnchor"/>
          <w:rtl w:val="true"/>
        </w:rPr>
        <w:footnoteReference w:id="1963"/>
      </w:r>
      <w:r>
        <w:rPr>
          <w:rFonts w:ascii="Amiri" w:hAnsi="Amiri" w:eastAsia="Amiri" w:cs="Amiri"/>
          <w:color w:val="111111"/>
          <w:sz w:val="28"/>
          <w:sz w:val="28"/>
          <w:szCs w:val="28"/>
          <w:rtl w:val="true"/>
          <w:lang w:bidi="ar-SA"/>
        </w:rPr>
        <w:t xml:space="preserve">اتكالاً على وضوح الأمر لا عدولاً منه فيها كما نسب إليه التفصيل، كما أنّ هذا الحكم لا ينافي اعتبار المشقّة؛ للملازمة </w:t>
      </w:r>
    </w:p>
    <w:p>
      <w:pPr>
        <w:pStyle w:val="BookText"/>
        <w:rPr/>
      </w:pPr>
      <w:r>
        <w:rPr>
          <w:rFonts w:ascii="IRNazanin" w:hAnsi="IRNazanin" w:eastAsia="IRNazanin"/>
          <w:color w:val="111111"/>
          <w:sz w:val="28"/>
          <w:sz w:val="28"/>
          <w:szCs w:val="28"/>
          <w:rtl w:val="true"/>
          <w:lang w:bidi="fa-IR"/>
        </w:rPr>
        <w:t>بينهما مع فرض عدم الانقطاع، و أمّا حال الفترة فقد فهم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الضّرر، أنّ معه و إن وسعت فتراته الصلاة، لا يجب الإزالة، و لا بدّ من الرجوع في المشقّة إلى المرتبة التي سوّغ الشارع مخالفة الأمر لأجلها في غير المقام، أخذاً بالمتيقّن من معناها، و أخبار المسألة ككلمات الأصحاب لا تأبى الحمل على المختار، ففي مضمرة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و لا يغسل ثوبه كلّ يوم إِلَّا مَرّة، فإنّه لا يستطيع أن يغسل ثوبه كلّ ساعة</w:t>
      </w:r>
      <w:r>
        <w:rPr>
          <w:rFonts w:eastAsia="IRNazanin" w:cs="IRNazanin"/>
          <w:color w:val="111111"/>
          <w:sz w:val="28"/>
          <w:szCs w:val="28"/>
          <w:rtl w:val="true"/>
          <w:lang w:bidi="fa-IR"/>
        </w:rPr>
        <w:t xml:space="preserve">»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و لا يغسل ثوبه في اليوم أكثر من مرّة</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 تعليل الموثّقة و مفهوم قيد المضمرة </w:t>
      </w:r>
      <w:r>
        <w:rPr>
          <w:rStyle w:val="FootnoteAnchor"/>
          <w:rtl w:val="true"/>
        </w:rPr>
        <w:footnoteReference w:id="1966"/>
      </w:r>
      <w:r>
        <w:rPr>
          <w:rFonts w:ascii="Amiri" w:hAnsi="Amiri" w:eastAsia="Amiri" w:cs="Amiri"/>
          <w:color w:val="111111"/>
          <w:sz w:val="28"/>
          <w:sz w:val="28"/>
          <w:szCs w:val="28"/>
          <w:rtl w:val="true"/>
          <w:lang w:bidi="ar-SA"/>
        </w:rPr>
        <w:t xml:space="preserve">أنّ وجه الاقتصار على المرّة في الغسل هو عدم التيسّر، فلو تيسّر الأكثر ،وجب و هما صريحان؛ لأنّ مفهوم العلة </w:t>
      </w:r>
      <w:r>
        <w:rPr>
          <w:rStyle w:val="FootnoteAnchor"/>
          <w:rtl w:val="true"/>
        </w:rPr>
        <w:footnoteReference w:id="1967"/>
      </w:r>
      <w:r>
        <w:rPr>
          <w:rFonts w:ascii="Amiri" w:hAnsi="Amiri" w:eastAsia="Amiri" w:cs="Amiri"/>
          <w:color w:val="111111"/>
          <w:sz w:val="28"/>
          <w:sz w:val="28"/>
          <w:szCs w:val="28"/>
          <w:rtl w:val="true"/>
          <w:lang w:bidi="ar-SA"/>
        </w:rPr>
        <w:t>أشبه بالشّرط من التوصيف في الثانية، و إذا ثبت سببيّة عدم الانقطاع للعفو كشف ذلك عن عدم تأثير وجود نفس المادّة بأن يسيل أحياناً فيه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يرد أنّ مبنى الاستدلال على اعتبار مفهوم العلّة في الأولى و بهما يخصّص كلّ عام غيرهما، و نحوهما مصحّحة ليث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به الدّماميل و القروح، فجلده و ثيابه مملوّان دماً و قيحاً، و ثيابه بمنزلة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ثيابه، و لا يغسلها، و لا شيء عليه</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 xml:space="preserve">فإنّها ظاهرة في استدامة السّيلان المبالغة الرّاوي، و لأنّ الرّخصة لا بدّ من تحديدها بحَدّ، فكما يحتمل كونه البرء يحتمل أنّه الفترات و لا مرجّح، كموثقة عبد الرحمن </w:t>
      </w:r>
      <w:r>
        <w:rPr>
          <w:rStyle w:val="FootnoteAnchor"/>
          <w:rtl w:val="true"/>
        </w:rPr>
        <w:footnoteReference w:id="1969"/>
      </w:r>
      <w:r>
        <w:rPr>
          <w:rFonts w:ascii="IRNazanin" w:hAnsi="IRNazanin" w:eastAsia="IRNazanin"/>
          <w:color w:val="111111"/>
          <w:sz w:val="28"/>
          <w:sz w:val="28"/>
          <w:szCs w:val="28"/>
          <w:rtl w:val="true"/>
          <w:lang w:bidi="fa-IR"/>
        </w:rPr>
        <w:t>، فإنّها به أظهر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خبر أبي بصير </w:t>
      </w:r>
      <w:r>
        <w:rPr>
          <w:rStyle w:val="FootnoteAnchor"/>
          <w:rtl w:val="true"/>
        </w:rPr>
        <w:footnoteReference w:id="1970"/>
      </w:r>
      <w:r>
        <w:rPr>
          <w:rFonts w:ascii="Amiri" w:hAnsi="Amiri" w:eastAsia="Amiri" w:cs="Amiri"/>
          <w:color w:val="111111"/>
          <w:sz w:val="28"/>
          <w:sz w:val="28"/>
          <w:szCs w:val="28"/>
          <w:rtl w:val="true"/>
          <w:lang w:bidi="ar-SA"/>
        </w:rPr>
        <w:t xml:space="preserve">، و الجُعفي </w:t>
      </w:r>
      <w:r>
        <w:rPr>
          <w:rStyle w:val="FootnoteAnchor"/>
          <w:rtl w:val="true"/>
        </w:rPr>
        <w:footnoteReference w:id="1971"/>
      </w:r>
      <w:r>
        <w:rPr>
          <w:rFonts w:ascii="IRNazanin" w:hAnsi="IRNazanin" w:eastAsia="IRNazanin"/>
          <w:color w:val="111111"/>
          <w:sz w:val="28"/>
          <w:sz w:val="28"/>
          <w:szCs w:val="28"/>
          <w:rtl w:val="true"/>
          <w:lang w:bidi="fa-IR"/>
        </w:rPr>
        <w:t>في رؤية الدّم بثوب الإمام و على ساقه و هو يُصلّي، فهما إن تّمت دلالتهما فلا دخل لدم الإمام علیه السلام بدم غيره كما نبهنا عليه، بل فيهما دلالة واضحة على الطّهارة دون العفو،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أعمّ من كونه نجساً، بل من حيث قذارته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ينكر دلالة موثّقة عمّار </w:t>
      </w:r>
      <w:r>
        <w:rPr>
          <w:rStyle w:val="FootnoteAnchor"/>
          <w:rtl w:val="true"/>
        </w:rPr>
        <w:footnoteReference w:id="1972"/>
      </w:r>
      <w:r>
        <w:rPr>
          <w:rFonts w:ascii="IRNazanin" w:hAnsi="IRNazanin" w:eastAsia="IRNazanin"/>
          <w:color w:val="111111"/>
          <w:sz w:val="28"/>
          <w:sz w:val="28"/>
          <w:szCs w:val="28"/>
          <w:rtl w:val="true"/>
          <w:lang w:bidi="fa-IR"/>
        </w:rPr>
        <w:t>لترك الاستفصال فيها، لكن حيث إنّ القائلين بالعفو إلى أن يرقأ ظاهرهم عدمه في ما تعدّى إلى غير موضعه بفعل المصلّي أو غيره لا بنفسه، فلا بدّ من حمل الخارج على القيح دون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تمسحه و تمسح يدك بالحائط أو الأرض</w:t>
      </w:r>
      <w:r>
        <w:rPr>
          <w:rFonts w:eastAsia="IRNazanin" w:cs="IRNazanin"/>
          <w:color w:val="111111"/>
          <w:sz w:val="28"/>
          <w:szCs w:val="28"/>
          <w:rtl w:val="true"/>
          <w:lang w:bidi="fa-IR"/>
        </w:rPr>
        <w:t xml:space="preserve">» </w:t>
      </w:r>
      <w:r>
        <w:rPr>
          <w:rStyle w:val="FootnoteAnchor"/>
          <w:rtl w:val="true"/>
        </w:rPr>
        <w:footnoteReference w:id="1973"/>
      </w:r>
      <w:r>
        <w:rPr>
          <w:rFonts w:ascii="Amiri" w:hAnsi="Amiri" w:eastAsia="Amiri" w:cs="Amiri"/>
          <w:color w:val="111111"/>
          <w:sz w:val="28"/>
          <w:sz w:val="28"/>
          <w:szCs w:val="28"/>
          <w:rtl w:val="true"/>
          <w:lang w:bidi="ar-SA"/>
        </w:rPr>
        <w:t>، للاستحباب لا أقلّ من تخصيصها بها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و إن ظهر بعضها بدوران الأمر مَدار المشقّة التي هي أوسع دائرة ممّا اخترناه، إلَّا أنّك بعدما عرفت من قصر المشقّة في الجملة و تعميم دائرتنا في الجملة يكونان بمعنى و لا تبقى علينا مؤاخذة من صحّة لغوية العفو عن هذين الدّمين؛ لسريان هذا الحكم في كلّ نجاسة، فإنّ ما يعسر إزالته لا يحكم الشارع بوجوبها، فلا فضل للمقام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فضله من جهة عدم تبديل الثوب منهما، و عدم وجوب التحفّظ عن سراية النجاسة منهما مهما أمكن كما في المسلوس و المبطون و المستحاضة، و لا يحرم مباشرتهما بجزء خارج عن البدن عن محلّهما، و لا تجب الصلاة عارياً إذا تلوّث الثوب بدمهما إذا كان منفرداً، أو غير ذلك، و مع ذلك فكان الأُستاذ رحمه الله يرى ظهور الأخبار في عدم اعتبار ما اعتبرناه، و كأنّه يميل إلى عدم وجوب الإزالة إذا حصلت المشقّة الشخصيّة، و الوجوب إذا انتفت، و لا بُعد في رجوع كلماته إلى ما قلنا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اخترنا، لا يعفى عن الثوب مع إمكان غسله أو تبديله زمن الفترة و إزالة ما على البدن، و لا كذلك لو لم تحصل، و لو دار الأمر بين غسل الثوب أو البدن في الفترة غسل </w:t>
      </w:r>
    </w:p>
    <w:p>
      <w:pPr>
        <w:pStyle w:val="BookText"/>
        <w:rPr/>
      </w:pPr>
      <w:r>
        <w:rPr>
          <w:rFonts w:ascii="Amiri" w:hAnsi="Amiri" w:eastAsia="Amiri" w:cs="Amiri"/>
          <w:color w:val="111111"/>
          <w:sz w:val="28"/>
          <w:sz w:val="28"/>
          <w:szCs w:val="28"/>
          <w:rtl w:val="true"/>
          <w:lang w:bidi="ar-SA"/>
        </w:rPr>
        <w:t>الثوب و صلّى؛ للأمر به، و لأنّ العفو في البدن أولى، كما أنّه لو توقّفت الطهارة على الرّبط و التعصيب وجب فلا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القرحة التي لا يستطيع ربطها و حبس دمها</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 xml:space="preserve">، من الشواهد، و يحمل منقول الإجماع </w:t>
      </w:r>
      <w:r>
        <w:rPr>
          <w:rStyle w:val="FootnoteAnchor"/>
          <w:rtl w:val="true"/>
        </w:rPr>
        <w:footnoteReference w:id="1975"/>
      </w:r>
      <w:r>
        <w:rPr>
          <w:rFonts w:ascii="Amiri" w:hAnsi="Amiri" w:eastAsia="Amiri" w:cs="Amiri"/>
          <w:color w:val="111111"/>
          <w:sz w:val="28"/>
          <w:sz w:val="28"/>
          <w:szCs w:val="28"/>
          <w:rtl w:val="true"/>
          <w:lang w:bidi="ar-SA"/>
        </w:rPr>
        <w:t xml:space="preserve">على عدم وجوب التعصيب في حال الضرورة لا مطلقاً، لوجود المخالف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جماعة </w:t>
      </w:r>
      <w:r>
        <w:rPr>
          <w:rStyle w:val="FootnoteAnchor"/>
          <w:rtl w:val="true"/>
        </w:rPr>
        <w:footnoteReference w:id="1977"/>
      </w:r>
      <w:r>
        <w:rPr>
          <w:rFonts w:ascii="Amiri" w:hAnsi="Amiri" w:eastAsia="Amiri" w:cs="Amiri"/>
          <w:color w:val="111111"/>
          <w:sz w:val="28"/>
          <w:sz w:val="28"/>
          <w:szCs w:val="28"/>
          <w:rtl w:val="true"/>
          <w:lang w:bidi="ar-SA"/>
        </w:rPr>
        <w:t>وجوب تبديل الثوب مع عدم نقاء البدن، و مرجعه إلى لزوم تخفيف النّجاسة، و لا قاطع به، و لجعلهم هذا الدّم في موضع العفو كالعدم حتّى ألحقوه بالدّم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عدم الإبدال في عدم الضّرورة و فترات السّيلان و إزالته عن البدن لا وجه له، و عليه يحمل كلام من </w:t>
      </w:r>
      <w:r>
        <w:rPr>
          <w:rStyle w:val="FootnoteAnchor"/>
          <w:rtl w:val="true"/>
        </w:rPr>
        <w:footnoteReference w:id="1978"/>
      </w:r>
      <w:r>
        <w:rPr>
          <w:rFonts w:ascii="IRNazanin" w:hAnsi="IRNazanin" w:eastAsia="IRNazanin"/>
          <w:color w:val="111111"/>
          <w:sz w:val="28"/>
          <w:sz w:val="28"/>
          <w:szCs w:val="28"/>
          <w:rtl w:val="true"/>
          <w:lang w:bidi="fa-IR"/>
        </w:rPr>
        <w:t>أطلق وجوب الغسل أو الإبدال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يشكل فيما لو انفصل هذا الدّم عن موضعه إلى الأرض مثلاً ثمّ تعلّق بالثوب و لم ينقَ البدن، و الظاهر أنّ حكمه حكم النجاسة الخارجة من دون فرق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الدّم لو لاقى مائعاً غير ما خرج معه من الصديد نجّسه قطعاً، فيلغى وجوده، و يجري على الثوب و البدن حكم النجاسة الثانية، فيتبعّض العفو فيهما حتّى لو كان الوارد من دم جروح الغير و قروحه، و يثبت العفو لو وضع يده الطاهرة عليه أيضاً، و إن لم يستحسنه الأستاد </w:t>
      </w:r>
      <w:r>
        <w:rPr>
          <w:rStyle w:val="FootnoteAnchor"/>
          <w:rtl w:val="true"/>
        </w:rPr>
        <w:footnoteReference w:id="1979"/>
      </w:r>
      <w:r>
        <w:rPr>
          <w:rFonts w:ascii="Amiri" w:hAnsi="Amiri" w:eastAsia="Amiri" w:cs="Amiri"/>
          <w:color w:val="111111"/>
          <w:sz w:val="28"/>
          <w:sz w:val="28"/>
          <w:szCs w:val="28"/>
          <w:rtl w:val="true"/>
          <w:lang w:bidi="ar-SA"/>
        </w:rPr>
        <w:t>للظهور الذي ذكرناه، لكن حيث ثبت الفرق بينه و بين غيره الأحسن إلحاقه بالطاهر بشرطه مطلقاً؛ لتنجم ثمرة العفو فيه، و الله العالم</w:t>
      </w:r>
      <w:r>
        <w:rPr>
          <w:rFonts w:eastAsia="Amiri" w:cs="Amiri" w:ascii="Amiri" w:hAnsi="Amiri"/>
          <w:color w:val="111111"/>
          <w:sz w:val="28"/>
          <w:szCs w:val="28"/>
          <w:rtl w:val="true"/>
          <w:lang w:bidi="ar-SA"/>
        </w:rPr>
        <w:t xml:space="preserve">. </w:t>
      </w:r>
      <w:bookmarkStart w:id="161" w:name="pg9146_86217"/>
    </w:p>
    <w:p>
      <w:pPr>
        <w:pStyle w:val="Heading2"/>
        <w:numPr>
          <w:ilvl w:val="1"/>
          <w:numId w:val="1"/>
        </w:numPr>
        <w:rPr/>
      </w:pPr>
      <w:bookmarkStart w:id="162" w:name="__RefHeading___Toc3322632_2870459653"/>
      <w:bookmarkStart w:id="163" w:name="_Toc54"/>
      <w:bookmarkEnd w:id="161"/>
      <w:bookmarkEnd w:id="162"/>
      <w:r>
        <w:rPr>
          <w:rtl w:val="true"/>
        </w:rPr>
        <w:t>[</w:t>
      </w:r>
      <w:r>
        <w:rPr>
          <w:rtl w:val="true"/>
        </w:rPr>
        <w:t>مقدار الدم المعفو عنه</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الدّرهم البغَّلي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الغين و التشديد، و بروضه </w:t>
      </w:r>
      <w:r>
        <w:rPr>
          <w:rStyle w:val="FootnoteAnchor"/>
          <w:rtl w:val="true"/>
        </w:rPr>
        <w:footnoteReference w:id="1980"/>
      </w:r>
      <w:r>
        <w:rPr>
          <w:rFonts w:ascii="Amiri" w:hAnsi="Amiri" w:eastAsia="Amiri" w:cs="Amiri"/>
          <w:color w:val="111111"/>
          <w:sz w:val="28"/>
          <w:sz w:val="28"/>
          <w:szCs w:val="28"/>
          <w:rtl w:val="true"/>
          <w:lang w:bidi="ar-SA"/>
        </w:rPr>
        <w:t xml:space="preserve">إسكان الغين و تخفيف اللّام أشهر أو الوافي كما في كلام غيره </w:t>
      </w:r>
      <w:r>
        <w:rPr>
          <w:rStyle w:val="FootnoteAnchor"/>
          <w:rtl w:val="true"/>
        </w:rPr>
        <w:footnoteReference w:id="1981"/>
      </w:r>
      <w:r>
        <w:rPr>
          <w:rFonts w:ascii="Amiri" w:hAnsi="Amiri" w:eastAsia="Amiri" w:cs="Amiri"/>
          <w:color w:val="111111"/>
          <w:sz w:val="28"/>
          <w:sz w:val="28"/>
          <w:szCs w:val="28"/>
          <w:rtl w:val="true"/>
          <w:lang w:bidi="ar-SA"/>
        </w:rPr>
        <w:t xml:space="preserve">، و الظاهر عدم اختلافهما، و أنّ وزنهما ثمانية دوانيق، و شرط العفو أن يكون المسفوح أنقص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وَزْناً و إن تفاقم بالثخن،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بسعة أخمص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المنخفض منها الذي لا يصل إلى الأرض إذا وضعت عليها في قول الحلّي </w:t>
      </w:r>
      <w:r>
        <w:rPr>
          <w:rStyle w:val="FootnoteAnchor"/>
          <w:rtl w:val="true"/>
        </w:rPr>
        <w:footnoteReference w:id="19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قدّرها ابن الجُنيد </w:t>
      </w:r>
      <w:r>
        <w:rPr>
          <w:rStyle w:val="FootnoteAnchor"/>
          <w:rtl w:val="true"/>
        </w:rPr>
        <w:footnoteReference w:id="1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 الإبهام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بالروض هو قريب من أخمص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 أو الوسطى، نقل الثاني في شرحي الألفيّة و الإرشاد </w:t>
      </w:r>
      <w:r>
        <w:rPr>
          <w:rStyle w:val="FootnoteAnchor"/>
          <w:rtl w:val="true"/>
        </w:rPr>
        <w:footnoteReference w:id="1984"/>
      </w:r>
      <w:r>
        <w:rPr>
          <w:rFonts w:ascii="IRNazanin" w:hAnsi="IRNazanin" w:eastAsia="IRNazanin"/>
          <w:color w:val="111111"/>
          <w:sz w:val="28"/>
          <w:sz w:val="28"/>
          <w:szCs w:val="28"/>
          <w:rtl w:val="true"/>
          <w:lang w:bidi="fa-IR"/>
        </w:rPr>
        <w:t xml:space="preserve">، و لم أعرف قائلها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العماني أنّه بسعة الدينار </w:t>
      </w:r>
      <w:r>
        <w:rPr>
          <w:rStyle w:val="FootnoteAnchor"/>
          <w:rtl w:val="true"/>
        </w:rPr>
        <w:footnoteReference w:id="19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تقادير وزنه؛ لإمكان اختلافه بحسب الزّمان و المكان كما هو المُشاهَد الآن في القرآن العجميّة، مع لغويّة اعتبار الوزن هنا، حيث لا يناط به الحكم؛ لظهور اتّفاق الأصحاب على إرادة السِّعة خاصّة، و لا بين تقادير السِّعة عنده هنا و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مثل هذا الاختلاف يتّفق في الدراهم بضرب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و اختبار كلّ واحد من فرد رآه بروضه، و على الأوّل يُبنى الحكم؛ لأنه المشهور، و لأنّ الباقي لا تزيد عليه، و لشهادة الحلّي رحمه الله </w:t>
      </w:r>
      <w:r>
        <w:rPr>
          <w:rStyle w:val="FootnoteAnchor"/>
          <w:rtl w:val="true"/>
        </w:rPr>
        <w:footnoteReference w:id="1986"/>
      </w:r>
      <w:r>
        <w:rPr>
          <w:rFonts w:ascii="Amiri" w:hAnsi="Amiri" w:eastAsia="Amiri" w:cs="Amiri"/>
          <w:color w:val="111111"/>
          <w:sz w:val="28"/>
          <w:sz w:val="28"/>
          <w:szCs w:val="28"/>
          <w:rtl w:val="true"/>
          <w:lang w:bidi="ar-SA"/>
        </w:rPr>
        <w:t>بوقوفه عليه بهذا المقدار، فيحصل منها الاطمئنان الملحق بالعلم أو ترجع إلى مقدّمات استنباط الحكم الشرعي، فتلحق بالرواية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لأجله أطلقنا عليها الشهادة المقصورة على المتعدِّد، و لا يعارضها إخبار غيره بدون مقداره من القدماء و غيرهم؛ لأنه أقرب إلى الرواية، و هو يقينيّ الدراية؛ و لذا أطلق ثاني </w:t>
      </w:r>
    </w:p>
    <w:p>
      <w:pPr>
        <w:pStyle w:val="BookText"/>
        <w:rPr/>
      </w:pPr>
      <w:r>
        <w:rPr>
          <w:rFonts w:ascii="Amiri" w:hAnsi="Amiri" w:eastAsia="Amiri" w:cs="Amiri"/>
          <w:color w:val="111111"/>
          <w:sz w:val="28"/>
          <w:sz w:val="28"/>
          <w:szCs w:val="28"/>
          <w:rtl w:val="true"/>
          <w:lang w:bidi="ar-SA"/>
        </w:rPr>
        <w:t xml:space="preserve">المحقّقين </w:t>
      </w:r>
      <w:r>
        <w:rPr>
          <w:rStyle w:val="FootnoteAnchor"/>
          <w:rtl w:val="true"/>
        </w:rPr>
        <w:footnoteReference w:id="1987"/>
      </w:r>
      <w:r>
        <w:rPr>
          <w:rFonts w:ascii="Amiri" w:hAnsi="Amiri" w:eastAsia="Amiri" w:cs="Amiri"/>
          <w:color w:val="111111"/>
          <w:sz w:val="28"/>
          <w:sz w:val="28"/>
          <w:szCs w:val="28"/>
          <w:rtl w:val="true"/>
          <w:lang w:bidi="ar-SA"/>
        </w:rPr>
        <w:t xml:space="preserve">و الشهيدين </w:t>
      </w:r>
      <w:r>
        <w:rPr>
          <w:rStyle w:val="FootnoteAnchor"/>
          <w:rtl w:val="true"/>
        </w:rPr>
        <w:footnoteReference w:id="1988"/>
      </w:r>
      <w:r>
        <w:rPr>
          <w:rFonts w:ascii="Amiri" w:hAnsi="Amiri" w:eastAsia="Amiri" w:cs="Amiri"/>
          <w:color w:val="111111"/>
          <w:sz w:val="28"/>
          <w:sz w:val="28"/>
          <w:szCs w:val="28"/>
          <w:rtl w:val="true"/>
          <w:lang w:bidi="ar-SA"/>
        </w:rPr>
        <w:t xml:space="preserve">الشهادة على خبره، و لا يلزم منه طرح رواية </w:t>
      </w:r>
      <w:r>
        <w:rPr>
          <w:rStyle w:val="FootnoteAnchor"/>
          <w:rtl w:val="true"/>
        </w:rPr>
        <w:footnoteReference w:id="1989"/>
      </w:r>
      <w:r>
        <w:rPr>
          <w:rFonts w:ascii="IRNazanin" w:hAnsi="IRNazanin" w:eastAsia="IRNazanin"/>
          <w:color w:val="111111"/>
          <w:sz w:val="28"/>
          <w:sz w:val="28"/>
          <w:szCs w:val="28"/>
          <w:rtl w:val="true"/>
          <w:lang w:bidi="fa-IR"/>
        </w:rPr>
        <w:t>الدينار؛ لأنّ سعته أقلّ من ذلك على ما وافق تلك الدّراهم جمعاً، لقوّة أخبارها المنجبرة بشهرة الحکم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بدّ من الاقتصار علی القَدْر المتيقّن عند الشَّك في زيادة الدّم على ذلك المقدار و عدمه، و الرجوع في الزائد إلى أدلّة وجوب إزالة النجاسة أو الدّم، فإنّ الأقلّ هو المتيقّن كما صرِّح به الجدّ </w:t>
      </w:r>
      <w:r>
        <w:rPr>
          <w:rStyle w:val="FootnoteAnchor"/>
          <w:rtl w:val="true"/>
        </w:rPr>
        <w:footnoteReference w:id="1990"/>
      </w:r>
      <w:r>
        <w:rPr>
          <w:rFonts w:ascii="IRNazanin" w:hAnsi="IRNazanin" w:eastAsia="IRNazanin"/>
          <w:color w:val="111111"/>
          <w:sz w:val="28"/>
          <w:sz w:val="28"/>
          <w:szCs w:val="28"/>
          <w:rtl w:val="true"/>
          <w:lang w:bidi="fa-IR"/>
        </w:rPr>
        <w:t xml:space="preserve">و الوالد </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Style w:val="FootnoteAnchor"/>
          <w:rtl w:val="true"/>
        </w:rPr>
        <w:footnoteReference w:id="1992"/>
      </w:r>
      <w:r>
        <w:rPr>
          <w:rFonts w:ascii="Amiri" w:hAnsi="Amiri" w:eastAsia="Amiri" w:cs="Amiri"/>
          <w:color w:val="111111"/>
          <w:sz w:val="28"/>
          <w:sz w:val="28"/>
          <w:szCs w:val="28"/>
          <w:rtl w:val="true"/>
          <w:lang w:bidi="ar-SA"/>
        </w:rPr>
        <w:t>، و هو الموافق للأدلة؛ لدوران الأمر بين الأقلّ و الأكثر، و الأصل فيه و في أمثاله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1993"/>
      </w:r>
      <w:r>
        <w:rPr>
          <w:rFonts w:ascii="Amiri" w:hAnsi="Amiri" w:eastAsia="Amiri" w:cs="Amiri"/>
          <w:color w:val="111111"/>
          <w:sz w:val="28"/>
          <w:sz w:val="28"/>
          <w:szCs w:val="28"/>
          <w:rtl w:val="true"/>
          <w:lang w:bidi="ar-SA"/>
        </w:rPr>
        <w:t>الدغدغة فيه مقيساً له على اشتباه الدّم بين المعفوّ عنه من دم ذي النفس و غيره كالدّماء الثلاثة، فإنّه يحكم بالعفو بعد تعارض الأصلين فيستصحب بقاء طهارة الثوب، و هو أغرب شيء؛ للفرق الواضح بين المقيس و المقيس عليه؛ إذ الخارج هناك نوع واحد حصل الشكّ في مصاديقه، و لا كذلك هنا؛ لعدم العلم بموضوع الخارج من حيث تعدد أفراده كمّا و كيفاً، فلم يعلم خروج أيّ فرد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الخارج الدّرهم المعيّن سعته في الخبر بأحدها جرى فيه ما ذكر، و أينَ هذا من ذاك؟ فلا مَسرَح لأصالة البراءة فيه، لكن لا يحسن ردّه بأنّ الشبهة حكميّة لا موضوعيّة؛ إذ ليس كلّ شبهة حكميّة توجب الاحتياط، و لا كلّ موضوعيّة تقتضي البراءة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الخمر إلَّا العصير 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الفرد المردّد بين الأوّل و الثاني بعد معلوميّة موضوع الثاني يتعارض فيه الأصلان فتجري فيه البراءة، و بين </w:t>
      </w:r>
      <w:bookmarkStart w:id="164" w:name="pg9146_86219"/>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الخمر إلّا الفقاع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نعلم موضوعه؛ لتردّده بين أفراده، فإنْ كان لنا قَدر متيقّن فلا نأخذ به، و يلحق المشكوك أصله في الحرمة و إن كان فقاعاً؛ لأنّ الجهل عرض له من جهة تعدّد موضوعه لا إجمال دخوله في الموضوع، و لأجله اختلط الأمر عليه فقاس مشتبه الموضوع على مشتبه الحكم، فالعفو ثابت في مشتبه المقدار موضوعاً، و أمّا حكماً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أظنّه جعل ما قدّره ابن إدريس </w:t>
      </w:r>
      <w:r>
        <w:rPr>
          <w:rStyle w:val="FootnoteAnchor"/>
          <w:rtl w:val="true"/>
        </w:rPr>
        <w:footnoteReference w:id="1994"/>
      </w:r>
      <w:r>
        <w:rPr>
          <w:rFonts w:ascii="Amiri" w:hAnsi="Amiri" w:eastAsia="Amiri" w:cs="Amiri"/>
          <w:color w:val="111111"/>
          <w:sz w:val="28"/>
          <w:sz w:val="28"/>
          <w:szCs w:val="28"/>
          <w:rtl w:val="true"/>
          <w:lang w:bidi="ar-SA"/>
        </w:rPr>
        <w:t>هو موضوع الدرهم البَغلي، فأجرى العفو في المشكوك فيه بقرينة مثاله، و لا كذلك، فإنّه أحد المقدّر من أفراده، غايته أنّ القدر اليقيني هو مقدر الحلّي، فيلحقه الحكم، و يبقى كلّ فرد غيره مشمول للحكم الأوّلي إلَّا أن يكون الخارج المسمّى بالدرهم مطلقاً، و لا كذلك، و بعد فرض النجاسة في غير درهم الحلّي ممّا يسمّى به كيف يصحّ تعارض الأصلين و يحكم بالبراءة</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3322634_2870459653"/>
      <w:bookmarkStart w:id="166" w:name="_Toc55"/>
      <w:bookmarkEnd w:id="165"/>
      <w:r>
        <w:rPr>
          <w:rtl w:val="true"/>
        </w:rPr>
        <w:t>[</w:t>
      </w:r>
      <w:r>
        <w:rPr>
          <w:rtl w:val="true"/>
        </w:rPr>
        <w:t>عدم استثناء الدماء الثلاثة</w:t>
      </w:r>
      <w:r>
        <w:rPr>
          <w:rtl w:val="true"/>
        </w:rPr>
        <w:t>]</w:t>
      </w:r>
      <w:bookmarkEnd w:id="16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يغتفر هذا المقدار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دون غيره من النجاسات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 أخويه في قول معروف فيها و أشهر في الأوّل، بل لا نعرف مخالفاً فيه إلَّا من المشكّك في الإجماعات </w:t>
      </w:r>
      <w:r>
        <w:rPr>
          <w:rStyle w:val="FootnoteAnchor"/>
          <w:rtl w:val="true"/>
        </w:rPr>
        <w:footnoteReference w:id="1995"/>
      </w:r>
      <w:r>
        <w:rPr>
          <w:rFonts w:ascii="Amiri" w:hAnsi="Amiri" w:eastAsia="Amiri" w:cs="Amiri"/>
          <w:color w:val="111111"/>
          <w:sz w:val="28"/>
          <w:sz w:val="28"/>
          <w:szCs w:val="28"/>
          <w:rtl w:val="true"/>
          <w:lang w:bidi="ar-SA"/>
        </w:rPr>
        <w:t xml:space="preserve">و المدارك </w:t>
      </w:r>
      <w:r>
        <w:rPr>
          <w:rStyle w:val="FootnoteAnchor"/>
          <w:rtl w:val="true"/>
        </w:rPr>
        <w:footnoteReference w:id="1996"/>
      </w:r>
      <w:r>
        <w:rPr>
          <w:rFonts w:ascii="Amiri" w:hAnsi="Amiri" w:eastAsia="Amiri" w:cs="Amiri"/>
          <w:color w:val="111111"/>
          <w:sz w:val="28"/>
          <w:sz w:val="28"/>
          <w:szCs w:val="28"/>
          <w:rtl w:val="true"/>
          <w:lang w:bidi="ar-SA"/>
        </w:rPr>
        <w:t xml:space="preserve">، و ابنا زُهرة </w:t>
      </w:r>
      <w:r>
        <w:rPr>
          <w:rStyle w:val="FootnoteAnchor"/>
          <w:rtl w:val="true"/>
        </w:rPr>
        <w:footnoteReference w:id="1997"/>
      </w:r>
      <w:r>
        <w:rPr>
          <w:rFonts w:ascii="Amiri" w:hAnsi="Amiri" w:eastAsia="Amiri" w:cs="Amiri"/>
          <w:color w:val="111111"/>
          <w:sz w:val="28"/>
          <w:sz w:val="28"/>
          <w:szCs w:val="28"/>
          <w:rtl w:val="true"/>
          <w:lang w:bidi="ar-SA"/>
        </w:rPr>
        <w:t xml:space="preserve">و إدريس </w:t>
      </w:r>
      <w:r>
        <w:rPr>
          <w:rStyle w:val="FootnoteAnchor"/>
          <w:rtl w:val="true"/>
        </w:rPr>
        <w:footnoteReference w:id="1998"/>
      </w:r>
      <w:r>
        <w:rPr>
          <w:rFonts w:ascii="IRNazanin" w:hAnsi="IRNazanin" w:eastAsia="IRNazanin"/>
          <w:color w:val="111111"/>
          <w:sz w:val="28"/>
          <w:sz w:val="28"/>
          <w:szCs w:val="28"/>
          <w:rtl w:val="true"/>
          <w:lang w:bidi="fa-IR"/>
        </w:rPr>
        <w:t>نقلا الإجماع فيه صريحاً، و الأصل فيه قول أبي بصير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تُعاد الصلاة من دم لم تبصره إلَّا </w:t>
      </w:r>
      <w:r>
        <w:rPr>
          <w:rStyle w:val="FootnoteAnchor"/>
          <w:rtl w:val="true"/>
        </w:rPr>
        <w:footnoteReference w:id="1999"/>
      </w:r>
      <w:r>
        <w:rPr>
          <w:rFonts w:ascii="Amiri" w:hAnsi="Amiri" w:eastAsia="Amiri" w:cs="Amiri"/>
          <w:color w:val="111111"/>
          <w:sz w:val="28"/>
          <w:sz w:val="28"/>
          <w:szCs w:val="28"/>
          <w:rtl w:val="true"/>
          <w:lang w:bidi="ar-SA"/>
        </w:rPr>
        <w:t xml:space="preserve">دَم الحيض، فإنّ قليله و كثيره 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رآه و إن </w:t>
      </w:r>
      <w:r>
        <w:rPr>
          <w:rStyle w:val="FootnoteAnchor"/>
          <w:rtl w:val="true"/>
        </w:rPr>
        <w:footnoteReference w:id="2000"/>
      </w:r>
      <w:r>
        <w:rPr>
          <w:rFonts w:ascii="Amiri" w:hAnsi="Amiri" w:eastAsia="Amiri" w:cs="Amiri"/>
          <w:color w:val="111111"/>
          <w:sz w:val="28"/>
          <w:sz w:val="28"/>
          <w:szCs w:val="28"/>
          <w:rtl w:val="true"/>
          <w:lang w:bidi="ar-SA"/>
        </w:rPr>
        <w:t xml:space="preserve">لم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اختلفت رواية الشيخ لها، فرواها موقوفة على أبي بصير في التهذيب </w:t>
      </w:r>
      <w:r>
        <w:rPr>
          <w:rStyle w:val="FootnoteAnchor"/>
          <w:rtl w:val="true"/>
        </w:rPr>
        <w:footnoteReference w:id="2001"/>
      </w:r>
      <w:r>
        <w:rPr>
          <w:rFonts w:ascii="Amiri" w:hAnsi="Amiri" w:eastAsia="Amiri" w:cs="Amiri"/>
          <w:color w:val="111111"/>
          <w:sz w:val="28"/>
          <w:sz w:val="28"/>
          <w:szCs w:val="28"/>
          <w:rtl w:val="true"/>
          <w:lang w:bidi="ar-SA"/>
        </w:rPr>
        <w:t xml:space="preserve">، و عنه عن الصادقين في موضع آخر كالكافي </w:t>
      </w:r>
      <w:r>
        <w:rPr>
          <w:rStyle w:val="FootnoteAnchor"/>
          <w:rtl w:val="true"/>
        </w:rPr>
        <w:footnoteReference w:id="2002"/>
      </w:r>
      <w:r>
        <w:rPr>
          <w:rFonts w:ascii="Amiri" w:hAnsi="Amiri" w:eastAsia="Amiri" w:cs="Amiri"/>
          <w:color w:val="111111"/>
          <w:sz w:val="28"/>
          <w:sz w:val="28"/>
          <w:szCs w:val="28"/>
          <w:rtl w:val="true"/>
          <w:lang w:bidi="ar-SA"/>
        </w:rPr>
        <w:t xml:space="preserve">، و بالأخيرة تسقط المناقشة من حيث كونها موقوفة، و عدم حجّيّة فتوى أبي بصير كسقوط ضعف السّند بأبي سعيد؛ لأنّ المعتبر </w:t>
      </w:r>
      <w:r>
        <w:rPr>
          <w:rStyle w:val="FootnoteAnchor"/>
          <w:rtl w:val="true"/>
        </w:rPr>
        <w:footnoteReference w:id="2003"/>
      </w:r>
      <w:r>
        <w:rPr>
          <w:rFonts w:ascii="IRNazanin" w:hAnsi="IRNazanin" w:eastAsia="IRNazanin"/>
          <w:color w:val="111111"/>
          <w:sz w:val="28"/>
          <w:sz w:val="28"/>
          <w:szCs w:val="28"/>
          <w:rtl w:val="true"/>
          <w:lang w:bidi="fa-IR"/>
        </w:rPr>
        <w:t xml:space="preserve">و المنتهى </w:t>
      </w:r>
      <w:r>
        <w:rPr>
          <w:rStyle w:val="FootnoteAnchor"/>
          <w:rtl w:val="true"/>
        </w:rPr>
        <w:footnoteReference w:id="2004"/>
      </w:r>
      <w:r>
        <w:rPr>
          <w:rFonts w:ascii="Amiri" w:hAnsi="Amiri" w:eastAsia="Amiri" w:cs="Amiri"/>
          <w:color w:val="111111"/>
          <w:sz w:val="28"/>
          <w:sz w:val="28"/>
          <w:szCs w:val="28"/>
          <w:rtl w:val="true"/>
          <w:lang w:bidi="ar-SA"/>
        </w:rPr>
        <w:t>صرّحا بشهرتها و عمل الشيوخ بها، و هذا الجابر يورث الوثوق و الاطمئنان، فلا مناص عن العمل بها، و ليست مثل المجبور الذي لا يورث مثل ذلك جابره، فلا تهافت في كلام الأوّل، فإنّ عدم اعتباره ببعض ما هو هو منجبر كأنّه لخلوه عما ذكرنا، لكن تعليلها يمكن أن يخصّص بما دون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الفرق بين الثوب و البدن من حيث مفهوم القيد، و هو خلاف المفروض، مع معارضتها لما دلّ على العفو مع الجهل بالنجاسة مطلقاً، و كأنهم لم يتعرّضوا لمثل ذلك اعتماداً على الإجماع، فالحكم في دم الحيض لا شبهة فيه، و يلحقه النفاس قطعاً، فإنّه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الاستحاضة فتوقّف في إلحاقها جماعة </w:t>
      </w:r>
      <w:r>
        <w:rPr>
          <w:rStyle w:val="FootnoteAnchor"/>
          <w:rtl w:val="true"/>
        </w:rPr>
        <w:footnoteReference w:id="2005"/>
      </w:r>
      <w:r>
        <w:rPr>
          <w:rFonts w:ascii="Amiri" w:hAnsi="Amiri" w:eastAsia="Amiri" w:cs="Amiri"/>
          <w:color w:val="111111"/>
          <w:sz w:val="28"/>
          <w:sz w:val="28"/>
          <w:szCs w:val="28"/>
          <w:rtl w:val="true"/>
          <w:lang w:bidi="ar-SA"/>
        </w:rPr>
        <w:t xml:space="preserve">جموداً على إطلاق أدلّة العفو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و المراسيل الثلاث لأبناء سنان و عثمان و أبي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على الإنسان أو معه مما لا تجوز الصلاة فيه وحده فلا بأس أن يصلي فيه و إن كان فيه قذر،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القلنسوة و التكة و الكمرة و النعل و الخفين و 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تهذيب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في الخف الذي قد أصابه قذر،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مما لا تتم الصلاة فيه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في الصلاة في الشيء الذي لا تجوز فيه الصلاة وحده يصيبه القذر،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و التكة و 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الرضوي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قلنسوتك أو عمامتك أو التكة أو الجورب أو الخف مني أو بول أو دم أو غائط فلا بأس بالصلاة فيه، و ذلك أن الصلاة لا تتم في شيء من هذه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فقه الإمام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w:t>
      </w:r>
      <w:bookmarkStart w:id="167" w:name="pg9146_86221"/>
    </w:p>
    <w:p>
      <w:pPr>
        <w:pStyle w:val="BookText"/>
        <w:rPr/>
      </w:pPr>
      <w:bookmarkEnd w:id="167"/>
      <w:r>
        <w:rPr>
          <w:rFonts w:ascii="Amiri" w:hAnsi="Amiri" w:eastAsia="Amiri" w:cs="Amiri"/>
          <w:color w:val="111111"/>
          <w:sz w:val="28"/>
          <w:sz w:val="28"/>
          <w:szCs w:val="28"/>
          <w:rtl w:val="true"/>
          <w:lang w:bidi="ar-SA"/>
        </w:rPr>
        <w:t>معارض، 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الاستحاضة مشتقّة منه </w:t>
      </w:r>
      <w:r>
        <w:rPr>
          <w:rStyle w:val="FootnoteAnchor"/>
          <w:rtl w:val="true"/>
        </w:rPr>
        <w:footnoteReference w:id="2007"/>
      </w:r>
      <w:r>
        <w:rPr>
          <w:rFonts w:ascii="IRNazanin" w:hAnsi="IRNazanin" w:eastAsia="IRNazanin"/>
          <w:color w:val="111111"/>
          <w:sz w:val="28"/>
          <w:sz w:val="28"/>
          <w:szCs w:val="28"/>
          <w:rtl w:val="true"/>
          <w:lang w:bidi="fa-IR"/>
        </w:rPr>
        <w:t>، و هو ممّا لا نفهمه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ظاهر نفي الخلاف بضميمة وجوب تغيير القطنة لكلّ صلاة مع قلّة الدّم و إن كانت ليس بثوب و لا بدن، و أنّ الصّدوق في المقنع و الفقيه لم يتعرّض لهذا الحكم، ممّا يقتضي الإلحاق بإضافة شمول أدلّة الإزالة عموماً و خصوصاً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لي فيه إشكال من جهة قوّة أدلّة العفو، لا أقلّ من قيام الشك في خصوصه، و الأصل يوجب العفو، لكن جدّنا الأكبر رحمه الله توقّف في أصالة العفو في كلّ ما شكّ فيه، و جزم بأصالة الطهارة في الدّم المشكوك فيه </w:t>
      </w:r>
      <w:r>
        <w:rPr>
          <w:rStyle w:val="FootnoteAnchor"/>
          <w:rtl w:val="true"/>
        </w:rPr>
        <w:footnoteReference w:id="2008"/>
      </w:r>
      <w:r>
        <w:rPr>
          <w:rFonts w:ascii="Amiri" w:hAnsi="Amiri" w:eastAsia="Amiri" w:cs="Amiri"/>
          <w:color w:val="111111"/>
          <w:sz w:val="28"/>
          <w:sz w:val="28"/>
          <w:szCs w:val="28"/>
          <w:rtl w:val="true"/>
          <w:lang w:bidi="ar-SA"/>
        </w:rPr>
        <w:t>، و الفرق بينهما مخفيٌّ علينا، نسأل الله كشف الغطاء عن أبصارنا في مُبهمات الكشف</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3322636_2870459653"/>
      <w:bookmarkStart w:id="169" w:name="_Toc56"/>
      <w:bookmarkEnd w:id="168"/>
      <w:r>
        <w:rPr>
          <w:rtl w:val="true"/>
        </w:rPr>
        <w:t>[</w:t>
      </w:r>
      <w:r>
        <w:rPr>
          <w:rtl w:val="true"/>
        </w:rPr>
        <w:t>إلحاق دم نجس العين بالدماء الثلاثة</w:t>
      </w:r>
      <w:r>
        <w:rPr>
          <w:rtl w:val="true"/>
        </w:rPr>
        <w:t>]</w:t>
      </w:r>
      <w:bookmarkEnd w:id="16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 بها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 </w:t>
      </w:r>
      <w:r>
        <w:rPr>
          <w:rStyle w:val="FootnoteAnchor"/>
          <w:rtl w:val="true"/>
        </w:rPr>
        <w:footnoteReference w:id="2009"/>
      </w:r>
      <w:r>
        <w:rPr>
          <w:rFonts w:ascii="Amiri" w:hAnsi="Amiri" w:eastAsia="Amiri" w:cs="Amiri"/>
          <w:color w:val="111111"/>
          <w:sz w:val="28"/>
          <w:sz w:val="28"/>
          <w:szCs w:val="28"/>
          <w:rtl w:val="true"/>
          <w:lang w:bidi="ar-SA"/>
        </w:rPr>
        <w:t xml:space="preserve">في غير التبصرة، و المصنّف في الدّروس </w:t>
      </w:r>
      <w:r>
        <w:rPr>
          <w:rStyle w:val="FootnoteAnchor"/>
          <w:rtl w:val="true"/>
        </w:rPr>
        <w:footnoteReference w:id="2010"/>
      </w:r>
      <w:r>
        <w:rPr>
          <w:rFonts w:ascii="IRNazanin" w:hAnsi="IRNazanin" w:eastAsia="IRNazanin"/>
          <w:color w:val="111111"/>
          <w:sz w:val="28"/>
          <w:sz w:val="28"/>
          <w:szCs w:val="28"/>
          <w:rtl w:val="true"/>
          <w:lang w:bidi="fa-IR"/>
        </w:rPr>
        <w:t xml:space="preserve">، و المختلف </w:t>
      </w:r>
      <w:r>
        <w:rPr>
          <w:rStyle w:val="FootnoteAnchor"/>
          <w:rtl w:val="true"/>
        </w:rPr>
        <w:footnoteReference w:id="2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للميتة بنصّ شَرْحَي الشرائع </w:t>
      </w:r>
      <w:r>
        <w:rPr>
          <w:rStyle w:val="FootnoteAnchor"/>
          <w:rtl w:val="true"/>
        </w:rPr>
        <w:footnoteReference w:id="2012"/>
      </w:r>
      <w:r>
        <w:rPr>
          <w:rFonts w:ascii="IRNazanin" w:hAnsi="IRNazanin" w:eastAsia="IRNazanin"/>
          <w:color w:val="111111"/>
          <w:sz w:val="28"/>
          <w:sz w:val="28"/>
          <w:szCs w:val="28"/>
          <w:rtl w:val="true"/>
          <w:lang w:bidi="fa-IR"/>
        </w:rPr>
        <w:t xml:space="preserve">و الإرشاد </w:t>
      </w:r>
      <w:r>
        <w:rPr>
          <w:rStyle w:val="FootnoteAnchor"/>
          <w:rtl w:val="true"/>
        </w:rPr>
        <w:footnoteReference w:id="2013"/>
      </w:r>
      <w:r>
        <w:rPr>
          <w:rFonts w:ascii="IRNazanin" w:hAnsi="IRNazanin" w:eastAsia="IRNazanin"/>
          <w:color w:val="111111"/>
          <w:sz w:val="28"/>
          <w:sz w:val="28"/>
          <w:szCs w:val="28"/>
          <w:rtl w:val="true"/>
          <w:lang w:bidi="fa-IR"/>
        </w:rPr>
        <w:t xml:space="preserve">، و قبلهم </w:t>
      </w:r>
    </w:p>
    <w:p>
      <w:pPr>
        <w:pStyle w:val="BookText"/>
        <w:rPr/>
      </w:pPr>
      <w:r>
        <w:rPr>
          <w:rFonts w:ascii="IRNazanin" w:hAnsi="IRNazanin" w:eastAsia="IRNazanin"/>
          <w:color w:val="111111"/>
          <w:sz w:val="28"/>
          <w:sz w:val="28"/>
          <w:szCs w:val="28"/>
          <w:rtl w:val="true"/>
          <w:lang w:bidi="fa-IR"/>
        </w:rPr>
        <w:t xml:space="preserve">القطب </w:t>
      </w:r>
      <w:r>
        <w:rPr>
          <w:rStyle w:val="FootnoteAnchor"/>
          <w:rtl w:val="true"/>
        </w:rPr>
        <w:footnoteReference w:id="2014"/>
      </w:r>
      <w:r>
        <w:rPr>
          <w:rFonts w:ascii="Amiri" w:hAnsi="Amiri" w:eastAsia="Amiri" w:cs="Amiri"/>
          <w:color w:val="111111"/>
          <w:sz w:val="28"/>
          <w:sz w:val="28"/>
          <w:szCs w:val="28"/>
          <w:rtl w:val="true"/>
          <w:lang w:bidi="ar-SA"/>
        </w:rPr>
        <w:t xml:space="preserve">و ابن حمزة </w:t>
      </w:r>
      <w:r>
        <w:rPr>
          <w:rStyle w:val="FootnoteAnchor"/>
          <w:rtl w:val="true"/>
        </w:rPr>
        <w:footnoteReference w:id="2015"/>
      </w:r>
      <w:r>
        <w:rPr>
          <w:rFonts w:ascii="Amiri" w:hAnsi="Amiri" w:eastAsia="Amiri" w:cs="Amiri"/>
          <w:color w:val="111111"/>
          <w:sz w:val="28"/>
          <w:sz w:val="28"/>
          <w:szCs w:val="28"/>
          <w:rtl w:val="true"/>
          <w:lang w:bidi="ar-SA"/>
        </w:rPr>
        <w:t xml:space="preserve">في خصوص النجسين و لم يتعرّضا لغيرهما، و بعدهم الجدّ في الكشف </w:t>
      </w:r>
      <w:r>
        <w:rPr>
          <w:rStyle w:val="FootnoteAnchor"/>
          <w:rtl w:val="true"/>
        </w:rPr>
        <w:footnoteReference w:id="2016"/>
      </w:r>
      <w:r>
        <w:rPr>
          <w:rFonts w:ascii="Amiri" w:hAnsi="Amiri" w:eastAsia="Amiri" w:cs="Amiri"/>
          <w:color w:val="111111"/>
          <w:sz w:val="28"/>
          <w:sz w:val="28"/>
          <w:szCs w:val="28"/>
          <w:rtl w:val="true"/>
          <w:lang w:bidi="ar-SA"/>
        </w:rPr>
        <w:t xml:space="preserve">فألْحَقَ الميتة و الكافر، بل و كلّ ما حَرُم أكله، و الإلحاق مطلقاً أو البعض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لتضاعف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ملاقاة الدّم لما لا يعفى عن نجاسة ملاقيه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نصّ فيه بخصوصه يوجب الفرق بين قليله و كثيره،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يفقد النّص كان قضيّة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النصوص الآمرة بإزالة النجاسة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يقتضي </w:t>
      </w:r>
      <w:r>
        <w:rPr>
          <w:rStyle w:val="FootnoteAnchor"/>
          <w:rtl w:val="true"/>
        </w:rPr>
        <w:footnoteReference w:id="2017"/>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سريان العفو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مخصّص في خصوصه،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و إضافتها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هي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بالأصل حجّية العام في أفراده و إن خصّص، و معنى قضيته عدم إخراج شيء من الأفراد بغير دليل، أو دخول جميع أفراده فيه ما لم يدلّ دليل على تخصيصه، و المقتضي دخول هذا الفرد من هذا العام في العموم، و بهذا يظهر منه المَيل إلى الإلحاق؛ لظهور جعل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الأمرين، و يحتمل أيضاً أنّه يقول بعدمه، فيكون المعنى أنّ دليل الإلحاق تضاعف النجاسة، و الحال أنّه لا نصّ فيه يوجب ذلك، و قضيّة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عموم أدلّة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إلحاقه بالعموم، و هو عموم أخبار العفو لذات الدّم، فليس حينئذ للتعليل أثر، و هذا أقرب، ولكنّه في شرحيه </w:t>
      </w:r>
      <w:r>
        <w:rPr>
          <w:rStyle w:val="FootnoteAnchor"/>
          <w:rtl w:val="true"/>
        </w:rPr>
        <w:footnoteReference w:id="2018"/>
      </w:r>
      <w:r>
        <w:rPr>
          <w:rFonts w:ascii="Amiri" w:hAnsi="Amiri" w:eastAsia="Amiri" w:cs="Amiri"/>
          <w:color w:val="111111"/>
          <w:sz w:val="28"/>
          <w:sz w:val="28"/>
          <w:szCs w:val="28"/>
          <w:rtl w:val="true"/>
          <w:lang w:bidi="ar-SA"/>
        </w:rPr>
        <w:t>يظهر منه الإلحاق، فيكون عاضداً للأوّل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السّرائر </w:t>
      </w:r>
      <w:r>
        <w:rPr>
          <w:rStyle w:val="FootnoteAnchor"/>
          <w:rtl w:val="true"/>
        </w:rPr>
        <w:footnoteReference w:id="2019"/>
      </w:r>
      <w:r>
        <w:rPr>
          <w:rFonts w:ascii="Amiri" w:hAnsi="Amiri" w:eastAsia="Amiri" w:cs="Amiri"/>
          <w:color w:val="111111"/>
          <w:sz w:val="28"/>
          <w:sz w:val="28"/>
          <w:szCs w:val="28"/>
          <w:rtl w:val="true"/>
          <w:lang w:bidi="ar-SA"/>
        </w:rPr>
        <w:t xml:space="preserve">دعوى الإجماع على الثاني، و أُضيف إليه أنّ حيثيّة الملاقاة لنجس العين لا تنفكّ عن حيثيّة الدّم أبداً، فلا تورث ملاحظتها شيئاً، و إلَّا لفرّقوا بين ميتة المسلم و الكافر في أحكام البئر، و إن فرّق الحلّي </w:t>
      </w:r>
      <w:r>
        <w:rPr>
          <w:rStyle w:val="FootnoteAnchor"/>
          <w:rtl w:val="true"/>
        </w:rPr>
        <w:footnoteReference w:id="2020"/>
      </w:r>
      <w:r>
        <w:rPr>
          <w:rFonts w:ascii="Amiri" w:hAnsi="Amiri" w:eastAsia="Amiri" w:cs="Amiri"/>
          <w:color w:val="111111"/>
          <w:sz w:val="28"/>
          <w:sz w:val="28"/>
          <w:szCs w:val="28"/>
          <w:rtl w:val="true"/>
          <w:lang w:bidi="ar-SA"/>
        </w:rPr>
        <w:t xml:space="preserve">هناك بينهما لتضاعف نجاسة الكافر، فيطالب بالفرق بينه </w:t>
      </w:r>
    </w:p>
    <w:p>
      <w:pPr>
        <w:pStyle w:val="BookText"/>
        <w:rPr/>
      </w:pPr>
      <w:r>
        <w:rPr>
          <w:rFonts w:ascii="Amiri" w:hAnsi="Amiri" w:eastAsia="Amiri" w:cs="Amiri"/>
          <w:color w:val="111111"/>
          <w:sz w:val="28"/>
          <w:sz w:val="28"/>
          <w:szCs w:val="28"/>
          <w:rtl w:val="true"/>
          <w:lang w:bidi="ar-SA"/>
        </w:rPr>
        <w:t>و بين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يعتذر له بأنّ مراده هنا أنّ نجس العين لا يزداد نجاسة بملاقاته النجس، و أمّا هناك فحيث ينزح لَحَيّ الكافر الجميع قال به أيضاً لموته؛ لأنّ الموت لا يخفّف نجاسته و لا يرفعها إن لم يزدها، فذكر ذلك من باب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فرّق بين حَيّ الكافر و ميّته اتّجهت المؤاخذة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المعالم </w:t>
      </w:r>
      <w:r>
        <w:rPr>
          <w:rStyle w:val="FootnoteAnchor"/>
          <w:rtl w:val="true"/>
        </w:rPr>
        <w:footnoteReference w:id="2021"/>
      </w:r>
      <w:r>
        <w:rPr>
          <w:rFonts w:ascii="Amiri" w:hAnsi="Amiri" w:eastAsia="Amiri" w:cs="Amiri"/>
          <w:color w:val="111111"/>
          <w:sz w:val="28"/>
          <w:sz w:val="28"/>
          <w:szCs w:val="28"/>
          <w:rtl w:val="true"/>
          <w:lang w:bidi="ar-SA"/>
        </w:rPr>
        <w:t>إنكار عموم أدلّة العفو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موقوف </w:t>
      </w:r>
      <w:r>
        <w:rPr>
          <w:rStyle w:val="FootnoteAnchor"/>
          <w:rtl w:val="true"/>
        </w:rPr>
        <w:footnoteReference w:id="2022"/>
      </w:r>
      <w:r>
        <w:rPr>
          <w:rFonts w:ascii="Amiri" w:hAnsi="Amiri" w:eastAsia="Amiri" w:cs="Amiri"/>
          <w:color w:val="111111"/>
          <w:sz w:val="28"/>
          <w:sz w:val="28"/>
          <w:szCs w:val="28"/>
          <w:rtl w:val="true"/>
          <w:lang w:bidi="ar-SA"/>
        </w:rPr>
        <w:t>أبي بصير صريح فيه؛ لاشتماله على النكرة و الاستثناء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دعوی انصرافه إلى غير هذا الفرد من المتعارف غيرُ مسموعة منه، و إلَّا لسرى المنع في غير المأكول مطلقاً؛ لعدم تعارفه، أو يبنى عليه و لو من حيث إنّه جزء من غير مأكول اللّحم، و عموم خبره يقضي بشموله للدّم، و کأنّه الأوفق بالنظر، لكن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أنواره استوجه عموم العفو؛ لإجماع الحلّي، و لترك البيان في أخبار العفو، مع سَؤقها لبيان حكم الدّم، و مع توفّر الدّواعي فيقدّم على العموم الآخر؛ لقوّته سنداً و دلالةً، و الثاني من جهة أنّ أكثر نصوصه واردة مَوْرِد الفضلات من بول و خرء فلا تشمل الدّم، و ينصرف إليها غيرها و إن تضاعفت النجاسة، بحيث تثبت للدم حكماً آخر ممنوع، و إلَّا لبانَ في التطهير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يمكن القول بالعفو عن دم ما لا يؤكل لحمه مطلقاً سيما لو كان طاهراً </w:t>
      </w:r>
      <w:r>
        <w:rPr>
          <w:rStyle w:val="FootnoteAnchor"/>
          <w:rtl w:val="true"/>
        </w:rPr>
        <w:footnoteReference w:id="20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محلّ تأمل؛ للتباين الجزئي بين العامّين، و مورد التعارض دَم ما لا يؤكل لحمه مطلقاً، أو نجس العين منه، و المرجع عمومات وجوب الإزالة، فيوجب القول بعدم العفو إلَّا أن يدعي رحمه الله أنّ موقوف أبي بصير و غيره حاكم على الأدلّة المثبتة للأحكام في الدّم </w:t>
      </w:r>
    </w:p>
    <w:p>
      <w:pPr>
        <w:pStyle w:val="BookText"/>
        <w:rPr/>
      </w:pPr>
      <w:r>
        <w:rPr>
          <w:rFonts w:ascii="Amiri" w:hAnsi="Amiri" w:eastAsia="Amiri" w:cs="Amiri"/>
          <w:color w:val="111111"/>
          <w:sz w:val="28"/>
          <w:sz w:val="28"/>
          <w:szCs w:val="28"/>
          <w:rtl w:val="true"/>
          <w:lang w:bidi="ar-SA"/>
        </w:rPr>
        <w:t xml:space="preserve">من حيثيّة النجاسة، أو كونه من غير مأكول اللّحم، فتخصّص تلك العمومات من سائر الحيثيّات، و عليه إثبات ظهور ذلك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عن 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ما دون الدّرهم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اجتماعه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الثوب و البدن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 من أكثر أهل العلم كما في منتهى الفاضل </w:t>
      </w:r>
      <w:r>
        <w:rPr>
          <w:rStyle w:val="FootnoteAnchor"/>
          <w:rtl w:val="true"/>
        </w:rPr>
        <w:footnoteReference w:id="2024"/>
      </w:r>
      <w:r>
        <w:rPr>
          <w:rFonts w:ascii="Amiri" w:hAnsi="Amiri" w:eastAsia="Amiri" w:cs="Amiri"/>
          <w:color w:val="111111"/>
          <w:sz w:val="28"/>
          <w:sz w:val="28"/>
          <w:szCs w:val="28"/>
          <w:rtl w:val="true"/>
          <w:lang w:bidi="ar-SA"/>
        </w:rPr>
        <w:t xml:space="preserve">و منا في الانتصار </w:t>
      </w:r>
      <w:r>
        <w:rPr>
          <w:rStyle w:val="FootnoteAnchor"/>
          <w:rtl w:val="true"/>
        </w:rPr>
        <w:footnoteReference w:id="2025"/>
      </w:r>
      <w:r>
        <w:rPr>
          <w:rFonts w:ascii="IRNazanin" w:hAnsi="IRNazanin" w:eastAsia="IRNazanin"/>
          <w:color w:val="111111"/>
          <w:sz w:val="28"/>
          <w:sz w:val="28"/>
          <w:szCs w:val="28"/>
          <w:rtl w:val="true"/>
          <w:lang w:bidi="fa-IR"/>
        </w:rPr>
        <w:t xml:space="preserve">و الخلاف </w:t>
      </w:r>
      <w:r>
        <w:rPr>
          <w:rStyle w:val="FootnoteAnchor"/>
          <w:rtl w:val="true"/>
        </w:rPr>
        <w:footnoteReference w:id="2026"/>
      </w:r>
      <w:r>
        <w:rPr>
          <w:rFonts w:ascii="Amiri" w:hAnsi="Amiri" w:eastAsia="Amiri" w:cs="Amiri"/>
          <w:color w:val="111111"/>
          <w:sz w:val="28"/>
          <w:sz w:val="28"/>
          <w:szCs w:val="28"/>
          <w:rtl w:val="true"/>
          <w:lang w:bidi="ar-SA"/>
        </w:rPr>
        <w:t xml:space="preserve">و الغنية </w:t>
      </w:r>
      <w:r>
        <w:rPr>
          <w:rStyle w:val="FootnoteAnchor"/>
          <w:rtl w:val="true"/>
        </w:rPr>
        <w:footnoteReference w:id="2027"/>
      </w:r>
      <w:r>
        <w:rPr>
          <w:rFonts w:ascii="Amiri" w:hAnsi="Amiri" w:eastAsia="Amiri" w:cs="Amiri"/>
          <w:color w:val="111111"/>
          <w:sz w:val="28"/>
          <w:sz w:val="28"/>
          <w:szCs w:val="28"/>
          <w:rtl w:val="true"/>
          <w:lang w:bidi="ar-SA"/>
        </w:rPr>
        <w:t xml:space="preserve">و غيرها </w:t>
      </w:r>
      <w:r>
        <w:rPr>
          <w:rStyle w:val="FootnoteAnchor"/>
          <w:rtl w:val="true"/>
        </w:rPr>
        <w:footnoteReference w:id="2028"/>
      </w:r>
      <w:r>
        <w:rPr>
          <w:rFonts w:ascii="IRNazanin" w:hAnsi="IRNazanin" w:eastAsia="IRNazanin"/>
          <w:color w:val="111111"/>
          <w:sz w:val="28"/>
          <w:sz w:val="28"/>
          <w:szCs w:val="28"/>
          <w:rtl w:val="true"/>
          <w:lang w:bidi="fa-IR"/>
        </w:rPr>
        <w:t xml:space="preserve">، و في رواية الجُعفي عن الباقر علیه السلام التصريح بذلك </w:t>
      </w:r>
      <w:r>
        <w:rPr>
          <w:rStyle w:val="FootnoteAnchor"/>
          <w:rtl w:val="true"/>
        </w:rPr>
        <w:footnoteReference w:id="2029"/>
      </w:r>
      <w:r>
        <w:rPr>
          <w:rFonts w:ascii="Amiri" w:hAnsi="Amiri" w:eastAsia="Amiri" w:cs="Amiri"/>
          <w:color w:val="111111"/>
          <w:sz w:val="28"/>
          <w:sz w:val="28"/>
          <w:szCs w:val="28"/>
          <w:rtl w:val="true"/>
          <w:lang w:bidi="ar-SA"/>
        </w:rPr>
        <w:t>، لكن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الحيض و الاستحاضة و النفاس نجس بلا خلاف، كذا الدّم المسفوح من غير هذه الدّماء، إلّا أنّه يجوز الصلاة في ثوبٍ أصابه من دم القروح و الجروح ما نقص مقداره عن سعة الدّرهم الوافي المضروب من درهم و ثُلث مع الاختيار و رفع الحرج،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أنّ العفو عن هذا المقدار في خصوص الدّمين، و يحتمل أنه أراد المثال، و على الأوّل لا يضرّ خلافه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العفو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أجودها إلحاقه بالمجتمع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أسْلَم في الخروج عن عُهْدَة التكليف، و لإجمال الخبرين فلا يصلحان لتقييد ما قضى بوجوب الإزالة؛ إذ لو لم نعتبر الاجتماع في المتفرّق لجازت الصلاة في الثوب المستوعب دماً مع تفرّقه نقطاً، و المقطوع به خلافه، و لو قصرناه على غير المتفاحش كان تحكّماً في الحكم عارياً عن الدليل، و لو أخذنا بالأجود استدرك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إذ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لم يكن مجتمعاً قدر الدّرهم </w:t>
      </w:r>
      <w:r>
        <w:rPr>
          <w:rStyle w:val="FootnoteAnchor"/>
          <w:rtl w:val="true"/>
        </w:rPr>
        <w:footnoteReference w:id="2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يكون مقدار الدّرهم مجتمعاً</w:t>
      </w:r>
      <w:r>
        <w:rPr>
          <w:rFonts w:eastAsia="IRNazanin" w:cs="IRNazanin"/>
          <w:color w:val="111111"/>
          <w:sz w:val="28"/>
          <w:szCs w:val="28"/>
          <w:rtl w:val="true"/>
          <w:lang w:bidi="fa-IR"/>
        </w:rPr>
        <w:t xml:space="preserve">» </w:t>
      </w:r>
      <w:r>
        <w:rPr>
          <w:rStyle w:val="FootnoteAnchor"/>
          <w:rtl w:val="true"/>
        </w:rPr>
        <w:footnoteReference w:id="2031"/>
      </w:r>
      <w:r>
        <w:rPr>
          <w:rFonts w:ascii="Amiri" w:hAnsi="Amiri" w:eastAsia="Amiri" w:cs="Amiri"/>
          <w:color w:val="111111"/>
          <w:sz w:val="28"/>
          <w:sz w:val="28"/>
          <w:szCs w:val="28"/>
          <w:rtl w:val="true"/>
          <w:lang w:bidi="ar-SA"/>
        </w:rPr>
        <w:t xml:space="preserve">، يدور الحكم مَدار </w:t>
      </w:r>
    </w:p>
    <w:p>
      <w:pPr>
        <w:pStyle w:val="BookText"/>
        <w:rPr/>
      </w:pPr>
      <w:r>
        <w:rPr>
          <w:rFonts w:ascii="IRNazanin" w:hAnsi="IRNazanin" w:eastAsia="IRNazanin"/>
          <w:color w:val="111111"/>
          <w:sz w:val="28"/>
          <w:sz w:val="28"/>
          <w:szCs w:val="28"/>
          <w:rtl w:val="true"/>
          <w:lang w:bidi="fa-IR"/>
        </w:rPr>
        <w:t>الدّرهم على الأجود، فالعبرة بمقدار الدّرهم متّصلاً و منفصلاً، متفرّقاً و مجتمعاً، و عليه لا يترتّب على ذكر الاجتماع فائدة إن لم يكن في ذكره نقص؛ لإيهام غير الأجود منه، فلو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عليه أفاد المعنى الذي قصد من التقدير فلم يبقَ بعد إجمالها دليل للخصم معتمد، لكن المحَقَّق من أظهريّته المحقِّق في الشّرائع </w:t>
      </w:r>
      <w:r>
        <w:rPr>
          <w:rStyle w:val="FootnoteAnchor"/>
          <w:rtl w:val="true"/>
        </w:rPr>
        <w:footnoteReference w:id="2032"/>
      </w:r>
      <w:r>
        <w:rPr>
          <w:rFonts w:ascii="Amiri" w:hAnsi="Amiri" w:eastAsia="Amiri" w:cs="Amiri"/>
          <w:color w:val="111111"/>
          <w:sz w:val="28"/>
          <w:sz w:val="28"/>
          <w:szCs w:val="28"/>
          <w:rtl w:val="true"/>
          <w:lang w:bidi="ar-SA"/>
        </w:rPr>
        <w:t xml:space="preserve">و إفتائه في النافع </w:t>
      </w:r>
      <w:r>
        <w:rPr>
          <w:rStyle w:val="FootnoteAnchor"/>
          <w:rtl w:val="true"/>
        </w:rPr>
        <w:footnoteReference w:id="2033"/>
      </w:r>
      <w:r>
        <w:rPr>
          <w:rFonts w:ascii="Amiri" w:hAnsi="Amiri" w:eastAsia="Amiri" w:cs="Amiri"/>
          <w:color w:val="111111"/>
          <w:sz w:val="28"/>
          <w:sz w:val="28"/>
          <w:szCs w:val="28"/>
          <w:rtl w:val="true"/>
          <w:lang w:bidi="ar-SA"/>
        </w:rPr>
        <w:t xml:space="preserve">عدم اعتبار الاجتماع في المتفرّق، و لعلّ ما في المعتبر </w:t>
      </w:r>
      <w:r>
        <w:rPr>
          <w:rStyle w:val="FootnoteAnchor"/>
          <w:rtl w:val="true"/>
        </w:rPr>
        <w:footnoteReference w:id="2034"/>
      </w:r>
      <w:r>
        <w:rPr>
          <w:rFonts w:ascii="Amiri" w:hAnsi="Amiri" w:eastAsia="Amiri" w:cs="Amiri"/>
          <w:color w:val="111111"/>
          <w:sz w:val="28"/>
          <w:sz w:val="28"/>
          <w:szCs w:val="28"/>
          <w:rtl w:val="true"/>
          <w:lang w:bidi="ar-SA"/>
        </w:rPr>
        <w:t>هو مذهبه في النافع مع إلغاء قيد التفاحش الفاقد للبرهان؛ لأنه شرحه، و لأنّ قوله لنا بعد نقله قول سلّار لا يورث الجزم بميله للمنسوب إليه بعد صفحه عنه في كتابيه، و لأنّ عبارة النهاية غير صريحة بذلك فلا موافق له من الأصحاب، فالجزم بإسناد ذلك للمحقّق خلاف الحزم، ففي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دم رعاف أو فصد أو غيرهما، أو كان دون مقدار الدّرهم مجتمعاً في مكان، فإنّه لا يجب إزالته إلَّا أن يتفاحش أو يكثر </w:t>
      </w:r>
      <w:r>
        <w:rPr>
          <w:rStyle w:val="FootnoteAnchor"/>
          <w:rtl w:val="true"/>
        </w:rPr>
        <w:footnoteReference w:id="203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مراده بالأخيرين هو الزيادة على المقدّر ممّا عُفي عنه، لكن العلّامة في المختلف </w:t>
      </w:r>
      <w:r>
        <w:rPr>
          <w:rStyle w:val="FootnoteAnchor"/>
          <w:rtl w:val="true"/>
        </w:rPr>
        <w:footnoteReference w:id="2036"/>
      </w:r>
      <w:r>
        <w:rPr>
          <w:rFonts w:ascii="Amiri" w:hAnsi="Amiri" w:eastAsia="Amiri" w:cs="Amiri"/>
          <w:color w:val="111111"/>
          <w:sz w:val="28"/>
          <w:sz w:val="28"/>
          <w:szCs w:val="28"/>
          <w:rtl w:val="true"/>
          <w:lang w:bidi="ar-SA"/>
        </w:rPr>
        <w:t xml:space="preserve">حمله على اعتبار التفاحش في المتفرّق دون ما زاد على الدّرهم منه إذا لم يكثر، و لعله أعرف بقصده منّا، فإذا لغا نسبة التفاحش إليهما قلّت الفائدة في فهم معناه، و بقي غير الأحوط من قول الشيخ رحمه الله </w:t>
      </w:r>
      <w:r>
        <w:rPr>
          <w:rStyle w:val="FootnoteAnchor"/>
          <w:rtl w:val="true"/>
        </w:rPr>
        <w:footnoteReference w:id="2037"/>
      </w:r>
      <w:r>
        <w:rPr>
          <w:rFonts w:ascii="Amiri" w:hAnsi="Amiri" w:eastAsia="Amiri" w:cs="Amiri"/>
          <w:color w:val="111111"/>
          <w:sz w:val="28"/>
          <w:sz w:val="28"/>
          <w:szCs w:val="28"/>
          <w:rtl w:val="true"/>
          <w:lang w:bidi="ar-SA"/>
        </w:rPr>
        <w:t>الذي بنى عليه المحقّق جازماً به، فجنح معتبره لإثباته إلى رواية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صحيحة سليمة عن المعارض، و لأنّ الوجه المقتضي للعفو عن يسير الدّم مقتضٍ للعفو عنه هنا </w:t>
      </w:r>
      <w:r>
        <w:rPr>
          <w:rStyle w:val="FootnoteAnchor"/>
          <w:rtl w:val="true"/>
        </w:rPr>
        <w:footnoteReference w:id="20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فتحكم على أدلّة وجوب إزالة الدّم، و أضاف غيره </w:t>
      </w:r>
      <w:r>
        <w:rPr>
          <w:rStyle w:val="FootnoteAnchor"/>
          <w:rtl w:val="true"/>
        </w:rPr>
        <w:footnoteReference w:id="2039"/>
      </w:r>
      <w:r>
        <w:rPr>
          <w:rFonts w:ascii="IRNazanin" w:hAnsi="IRNazanin" w:eastAsia="IRNazanin"/>
          <w:color w:val="111111"/>
          <w:sz w:val="28"/>
          <w:sz w:val="28"/>
          <w:szCs w:val="28"/>
          <w:rtl w:val="true"/>
          <w:lang w:bidi="fa-IR"/>
        </w:rPr>
        <w:t xml:space="preserve">إلى هذه الرّواية مرسلة جميل بن درّاج عن الباقر علیه السلام </w:t>
      </w:r>
      <w:r>
        <w:rPr>
          <w:rStyle w:val="FootnoteAnchor"/>
          <w:rtl w:val="true"/>
        </w:rPr>
        <w:footnoteReference w:id="2040"/>
      </w:r>
      <w:r>
        <w:rPr>
          <w:rFonts w:ascii="Amiri" w:hAnsi="Amiri" w:eastAsia="Amiri" w:cs="Amiri"/>
          <w:color w:val="111111"/>
          <w:sz w:val="28"/>
          <w:sz w:val="28"/>
          <w:szCs w:val="28"/>
          <w:rtl w:val="true"/>
          <w:lang w:bidi="ar-SA"/>
        </w:rPr>
        <w:t xml:space="preserve">، وردّ مع استدراك قيد الإجماع فيهما أنّه يتمّ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بعد خبر لناقص الفعل مع ظهور الحاليّة فيه من الضمير محقّقة أو مقدّرة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معه صقر صائداً به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حال كونه مجتمعاً؛ أي على تقدير الاجتماع مقدار الدّرهم فيفيد اعتباره في المتفرّق أيضاً، و هو الأنسب بالسؤال؛ لأنه عن الدّم المتفرّق نقطة نقطة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أنّه ليس فيه مقدار الدّرهم، فيُجيب الإمام علیه السلام بأنّ النقطة التي تزيد على الدّرهم في المتفرّق لا يعفى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عيّن في الرّياض الخبريّة فيهما بعد تساوي الحاليّة المحقّقة و الخبرية في المفاد،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اتّحاد زمانَي الاجتماع و الكَون بقدر الدّرهم، مع أن تغايرهما شرط في المقدّرة اتّفاقاً، و لا متناع المحقّقة في النقط المفروضة في الرواية </w:t>
      </w:r>
      <w:r>
        <w:rPr>
          <w:rStyle w:val="FootnoteAnchor"/>
          <w:rtl w:val="true"/>
        </w:rPr>
        <w:footnoteReference w:id="2041"/>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ما ذكرنا من 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بأنّ التقدير هنا لغوي لا اصطلاحيّ، فيثبت و إن كانت الحال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مادّة الاجتماع بحملها على الفرض التقديري دون الفعليّ، و لمّا استشعر المناقش أنّ حمله على خلاف الأصل نَصَبَ له قَرينَة بأنّ مورد الكلام نقط الدّم، و لا يقدر فيها الاجتماع إلَّا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الكلامان عَريّان عن المتانة؛ فإنّ النقط بعد أن كانت قرينة على عدم الحاليّة بهذا التقريب فكذلك الخبرية؛ لأنّ الخبر حالّ في المعنى، و متى صلح رجوع الضمير إلى النّقط قرينة على التّصرف في مادّة الاجتماع لم يفرق الحال بين كونه حالاً أو خبراً مع مخالفة التقدير للظاهر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رجع الضمير إلى النقط و شبه النضح من الدّم فيهما لا مَحيص عن </w:t>
      </w:r>
    </w:p>
    <w:p>
      <w:pPr>
        <w:pStyle w:val="BookText"/>
        <w:rPr/>
      </w:pPr>
      <w:r>
        <w:rPr>
          <w:rFonts w:ascii="Amiri" w:hAnsi="Amiri" w:eastAsia="Amiri" w:cs="Amiri"/>
          <w:color w:val="111111"/>
          <w:sz w:val="28"/>
          <w:sz w:val="28"/>
          <w:szCs w:val="28"/>
          <w:rtl w:val="true"/>
          <w:lang w:bidi="ar-SA"/>
        </w:rPr>
        <w:t>التقدير على الحاليّة أو الخبريّة، و لو رجع إلى الدّم لزم ما ذكرناه أوّلاً، فأبهَم الأمر و أجمل الخبر فيحكّم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المعتبر </w:t>
      </w:r>
      <w:r>
        <w:rPr>
          <w:rStyle w:val="FootnoteAnchor"/>
          <w:rtl w:val="true"/>
        </w:rPr>
        <w:footnoteReference w:id="2042"/>
      </w:r>
      <w:r>
        <w:rPr>
          <w:rFonts w:ascii="Amiri" w:hAnsi="Amiri" w:eastAsia="Amiri" w:cs="Amiri"/>
          <w:color w:val="111111"/>
          <w:sz w:val="28"/>
          <w:sz w:val="28"/>
          <w:szCs w:val="28"/>
          <w:rtl w:val="true"/>
          <w:lang w:bidi="ar-SA"/>
        </w:rPr>
        <w:t xml:space="preserve">في اقتضاء العفو عنه لاشتراكه مع دليل المجتمع غير معتبر و إن قيل إنّه الأشهر بعد وَهْن مَدركه ، فقصر العفو على ما دون الدّرهم مطلقاً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دون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المعفوّ عنه إزالة الزائد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زال بنفسه كفى في المجتمع و 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تَمشّي الحُكم فيما لو بلغ درهماً بلا زيادة؛ لتعليق العفو على ما هو دونه و عدم وجوب الإزالة في الأدون مطلقاً و لو زاد عن الحمّصة و إن كان معفوّاً عنه، و هو الأقوى فيهما، خلافاً للصدّوق </w:t>
      </w:r>
      <w:r>
        <w:rPr>
          <w:rStyle w:val="FootnoteAnchor"/>
          <w:rtl w:val="true"/>
        </w:rPr>
        <w:footnoteReference w:id="2043"/>
      </w:r>
      <w:r>
        <w:rPr>
          <w:rFonts w:ascii="Amiri" w:hAnsi="Amiri" w:eastAsia="Amiri" w:cs="Amiri"/>
          <w:color w:val="111111"/>
          <w:sz w:val="28"/>
          <w:sz w:val="28"/>
          <w:szCs w:val="28"/>
          <w:rtl w:val="true"/>
          <w:lang w:bidi="ar-SA"/>
        </w:rPr>
        <w:t xml:space="preserve">في وجوب إزالة الزائد عن الحمّصة لرواية متروكة تقدّم ذكرها، و لسلّار </w:t>
      </w:r>
      <w:r>
        <w:rPr>
          <w:rStyle w:val="FootnoteAnchor"/>
          <w:rtl w:val="true"/>
        </w:rPr>
        <w:footnoteReference w:id="2044"/>
      </w:r>
      <w:r>
        <w:rPr>
          <w:rFonts w:ascii="Amiri" w:hAnsi="Amiri" w:eastAsia="Amiri" w:cs="Amiri"/>
          <w:color w:val="111111"/>
          <w:sz w:val="28"/>
          <w:sz w:val="28"/>
          <w:szCs w:val="28"/>
          <w:rtl w:val="true"/>
          <w:lang w:bidi="ar-SA"/>
        </w:rPr>
        <w:t xml:space="preserve">و العماني </w:t>
      </w:r>
      <w:r>
        <w:rPr>
          <w:rStyle w:val="FootnoteAnchor"/>
          <w:rtl w:val="true"/>
        </w:rPr>
        <w:footnoteReference w:id="2045"/>
      </w:r>
      <w:r>
        <w:rPr>
          <w:rFonts w:ascii="Amiri" w:hAnsi="Amiri" w:eastAsia="Amiri" w:cs="Amiri"/>
          <w:color w:val="111111"/>
          <w:sz w:val="28"/>
          <w:sz w:val="28"/>
          <w:szCs w:val="28"/>
          <w:rtl w:val="true"/>
          <w:lang w:bidi="ar-SA"/>
        </w:rPr>
        <w:t xml:space="preserve">و إن عبّر بسعة الدّينار، و لعَلَم الهُدى كما نسبه الفاضل في البالغ من دون زيادة </w:t>
      </w:r>
      <w:r>
        <w:rPr>
          <w:rStyle w:val="FootnoteAnchor"/>
          <w:rtl w:val="true"/>
        </w:rPr>
        <w:footnoteReference w:id="2046"/>
      </w:r>
      <w:r>
        <w:rPr>
          <w:rFonts w:ascii="Amiri" w:hAnsi="Amiri" w:eastAsia="Amiri" w:cs="Amiri"/>
          <w:color w:val="111111"/>
          <w:sz w:val="28"/>
          <w:sz w:val="28"/>
          <w:szCs w:val="28"/>
          <w:rtl w:val="true"/>
          <w:lang w:bidi="ar-SA"/>
        </w:rPr>
        <w:t xml:space="preserve">، و ظاهر الفاضلين في النافع </w:t>
      </w:r>
      <w:r>
        <w:rPr>
          <w:rStyle w:val="FootnoteAnchor"/>
          <w:rtl w:val="true"/>
        </w:rPr>
        <w:footnoteReference w:id="2047"/>
      </w:r>
      <w:r>
        <w:rPr>
          <w:rFonts w:ascii="Amiri" w:hAnsi="Amiri" w:eastAsia="Amiri" w:cs="Amiri"/>
          <w:color w:val="111111"/>
          <w:sz w:val="28"/>
          <w:sz w:val="28"/>
          <w:szCs w:val="28"/>
          <w:rtl w:val="true"/>
          <w:lang w:bidi="ar-SA"/>
        </w:rPr>
        <w:t xml:space="preserve">و التذكرة </w:t>
      </w:r>
      <w:r>
        <w:rPr>
          <w:rStyle w:val="FootnoteAnchor"/>
          <w:rtl w:val="true"/>
        </w:rPr>
        <w:footnoteReference w:id="2048"/>
      </w:r>
      <w:r>
        <w:rPr>
          <w:rFonts w:ascii="Amiri" w:hAnsi="Amiri" w:eastAsia="Amiri" w:cs="Amiri"/>
          <w:color w:val="111111"/>
          <w:sz w:val="28"/>
          <w:sz w:val="28"/>
          <w:szCs w:val="28"/>
          <w:rtl w:val="true"/>
          <w:lang w:bidi="ar-SA"/>
        </w:rPr>
        <w:t>و التردّد لجعلهما الإزالة أحوط، و العلّامة لم يتعرّض في القواعد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في المتفرّق الإزالة إن بلغه لو جمع؛ لإمكان رجوع ضمير البلوغ للدّرهم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نعثر على مصرّح بالعفو عن مقداره أو محتمل منه ذلك غيرهم، و الذي عثرنا عليه من كلام السّيد التصريح بعدم 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تفرّدت</w:t>
      </w:r>
      <w:r>
        <w:rPr>
          <w:rFonts w:eastAsia="Amiri" w:cs="Amiri" w:ascii="Amiri" w:hAnsi="Amiri"/>
          <w:color w:val="111111"/>
          <w:sz w:val="28"/>
          <w:szCs w:val="28"/>
          <w:rtl w:val="true"/>
          <w:lang w:bidi="ar-SA"/>
        </w:rPr>
        <w:t xml:space="preserve">] </w:t>
      </w:r>
      <w:r>
        <w:rPr>
          <w:rStyle w:val="FootnoteAnchor"/>
          <w:rtl w:val="true"/>
        </w:rPr>
        <w:footnoteReference w:id="2050"/>
      </w:r>
      <w:r>
        <w:rPr>
          <w:rFonts w:ascii="Amiri" w:hAnsi="Amiri" w:eastAsia="Amiri" w:cs="Amiri"/>
          <w:color w:val="111111"/>
          <w:sz w:val="28"/>
          <w:sz w:val="28"/>
          <w:szCs w:val="28"/>
          <w:rtl w:val="true"/>
          <w:lang w:bidi="ar-SA"/>
        </w:rPr>
        <w:t xml:space="preserve">به الإماميّة القول بأنّ الدّم الذي </w:t>
      </w:r>
    </w:p>
    <w:p>
      <w:pPr>
        <w:pStyle w:val="BookText"/>
        <w:rPr/>
      </w:pPr>
      <w:r>
        <w:rPr>
          <w:rFonts w:ascii="Amiri" w:hAnsi="Amiri" w:eastAsia="Amiri" w:cs="Amiri"/>
          <w:color w:val="111111"/>
          <w:sz w:val="28"/>
          <w:sz w:val="28"/>
          <w:szCs w:val="28"/>
          <w:rtl w:val="true"/>
          <w:lang w:bidi="ar-SA"/>
        </w:rPr>
        <w:t xml:space="preserve">ليس بدم حيض يجوز الصلاة في ثوب أو بدن أصابه منه ما ينقص مقداره عن سعة الدّرهم الوافي </w:t>
      </w:r>
      <w:r>
        <w:rPr>
          <w:rStyle w:val="FootnoteAnchor"/>
          <w:rtl w:val="true"/>
        </w:rPr>
        <w:footnoteReference w:id="205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فينحصر الخلاف بسلّار، لكن لا ثمرة عمليّة لإطالة الكلام في هذا الاختلاف، و تحقيق ذلک من جهة اختلاف مقدار الدّرهم، فلا جرم أن يؤخذ بالاحتياط، و لا يحرز الخروج عن عهدة التكليف في الإزالة و صحّة الصلاة إلَّا فيما دون الدّرهم بجميع محتملاته، بل هو العلّة في تعليق الحكم على ما دون الدرهم، مضافاً إلى ظهور بعض الأخبار بذلك كصحيح ابن أبي يعفور و مُرْسَل جميع و أوّل مفهُومَي خبر الجعفي من حيث تعليق الحكم على الناقص عن الدّرهم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أقلّ من درهم فلا يعيد الصلاة</w:t>
      </w:r>
      <w:r>
        <w:rPr>
          <w:rFonts w:eastAsia="IRNazanin" w:cs="IRNazanin"/>
          <w:color w:val="111111"/>
          <w:sz w:val="28"/>
          <w:szCs w:val="28"/>
          <w:rtl w:val="true"/>
          <w:lang w:bidi="fa-IR"/>
        </w:rPr>
        <w:t xml:space="preserve">» </w:t>
      </w:r>
      <w:r>
        <w:rPr>
          <w:rStyle w:val="FootnoteAnchor"/>
          <w:rtl w:val="true"/>
        </w:rPr>
        <w:footnoteReference w:id="2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الرضوي </w:t>
      </w:r>
      <w:r>
        <w:rPr>
          <w:rStyle w:val="FootnoteAnchor"/>
          <w:rtl w:val="true"/>
        </w:rPr>
        <w:footnoteReference w:id="2053"/>
      </w:r>
      <w:r>
        <w:rPr>
          <w:rFonts w:ascii="Amiri" w:hAnsi="Amiri" w:eastAsia="Amiri" w:cs="Amiri"/>
          <w:color w:val="111111"/>
          <w:sz w:val="28"/>
          <w:sz w:val="28"/>
          <w:szCs w:val="28"/>
          <w:rtl w:val="true"/>
          <w:lang w:bidi="ar-SA"/>
        </w:rPr>
        <w:t xml:space="preserve">، و المروي عن كتاب عليّ بن جعفر من الأمر بالغسل إذا كان الدّم بقدر الدينار </w:t>
      </w:r>
      <w:r>
        <w:rPr>
          <w:rStyle w:val="FootnoteAnchor"/>
          <w:rtl w:val="true"/>
        </w:rPr>
        <w:footnoteReference w:id="2054"/>
      </w:r>
      <w:r>
        <w:rPr>
          <w:rFonts w:ascii="Amiri" w:hAnsi="Amiri" w:eastAsia="Amiri" w:cs="Amiri"/>
          <w:color w:val="111111"/>
          <w:sz w:val="28"/>
          <w:sz w:val="28"/>
          <w:szCs w:val="28"/>
          <w:rtl w:val="true"/>
          <w:lang w:bidi="ar-SA"/>
        </w:rPr>
        <w:t>، الذي صرّح بمساواته للدرهم، فكان الحكم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شيخ الجواهر بعد أن اختار عدم العفو هنا و منع ما يُوهِم دلالته على العفو كَشحَ عن ذلك فأفرط وحكمَ بنعمه </w:t>
      </w:r>
      <w:r>
        <w:rPr>
          <w:rStyle w:val="FootnoteAnchor"/>
          <w:rtl w:val="true"/>
        </w:rPr>
        <w:footnoteReference w:id="2055"/>
      </w:r>
      <w:r>
        <w:rPr>
          <w:rFonts w:ascii="Amiri" w:hAnsi="Amiri" w:eastAsia="Amiri" w:cs="Amiri"/>
          <w:color w:val="111111"/>
          <w:sz w:val="28"/>
          <w:sz w:val="28"/>
          <w:szCs w:val="28"/>
          <w:rtl w:val="true"/>
          <w:lang w:bidi="ar-SA"/>
        </w:rPr>
        <w:t xml:space="preserve">أنّ الدّرهم استعمل فيما يزيد عليه تسامحاً؛ لغَلَبَة ذلك جمعاً بين الأخبار و طرد المقالة فادّعى عدم الشهرة و ذكر بعض العبائر تأييداً لمقالته </w:t>
      </w:r>
      <w:r>
        <w:rPr>
          <w:rStyle w:val="FootnoteAnchor"/>
          <w:rtl w:val="true"/>
        </w:rPr>
        <w:footnoteReference w:id="2056"/>
      </w:r>
      <w:r>
        <w:rPr>
          <w:rFonts w:ascii="Amiri" w:hAnsi="Amiri" w:eastAsia="Amiri" w:cs="Amiri"/>
          <w:color w:val="111111"/>
          <w:sz w:val="28"/>
          <w:sz w:val="28"/>
          <w:szCs w:val="28"/>
          <w:rtl w:val="true"/>
          <w:lang w:bidi="ar-SA"/>
        </w:rPr>
        <w:t>، و هو بعيد عن الصّواب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الاستعمال الذي ذكر فليس بمأنوس؛ إذ لا يصحّحه وضع و لا علاقة، و ليس كحملنا للزائد على المساوي فإنّه على ظاهره؛ إذ التعليق على الناقص نصّ في ما هو مناط واقعي، الحكم بخلافه على الزائد، فإنّه طريق إليه غالباً أو دائماً، فاعتبار الأوّل من باب الموضوعيّة، و الثاني من باب الطريقيّة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ذلك يحمل كلام كلّ من ترك حكم المساوي و ذكر الزائد و الناقص حتّى رواية الجعفي، فإنّ عدم التعرّض لحكم الدرهم لا وجه له سوى انسداد باب العلم به إلَّا بذكر الزيادة، فهي مُقدّمة عِلميّة ليست معتبرة في الحكم، و أيضاً فالخبر اشتمل على تعليق العفو على ما نقص عن الدّرهم و تعليق عدمه على ما زاد، و الأخذ بعموم مفهوم الثاني أَوْلى؛ لقصر الأوّل على خصوص الناقص، فيندرج غير الناقص مطلقاً في الثاني و يكون ذكر الأكثر؛ لأنه أظهر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خرّجنا جملة من الأحكام في غير واحد من الأخبار كقوله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أخفتَ في ما يُجْهَر، أو جَهَرَ في ما أُخفت إن كان عامداً أعاد، و إن كان ناسياً أو جاهلاً صحّت صلاته</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صورة الإخلال الاضطراري داخلة في مفهوم الأوّل، بل قيلَ </w:t>
      </w:r>
      <w:r>
        <w:rPr>
          <w:rStyle w:val="FootnoteAnchor"/>
          <w:rtl w:val="true"/>
        </w:rPr>
        <w:footnoteReference w:id="2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الدّرهم داخل في الأكثر منه مطابقةً أو استعمالاً شائعاً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ٱثۡنَتَيۡنِ</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 و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المرأة حتّى تجعل بينها و بين الرَّجُل أكثر من عشرة أذرع</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لأنّ الاثنين و العشرة يعمّهما الحكم و إن كنّا لا نرتضيه؛ لفَقْد المطابقة قطعاً، و لأنّ هذا النحو من الاستعمال لا يُصار إليه إلَّا بتنصيص أهل اللّسان، و حُكمُ الاثنين في الآية حيث كان مستفاداً من غيرها حسن النّص على حكم الزائد، و اعتبارُ الزيادة في خبر العشرة مقدّمة للعلم بها لا للرخّصة، فيعود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إن لم يظهر منها حكم المساوي فهي إمّا مُجْمَلَة؛ لأجل تعارض المَفهومين، أو مُهْمَلَة ساكتة عن هذا الحكم؛ لندرته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قد يستفاد ذلك من قوله علیه السلام في حسنة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إعادة عليك ما لم يزد على مقدار الدّرهم، و ما كان أقلّ من ذلك فليس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061"/>
      </w:r>
      <w:r>
        <w:rPr>
          <w:rFonts w:ascii="Amiri" w:hAnsi="Amiri" w:eastAsia="Amiri" w:cs="Amiri"/>
          <w:color w:val="111111"/>
          <w:sz w:val="28"/>
          <w:sz w:val="28"/>
          <w:szCs w:val="28"/>
          <w:rtl w:val="true"/>
          <w:lang w:bidi="ar-SA"/>
        </w:rPr>
        <w:t xml:space="preserve">من غير زيادة الكافي </w:t>
      </w:r>
      <w:r>
        <w:rPr>
          <w:rStyle w:val="FootnoteAnchor"/>
          <w:rtl w:val="true"/>
        </w:rPr>
        <w:footnoteReference w:id="2062"/>
      </w:r>
      <w:r>
        <w:rPr>
          <w:rFonts w:ascii="Amiri" w:hAnsi="Amiri" w:eastAsia="Amiri" w:cs="Amiri"/>
          <w:color w:val="111111"/>
          <w:sz w:val="28"/>
          <w:sz w:val="28"/>
          <w:szCs w:val="28"/>
          <w:rtl w:val="true"/>
          <w:lang w:bidi="ar-SA"/>
        </w:rPr>
        <w:t xml:space="preserve">و الفقيه </w:t>
      </w:r>
      <w:r>
        <w:rPr>
          <w:rStyle w:val="FootnoteAnchor"/>
          <w:rtl w:val="true"/>
        </w:rPr>
        <w:footnoteReference w:id="2063"/>
      </w:r>
      <w:r>
        <w:rPr>
          <w:rFonts w:ascii="Amiri" w:hAnsi="Amiri" w:eastAsia="Amiri" w:cs="Amiri"/>
          <w:color w:val="111111"/>
          <w:sz w:val="28"/>
          <w:sz w:val="28"/>
          <w:szCs w:val="28"/>
          <w:rtl w:val="true"/>
          <w:lang w:bidi="ar-SA"/>
        </w:rPr>
        <w:t>، أو معها على رواية الصدوق، لفقد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الإغضاء عن عدم العموم لعلّة ندرة الفرد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و المرسل يخصبصانه جمعاً، و حملُ الأمر فيهما بالغسل و الإعادة على الاستحباب لا معنى له و إن كان من المجازات الواضحة؛ لأنّ التخصيص أوضح من حيث ندرة الفرد خارجاً أو ذهناً، ثمّ رواية الدّينار كالصريحة في الوجوب فتعاضدهما، و مقتضى المقابلة بين غسل النقط و غسل ما زاد في الصحيح يوجب حمل الأمر الثاني على الوجوب لا على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عبارات البعض فهي على خلافه أدلّ، ففي الخلاف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 مقدار الدرهم فصاعداً وجب إزالته، و لا يجب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ردّه جملة المدّعين خلاف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يلزمنا مثل ذلك في مقدار الدّرهم في الدّم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صريحاً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المقدار المضاف إلى الدّرهم، أي المشخّص به؛ إذ بدونه لا يُعرَف ذلك المقدار، فالإضافة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بلا شبهة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العبارة،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راعى مقداراً فعليه الدلالة، و نحن لمّا راعينا مقداراً في الدّرهم فلإجماع الفرقة </w:t>
      </w:r>
      <w:r>
        <w:rPr>
          <w:rStyle w:val="FootnoteAnchor"/>
          <w:rtl w:val="true"/>
        </w:rPr>
        <w:footnoteReference w:id="206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بوادٍ و العَذول بوادٍ، و على نحوها باقي العبائر، فهي ظاهرة إن لم تكن صريحة في خلاف مدّعاه، و بالمراجعة يظهر الأمر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يعتبر انضمام المتفرِّق بعضه لبعض و ملاحظة المقدار بعده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المعفو عمّا بلغ المقدار فيهما لا بدّ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 بعضهما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المتفرِّق فيهما، فإذا زاد على المقدار في أحدهما أو مع الانضمام فلا عفو، و لا يكفي عدم بلوغ المقدار في أحدهما مجتمعاً أو متفرِّقاً إذا زاد بانضمامه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 في ضَمّ الثياب بعضها إلى بعض و أجزاء البدن أو الثوب كذلك لعين ما ذكرناه في المتفرِّق، و بروضه </w:t>
      </w:r>
      <w:r>
        <w:rPr>
          <w:rStyle w:val="FootnoteAnchor"/>
          <w:rtl w:val="true"/>
        </w:rPr>
        <w:footnoteReference w:id="2066"/>
      </w:r>
      <w:r>
        <w:rPr>
          <w:rFonts w:ascii="Amiri" w:hAnsi="Amiri" w:eastAsia="Amiri" w:cs="Amiri"/>
          <w:color w:val="111111"/>
          <w:sz w:val="28"/>
          <w:sz w:val="28"/>
          <w:szCs w:val="28"/>
          <w:rtl w:val="true"/>
          <w:lang w:bidi="ar-SA"/>
        </w:rPr>
        <w:t xml:space="preserve">الضَمّ معتبر في الأخير دون البدن و غير الأصحّ عدم اعتبار الضمّ مطلقاً، و هو مذهب المهذّب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وجهه إنّ الأخبار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مفرد، فيقصر الحكم على كلّ واحد واحد و إن حكمنا بضمّ المتفرّق من النقط؛ لعدم الملازمة، لكن ظاهر الثوب في الأخبار على معنى الجمع و إن لم يدخل البدن فيه، فالضّم أحوط فيها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الدّم وَجْهَي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 وجوداً و عدماً على تفشّيه؛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تفشّى من جانب إلى آخر 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بلوغ المقدار فيه و عدمه من أيّ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يتفشّ مع إصابة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الرقيق و الصفيق، فيجري الحكم في كلّ واحد، و في المجتمع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تفشّى الدّم فواحد إن رقّ الثوب و إلَّا تعدّد </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الوحدة مع التفشّي رقّة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البيان </w:t>
      </w:r>
      <w:r>
        <w:rPr>
          <w:rStyle w:val="FootnoteAnchor"/>
          <w:rtl w:val="true"/>
        </w:rPr>
        <w:footnoteReference w:id="206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 الفاضل في غير النهاية على الوحدة مع الصفاقة، و بها أطلقه </w:t>
      </w:r>
      <w:r>
        <w:rPr>
          <w:rStyle w:val="FootnoteAnchor"/>
          <w:rtl w:val="true"/>
        </w:rPr>
        <w:footnoteReference w:id="2070"/>
      </w:r>
      <w:r>
        <w:rPr>
          <w:rFonts w:ascii="Amiri" w:hAnsi="Amiri" w:eastAsia="Amiri" w:cs="Amiri"/>
          <w:color w:val="111111"/>
          <w:sz w:val="28"/>
          <w:sz w:val="28"/>
          <w:szCs w:val="28"/>
          <w:rtl w:val="true"/>
          <w:lang w:bidi="ar-SA"/>
        </w:rPr>
        <w:t>، و الظاهر أنّ المتفشّي واحد مطلقاً، و غيره اثنان مطلقاً و إن اتّصلا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 الفاضل أنّ الاتّصال سببٌ للوحدة </w:t>
      </w:r>
      <w:r>
        <w:rPr>
          <w:rStyle w:val="FootnoteAnchor"/>
          <w:rtl w:val="true"/>
        </w:rPr>
        <w:footnoteReference w:id="2071"/>
      </w:r>
      <w:r>
        <w:rPr>
          <w:rFonts w:ascii="Amiri" w:hAnsi="Amiri" w:eastAsia="Amiri" w:cs="Amiri"/>
          <w:color w:val="111111"/>
          <w:sz w:val="28"/>
          <w:sz w:val="28"/>
          <w:szCs w:val="28"/>
          <w:rtl w:val="true"/>
          <w:lang w:bidi="ar-SA"/>
        </w:rPr>
        <w:t>، و ذو البطانة ثوبان، فإن كان هو مراد الذكرى فلا شبهة في الاثنينيّة مطلقاً، و إلَّا فلا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الشارح أطلق هنا، و بغيره </w:t>
      </w:r>
      <w:r>
        <w:rPr>
          <w:rStyle w:val="FootnoteAnchor"/>
          <w:rtl w:val="true"/>
        </w:rPr>
        <w:footnoteReference w:id="2072"/>
      </w:r>
      <w:r>
        <w:rPr>
          <w:rFonts w:ascii="Amiri" w:hAnsi="Amiri" w:eastAsia="Amiri" w:cs="Amiri"/>
          <w:color w:val="111111"/>
          <w:sz w:val="28"/>
          <w:sz w:val="28"/>
          <w:szCs w:val="28"/>
          <w:rtl w:val="true"/>
          <w:lang w:bidi="ar-SA"/>
        </w:rPr>
        <w:t>صرّح بأنّ ذا البطانة متعدِّدٌ فيضمّ ما في أحدهما إلى الآخر، و إن كان بالتفشّي فيحمل عليه إطلاقه، و هو الأسْلَم، هذا حكم منفرد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دون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مائع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متنجّس به من غير موضع الإصابة، أو أصابه مائع خارجاً ثمّ أصاب الثوب و البدن ذلك المائع؛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بقاء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073"/>
      </w:r>
      <w:r>
        <w:rPr>
          <w:rFonts w:ascii="Amiri" w:hAnsi="Amiri" w:eastAsia="Amiri" w:cs="Amiri"/>
          <w:color w:val="111111"/>
          <w:sz w:val="28"/>
          <w:sz w:val="28"/>
          <w:szCs w:val="28"/>
          <w:rtl w:val="true"/>
          <w:lang w:bidi="ar-SA"/>
        </w:rPr>
        <w:t>و عدمه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العفو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الذكرى </w:t>
      </w:r>
      <w:r>
        <w:rPr>
          <w:rStyle w:val="FootnoteAnchor"/>
          <w:rtl w:val="true"/>
        </w:rPr>
        <w:footnoteReference w:id="2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 احتمالَي النّهاية </w:t>
      </w:r>
      <w:r>
        <w:rPr>
          <w:rStyle w:val="FootnoteAnchor"/>
          <w:rtl w:val="true"/>
        </w:rPr>
        <w:footnoteReference w:id="2075"/>
      </w:r>
      <w:r>
        <w:rPr>
          <w:rFonts w:ascii="Amiri" w:hAnsi="Amiri" w:eastAsia="Amiri" w:cs="Amiri"/>
          <w:color w:val="111111"/>
          <w:sz w:val="28"/>
          <w:sz w:val="28"/>
          <w:szCs w:val="28"/>
          <w:rtl w:val="true"/>
          <w:lang w:bidi="ar-SA"/>
        </w:rPr>
        <w:t xml:space="preserve">لأنّ المتنجّس بالشيء لا يزيد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2076"/>
      </w:r>
      <w:r>
        <w:rPr>
          <w:rFonts w:ascii="IRNazanin" w:hAnsi="IRNazanin" w:eastAsia="IRNazanin"/>
          <w:color w:val="111111"/>
          <w:sz w:val="28"/>
          <w:sz w:val="28"/>
          <w:szCs w:val="28"/>
          <w:rtl w:val="true"/>
          <w:lang w:bidi="fa-IR"/>
        </w:rPr>
        <w:t xml:space="preserve">و المنتهى </w:t>
      </w:r>
      <w:r>
        <w:rPr>
          <w:rStyle w:val="FootnoteAnchor"/>
          <w:rtl w:val="true"/>
        </w:rPr>
        <w:footnoteReference w:id="2077"/>
      </w:r>
      <w:r>
        <w:rPr>
          <w:rFonts w:ascii="Amiri" w:hAnsi="Amiri" w:eastAsia="Amiri" w:cs="Amiri"/>
          <w:color w:val="111111"/>
          <w:sz w:val="28"/>
          <w:sz w:val="28"/>
          <w:szCs w:val="28"/>
          <w:rtl w:val="true"/>
          <w:lang w:bidi="ar-SA"/>
        </w:rPr>
        <w:t>لدوران الحكم مَدار الاسم، و العفو تعلّق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الشارح في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إصابة المائع للموجود في الثوب أو البدن الذي لم يبلغ المقدار و عدم زيادتهما على القَدْر المعفوّ عنه، و لعلّه فرض الشارح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أصاب المائع دماً خارجياً ثمّ أصاب الثوب ينعكس الأجود و إن سرى فيه التعليل بعدم زيادة الفرع على أصله، فإنّ المائع المفروض ليس من الدّم الذي علّق عليه الحكم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الفرض الأوّل فيستصحب العفو عنه، و حال المائع حينئذٍ حال القَيْح في دَم الجروح و القروح، فينسحب الحكم حتّى لما أصاب الدّمين السابقين في المحلّ، بخلاف غيره؛ </w:t>
      </w:r>
    </w:p>
    <w:p>
      <w:pPr>
        <w:pStyle w:val="BookText"/>
        <w:rPr/>
      </w:pPr>
      <w:r>
        <w:rPr>
          <w:rFonts w:ascii="Amiri" w:hAnsi="Amiri" w:eastAsia="Amiri" w:cs="Amiri"/>
          <w:color w:val="111111"/>
          <w:sz w:val="28"/>
          <w:sz w:val="28"/>
          <w:szCs w:val="28"/>
          <w:rtl w:val="true"/>
          <w:lang w:bidi="ar-SA"/>
        </w:rPr>
        <w:t>لعدم صدق الدّم، و لا عفو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يعتبر التقدير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 إشارة إلى تساوي الفرضين في بقاء الحكم، فإنّ ضمير التثنية راجع للدّم و المائع المتنجّس به إذا تعدّى عن موضع الدّم فيلاحظ المقدار فيه منفرداً أو منضمّاً، و عليه فيسري الحكم فيما لاقاه أيضاً و هكذا، و الأقوى وفاقاً لأحَد قَوْلَي الفاضل و صريح المهذّب </w:t>
      </w:r>
      <w:r>
        <w:rPr>
          <w:rStyle w:val="FootnoteAnchor"/>
          <w:rtl w:val="true"/>
        </w:rPr>
        <w:footnoteReference w:id="2078"/>
      </w:r>
      <w:r>
        <w:rPr>
          <w:rFonts w:ascii="Amiri" w:hAnsi="Amiri" w:eastAsia="Amiri" w:cs="Amiri"/>
          <w:color w:val="111111"/>
          <w:sz w:val="28"/>
          <w:sz w:val="28"/>
          <w:szCs w:val="28"/>
          <w:rtl w:val="true"/>
          <w:lang w:bidi="ar-SA"/>
        </w:rPr>
        <w:t xml:space="preserve">العدم بلغ المقدار أم لا؛ لأنها نجاسة خارجة عن نجاسة الدّم يجب إزالتها، و أمّا لو جامع الدّم نجاسة أُخرى فالمشهور عدم العفو مطلقاً، و هو مبنيّ على تزايد النجاسة بملاقاة مثلها، و قد أنكره بعضهم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تأثير الزائد فيما هو من أحكام جنس النجاسة مثل وجوب الإزالة ممنوع، فإذا كانت النجاسة المُلاقية لا يزيد حكمها على حكم جنس النجاسة و اتّفقت مع الدّم جرى عليه حكم المائع الطاهر إذا اتّفق معه، و لم تؤثِّر تلك النجاسة في العفو شيئاً، و تؤثِّر لو كان لشخصها حكمٌ آخر، كتعدّد الغسل و التعفير؛ إذ لا 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ممّا يعفى عن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سبق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المربّية للولد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 صلاة الرّجل فيه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كالتكة و الجورب و القلنسوة و النعل و الخفّ؛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لكونه لا يستر عورته </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تنجّسه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حكم الأوّل في لباس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 فلم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يتعلّق ببدن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ليذكر في بحث طهارة بدنه من الحَدَث و الخَبَث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شرط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داعي لذكره،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هنا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السبب في تركهما و إن ذكرهما في غيره </w:t>
      </w:r>
      <w:r>
        <w:rPr>
          <w:rStyle w:val="FootnoteAnchor"/>
          <w:rtl w:val="true"/>
        </w:rPr>
        <w:footnoteReference w:id="2081"/>
      </w:r>
      <w:r>
        <w:rPr>
          <w:rFonts w:ascii="IRNazanin" w:hAnsi="IRNazanin" w:eastAsia="IRNazanin"/>
          <w:color w:val="111111"/>
          <w:sz w:val="28"/>
          <w:sz w:val="28"/>
          <w:szCs w:val="28"/>
          <w:rtl w:val="true"/>
          <w:lang w:bidi="fa-IR"/>
        </w:rPr>
        <w:t xml:space="preserve">، و المشهور </w:t>
      </w:r>
      <w:r>
        <w:rPr>
          <w:rStyle w:val="FootnoteAnchor"/>
          <w:rtl w:val="true"/>
        </w:rPr>
        <w:footnoteReference w:id="2082"/>
      </w:r>
      <w:r>
        <w:rPr>
          <w:rFonts w:ascii="Amiri" w:hAnsi="Amiri" w:eastAsia="Amiri" w:cs="Amiri"/>
          <w:color w:val="111111"/>
          <w:sz w:val="28"/>
          <w:sz w:val="28"/>
          <w:szCs w:val="28"/>
          <w:rtl w:val="true"/>
          <w:lang w:bidi="ar-SA"/>
        </w:rPr>
        <w:t xml:space="preserve">على العفو فيها و إن </w:t>
      </w:r>
    </w:p>
    <w:p>
      <w:pPr>
        <w:pStyle w:val="BookText"/>
        <w:rPr/>
      </w:pPr>
      <w:r>
        <w:rPr>
          <w:rFonts w:ascii="Amiri" w:hAnsi="Amiri" w:eastAsia="Amiri" w:cs="Amiri"/>
          <w:color w:val="111111"/>
          <w:sz w:val="28"/>
          <w:sz w:val="28"/>
          <w:szCs w:val="28"/>
          <w:rtl w:val="true"/>
          <w:lang w:bidi="ar-SA"/>
        </w:rPr>
        <w:t>تنجسّت بنجاسة لا يعفى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نطقت موثّقة زرارة </w:t>
      </w:r>
      <w:r>
        <w:rPr>
          <w:rStyle w:val="FootnoteAnchor"/>
          <w:rtl w:val="true"/>
        </w:rPr>
        <w:footnoteReference w:id="2083"/>
      </w:r>
      <w:r>
        <w:rPr>
          <w:rFonts w:ascii="IRNazanin" w:hAnsi="IRNazanin" w:eastAsia="IRNazanin"/>
          <w:color w:val="111111"/>
          <w:sz w:val="28"/>
          <w:sz w:val="28"/>
          <w:szCs w:val="28"/>
          <w:rtl w:val="true"/>
          <w:lang w:bidi="fa-IR"/>
        </w:rPr>
        <w:t xml:space="preserve">و مرسل ابن سنان </w:t>
      </w:r>
      <w:r>
        <w:rPr>
          <w:rStyle w:val="FootnoteAnchor"/>
          <w:rtl w:val="true"/>
        </w:rPr>
        <w:footnoteReference w:id="2084"/>
      </w:r>
      <w:r>
        <w:rPr>
          <w:rFonts w:ascii="IRNazanin" w:hAnsi="IRNazanin" w:eastAsia="IRNazanin"/>
          <w:color w:val="111111"/>
          <w:sz w:val="28"/>
          <w:sz w:val="28"/>
          <w:szCs w:val="28"/>
          <w:rtl w:val="true"/>
          <w:lang w:bidi="fa-IR"/>
        </w:rPr>
        <w:t xml:space="preserve">و حمّاد بن عثمان </w:t>
      </w:r>
      <w:r>
        <w:rPr>
          <w:rStyle w:val="FootnoteAnchor"/>
          <w:rtl w:val="true"/>
        </w:rPr>
        <w:footnoteReference w:id="2085"/>
      </w:r>
      <w:r>
        <w:rPr>
          <w:rFonts w:ascii="Amiri" w:hAnsi="Amiri" w:eastAsia="Amiri" w:cs="Amiri"/>
          <w:color w:val="111111"/>
          <w:sz w:val="28"/>
          <w:sz w:val="28"/>
          <w:szCs w:val="28"/>
          <w:rtl w:val="true"/>
          <w:lang w:bidi="ar-SA"/>
        </w:rPr>
        <w:t xml:space="preserve">به، و يستفاد منها الكلّية في العفو عمّا لا يستر، فلا وجه لمن اقتصر على البعض إلَّا العمامة؛ للنّص </w:t>
      </w:r>
      <w:r>
        <w:rPr>
          <w:rStyle w:val="FootnoteAnchor"/>
          <w:rtl w:val="true"/>
        </w:rPr>
        <w:footnoteReference w:id="2086"/>
      </w:r>
      <w:r>
        <w:rPr>
          <w:rFonts w:ascii="Amiri" w:hAnsi="Amiri" w:eastAsia="Amiri" w:cs="Amiri"/>
          <w:color w:val="111111"/>
          <w:sz w:val="28"/>
          <w:sz w:val="28"/>
          <w:szCs w:val="28"/>
          <w:rtl w:val="true"/>
          <w:lang w:bidi="ar-SA"/>
        </w:rPr>
        <w:t>، و فيما يستر لو تغيّرت هيئته إشكال، أقربه الجواز في الصغير الملبّد؛ لصدق إنّه لا يستر في حال الصلاة، و عدمه في الطويل العريض الذي يعالج بلفّ ،و مثله ، إلَّا المخيط مطلقاً، فإنّه من الصّغير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لا يستر، منه ملبوس و منه محمول، و هما بين متنجّس بما يعفى عنه، أو ما لا يعفى عنه كدم الحيض و أخويه </w:t>
      </w:r>
      <w:r>
        <w:rPr>
          <w:rStyle w:val="FootnoteAnchor"/>
          <w:rtl w:val="true"/>
        </w:rPr>
        <w:footnoteReference w:id="2087"/>
      </w:r>
      <w:r>
        <w:rPr>
          <w:rFonts w:ascii="Amiri" w:hAnsi="Amiri" w:eastAsia="Amiri" w:cs="Amiri"/>
          <w:color w:val="111111"/>
          <w:sz w:val="28"/>
          <w:sz w:val="28"/>
          <w:szCs w:val="28"/>
          <w:rtl w:val="true"/>
          <w:lang w:bidi="ar-SA"/>
        </w:rPr>
        <w:t xml:space="preserve">و نجس العين، و بين ما منع منه؛ لأنه نجس في ذاته كجلد الميتة مطلقاً، أو لجهة أُخرى كبعضه، و بين ما أمكن إزالته أم لا سواء كان الحمل في البواطن أم لا، و لا شبهة في عدم إطلاق الجواز، بل و لا قائل به و إن أطلق العفو جماعة فيهما، و المتيقّن العفو عن غير الساتر منهما في اللّباس إذا تنجّس بأحد النجاسات غير الدِّماء الثلاثة، و نجسِ العين و إن لم يكن في محلّه كالخلخال في موضع الدملج و بالعكس؛ إذ ليس للمحلّ خصوصيّة فيتبعه الحكم، لا أقلّ من لحوقه بالمحمول، إلَّا المغصوب مطلقاً على ما حققناه في مسألة الاقتضاء، أمّا غير الساتر بشرطه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ملبوساً أو 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موضع وفاق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المحمول من غير اللباس كالدرهم و المدية، أو من اللباس الساتر عدا ما استثنياه، ففيه خلاف، المنعُ مطلقاً، و عدمه مطلقاً، و التفصيل بين المستثنى من الملابس و غيرها، و التفصيل بين ما لا تتمّ الصلاة فيه مطلقاً و بين غيره، و الأوّل للشيخ </w:t>
      </w:r>
      <w:r>
        <w:rPr>
          <w:rStyle w:val="FootnoteAnchor"/>
          <w:rtl w:val="true"/>
        </w:rPr>
        <w:footnoteReference w:id="2088"/>
      </w:r>
      <w:r>
        <w:rPr>
          <w:rFonts w:ascii="Amiri" w:hAnsi="Amiri" w:eastAsia="Amiri" w:cs="Amiri"/>
          <w:color w:val="111111"/>
          <w:sz w:val="28"/>
          <w:sz w:val="28"/>
          <w:szCs w:val="28"/>
          <w:rtl w:val="true"/>
          <w:lang w:bidi="ar-SA"/>
        </w:rPr>
        <w:t xml:space="preserve">و جماعة </w:t>
      </w:r>
      <w:r>
        <w:rPr>
          <w:rStyle w:val="FootnoteAnchor"/>
          <w:rtl w:val="true"/>
        </w:rPr>
        <w:footnoteReference w:id="2089"/>
      </w:r>
      <w:r>
        <w:rPr>
          <w:rFonts w:ascii="Amiri" w:hAnsi="Amiri" w:eastAsia="Amiri" w:cs="Amiri"/>
          <w:color w:val="111111"/>
          <w:sz w:val="28"/>
          <w:sz w:val="28"/>
          <w:szCs w:val="28"/>
          <w:rtl w:val="true"/>
          <w:lang w:bidi="ar-SA"/>
        </w:rPr>
        <w:t xml:space="preserve">، و الثاني </w:t>
      </w:r>
    </w:p>
    <w:p>
      <w:pPr>
        <w:pStyle w:val="BookText"/>
        <w:rPr/>
      </w:pPr>
      <w:r>
        <w:rPr>
          <w:rFonts w:ascii="Amiri" w:hAnsi="Amiri" w:eastAsia="Amiri" w:cs="Amiri"/>
          <w:color w:val="111111"/>
          <w:sz w:val="28"/>
          <w:sz w:val="28"/>
          <w:szCs w:val="28"/>
          <w:rtl w:val="true"/>
          <w:lang w:bidi="ar-SA"/>
        </w:rPr>
        <w:t xml:space="preserve">لهما و جماعة </w:t>
      </w:r>
      <w:r>
        <w:rPr>
          <w:rStyle w:val="FootnoteAnchor"/>
          <w:rtl w:val="true"/>
        </w:rPr>
        <w:footnoteReference w:id="2090"/>
      </w:r>
      <w:r>
        <w:rPr>
          <w:rFonts w:ascii="Amiri" w:hAnsi="Amiri" w:eastAsia="Amiri" w:cs="Amiri"/>
          <w:color w:val="111111"/>
          <w:sz w:val="28"/>
          <w:sz w:val="28"/>
          <w:szCs w:val="28"/>
          <w:rtl w:val="true"/>
          <w:lang w:bidi="ar-SA"/>
        </w:rPr>
        <w:t xml:space="preserve">، و الثالث للفاضل في النهاية </w:t>
      </w:r>
      <w:r>
        <w:rPr>
          <w:rStyle w:val="FootnoteAnchor"/>
          <w:rtl w:val="true"/>
        </w:rPr>
        <w:footnoteReference w:id="2091"/>
      </w:r>
      <w:r>
        <w:rPr>
          <w:rFonts w:ascii="Amiri" w:hAnsi="Amiri" w:eastAsia="Amiri" w:cs="Amiri"/>
          <w:color w:val="111111"/>
          <w:sz w:val="28"/>
          <w:sz w:val="28"/>
          <w:szCs w:val="28"/>
          <w:rtl w:val="true"/>
          <w:lang w:bidi="ar-SA"/>
        </w:rPr>
        <w:t>، و الرابع يظهر من المعتبر حيث قال في القارورة المحمولة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لا تتمّ به للصلاة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للأوّل بتنقيح المناط القطعي بين المحمول و الثوب و البدن، و بأنّه صلاة في النجس، و كلّ صلاة في النجس باطلة؛ لأنّ كلّ لصدق الصغرى بمجرّد الحمل عرفاً، و النّهي عن الصلاة في الوبر و الشعر و البول و الخرء ممّا لا يؤكل لحمه دليل عليه أيضاً، كجواز الصلاة في خرقة الحنّا و السّيف و المنديل، و تمام الكبرى بالنّهي في المكاتبة </w:t>
      </w:r>
      <w:r>
        <w:rPr>
          <w:rStyle w:val="FootnoteAnchor"/>
          <w:rtl w:val="true"/>
        </w:rPr>
        <w:footnoteReference w:id="2093"/>
      </w:r>
      <w:r>
        <w:rPr>
          <w:rFonts w:ascii="Amiri" w:hAnsi="Amiri" w:eastAsia="Amiri" w:cs="Amiri"/>
          <w:color w:val="111111"/>
          <w:sz w:val="28"/>
          <w:sz w:val="28"/>
          <w:szCs w:val="28"/>
          <w:rtl w:val="true"/>
          <w:lang w:bidi="ar-SA"/>
        </w:rPr>
        <w:t>عن الصلاة في الثوب الذي أصابه الخمر و لحم الخنزير لأنه رجس؛ لعموم العلّة في كلّ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يدفعهما أنّ الأوّل ملحق بالقياس؛ إذ لا دليل على الاتّحاد القطعي، و الثاني بعدم العموم في المحمول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سلّمناه في كلّ رجس قصرناه على وجه الملابسة دون الحمل؛ لاختصاص المورد به من حيث إصابة هذه الأشياء لثوب المصلِّي أو بدنه، و لو أغضينا عن ذلك و قلنا بالعموم فمرسل ابن سنان مخصِص له؛ لقوله علیه السلام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على الإنسان أو معه ممّا لا يجوز الصلاة فيه وحده فلا بأس</w:t>
      </w:r>
      <w:r>
        <w:rPr>
          <w:rFonts w:eastAsia="IRNazanin" w:cs="IRNazanin"/>
          <w:color w:val="111111"/>
          <w:sz w:val="28"/>
          <w:szCs w:val="28"/>
          <w:rtl w:val="true"/>
          <w:lang w:bidi="fa-IR"/>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العمل عليه، و يردّ به إطلاق الجواز و التفصيل الأوّل، و يكون المتّجه التفصيل الأخير من جواز حمل النجس غير الملبوس مطلقاً و من الملبوس الذي لا تتمّ الصلاة به؛ أخذاً بمفهوم المرسل الذي هو الميزان حتّى لو كان الميتة، بل هو منصوص فيما يقبل التذكية منها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نجاسة غير مأكول اللّحم مطلقاً، أو ما لم يقبل التذكية، فهو مبنيّ على جواز </w:t>
      </w:r>
    </w:p>
    <w:p>
      <w:pPr>
        <w:pStyle w:val="BookText"/>
        <w:rPr/>
      </w:pPr>
      <w:r>
        <w:rPr>
          <w:rFonts w:ascii="Amiri" w:hAnsi="Amiri" w:eastAsia="Amiri" w:cs="Amiri"/>
          <w:color w:val="111111"/>
          <w:sz w:val="28"/>
          <w:sz w:val="28"/>
          <w:szCs w:val="28"/>
          <w:rtl w:val="true"/>
          <w:lang w:bidi="ar-SA"/>
        </w:rPr>
        <w:t xml:space="preserve">الصلاة فيما لا تتمّ الصلاة به منه و عدمه، و الشيخ جوّز على كراهية </w:t>
      </w:r>
      <w:r>
        <w:rPr>
          <w:rStyle w:val="FootnoteAnchor"/>
          <w:rtl w:val="true"/>
        </w:rPr>
        <w:footnoteReference w:id="2095"/>
      </w:r>
      <w:r>
        <w:rPr>
          <w:rFonts w:ascii="Amiri" w:hAnsi="Amiri" w:eastAsia="Amiri" w:cs="Amiri"/>
          <w:color w:val="111111"/>
          <w:sz w:val="28"/>
          <w:sz w:val="28"/>
          <w:szCs w:val="28"/>
          <w:rtl w:val="true"/>
          <w:lang w:bidi="ar-SA"/>
        </w:rPr>
        <w:t xml:space="preserve">، و غيره منع </w:t>
      </w:r>
      <w:r>
        <w:rPr>
          <w:rStyle w:val="FootnoteAnchor"/>
          <w:rtl w:val="true"/>
        </w:rPr>
        <w:footnoteReference w:id="2096"/>
      </w:r>
      <w:r>
        <w:rPr>
          <w:rFonts w:ascii="Amiri" w:hAnsi="Amiri" w:eastAsia="Amiri" w:cs="Amiri"/>
          <w:color w:val="111111"/>
          <w:sz w:val="28"/>
          <w:sz w:val="28"/>
          <w:szCs w:val="28"/>
          <w:rtl w:val="true"/>
          <w:lang w:bidi="ar-SA"/>
        </w:rPr>
        <w:t xml:space="preserve">، و قول الشيخ لا يخلو من وجه؛ لأنّ به خبرين </w:t>
      </w:r>
      <w:r>
        <w:rPr>
          <w:rStyle w:val="FootnoteAnchor"/>
          <w:rtl w:val="true"/>
        </w:rPr>
        <w:footnoteReference w:id="2097"/>
      </w:r>
      <w:r>
        <w:rPr>
          <w:rFonts w:ascii="Amiri" w:hAnsi="Amiri" w:eastAsia="Amiri" w:cs="Amiri"/>
          <w:color w:val="111111"/>
          <w:sz w:val="28"/>
          <w:sz w:val="28"/>
          <w:szCs w:val="28"/>
          <w:rtl w:val="true"/>
          <w:lang w:bidi="ar-SA"/>
        </w:rPr>
        <w:t xml:space="preserve">يخصّصان ما دلّ على عدم جواز الصلاة في شيء ممّا لا يؤكل لحمه، مع إمكان حمل المكاتبة على الكراهة، لكن الظاهر العدم؛ للتصريح بالمنع في محموله، فكيف بملبوسه؛ و لذا مالَ أو جزم به جملة من المحقّقين </w:t>
      </w:r>
      <w:r>
        <w:rPr>
          <w:rStyle w:val="FootnoteAnchor"/>
          <w:rtl w:val="true"/>
        </w:rPr>
        <w:footnoteReference w:id="2098"/>
      </w:r>
      <w:r>
        <w:rPr>
          <w:rFonts w:ascii="Amiri" w:hAnsi="Amiri" w:eastAsia="Amiri" w:cs="Amiri"/>
          <w:color w:val="111111"/>
          <w:sz w:val="28"/>
          <w:sz w:val="28"/>
          <w:szCs w:val="28"/>
          <w:rtl w:val="true"/>
          <w:lang w:bidi="ar-SA"/>
        </w:rPr>
        <w:t>، و يأتي له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منعنا من جواز الصلاة به ملبوساً أو محمولاً مطلقاً يلزمنا المنع من الصلاة بنجاسته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عبرة بالغلظة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العظم المجبّر به، و الخيط النجس الذي خِيْطَ به الجرح، و الدّم الداخلي و النجس المشروب من خمر و غيره </w:t>
      </w:r>
      <w:r>
        <w:rPr>
          <w:rStyle w:val="FootnoteAnchor"/>
          <w:rtl w:val="true"/>
        </w:rPr>
        <w:footnoteReference w:id="2099"/>
      </w:r>
      <w:r>
        <w:rPr>
          <w:rFonts w:ascii="Amiri" w:hAnsi="Amiri" w:eastAsia="Amiri" w:cs="Amiri"/>
          <w:color w:val="111111"/>
          <w:sz w:val="28"/>
          <w:sz w:val="28"/>
          <w:szCs w:val="28"/>
          <w:rtl w:val="true"/>
          <w:lang w:bidi="ar-SA"/>
        </w:rPr>
        <w:t>، مثلُ الكلام في النجس المحمول الذي يمكن إلقاؤه و ما لا يمكن من إزالته منها، يلحق بالبواطن ولكن الاحتياط في الجميع لا يُترَك إلَّا ما صدّرنا من متيقّن العفو عنه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الخمر و المغصوب من المأكول جهةٌ أُخرى للمنع من الصلاة تبتني على مسألة الضّد مع سعة الوقت</w:t>
      </w:r>
      <w:r>
        <w:rPr>
          <w:rFonts w:eastAsia="Amiri" w:cs="Amiri" w:ascii="Amiri" w:hAnsi="Amiri"/>
          <w:color w:val="111111"/>
          <w:sz w:val="28"/>
          <w:szCs w:val="28"/>
          <w:rtl w:val="true"/>
          <w:lang w:bidi="ar-SA"/>
        </w:rPr>
        <w:t xml:space="preserve">. </w:t>
      </w:r>
      <w:bookmarkStart w:id="170" w:name="pg9146_86237"/>
    </w:p>
    <w:p>
      <w:pPr>
        <w:pStyle w:val="Heading2"/>
        <w:numPr>
          <w:ilvl w:val="1"/>
          <w:numId w:val="1"/>
        </w:numPr>
        <w:rPr/>
      </w:pPr>
      <w:bookmarkStart w:id="171" w:name="__RefHeading___Toc3322638_2870459653"/>
      <w:bookmarkStart w:id="172" w:name="_Toc57"/>
      <w:bookmarkEnd w:id="170"/>
      <w:bookmarkEnd w:id="171"/>
      <w:r>
        <w:rPr>
          <w:rtl w:val="true"/>
        </w:rPr>
        <w:t>[</w:t>
      </w:r>
      <w:r>
        <w:rPr>
          <w:rtl w:val="true"/>
        </w:rPr>
        <w:t>كيفية غسل الثوب</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يغسل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بحكمه من اللّباس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بينهما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يفيد مفاده من اللّي و التغميز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كبس الثوب بالمعتاد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كيفيته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 رأسَه في الثوب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فالمراد به إدخال بعضه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لإخراج الماء المغسول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خرج بلا عصر سقط الكبس، إشارة إلى نفي التعبّديّة بالعصر، و مجرورا الباء و اللّام صالحان للتعليق بالعصر أو الكبس أو أحدهما بأحدهما، فترتفع الصّور لست، على بعضها لا وجه لمقالة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يعتبر العصر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الماتن بعد اعتباره له بينهما، فإنّ وجوب العصر إمّا تعبّديّ، و إمّا لأنه داخل في مفهوم الغسل وضعاً أو انصرافاً، و إمّا لإخراج الماء المغسول به من حيث انفعاله بملاقاة النجاسة فلا ينفعل به الوارد؛ فإن كان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 قصره على توسّطه، و على الثاني يغني الغسل عن ذكره، فإن ذكر فليكن في الاثنين، و على الثالث الذي يلوح من الشارح أيضاً يقتضي أن يكون بعد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قيل عليه </w:t>
      </w:r>
      <w:r>
        <w:rPr>
          <w:rStyle w:val="FootnoteAnchor"/>
          <w:rtl w:val="true"/>
        </w:rPr>
        <w:footnoteReference w:id="2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التعدّد حينئذٍ لا معنى له؛ إذ بعد فرض وجوبه لإخراج ما تخلّف ماء الغسلة الأُولى؛ لجهة نجاسته، يقتضي الاكتفاء بالعصر الواحد إذا تعقّب الغسلتين؛ لحصول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عدم صدق الثانية بدونه عنده إمّا لدخوله في الغسل و إلَّا كان صَبّاً، أو لاعتبار نقاء المحلّ تعبّداً، فيساوي العصر الجفاف بينهما و غيره ممّا يخرج به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 الرّوض </w:t>
      </w:r>
      <w:r>
        <w:rPr>
          <w:rStyle w:val="FootnoteAnchor"/>
          <w:rtl w:val="true"/>
        </w:rPr>
        <w:footnoteReference w:id="2101"/>
      </w:r>
      <w:r>
        <w:rPr>
          <w:rFonts w:ascii="Amiri" w:hAnsi="Amiri" w:eastAsia="Amiri" w:cs="Amiri"/>
          <w:color w:val="111111"/>
          <w:sz w:val="28"/>
          <w:sz w:val="28"/>
          <w:szCs w:val="28"/>
          <w:rtl w:val="true"/>
          <w:lang w:bidi="ar-SA"/>
        </w:rPr>
        <w:t>أنّ العصر معتبر لأجل إخراج ماء الغسالة و أجزاء النّجاسة معاً، أو لبقاء أثر النجاسة و حكمها بعد العصر الأوّلي فلا بدّ من عصر ثانٍ لرفع الأثر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اعتبر العصر المتوسّط لإخراج أجزاء النجاسة و إن بقيَ الأثر، فهو من النافين لاعتبار العصر مطلقاً، و يُومئ إلى ذلك تعليله في غيره </w:t>
      </w:r>
      <w:r>
        <w:rPr>
          <w:rStyle w:val="FootnoteAnchor"/>
          <w:rtl w:val="true"/>
        </w:rPr>
        <w:footnoteReference w:id="2102"/>
      </w:r>
      <w:r>
        <w:rPr>
          <w:rFonts w:ascii="Amiri" w:hAnsi="Amiri" w:eastAsia="Amiri" w:cs="Amiri"/>
          <w:color w:val="111111"/>
          <w:sz w:val="28"/>
          <w:sz w:val="28"/>
          <w:szCs w:val="28"/>
          <w:rtl w:val="true"/>
          <w:lang w:bidi="ar-SA"/>
        </w:rPr>
        <w:t xml:space="preserve">لإيجاب الغسلتين </w:t>
      </w:r>
    </w:p>
    <w:p>
      <w:pPr>
        <w:pStyle w:val="BookText"/>
        <w:rPr/>
      </w:pPr>
      <w:r>
        <w:rPr>
          <w:rFonts w:ascii="Amiri" w:hAnsi="Amiri" w:eastAsia="Amiri" w:cs="Amiri"/>
          <w:color w:val="111111"/>
          <w:sz w:val="28"/>
          <w:sz w:val="28"/>
          <w:szCs w:val="28"/>
          <w:rtl w:val="true"/>
          <w:lang w:bidi="ar-SA"/>
        </w:rPr>
        <w:t>بأنّ أحدهما للإزالة و الأُخرى للتّطهير، أراد بالإزالة إزالة العين دون الأثر، فإذا لم يتوقّف حصول التطهير من النجاسة الحكميّة على العصر ارتفع اعتباره مطلقاً، و حمل اشتراطه له هنا و في سائر كتبه من جهة حصول إزالة العين به، و لا شبهة بأنّ إزالة عين النجاسة مطلوبة عند التطهير، فيجب كلّما تتوقّف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العصر أحد المزيلات و الفرد الظاهر منها صرّح به و إن كفى غيره لو حصلت إزالة العين به، و لعلّ الفاضل يظهر منه ذلك؛ لأنه اعتبر الدّلك في غسل الجسد </w:t>
      </w:r>
      <w:r>
        <w:rPr>
          <w:rStyle w:val="FootnoteAnchor"/>
          <w:rtl w:val="true"/>
        </w:rPr>
        <w:footnoteReference w:id="2103"/>
      </w:r>
      <w:r>
        <w:rPr>
          <w:rFonts w:ascii="Amiri" w:hAnsi="Amiri" w:eastAsia="Amiri" w:cs="Amiri"/>
          <w:color w:val="111111"/>
          <w:sz w:val="28"/>
          <w:sz w:val="28"/>
          <w:szCs w:val="28"/>
          <w:rtl w:val="true"/>
          <w:lang w:bidi="ar-SA"/>
        </w:rPr>
        <w:t xml:space="preserve">، فإنّ اعتباره إذا كان لتوقّف التطهير عليه بعد زوال العين خالف الإجماع </w:t>
      </w:r>
      <w:r>
        <w:rPr>
          <w:rStyle w:val="FootnoteAnchor"/>
          <w:rtl w:val="true"/>
        </w:rPr>
        <w:footnoteReference w:id="2104"/>
      </w:r>
      <w:r>
        <w:rPr>
          <w:rFonts w:ascii="Amiri" w:hAnsi="Amiri" w:eastAsia="Amiri" w:cs="Amiri"/>
          <w:color w:val="111111"/>
          <w:sz w:val="28"/>
          <w:sz w:val="28"/>
          <w:szCs w:val="28"/>
          <w:rtl w:val="true"/>
          <w:lang w:bidi="ar-SA"/>
        </w:rPr>
        <w:t>، و إن أسند إليه الشارح بروضه أنّ أثر النجاسة لا يزول إلَّا بعد الانفصال، و فرّع عليه أنّه لما جفّ الماء على المحلّ و لم ينفصل لم يطهر، فلعلّه أخذه من ظاهر كلماته، و المُعْتَمَد ما حرّرنا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للمصنّف حينئذٍ تركه و اشتبه في الجماليّة </w:t>
      </w:r>
      <w:r>
        <w:rPr>
          <w:rStyle w:val="FootnoteAnchor"/>
          <w:rtl w:val="true"/>
        </w:rPr>
        <w:footnoteReference w:id="2105"/>
      </w:r>
      <w:r>
        <w:rPr>
          <w:rFonts w:ascii="Amiri" w:hAnsi="Amiri" w:eastAsia="Amiri" w:cs="Amiri"/>
          <w:color w:val="111111"/>
          <w:sz w:val="28"/>
          <w:sz w:val="28"/>
          <w:szCs w:val="28"/>
          <w:rtl w:val="true"/>
          <w:lang w:bidi="ar-SA"/>
        </w:rPr>
        <w:t xml:space="preserve">في أحد محامل ترك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فبناه على القول بطهارة الغسلة الثانية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الثالث </w:t>
      </w:r>
      <w:r>
        <w:rPr>
          <w:rStyle w:val="FootnoteAnchor"/>
          <w:rtl w:val="true"/>
        </w:rPr>
        <w:footnoteReference w:id="2106"/>
      </w:r>
      <w:r>
        <w:rPr>
          <w:rFonts w:ascii="Amiri" w:hAnsi="Amiri" w:eastAsia="Amiri" w:cs="Amiri"/>
          <w:color w:val="111111"/>
          <w:sz w:val="28"/>
          <w:sz w:val="28"/>
          <w:szCs w:val="28"/>
          <w:rtl w:val="true"/>
          <w:lang w:bidi="ar-SA"/>
        </w:rPr>
        <w:t>، مع عدم قوله هنا بنجاسة الغسالة في المرّة الثانية،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غسالة المصنّف، لا هفا قلمُنا إن شاء الله تعالى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إلى تحقيق اعتبار العصر و عدمه، و المشهور اعتباره، بل نقل الإجماع عليه </w:t>
      </w:r>
      <w:r>
        <w:rPr>
          <w:rStyle w:val="FootnoteAnchor"/>
          <w:rtl w:val="true"/>
        </w:rPr>
        <w:footnoteReference w:id="2107"/>
      </w:r>
      <w:r>
        <w:rPr>
          <w:rFonts w:ascii="Amiri" w:hAnsi="Amiri" w:eastAsia="Amiri" w:cs="Amiri"/>
          <w:color w:val="111111"/>
          <w:sz w:val="28"/>
          <w:sz w:val="28"/>
          <w:szCs w:val="28"/>
          <w:rtl w:val="true"/>
          <w:lang w:bidi="ar-SA"/>
        </w:rPr>
        <w:t xml:space="preserve">، لكن اختلف رأي المعتبر له، ففي المعتبر </w:t>
      </w:r>
      <w:r>
        <w:rPr>
          <w:rStyle w:val="FootnoteAnchor"/>
          <w:rtl w:val="true"/>
        </w:rPr>
        <w:footnoteReference w:id="2108"/>
      </w:r>
      <w:r>
        <w:rPr>
          <w:rFonts w:ascii="IRNazanin" w:hAnsi="IRNazanin" w:eastAsia="IRNazanin"/>
          <w:color w:val="111111"/>
          <w:sz w:val="28"/>
          <w:sz w:val="28"/>
          <w:szCs w:val="28"/>
          <w:rtl w:val="true"/>
          <w:lang w:bidi="fa-IR"/>
        </w:rPr>
        <w:t xml:space="preserve">و المنتهى </w:t>
      </w:r>
      <w:r>
        <w:rPr>
          <w:rStyle w:val="FootnoteAnchor"/>
          <w:rtl w:val="true"/>
        </w:rPr>
        <w:footnoteReference w:id="2109"/>
      </w:r>
      <w:r>
        <w:rPr>
          <w:rFonts w:ascii="Amiri" w:hAnsi="Amiri" w:eastAsia="Amiri" w:cs="Amiri"/>
          <w:color w:val="111111"/>
          <w:sz w:val="28"/>
          <w:sz w:val="28"/>
          <w:szCs w:val="28"/>
          <w:rtl w:val="true"/>
          <w:lang w:bidi="ar-SA"/>
        </w:rPr>
        <w:t xml:space="preserve">و لواحقهم أن الغسل يتضمّن العصر </w:t>
      </w:r>
    </w:p>
    <w:p>
      <w:pPr>
        <w:pStyle w:val="BookText"/>
        <w:rPr/>
      </w:pPr>
      <w:r>
        <w:rPr>
          <w:rFonts w:ascii="Amiri" w:hAnsi="Amiri" w:eastAsia="Amiri" w:cs="Amiri"/>
          <w:color w:val="111111"/>
          <w:sz w:val="28"/>
          <w:sz w:val="28"/>
          <w:szCs w:val="28"/>
          <w:rtl w:val="true"/>
          <w:lang w:bidi="ar-SA"/>
        </w:rPr>
        <w:t xml:space="preserve">و يقابل الصّب، فهو داخل في مفهومه، و ربّما فهم من تهذيب الشيخ </w:t>
      </w:r>
      <w:r>
        <w:rPr>
          <w:rStyle w:val="FootnoteAnchor"/>
          <w:rtl w:val="true"/>
        </w:rPr>
        <w:footnoteReference w:id="2110"/>
      </w:r>
      <w:r>
        <w:rPr>
          <w:rFonts w:ascii="IRNazanin" w:hAnsi="IRNazanin" w:eastAsia="IRNazanin"/>
          <w:color w:val="111111"/>
          <w:sz w:val="28"/>
          <w:sz w:val="28"/>
          <w:szCs w:val="28"/>
          <w:rtl w:val="true"/>
          <w:lang w:bidi="fa-IR"/>
        </w:rPr>
        <w:t xml:space="preserve">و خلافه </w:t>
      </w:r>
      <w:r>
        <w:rPr>
          <w:rStyle w:val="FootnoteAnchor"/>
          <w:rtl w:val="true"/>
        </w:rPr>
        <w:footnoteReference w:id="2111"/>
      </w:r>
      <w:r>
        <w:rPr>
          <w:rFonts w:ascii="Amiri" w:hAnsi="Amiri" w:eastAsia="Amiri" w:cs="Amiri"/>
          <w:color w:val="111111"/>
          <w:sz w:val="28"/>
          <w:sz w:val="28"/>
          <w:szCs w:val="28"/>
          <w:rtl w:val="true"/>
          <w:lang w:bidi="ar-SA"/>
        </w:rPr>
        <w:t>ففي الأوّل بعد رواية السّكوني في لبن الجارية و بولها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هذا الخبر أنّ بول الصّبي لا يغسل منه الثوب قبل أن يُطْعَم، معناه أنّه يكفي أن يصبّ عليه الماء و إن لم يُعصَر،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أصاب الثوب نجاسة، أو الإناء، فصبّ عليهما الماء و لا يُغسَل و لا يُعصَر، هل يطهر الثوب و الإناء؟ لأصحابنا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 xml:space="preserve">أحدهما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قدّمناه من خبر عمّار يدلّ على وجوب الغسل و الدّلك </w:t>
      </w:r>
      <w:r>
        <w:rPr>
          <w:rStyle w:val="FootnoteAnchor"/>
          <w:rtl w:val="true"/>
        </w:rPr>
        <w:footnoteReference w:id="211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فأطلق الغسل على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2114"/>
      </w:r>
      <w:r>
        <w:rPr>
          <w:rFonts w:ascii="Amiri" w:hAnsi="Amiri" w:eastAsia="Amiri" w:cs="Amiri"/>
          <w:color w:val="111111"/>
          <w:sz w:val="28"/>
          <w:sz w:val="28"/>
          <w:szCs w:val="28"/>
          <w:rtl w:val="true"/>
          <w:lang w:bidi="ar-SA"/>
        </w:rPr>
        <w:t xml:space="preserve">أنّ الأكثر يفهم ذلك من لفظ الغسل، و بعض حكم بتعديته؛ لوروده في بعض النصوص، و حمل عليه كلام من اكتفى بالعصر الواحد مثل الصّدوق </w:t>
      </w:r>
      <w:r>
        <w:rPr>
          <w:rStyle w:val="FootnoteAnchor"/>
          <w:rtl w:val="true"/>
        </w:rPr>
        <w:footnoteReference w:id="2115"/>
      </w:r>
      <w:r>
        <w:rPr>
          <w:rFonts w:ascii="Amiri" w:hAnsi="Amiri" w:eastAsia="Amiri" w:cs="Amiri"/>
          <w:color w:val="111111"/>
          <w:sz w:val="28"/>
          <w:sz w:val="28"/>
          <w:szCs w:val="28"/>
          <w:rtl w:val="true"/>
          <w:lang w:bidi="ar-SA"/>
        </w:rPr>
        <w:t xml:space="preserve">و الحديثين </w:t>
      </w:r>
      <w:r>
        <w:rPr>
          <w:rStyle w:val="FootnoteAnchor"/>
          <w:rtl w:val="true"/>
        </w:rPr>
        <w:footnoteReference w:id="2116"/>
      </w:r>
      <w:r>
        <w:rPr>
          <w:rFonts w:ascii="Amiri" w:hAnsi="Amiri" w:eastAsia="Amiri" w:cs="Amiri"/>
          <w:color w:val="111111"/>
          <w:sz w:val="28"/>
          <w:sz w:val="28"/>
          <w:szCs w:val="28"/>
          <w:rtl w:val="true"/>
          <w:lang w:bidi="ar-SA"/>
        </w:rPr>
        <w:t xml:space="preserve">و الفقه الرّضوي </w:t>
      </w:r>
      <w:r>
        <w:rPr>
          <w:rStyle w:val="FootnoteAnchor"/>
          <w:rtl w:val="true"/>
        </w:rPr>
        <w:footnoteReference w:id="2117"/>
      </w:r>
      <w:r>
        <w:rPr>
          <w:rFonts w:ascii="Amiri" w:hAnsi="Amiri" w:eastAsia="Amiri" w:cs="Amiri"/>
          <w:color w:val="111111"/>
          <w:sz w:val="28"/>
          <w:sz w:val="28"/>
          <w:szCs w:val="28"/>
          <w:rtl w:val="true"/>
          <w:lang w:bidi="ar-SA"/>
        </w:rPr>
        <w:t xml:space="preserve">، بل و نسب إلى ظاهر الأكثر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المتأخِّرين </w:t>
      </w:r>
      <w:r>
        <w:rPr>
          <w:rStyle w:val="FootnoteAnchor"/>
          <w:rtl w:val="true"/>
        </w:rPr>
        <w:footnoteReference w:id="2119"/>
      </w:r>
      <w:r>
        <w:rPr>
          <w:rFonts w:ascii="Amiri" w:hAnsi="Amiri" w:eastAsia="Amiri" w:cs="Amiri"/>
          <w:color w:val="111111"/>
          <w:sz w:val="28"/>
          <w:sz w:val="28"/>
          <w:szCs w:val="28"/>
          <w:rtl w:val="true"/>
          <w:lang w:bidi="ar-SA"/>
        </w:rPr>
        <w:t xml:space="preserve">اعتبروه لتوقّف إزالة النجاسة أو المتنجّس من الماء عليه، و هُم بين موجب للتعدّد، و بين مكتفٍ بالوحدة فيه كالمصنّف </w:t>
      </w:r>
      <w:r>
        <w:rPr>
          <w:rStyle w:val="FootnoteAnchor"/>
          <w:rtl w:val="true"/>
        </w:rPr>
        <w:footnoteReference w:id="2120"/>
      </w:r>
      <w:r>
        <w:rPr>
          <w:rFonts w:ascii="Amiri" w:hAnsi="Amiri" w:eastAsia="Amiri" w:cs="Amiri"/>
          <w:color w:val="111111"/>
          <w:sz w:val="28"/>
          <w:sz w:val="28"/>
          <w:szCs w:val="28"/>
          <w:rtl w:val="true"/>
          <w:lang w:bidi="ar-SA"/>
        </w:rPr>
        <w:t xml:space="preserve">و الشارح، و مقابلهم القول بنفي </w:t>
      </w:r>
    </w:p>
    <w:p>
      <w:pPr>
        <w:pStyle w:val="BookText"/>
        <w:rPr/>
      </w:pPr>
      <w:r>
        <w:rPr>
          <w:rFonts w:ascii="Amiri" w:hAnsi="Amiri" w:eastAsia="Amiri" w:cs="Amiri"/>
          <w:color w:val="111111"/>
          <w:sz w:val="28"/>
          <w:sz w:val="28"/>
          <w:szCs w:val="28"/>
          <w:rtl w:val="true"/>
          <w:lang w:bidi="ar-SA"/>
        </w:rPr>
        <w:t>اعتباره مطلقاً بعد استيلاء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 الأخيران بالمشكوك في نفوذ أجزاء النجاسة أو ماء الغسالة فيه قبل العصر؛ القطع الاستصحاب في الغسل المعتبر شرعاً على الأخير، فيكون طاهراً و نجساً من حيث توقّف يقين الإزالة المطلوبة شرعاً فيستصحب بقاء النّجاسة حتّى يعصر أو يعلم زوالها على الثالث، و لو جرى الاستصحاب فيهما انتفى الفرق؛ و لأجله ألحقنا المصنّف بالنافين، لاعتباره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 مقابلته بالصّب في جملة من النصوص </w:t>
      </w:r>
      <w:r>
        <w:rPr>
          <w:rStyle w:val="FootnoteAnchor"/>
          <w:rtl w:val="true"/>
        </w:rPr>
        <w:footnoteReference w:id="2121"/>
      </w:r>
      <w:r>
        <w:rPr>
          <w:rFonts w:ascii="Amiri" w:hAnsi="Amiri" w:eastAsia="Amiri" w:cs="Amiri"/>
          <w:color w:val="111111"/>
          <w:sz w:val="28"/>
          <w:sz w:val="28"/>
          <w:szCs w:val="28"/>
          <w:rtl w:val="true"/>
          <w:lang w:bidi="ar-SA"/>
        </w:rPr>
        <w:t xml:space="preserve">و جماعة </w:t>
      </w:r>
      <w:r>
        <w:rPr>
          <w:rStyle w:val="FootnoteAnchor"/>
          <w:rtl w:val="true"/>
        </w:rPr>
        <w:footnoteReference w:id="2122"/>
      </w:r>
      <w:r>
        <w:rPr>
          <w:rFonts w:ascii="Amiri" w:hAnsi="Amiri" w:eastAsia="Amiri" w:cs="Amiri"/>
          <w:color w:val="111111"/>
          <w:sz w:val="28"/>
          <w:sz w:val="28"/>
          <w:szCs w:val="28"/>
          <w:rtl w:val="true"/>
          <w:lang w:bidi="ar-SA"/>
        </w:rPr>
        <w:t>كلمات تنزّل منزلتها إذا أعوزت، و المقابلة تقتضي الزيادة و ما هو إلَّا العصر، مؤيّداً ذلك بمركوزيّته في الأذهان؛ فهو إمّا موضوع له، أو منصرف إليه، أو مراد منه و لو بقرينة تعارف العصر بعد غسل الثياب، بل انحصار غسل البدن بالصبّ، و إطلاق الغسل على الثياب أوضح شاهد على اعتباره في مفهومه بأيّ نحوٍ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المقابلة أعمّ من ذلك و لصحّة استعمال الغسل في ما لا يعتبر فيه العصر جزماً كما ورد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غسلتان</w:t>
      </w:r>
      <w:r>
        <w:rPr>
          <w:rFonts w:eastAsia="Amiri" w:cs="Amiri" w:ascii="Amiri" w:hAnsi="Amiri"/>
          <w:color w:val="111111"/>
          <w:sz w:val="28"/>
          <w:szCs w:val="28"/>
          <w:rtl w:val="true"/>
          <w:lang w:bidi="ar-SA"/>
        </w:rPr>
        <w:t xml:space="preserve">» </w:t>
      </w:r>
      <w:r>
        <w:rPr>
          <w:rStyle w:val="FootnoteAnchor"/>
          <w:rtl w:val="true"/>
        </w:rPr>
        <w:footnoteReference w:id="2123"/>
      </w:r>
      <w:r>
        <w:rPr>
          <w:rFonts w:ascii="Amiri" w:hAnsi="Amiri" w:eastAsia="Amiri" w:cs="Amiri"/>
          <w:color w:val="111111"/>
          <w:sz w:val="28"/>
          <w:sz w:val="28"/>
          <w:szCs w:val="28"/>
          <w:rtl w:val="true"/>
          <w:lang w:bidi="ar-SA"/>
        </w:rPr>
        <w:t xml:space="preserve">و كالغسل بالكثير، و لإطلاق </w:t>
      </w:r>
      <w:r>
        <w:rPr>
          <w:rStyle w:val="FootnoteAnchor"/>
          <w:rtl w:val="true"/>
        </w:rPr>
        <w:footnoteReference w:id="2124"/>
      </w:r>
      <w:r>
        <w:rPr>
          <w:rFonts w:ascii="Amiri" w:hAnsi="Amiri" w:eastAsia="Amiri" w:cs="Amiri"/>
          <w:color w:val="111111"/>
          <w:sz w:val="28"/>
          <w:sz w:val="28"/>
          <w:szCs w:val="28"/>
          <w:rtl w:val="true"/>
          <w:lang w:bidi="ar-SA"/>
        </w:rPr>
        <w:t>الصبّ على ما يغسل فى كثير منالمقامات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المقابلة لا تصلح لأخذ العصر في مفهوم الغسل شرعاً، و لا نصّ به من أهل اللّغة، و لما عطف العصر عليه في خبر الدّعائم </w:t>
      </w:r>
      <w:r>
        <w:rPr>
          <w:rStyle w:val="FootnoteAnchor"/>
          <w:rtl w:val="true"/>
        </w:rPr>
        <w:footnoteReference w:id="2125"/>
      </w:r>
      <w:r>
        <w:rPr>
          <w:rFonts w:ascii="Amiri" w:hAnsi="Amiri" w:eastAsia="Amiri" w:cs="Amiri"/>
          <w:color w:val="111111"/>
          <w:sz w:val="28"/>
          <w:sz w:val="28"/>
          <w:szCs w:val="28"/>
          <w:rtl w:val="true"/>
          <w:lang w:bidi="ar-SA"/>
        </w:rPr>
        <w:t xml:space="preserve">و في كلمات الفقهاء </w:t>
      </w:r>
      <w:r>
        <w:rPr>
          <w:rStyle w:val="FootnoteAnchor"/>
          <w:rtl w:val="true"/>
        </w:rPr>
        <w:footnoteReference w:id="2126"/>
      </w:r>
      <w:r>
        <w:rPr>
          <w:rFonts w:ascii="Amiri" w:hAnsi="Amiri" w:eastAsia="Amiri" w:cs="Amiri"/>
          <w:color w:val="111111"/>
          <w:sz w:val="28"/>
          <w:sz w:val="28"/>
          <w:szCs w:val="28"/>
          <w:rtl w:val="true"/>
          <w:lang w:bidi="ar-SA"/>
        </w:rPr>
        <w:t xml:space="preserve">فإنّ العطف قاضٍ بالمغايرة ألبتّة، فالأخرى أنّهما بمعنى إذا افترقا اجتمعا و إذا اجتمعا افترقا، و تعيين </w:t>
      </w:r>
    </w:p>
    <w:p>
      <w:pPr>
        <w:pStyle w:val="BookText"/>
        <w:rPr/>
      </w:pPr>
      <w:r>
        <w:rPr>
          <w:rFonts w:ascii="Amiri" w:hAnsi="Amiri" w:eastAsia="Amiri" w:cs="Amiri"/>
          <w:color w:val="111111"/>
          <w:sz w:val="28"/>
          <w:sz w:val="28"/>
          <w:szCs w:val="28"/>
          <w:rtl w:val="true"/>
          <w:lang w:bidi="ar-SA"/>
        </w:rPr>
        <w:t>الفارق موكول إلى ما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الثاني ثبوته من الأخبار، فإنّها بين مصرّح باعتباره بلفظ العصر، و بين ما هو مفهوم من حيث مقابلته بالصّب أو بقرينة أُخرى، فيكون تعبّدياً، و يقتصر على الأقلّ و هو المرّة؛ أخذاً بإطلاق الغسل في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إن قيّده مجرّد اعتباره فلا معنى لقصره على الفرديّة؛ إذ ليس في الأخبار تصريح بفرديّته، فإذا قضى بتعدّده غيرُها لا يعارضه أخبار اعتباره مطلقاً، مع أنّا لم نظفر بخبر يدلّ عليه صريحاً إِلَّا الحَسن للحسين بن أبي العلاء </w:t>
      </w:r>
      <w:r>
        <w:rPr>
          <w:rStyle w:val="FootnoteAnchor"/>
          <w:rtl w:val="true"/>
        </w:rPr>
        <w:footnoteReference w:id="2127"/>
      </w:r>
      <w:r>
        <w:rPr>
          <w:rFonts w:ascii="IRNazanin" w:hAnsi="IRNazanin" w:eastAsia="IRNazanin"/>
          <w:color w:val="111111"/>
          <w:sz w:val="28"/>
          <w:sz w:val="28"/>
          <w:szCs w:val="28"/>
          <w:rtl w:val="true"/>
          <w:lang w:bidi="fa-IR"/>
        </w:rPr>
        <w:t>و خبر الدعائم، و فيهما بحث من حيث السند و الدّلالة، بل و الظهور بأنّ ذلك لإزالة أجزاء النجاسة أو أثرها، فأين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أنّ أحداً من المعتبرين ادّعاه، و إنّما أخذ بالفحوى فجعله المتأخّرون قولاً، مع أنّ أصرحها الحَسن، و هو بعد عدمه حمل الأمر فيه على الاستحباب بقرينة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فيحمل الصّبي على الرّضيع أنه فيه إشعار واضح للحمل من حيث الاكتفاء بالمرّة في البول الواجب فيه تعدّد الغسل، فلا شاهد فيه و لا في فقه الرضا علیه السلام الذي لم يعوّل عليه في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حجّة الثالث إمّا على وجوب العصر في الجملة بأنّ الغرض شرعاً أو عرفاً من الغسل إزالة الأثر المقصود كائناً ما كان، فقد يحصل بمجرّد إجراء الماء، و قد يحتاج إلى شيء آخر من عصر أو دلك، و زوال النجاسة الحكميّة بمجرّد إجراء الماء غير معلوم عندنا، فيستصحب بقاؤها إلى العصر الذي ما اعتبر فوقه شيء في زوال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زوال الوسخ مأخوذ في مفهوم الغسل أوّل الدّعوى، و على فرض تساوي الأوساخ العرفيّة مع النجاسة الشرعيّة فهي ممّا تختلف و تتفاوت، فيزول بعضها بمرور الماء عليه، و قد يحتاج بعضها إلى علاج غيره من كبس أو رافع آخر من صابون و نحوه، و لا ندري أنّ النجاسة الشرعيّة من أيّهما، فلو احتاجت القذارة الشرعيّة إلى أزيد من غَلَبَة الماء أو إلى شيء آخر زائد على صدق الغسل لوجب بيانه في أوامر الغسل، و لكان تركه قبيحاً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أيضاً بتوقّف إخراج ماء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ما كان </w:t>
      </w:r>
    </w:p>
    <w:p>
      <w:pPr>
        <w:pStyle w:val="BookText"/>
        <w:rPr/>
      </w:pPr>
      <w:r>
        <w:rPr>
          <w:rFonts w:ascii="Amiri" w:hAnsi="Amiri" w:eastAsia="Amiri" w:cs="Amiri"/>
          <w:color w:val="111111"/>
          <w:sz w:val="28"/>
          <w:sz w:val="28"/>
          <w:szCs w:val="28"/>
          <w:rtl w:val="true"/>
          <w:lang w:bidi="ar-SA"/>
        </w:rPr>
        <w:t>مثله من الدّق أو اللّي و التغميز و نحوها، إلَّا الجفاف؛ لعدم حصول الغرض من العصر فيه، لا أقلّ من الشك، و معه لا يساوي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على أصل فاسد و المقصود إثباته مطلقاً، أنّه رجوع إلى الاستصحاب الذي عرفت الدّغدغة فيه؛ إذ هو عين استدلال الرّوض أنّ النجاسة لا تزول إلَّا بالعصر، فإنّ دعوى عدم زوال الأثر المقصود إلَّا بالعصر كأنّه مصادرة، و لو أراد توقّف زوال عين النجاسة على العصر فهو فاسد في نفسه غير جارٍ في النجاسة الحكميّة، فلا يتمّ بلا ضميمة الاستصحاب، و معه يستغنى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على وجوبه مرّتين بظهور خبر الدّعائم في التعدّد، و كونه للتطهير لا لإزالة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معارضته بالرّضوي الناطق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 ظهور مُعتَدٌّ به حتّى يقيّد إطلاقات الغسل، و لا يعارضه ما قضى بوحدة العصر مع عدم الجابر؛ لأنّ الحسن قاصر عن إثبات التعدّد لو أثبت أصل العصر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الذي دعاهم إلى التعدّد هو القول بنجاسة الغسالة، فمن يقول بالطهارة مطلقاً أو فى الغسلة المطهّرة لا يلزمه ذلك، و ربّما يوجّه بأنّ العصر ثابت بظهور الحسن فيه، فهو مقيّد لإطلاق الغسل في الثوب مطلقاً، فيتقيّد به ما قضى بالتعدّد؛ لأنّ تعدّد المقيّد يستلزم تعدّد القيد، فمن هذا و من كون الغسل مجملاً مفهوميّاً؛ لجهة احتمال دخول العصر في مفهومه بالقرائن المزبورة، فيصحّ الرّجوع إلى الاستصحاب مع ظهور الحسن و الرضوي و خبر الدّعائم و الإجماع المنقول و الشهرة يحصل الظّن باعتباره، و إن كان مقتضى الحكمة الزّوال بمجرّد استيلاء الماء عليه حتّى لو كان زوال الوسخ داخلاً في مفهومه، لكن اعتباره أَوْلى 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تبعيّته للغسل المتعدّد مع القول بطهارة الغسالة مشكل، إلَّا أن يقال بتوقّف النجاسة الحكميّة عليه، و لعلّ الدّليل لا يأباه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تعدّد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منصوصة في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أخبار، كصحيحَتي محمّد بن </w:t>
      </w:r>
    </w:p>
    <w:p>
      <w:pPr>
        <w:pStyle w:val="BookText"/>
        <w:rPr/>
      </w:pPr>
      <w:r>
        <w:rPr>
          <w:rFonts w:ascii="IRNazanin" w:hAnsi="IRNazanin" w:eastAsia="IRNazanin"/>
          <w:color w:val="111111"/>
          <w:sz w:val="28"/>
          <w:sz w:val="28"/>
          <w:szCs w:val="28"/>
          <w:rtl w:val="true"/>
          <w:lang w:bidi="fa-IR"/>
        </w:rPr>
        <w:t>مسلم،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مرّتين</w:t>
      </w:r>
      <w:r>
        <w:rPr>
          <w:rFonts w:eastAsia="IRNazanin" w:cs="IRNazanin"/>
          <w:color w:val="111111"/>
          <w:sz w:val="28"/>
          <w:szCs w:val="28"/>
          <w:rtl w:val="true"/>
          <w:lang w:bidi="fa-IR"/>
        </w:rPr>
        <w:t xml:space="preserve">» </w:t>
      </w:r>
      <w:r>
        <w:rPr>
          <w:rStyle w:val="FootnoteAnchor"/>
          <w:rtl w:val="true"/>
        </w:rPr>
        <w:footnoteReference w:id="212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اغسله في المركن </w:t>
      </w:r>
      <w:r>
        <w:rPr>
          <w:rStyle w:val="FootnoteAnchor"/>
          <w:rtl w:val="true"/>
        </w:rPr>
        <w:footnoteReference w:id="2129"/>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بحسن الحسين ابن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بألفيّته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بفحوى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المَنيّ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البول بنصّ الخبر </w:t>
      </w:r>
      <w:r>
        <w:rPr>
          <w:rStyle w:val="FootnoteAnchor"/>
          <w:rtl w:val="true"/>
        </w:rPr>
        <w:footnoteReference w:id="2134"/>
      </w:r>
      <w:r>
        <w:rPr>
          <w:rFonts w:ascii="Amiri" w:hAnsi="Amiri" w:eastAsia="Amiri" w:cs="Amiri"/>
          <w:color w:val="111111"/>
          <w:sz w:val="28"/>
          <w:sz w:val="28"/>
          <w:szCs w:val="28"/>
          <w:rtl w:val="true"/>
          <w:lang w:bidi="ar-SA"/>
        </w:rPr>
        <w:t>فإذا وجب تكرير الغسل فيه وجبَ في غيره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بذكراه </w:t>
      </w:r>
      <w:r>
        <w:rPr>
          <w:rStyle w:val="FootnoteAnchor"/>
          <w:rtl w:val="true"/>
        </w:rPr>
        <w:footnoteReference w:id="2135"/>
      </w:r>
      <w:r>
        <w:rPr>
          <w:rFonts w:ascii="IRNazanin" w:hAnsi="IRNazanin" w:eastAsia="IRNazanin"/>
          <w:color w:val="111111"/>
          <w:sz w:val="28"/>
          <w:sz w:val="28"/>
          <w:szCs w:val="28"/>
          <w:rtl w:val="true"/>
          <w:lang w:bidi="fa-IR"/>
        </w:rPr>
        <w:t>أنّ ظاهر التعليل في قول الصادق علیه السلام في الثوب يصيب البول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مرّتين</w:t>
      </w:r>
      <w:r>
        <w:rPr>
          <w:rFonts w:eastAsia="IRNazanin" w:cs="IRNazanin"/>
          <w:color w:val="111111"/>
          <w:sz w:val="28"/>
          <w:szCs w:val="28"/>
          <w:rtl w:val="true"/>
          <w:lang w:bidi="fa-IR"/>
        </w:rPr>
        <w:t xml:space="preserve">» </w:t>
      </w:r>
      <w:r>
        <w:rPr>
          <w:rStyle w:val="FootnoteAnchor"/>
          <w:rtl w:val="true"/>
        </w:rPr>
        <w:footnoteReference w:id="2136"/>
      </w:r>
      <w:r>
        <w:rPr>
          <w:rFonts w:ascii="Amiri" w:hAnsi="Amiri" w:eastAsia="Amiri" w:cs="Amiri"/>
          <w:color w:val="111111"/>
          <w:sz w:val="28"/>
          <w:sz w:val="28"/>
          <w:szCs w:val="28"/>
          <w:rtl w:val="true"/>
          <w:lang w:bidi="ar-SA"/>
        </w:rPr>
        <w:t>، الأوّل للإزالة و الثاني للإنقاء، أيضاً يقضي به في غير البول؛ لاشتراك غيره معه في الإنقاء و الإزالة الموجبين للتعدّد، و ضرب الشارح عن ذكره لعدم وقوفه على هذا التعليل في الأربعة و لا في كتب الفقه، فهو من الراوي، أو من المعتبر، أو لأنّ عموم العلّة غير مسلّم في بابه، أو لأنه لا يفيد؛ لتلازم إزالة النجاسة و حصول التطهير،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للإنقاء، محمول على إرادة التنظيف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فحوى الخطاب فلا يفي بإتمام الحجّة،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يثبته خبر الأشدّيّة في المَنيّ، و لا النضح في ملاقاة الكافر و أخويه </w:t>
      </w:r>
      <w:r>
        <w:rPr>
          <w:rStyle w:val="FootnoteAnchor"/>
          <w:rtl w:val="true"/>
        </w:rPr>
        <w:footnoteReference w:id="2137"/>
      </w:r>
      <w:r>
        <w:rPr>
          <w:rFonts w:ascii="Amiri" w:hAnsi="Amiri" w:eastAsia="Amiri" w:cs="Amiri"/>
          <w:color w:val="111111"/>
          <w:sz w:val="28"/>
          <w:sz w:val="28"/>
          <w:szCs w:val="28"/>
          <w:rtl w:val="true"/>
          <w:lang w:bidi="ar-SA"/>
        </w:rPr>
        <w:t xml:space="preserve">في اليبس، و لا المقادير المتفاوتة في البئر ليقال إنّ الزائد أشدّ، فإنّ الأشدّيّة إذا كان لها أثر في الشرعيّات فلا ينبغي مساواتها مع الأضعف </w:t>
      </w:r>
    </w:p>
    <w:p>
      <w:pPr>
        <w:pStyle w:val="BookText"/>
        <w:rPr/>
      </w:pPr>
      <w:r>
        <w:rPr>
          <w:rFonts w:ascii="Amiri" w:hAnsi="Amiri" w:eastAsia="Amiri" w:cs="Amiri"/>
          <w:color w:val="111111"/>
          <w:sz w:val="28"/>
          <w:sz w:val="28"/>
          <w:szCs w:val="28"/>
          <w:rtl w:val="true"/>
          <w:lang w:bidi="ar-SA"/>
        </w:rPr>
        <w:t xml:space="preserve">في الحكم، بل ينبغي فيها الزّيادة و ورد أشدّيّة النجاسة في الكافر على أخويه، و لا يسري حكم الولوغ إليه، بل هذه أحكام جعليّة لأُمور مخفيّة لا تناط بالفحوى و لا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أشدّيّة سائر النجاسات 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إمّا 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للبول في الحكم من وجوب الإزالة و الاجتناب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عُفي عن قليل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بول رضيع، فأين الأشدّيّة، و التعلّق بالعفو لحصول المشقّة فلا ينافي الأشدّيّة مع اشتراكه في المشقّة البوليّة، و المستثنى منه في العفو لا يبلّ غلّة؛ لأنه حكمة لا علّة، و لو ركنَ المصنّف إلى استصحاب النجاسة إلى القطع بالمزيل لكان له وجه لو لم يكن الإطلاق قاضٍ بكفاية 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فالاكتفاء بالمرّة في غير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فقد النصّ بالتعدّد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عملاً بإطلاق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الحاصل مسمّاه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اختيار المصنّف في البيان </w:t>
      </w:r>
      <w:r>
        <w:rPr>
          <w:rStyle w:val="FootnoteAnchor"/>
          <w:rtl w:val="true"/>
        </w:rPr>
        <w:footnoteReference w:id="2138"/>
      </w:r>
      <w:r>
        <w:rPr>
          <w:rFonts w:ascii="Amiri" w:hAnsi="Amiri" w:eastAsia="Amiri" w:cs="Amiri"/>
          <w:color w:val="111111"/>
          <w:sz w:val="28"/>
          <w:sz w:val="28"/>
          <w:szCs w:val="28"/>
          <w:rtl w:val="true"/>
          <w:lang w:bidi="ar-SA"/>
        </w:rPr>
        <w:t>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طرد الجزم إلَّا في الولوغ، و ظاهر الشارح أنّ الجزم في غير</w:t>
      </w:r>
    </w:p>
    <w:p>
      <w:pPr>
        <w:pStyle w:val="BookText"/>
        <w:rPr/>
      </w:pPr>
      <w:r>
        <w:rPr>
          <w:rFonts w:ascii="Amiri" w:hAnsi="Amiri" w:eastAsia="Amiri" w:cs="Amiri"/>
          <w:color w:val="111111"/>
          <w:sz w:val="28"/>
          <w:sz w:val="28"/>
          <w:szCs w:val="28"/>
          <w:rtl w:val="true"/>
          <w:lang w:bidi="ar-SA"/>
        </w:rPr>
        <w:t>البول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الذكرى و الدروس </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يجزم بالمرّة و لا بعدمها،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 من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مفهوم الموافقة فالتثنية و من كفاية المرّة في النّصوص، و المحصّل من كلمات العلماء عدم مراعاة العدد مطلقاً إِلَّا الولوغ، و حكاه في الذكرى </w:t>
      </w:r>
      <w:r>
        <w:rPr>
          <w:rStyle w:val="FootnoteAnchor"/>
          <w:rtl w:val="true"/>
        </w:rPr>
        <w:footnoteReference w:id="2140"/>
      </w:r>
      <w:r>
        <w:rPr>
          <w:rFonts w:ascii="Amiri" w:hAnsi="Amiri" w:eastAsia="Amiri" w:cs="Amiri"/>
          <w:color w:val="111111"/>
          <w:sz w:val="28"/>
          <w:sz w:val="28"/>
          <w:szCs w:val="28"/>
          <w:rtl w:val="true"/>
          <w:lang w:bidi="ar-SA"/>
        </w:rPr>
        <w:t>عن المبسوط، و عبارته غير صريحة في المحكي عنه، و اعتبار التعدّد في مطلق النجاسات و هو للفاضل في التذكرة كالكتاب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الغسل مرّتين </w:t>
      </w:r>
      <w:r>
        <w:rPr>
          <w:rStyle w:val="FootnoteAnchor"/>
          <w:rtl w:val="true"/>
        </w:rPr>
        <w:footnoteReference w:id="2141"/>
      </w:r>
      <w:r>
        <w:rPr>
          <w:rFonts w:ascii="Amiri" w:hAnsi="Amiri" w:eastAsia="Amiri" w:cs="Amiri"/>
          <w:color w:val="111111"/>
          <w:sz w:val="28"/>
          <w:sz w:val="28"/>
          <w:szCs w:val="28"/>
          <w:rtl w:val="true"/>
          <w:lang w:bidi="ar-SA"/>
        </w:rPr>
        <w:t xml:space="preserve">، و أطلق، و اعتباره في البول و فيما له ثخن كالمَنيّ، و هو صريح المنتهى </w:t>
      </w:r>
      <w:r>
        <w:rPr>
          <w:rStyle w:val="FootnoteAnchor"/>
          <w:rtl w:val="true"/>
        </w:rPr>
        <w:footnoteReference w:id="2142"/>
      </w:r>
      <w:r>
        <w:rPr>
          <w:rFonts w:ascii="Amiri" w:hAnsi="Amiri" w:eastAsia="Amiri" w:cs="Amiri"/>
          <w:color w:val="111111"/>
          <w:sz w:val="28"/>
          <w:sz w:val="28"/>
          <w:szCs w:val="28"/>
          <w:rtl w:val="true"/>
          <w:lang w:bidi="ar-SA"/>
        </w:rPr>
        <w:t xml:space="preserve">، و الفرق بين النجاسات الحكميّة و العينيِّة، فلا يجب التعدّد في الأوّل و إن كان بولاً، و هو في نهاية </w:t>
      </w:r>
      <w:r>
        <w:rPr>
          <w:rStyle w:val="FootnoteAnchor"/>
          <w:rtl w:val="true"/>
        </w:rPr>
        <w:footnoteReference w:id="2143"/>
      </w:r>
      <w:r>
        <w:rPr>
          <w:rFonts w:ascii="Amiri" w:hAnsi="Amiri" w:eastAsia="Amiri" w:cs="Amiri"/>
          <w:color w:val="111111"/>
          <w:sz w:val="28"/>
          <w:sz w:val="28"/>
          <w:szCs w:val="28"/>
          <w:rtl w:val="true"/>
          <w:lang w:bidi="ar-SA"/>
        </w:rPr>
        <w:t xml:space="preserve">الفاضل و اعتبار التعدّد في البول مطلقاً، و خصوص </w:t>
      </w:r>
    </w:p>
    <w:p>
      <w:pPr>
        <w:pStyle w:val="BookText"/>
        <w:rPr/>
      </w:pPr>
      <w:r>
        <w:rPr>
          <w:rFonts w:ascii="Amiri" w:hAnsi="Amiri" w:eastAsia="Amiri" w:cs="Amiri"/>
          <w:color w:val="111111"/>
          <w:sz w:val="28"/>
          <w:sz w:val="28"/>
          <w:szCs w:val="28"/>
          <w:rtl w:val="true"/>
          <w:lang w:bidi="ar-SA"/>
        </w:rPr>
        <w:t>المنيّ أو مع إضافة الكافر و أخويه، و ما زاد في مقادير البئر للأشدّيّة، و المعتمد من بينها إلحاق غيره به؛ للشك في حصول التطهير مع عدم التعدّد، فيحكّم الاستصحاب خصوصاً فيما له جزميّة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يضاف حينئذٍ ما ورد في وجوب الغسل و عدم جواز الصلاة قبله إلى صحيحة البزنطي عن أبي عبد الله علیه السلام القاضية بعدم وجوب الدّلك في البول و تعدّد الصّب؛ إذ المفهوم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هو ماء</w:t>
      </w:r>
      <w:r>
        <w:rPr>
          <w:rFonts w:eastAsia="IRNazanin" w:cs="IRNazanin"/>
          <w:color w:val="111111"/>
          <w:sz w:val="28"/>
          <w:szCs w:val="28"/>
          <w:rtl w:val="true"/>
          <w:lang w:bidi="fa-IR"/>
        </w:rPr>
        <w:t xml:space="preserve">» </w:t>
      </w:r>
      <w:r>
        <w:rPr>
          <w:rStyle w:val="FootnoteAnchor"/>
          <w:rtl w:val="true"/>
        </w:rPr>
        <w:footnoteReference w:id="2144"/>
      </w:r>
      <w:r>
        <w:rPr>
          <w:rFonts w:ascii="Amiri" w:hAnsi="Amiri" w:eastAsia="Amiri" w:cs="Amiri"/>
          <w:color w:val="111111"/>
          <w:sz w:val="28"/>
          <w:sz w:val="28"/>
          <w:szCs w:val="28"/>
          <w:rtl w:val="true"/>
          <w:lang w:bidi="ar-SA"/>
        </w:rPr>
        <w:t xml:space="preserve">، هو التعليل لأحَد حُكمى البول، و هو الصّبّ، فلو كان التعدّد أيضاً من خواصّه لما ضرب عنه </w:t>
      </w:r>
      <w:r>
        <w:rPr>
          <w:rStyle w:val="FootnoteAnchor"/>
          <w:rtl w:val="true"/>
        </w:rPr>
        <w:footnoteReference w:id="2145"/>
      </w:r>
      <w:r>
        <w:rPr>
          <w:rFonts w:ascii="Amiri" w:hAnsi="Amiri" w:eastAsia="Amiri" w:cs="Amiri"/>
          <w:color w:val="111111"/>
          <w:sz w:val="28"/>
          <w:sz w:val="28"/>
          <w:szCs w:val="28"/>
          <w:rtl w:val="true"/>
          <w:lang w:bidi="ar-SA"/>
        </w:rPr>
        <w:t>مع اشتمال الخبر عليهما، و لذكَرَ له وَجْهاً، فيقيّد بها جميع المطلقات حتّى قوله صلّی الله علیه و آله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حتّيه ثمّ اغسليه</w:t>
      </w:r>
      <w:r>
        <w:rPr>
          <w:rFonts w:eastAsia="Amiri" w:cs="Amiri" w:ascii="Amiri" w:hAnsi="Amiri"/>
          <w:color w:val="111111"/>
          <w:sz w:val="28"/>
          <w:szCs w:val="28"/>
          <w:rtl w:val="true"/>
          <w:lang w:bidi="ar-SA"/>
        </w:rPr>
        <w:t xml:space="preserve">» </w:t>
      </w:r>
      <w:r>
        <w:rPr>
          <w:rStyle w:val="FootnoteAnchor"/>
          <w:rtl w:val="true"/>
        </w:rPr>
        <w:footnoteReference w:id="2146"/>
      </w:r>
      <w:r>
        <w:rPr>
          <w:rFonts w:ascii="Amiri" w:hAnsi="Amiri" w:eastAsia="Amiri" w:cs="Amiri"/>
          <w:color w:val="111111"/>
          <w:sz w:val="28"/>
          <w:sz w:val="28"/>
          <w:szCs w:val="28"/>
          <w:rtl w:val="true"/>
          <w:lang w:bidi="ar-SA"/>
        </w:rPr>
        <w:t xml:space="preserve">، في الدّم الذي ادّعى ظهوره في المرّة لأنّ الأمر بالحتّ مع عدم وجوبه يقضي بأنّ سَوْق الكلام لبيان معرفة طريق الإزالة، فلو كان للغسل شرط آخر من عدد و نحوه لبيّنه، لا أقلّ من الشكّ في إطلاقهما فيرجع إلى الاستصحاب؛ لفَقْد مرجّح أحد الإطلاقين، و إن كان في أخبار </w:t>
      </w:r>
      <w:r>
        <w:rPr>
          <w:rStyle w:val="FootnoteAnchor"/>
          <w:rtl w:val="true"/>
        </w:rPr>
        <w:footnoteReference w:id="2147"/>
      </w:r>
      <w:r>
        <w:rPr>
          <w:rFonts w:ascii="Amiri" w:hAnsi="Amiri" w:eastAsia="Amiri" w:cs="Amiri"/>
          <w:color w:val="111111"/>
          <w:sz w:val="28"/>
          <w:sz w:val="28"/>
          <w:szCs w:val="28"/>
          <w:rtl w:val="true"/>
          <w:lang w:bidi="ar-SA"/>
        </w:rPr>
        <w:t xml:space="preserve">الاستنجاء نوع تأييد لكفاية المرّة بعد زوال العين، و عليه أكثر </w:t>
      </w:r>
      <w:r>
        <w:rPr>
          <w:rStyle w:val="FootnoteAnchor"/>
          <w:rtl w:val="true"/>
        </w:rPr>
        <w:footnoteReference w:id="2148"/>
      </w:r>
      <w:r>
        <w:rPr>
          <w:rFonts w:ascii="Amiri" w:hAnsi="Amiri" w:eastAsia="Amiri" w:cs="Amiri"/>
          <w:color w:val="111111"/>
          <w:sz w:val="28"/>
          <w:sz w:val="28"/>
          <w:szCs w:val="28"/>
          <w:rtl w:val="true"/>
          <w:lang w:bidi="ar-SA"/>
        </w:rPr>
        <w:t>من اكتفى بها، خلافاً لمن اكتفى بالغسلة المزيلة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أعثر على قائل به من الطبقتين، لكن صَدرَ ممّن </w:t>
      </w:r>
      <w:r>
        <w:rPr>
          <w:rStyle w:val="FootnoteAnchor"/>
          <w:rtl w:val="true"/>
        </w:rPr>
        <w:footnoteReference w:id="2149"/>
      </w:r>
      <w:r>
        <w:rPr>
          <w:rFonts w:ascii="Amiri" w:hAnsi="Amiri" w:eastAsia="Amiri" w:cs="Amiri"/>
          <w:color w:val="111111"/>
          <w:sz w:val="28"/>
          <w:sz w:val="28"/>
          <w:szCs w:val="28"/>
          <w:rtl w:val="true"/>
          <w:lang w:bidi="ar-SA"/>
        </w:rPr>
        <w:t xml:space="preserve">تأخّر بغير خاصم للمنكر، و يطرد الحكم في النّجاسة المنصوصة و الثابتة من الإجماع؛ لتساوي الدّليلين في الحجيّة، فما تفطن له سليل الشارح </w:t>
      </w:r>
      <w:r>
        <w:rPr>
          <w:rStyle w:val="FootnoteAnchor"/>
          <w:rtl w:val="true"/>
        </w:rPr>
        <w:footnoteReference w:id="2150"/>
      </w:r>
      <w:r>
        <w:rPr>
          <w:rFonts w:ascii="Amiri" w:hAnsi="Amiri" w:eastAsia="Amiri" w:cs="Amiri"/>
          <w:color w:val="111111"/>
          <w:sz w:val="28"/>
          <w:sz w:val="28"/>
          <w:szCs w:val="28"/>
          <w:rtl w:val="true"/>
          <w:lang w:bidi="ar-SA"/>
        </w:rPr>
        <w:t xml:space="preserve">من الفَرق الزّاعم أنّه من مبتدعاته غيرُ وجيه؛ فإن كان التعدّد لأجل الاستصحاب فهو يجري فيها، و اختصاص جريانه في النصوص دون المجمع عليه بدعوى أنّ مفاد الإجماع وجوب الاجتناب، و مورد اليقين منه قبل الغسلة الأُولى، و بعدها الأصل </w:t>
      </w:r>
      <w:bookmarkStart w:id="173" w:name="pg9146_86246"/>
    </w:p>
    <w:p>
      <w:pPr>
        <w:pStyle w:val="BookText"/>
        <w:rPr/>
      </w:pPr>
      <w:bookmarkEnd w:id="173"/>
      <w:r>
        <w:rPr>
          <w:rFonts w:ascii="Amiri" w:hAnsi="Amiri" w:eastAsia="Amiri" w:cs="Amiri"/>
          <w:color w:val="111111"/>
          <w:sz w:val="28"/>
          <w:sz w:val="28"/>
          <w:szCs w:val="28"/>
          <w:rtl w:val="true"/>
          <w:lang w:bidi="ar-SA"/>
        </w:rPr>
        <w:t>البراءة، و لا كذلك النصّ على النّجاسة، فإنّه يدلّ على وجوب التطهير التزاماً، فيجري الاستصحاب حتّى يقطع بحصول الإزالة كلامٌ عارٍ من الدّليل؛ إذ لو لم يكن الإجماع أقوى دلالةً من النصّ على ما ذكر لا أقلّ من مساواتهما، و معه لا مورد لأصل البراءة</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3322640_2870459653"/>
      <w:bookmarkStart w:id="175" w:name="_Toc58"/>
      <w:bookmarkEnd w:id="174"/>
      <w:r>
        <w:rPr>
          <w:rtl w:val="true"/>
        </w:rPr>
        <w:t>[</w:t>
      </w:r>
      <w:r>
        <w:rPr>
          <w:rtl w:val="true"/>
        </w:rPr>
        <w:t>بول الرضيع</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يستثنى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المتّفق عليه بإجماع المختلف </w:t>
      </w:r>
      <w:r>
        <w:rPr>
          <w:rStyle w:val="FootnoteAnchor"/>
          <w:rtl w:val="true"/>
        </w:rPr>
        <w:footnoteReference w:id="2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يتغذّ بالطعام، و لا رضع من كافر أو من غذائه النجّاسة أو مصاحب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عصره و لا تعدّد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إلحاق الرّضيعة التي لم تأكل كذلك قول </w:t>
      </w:r>
      <w:r>
        <w:rPr>
          <w:rStyle w:val="FootnoteAnchor"/>
          <w:rtl w:val="true"/>
        </w:rPr>
        <w:footnoteReference w:id="2152"/>
      </w:r>
      <w:r>
        <w:rPr>
          <w:rFonts w:ascii="Amiri" w:hAnsi="Amiri" w:eastAsia="Amiri" w:cs="Amiri"/>
          <w:color w:val="111111"/>
          <w:sz w:val="28"/>
          <w:sz w:val="28"/>
          <w:szCs w:val="28"/>
          <w:rtl w:val="true"/>
          <w:lang w:bidi="ar-SA"/>
        </w:rPr>
        <w:t xml:space="preserve">ليس بالمرغوب؛ لخلوّ النّص </w:t>
      </w:r>
      <w:r>
        <w:rPr>
          <w:rStyle w:val="FootnoteAnchor"/>
          <w:rtl w:val="true"/>
        </w:rPr>
        <w:footnoteReference w:id="2153"/>
      </w:r>
      <w:r>
        <w:rPr>
          <w:rFonts w:ascii="Amiri" w:hAnsi="Amiri" w:eastAsia="Amiri" w:cs="Amiri"/>
          <w:color w:val="111111"/>
          <w:sz w:val="28"/>
          <w:sz w:val="28"/>
          <w:szCs w:val="28"/>
          <w:rtl w:val="true"/>
          <w:lang w:bidi="ar-SA"/>
        </w:rPr>
        <w:t>، و لا فحوى مع النّص على العدم، أمّا عدم وجوب عصر ما تنجّس به فكأنّه لا شبهة فيه دخلَ العصر في مفهوم الغسل أم لا، فيحمل العصر في الخبر على الندب، أو بعد التعذّي، أو بعد الحَوْلَين و إن لم يكن لاشتراطهما وجه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الجدّ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المتغذي برضاعة إلى السّت و السّبع خارج عن الحكم </w:t>
      </w:r>
      <w:r>
        <w:rPr>
          <w:rStyle w:val="FootnoteAnchor"/>
          <w:rtl w:val="true"/>
        </w:rPr>
        <w:footnoteReference w:id="2154"/>
      </w:r>
      <w:r>
        <w:rPr>
          <w:rFonts w:ascii="Amiri" w:hAnsi="Amiri" w:eastAsia="Amiri" w:cs="Amiri"/>
          <w:color w:val="111111"/>
          <w:sz w:val="28"/>
          <w:sz w:val="28"/>
          <w:szCs w:val="28"/>
          <w:rtl w:val="true"/>
          <w:lang w:bidi="ar-SA"/>
        </w:rPr>
        <w:t xml:space="preserve">، و لعلّه كذلك؛ لعدم صدق الطفوليّة فيما تجاوز الحَوْلَين، لكن لم يتعلّق الحكم على الطّفل في النّصوص </w:t>
      </w:r>
      <w:r>
        <w:rPr>
          <w:rStyle w:val="FootnoteAnchor"/>
          <w:rtl w:val="true"/>
        </w:rPr>
        <w:footnoteReference w:id="2155"/>
      </w:r>
      <w:r>
        <w:rPr>
          <w:rFonts w:ascii="Amiri" w:hAnsi="Amiri" w:eastAsia="Amiri" w:cs="Amiri"/>
          <w:color w:val="111111"/>
          <w:sz w:val="28"/>
          <w:sz w:val="28"/>
          <w:szCs w:val="28"/>
          <w:rtl w:val="true"/>
          <w:lang w:bidi="ar-SA"/>
        </w:rPr>
        <w:t xml:space="preserve">، بل تعلّق على غير المتغذّي، و عسى أنّ وجوده في كلماتهم </w:t>
      </w:r>
      <w:r>
        <w:rPr>
          <w:rStyle w:val="FootnoteAnchor"/>
          <w:rtl w:val="true"/>
        </w:rPr>
        <w:footnoteReference w:id="2156"/>
      </w:r>
      <w:r>
        <w:rPr>
          <w:rFonts w:ascii="IRNazanin" w:hAnsi="IRNazanin" w:eastAsia="IRNazanin"/>
          <w:color w:val="111111"/>
          <w:sz w:val="28"/>
          <w:sz w:val="28"/>
          <w:szCs w:val="28"/>
          <w:rtl w:val="true"/>
          <w:lang w:bidi="fa-IR"/>
        </w:rPr>
        <w:t xml:space="preserve">لورود نصّ به، و لقد اشتملت النّصوص </w:t>
      </w:r>
      <w:r>
        <w:rPr>
          <w:rStyle w:val="FootnoteAnchor"/>
          <w:rtl w:val="true"/>
        </w:rPr>
        <w:footnoteReference w:id="2157"/>
      </w:r>
      <w:r>
        <w:rPr>
          <w:rFonts w:ascii="Amiri" w:hAnsi="Amiri" w:eastAsia="Amiri" w:cs="Amiri"/>
          <w:color w:val="111111"/>
          <w:sz w:val="28"/>
          <w:sz w:val="28"/>
          <w:szCs w:val="28"/>
          <w:rtl w:val="true"/>
          <w:lang w:bidi="ar-SA"/>
        </w:rPr>
        <w:t>على الغسل و الصّب و الرشّ و النضح، و حيث لم يعتبر العصر يحمل الغسل على الصّب جزماً فيكتفى به، و لا يجب قبله إزالة العين سواء زال عين البول به أم لا؛ لأنه ظاهر النصوص و الحِكْمَة التي قَضَت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هو ظاهر في غير النضح وضعاً أو انصرافاً، فيجب اعتبار استيلاء الماء على الباطن مع اتّصال الأجزاء دون الترشيح، أخذاً بالمتيقّن، لكن الفاضل </w:t>
      </w:r>
      <w:r>
        <w:rPr>
          <w:rStyle w:val="FootnoteAnchor"/>
          <w:rtl w:val="true"/>
        </w:rPr>
        <w:footnoteReference w:id="2158"/>
      </w:r>
      <w:r>
        <w:rPr>
          <w:rFonts w:ascii="Amiri" w:hAnsi="Amiri" w:eastAsia="Amiri" w:cs="Amiri"/>
          <w:color w:val="111111"/>
          <w:sz w:val="28"/>
          <w:sz w:val="28"/>
          <w:szCs w:val="28"/>
          <w:rtl w:val="true"/>
          <w:lang w:bidi="ar-SA"/>
        </w:rPr>
        <w:t>عبّر به و بالصّب في زبره و كأنّه أخذهما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الانفصال حتّى على نجاسة الغسالة؛ لعدم أخذه في مفهوم الصبّ المعلّق عليه الحكم، بل و لا في مفهوم الغسل و إن كان الأقوى في الغسل ذلك؛ لظهور بعض الأدلّة </w:t>
      </w:r>
      <w:r>
        <w:rPr>
          <w:rStyle w:val="FootnoteAnchor"/>
          <w:rtl w:val="true"/>
        </w:rPr>
        <w:footnoteReference w:id="2159"/>
      </w:r>
      <w:r>
        <w:rPr>
          <w:rFonts w:ascii="Amiri" w:hAnsi="Amiri" w:eastAsia="Amiri" w:cs="Amiri"/>
          <w:color w:val="111111"/>
          <w:sz w:val="28"/>
          <w:sz w:val="28"/>
          <w:szCs w:val="28"/>
          <w:rtl w:val="true"/>
          <w:lang w:bidi="ar-SA"/>
        </w:rPr>
        <w:t xml:space="preserve">فيه لا من حيث اعتباره في مفهومه، فلا يرضى تردّد الرّياض </w:t>
      </w:r>
      <w:r>
        <w:rPr>
          <w:rStyle w:val="FootnoteAnchor"/>
          <w:rtl w:val="true"/>
        </w:rPr>
        <w:footnoteReference w:id="2160"/>
      </w:r>
      <w:r>
        <w:rPr>
          <w:rFonts w:ascii="Amiri" w:hAnsi="Amiri" w:eastAsia="Amiri" w:cs="Amiri"/>
          <w:color w:val="111111"/>
          <w:sz w:val="28"/>
          <w:sz w:val="28"/>
          <w:szCs w:val="28"/>
          <w:rtl w:val="true"/>
          <w:lang w:bidi="ar-SA"/>
        </w:rPr>
        <w:t>بعد تفارق البولين و قصر الحكم على الصّب الذي لا بعده شيء، و منه ينقدح طهارة غسالته، و أنّ حالها حال الرّطوبة الباقية بعد العصر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الله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غسالته بعد الانفصال و قبله بحكم الرّطوبة كانفصال دم المذبح </w:t>
      </w:r>
      <w:r>
        <w:rPr>
          <w:rStyle w:val="FootnoteAnchor"/>
          <w:rtl w:val="true"/>
        </w:rPr>
        <w:footnoteReference w:id="2161"/>
      </w:r>
      <w:r>
        <w:rPr>
          <w:rFonts w:ascii="Amiri" w:hAnsi="Amiri" w:eastAsia="Amiri" w:cs="Amiri"/>
          <w:color w:val="111111"/>
          <w:sz w:val="28"/>
          <w:sz w:val="28"/>
          <w:szCs w:val="28"/>
          <w:rtl w:val="true"/>
          <w:lang w:bidi="ar-SA"/>
        </w:rPr>
        <w:t>، و لم نهتدِ لوجهه بعد كون تأثير الانفصال في الانفعال غير معقول في ما حكم بطهارته، و لو قاسه بدم القروح فحكم فيه بالعفو و النجاسة نافاه قوله بطهارته مع فَقْد ما يدلّ عليه أيضاً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وجوب التعدّد فيه فلأنّ النّصوص ظاهرة و صريحة في كفاية الصبّ مرّة فتقيّد ما قضى باعتبار التعدّد مطلقاً، و لو انصرف إلى غير بول الرّضيع كفينا المؤونة، و بعض القرائن يقضي به، ولكن تَبعَ الوالد أباه في الكشف و الأنوار </w:t>
      </w:r>
      <w:r>
        <w:rPr>
          <w:rStyle w:val="FootnoteAnchor"/>
          <w:rtl w:val="true"/>
        </w:rPr>
        <w:footnoteReference w:id="2162"/>
      </w:r>
      <w:r>
        <w:rPr>
          <w:rFonts w:ascii="Amiri" w:hAnsi="Amiri" w:eastAsia="Amiri" w:cs="Amiri"/>
          <w:color w:val="111111"/>
          <w:sz w:val="28"/>
          <w:sz w:val="28"/>
          <w:szCs w:val="28"/>
          <w:rtl w:val="true"/>
          <w:lang w:bidi="ar-SA"/>
        </w:rPr>
        <w:t>فحكما بلزوم التّعدد للعكس في التخصيص، و لمنع الانصراف، و أنّ المعتبر هو العصر و الانفصال دون غيرهما الفاقد للنّص فيبقى ما دلّ على التّعدد بلا معارض، و كأنّ المعارض ما نطق بكفاية الرّش المقطوع بعدم التعدّد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الجمع بينه و بين أخبار الصبّ بحمله عليه بلا تعدّد، فالأقوى عدم لزومه كالعصر،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الأبوال حتّى في بول طفل الكافر مطلقاً؛ لإلحاقه بأبيه مطلقاً؛ و لغلظة نجاسته حتّى مع الاستهلاك كعدم العفو عن دمه مطلقاً، فطهارته مع الاستهلاك من الجواهر </w:t>
      </w:r>
      <w:r>
        <w:rPr>
          <w:rStyle w:val="FootnoteAnchor"/>
          <w:rtl w:val="true"/>
        </w:rPr>
        <w:footnoteReference w:id="2163"/>
      </w:r>
      <w:r>
        <w:rPr>
          <w:rFonts w:ascii="Amiri" w:hAnsi="Amiri" w:eastAsia="Amiri" w:cs="Amiri"/>
          <w:color w:val="111111"/>
          <w:sz w:val="28"/>
          <w:sz w:val="28"/>
          <w:szCs w:val="28"/>
          <w:rtl w:val="true"/>
          <w:lang w:bidi="ar-SA"/>
        </w:rPr>
        <w:t xml:space="preserve">غير مستند، و الثبوت كذلك لا شبهة فيه حتّى عند العماني و المرتضى </w:t>
      </w:r>
      <w:r>
        <w:rPr>
          <w:rStyle w:val="FootnoteAnchor"/>
          <w:rtl w:val="true"/>
        </w:rPr>
        <w:footnoteReference w:id="2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يتغيّر أو يكون بئراً في غير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المطر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انفعاله كما لغير </w:t>
      </w:r>
      <w:r>
        <w:rPr>
          <w:rStyle w:val="FootnoteAnchor"/>
          <w:rtl w:val="true"/>
        </w:rPr>
        <w:footnoteReference w:id="2165"/>
      </w:r>
      <w:r>
        <w:rPr>
          <w:rFonts w:ascii="Amiri" w:hAnsi="Amiri" w:eastAsia="Amiri" w:cs="Amiri"/>
          <w:color w:val="111111"/>
          <w:sz w:val="28"/>
          <w:sz w:val="28"/>
          <w:szCs w:val="28"/>
          <w:rtl w:val="true"/>
          <w:lang w:bidi="ar-SA"/>
        </w:rPr>
        <w:t xml:space="preserve">الفاضل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فيسقطان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متنجّس الثوب به، بل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وضعه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لمحلّ 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بالتقدير في متّفق اللّون، و يظهر من الصّدوق </w:t>
      </w:r>
      <w:r>
        <w:rPr>
          <w:rStyle w:val="FootnoteAnchor"/>
          <w:rtl w:val="true"/>
        </w:rPr>
        <w:footnoteReference w:id="2166"/>
      </w:r>
      <w:r>
        <w:rPr>
          <w:rFonts w:ascii="Amiri" w:hAnsi="Amiri" w:eastAsia="Amiri" w:cs="Amiri"/>
          <w:color w:val="111111"/>
          <w:sz w:val="28"/>
          <w:sz w:val="28"/>
          <w:szCs w:val="28"/>
          <w:rtl w:val="true"/>
          <w:lang w:bidi="ar-SA"/>
        </w:rPr>
        <w:t xml:space="preserve">اعتبارهما في الراكد مطلقاً و حمل على الناقص عن الكرّ، و يشمّ من المعتبر </w:t>
      </w:r>
      <w:r>
        <w:rPr>
          <w:rStyle w:val="FootnoteAnchor"/>
          <w:rtl w:val="true"/>
        </w:rPr>
        <w:footnoteReference w:id="2167"/>
      </w:r>
      <w:r>
        <w:rPr>
          <w:rFonts w:ascii="Amiri" w:hAnsi="Amiri" w:eastAsia="Amiri" w:cs="Amiri"/>
          <w:color w:val="111111"/>
          <w:sz w:val="28"/>
          <w:sz w:val="28"/>
          <w:szCs w:val="28"/>
          <w:rtl w:val="true"/>
          <w:lang w:bidi="ar-SA"/>
        </w:rPr>
        <w:t>التردّد في سقوط العدد بالجاري، و يشكل سقوط العصر إذ اعتبر في مفهوم الغسل إذ لا غسل، و التّعدد في البول أشكل؛ لأنه تعبّدي، أو تقييد لأخباره بمجرّد الاعتبار و إن كان غيره أغلظ منه، و عليه لا بدّ من توسّط العصر؛ إذ لا فائدة في خروجه و رجوعه من الكُرّ و إليه بلا عصر، و يلحقه العاصمان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لا يرسب فيه الماء؛ لصقالته، يجزي فيه الإخراج ثمّ الإدخال،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البدن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بفاصلة الانقطاع المتعارف من دون عصر أو دلك بعد زوال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المطر مطلقاً، أو في غير البول؛ لما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 التعدّد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أو في خصوص البول كما في غيره، و الحكم في المخصوص بالغ حَدّ الاستفاضة فيهما، و في الثوب أشيع، و هو الذي نطقت به النصوص </w:t>
      </w:r>
      <w:r>
        <w:rPr>
          <w:rStyle w:val="FootnoteAnchor"/>
          <w:rtl w:val="true"/>
        </w:rPr>
        <w:footnoteReference w:id="2168"/>
      </w:r>
      <w:r>
        <w:rPr>
          <w:rFonts w:ascii="Amiri" w:hAnsi="Amiri" w:eastAsia="Amiri" w:cs="Amiri"/>
          <w:color w:val="111111"/>
          <w:sz w:val="28"/>
          <w:sz w:val="28"/>
          <w:szCs w:val="28"/>
          <w:rtl w:val="true"/>
          <w:lang w:bidi="ar-SA"/>
        </w:rPr>
        <w:t xml:space="preserve">و الفتاوى، لكن </w:t>
      </w:r>
    </w:p>
    <w:p>
      <w:pPr>
        <w:pStyle w:val="BookText"/>
        <w:rPr/>
      </w:pPr>
      <w:r>
        <w:rPr>
          <w:rFonts w:ascii="Amiri" w:hAnsi="Amiri" w:eastAsia="Amiri" w:cs="Amiri"/>
          <w:color w:val="111111"/>
          <w:sz w:val="28"/>
          <w:sz w:val="28"/>
          <w:szCs w:val="28"/>
          <w:rtl w:val="true"/>
          <w:lang w:bidi="ar-SA"/>
        </w:rPr>
        <w:t xml:space="preserve">الفاضل اجتزأ في الحكميّة، و المصنّف في غيره كظاهر المنتهى </w:t>
      </w:r>
      <w:r>
        <w:rPr>
          <w:rStyle w:val="FootnoteAnchor"/>
          <w:rtl w:val="true"/>
        </w:rPr>
        <w:footnoteReference w:id="2169"/>
      </w:r>
      <w:r>
        <w:rPr>
          <w:rFonts w:ascii="Amiri" w:hAnsi="Amiri" w:eastAsia="Amiri" w:cs="Amiri"/>
          <w:color w:val="111111"/>
          <w:sz w:val="28"/>
          <w:sz w:val="28"/>
          <w:szCs w:val="28"/>
          <w:rtl w:val="true"/>
          <w:lang w:bidi="ar-SA"/>
        </w:rPr>
        <w:t xml:space="preserve">اكتفى بالمزيلة و إن اتّحدت؛ لخبر الذكرى </w:t>
      </w:r>
      <w:r>
        <w:rPr>
          <w:rStyle w:val="FootnoteAnchor"/>
          <w:rtl w:val="true"/>
        </w:rPr>
        <w:footnoteReference w:id="2170"/>
      </w:r>
      <w:r>
        <w:rPr>
          <w:rFonts w:ascii="Amiri" w:hAnsi="Amiri" w:eastAsia="Amiri" w:cs="Amiri"/>
          <w:color w:val="111111"/>
          <w:sz w:val="28"/>
          <w:sz w:val="28"/>
          <w:szCs w:val="28"/>
          <w:rtl w:val="true"/>
          <w:lang w:bidi="ar-SA"/>
        </w:rPr>
        <w:t>كما في الأوّل المقتضي لسقوط الغسلة المزيلة بعد الجفاف و زوال العين و بقاء غسلة الإنقاء، و أصالة البراءة من الزائد المزيلة للعين حينئذٍ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يدفعهما عدم تحقّق الرواية كما مرّ، و الصّحاح الحاكمة على أصالة البراءة، و إطلاقات الغسل، و في إحدى الصحيحتين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غسلته في ماء جارٍ فمرّة</w:t>
      </w:r>
      <w:r>
        <w:rPr>
          <w:rFonts w:eastAsia="Amiri" w:cs="Amiri" w:ascii="Amiri" w:hAnsi="Amiri"/>
          <w:color w:val="111111"/>
          <w:sz w:val="28"/>
          <w:szCs w:val="28"/>
          <w:rtl w:val="true"/>
          <w:lang w:bidi="ar-SA"/>
        </w:rPr>
        <w:t xml:space="preserve">» </w:t>
      </w:r>
      <w:r>
        <w:rPr>
          <w:rStyle w:val="FootnoteAnchor"/>
          <w:rtl w:val="true"/>
        </w:rPr>
        <w:footnoteReference w:id="2171"/>
      </w:r>
      <w:r>
        <w:rPr>
          <w:rFonts w:ascii="Amiri" w:hAnsi="Amiri" w:eastAsia="Amiri" w:cs="Amiri"/>
          <w:color w:val="111111"/>
          <w:sz w:val="28"/>
          <w:sz w:val="28"/>
          <w:szCs w:val="28"/>
          <w:rtl w:val="true"/>
          <w:lang w:bidi="ar-SA"/>
        </w:rPr>
        <w:t>، بظهور التفصيل القاطع للشركة فيه، زيادة على كون الأمر للوجوب، و لو فزع إلى الاكتفاء بالمرّة في الاستنجاء بعد تنقيح المناط في الفتاوى و النّصوص لكان أجدر لو لم تكن أخبار الباب مخصّصة لتلك الروايات المرسل بعضها مع عدم الجابر، و التخصيص أولى من حملها على الاستحباب جمعاً منافاة الحمل لخبر المركن المصرّح بالوجوب، فلا ضَيْر في الحكم بالتعدّد فيهما بحيث تصدق التثنية عرفاً، و لا يجزي إكثار الماء بلا فصل و إن تراخت أجزاء الغسل؛ لعدم صدق التثنية و لو قدر بما فوقها جموداً على ظاهر الاثنينيّة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بعضهم </w:t>
      </w:r>
      <w:r>
        <w:rPr>
          <w:rStyle w:val="FootnoteAnchor"/>
          <w:rtl w:val="true"/>
        </w:rPr>
        <w:footnoteReference w:id="2172"/>
      </w:r>
      <w:r>
        <w:rPr>
          <w:rFonts w:ascii="Amiri" w:hAnsi="Amiri" w:eastAsia="Amiri" w:cs="Amiri"/>
          <w:color w:val="111111"/>
          <w:sz w:val="28"/>
          <w:sz w:val="28"/>
          <w:szCs w:val="28"/>
          <w:rtl w:val="true"/>
          <w:lang w:bidi="ar-SA"/>
        </w:rPr>
        <w:t xml:space="preserve">الاكتفاء بما لو فصل بين أجزاء الملقى عن الماء؛ لحصول الزوجيّة، و لعلّ المصنّف و ثاني المحقّقين يزعمانه، و إذا صحّت رواية الذكرى </w:t>
      </w:r>
      <w:r>
        <w:rPr>
          <w:rStyle w:val="FootnoteAnchor"/>
          <w:rtl w:val="true"/>
        </w:rPr>
        <w:footnoteReference w:id="2173"/>
      </w:r>
      <w:r>
        <w:rPr>
          <w:rFonts w:ascii="Amiri" w:hAnsi="Amiri" w:eastAsia="Amiri" w:cs="Amiri"/>
          <w:color w:val="111111"/>
          <w:sz w:val="28"/>
          <w:sz w:val="28"/>
          <w:szCs w:val="28"/>
          <w:rtl w:val="true"/>
          <w:lang w:bidi="ar-SA"/>
        </w:rPr>
        <w:t>أو صدقت الزوجيّة عرفاً مع تراخي الصّب يمكن القول بسقوط الفصل؛ لحصول الغرض بإكثار الماء من الإزالة و الإنقاء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 الخطاب الشرعي ينزّل على المتفاهم العرفي، و العرف يأبى التعدّد في مثله، يؤوب القهقرى مدّعيه، و إلَّا لجرى حصول الغرض بالعصر أيضاً، و لا يزعمه لاغي الفصل هنا، لكن تردّد غير واحد </w:t>
      </w:r>
      <w:r>
        <w:rPr>
          <w:rStyle w:val="FootnoteAnchor"/>
          <w:rtl w:val="true"/>
        </w:rPr>
        <w:footnoteReference w:id="2174"/>
      </w:r>
      <w:r>
        <w:rPr>
          <w:rFonts w:ascii="Amiri" w:hAnsi="Amiri" w:eastAsia="Amiri" w:cs="Amiri"/>
          <w:color w:val="111111"/>
          <w:sz w:val="28"/>
          <w:sz w:val="28"/>
          <w:szCs w:val="28"/>
          <w:rtl w:val="true"/>
          <w:lang w:bidi="ar-SA"/>
        </w:rPr>
        <w:t xml:space="preserve">في أصل الحوق البدن للثوب في الحكم، و معه تسقط الزّوجيّة عنه </w:t>
      </w:r>
    </w:p>
    <w:p>
      <w:pPr>
        <w:pStyle w:val="BookText"/>
        <w:rPr/>
      </w:pPr>
      <w:r>
        <w:rPr>
          <w:rFonts w:ascii="Amiri" w:hAnsi="Amiri" w:eastAsia="Amiri" w:cs="Amiri"/>
          <w:color w:val="111111"/>
          <w:sz w:val="28"/>
          <w:sz w:val="28"/>
          <w:szCs w:val="28"/>
          <w:rtl w:val="true"/>
          <w:lang w:bidi="ar-SA"/>
        </w:rPr>
        <w:t xml:space="preserve">البتّة، إلَّا أنّه محجوج بمعقد إجماع المعتبر </w:t>
      </w:r>
      <w:r>
        <w:rPr>
          <w:rStyle w:val="FootnoteAnchor"/>
          <w:rtl w:val="true"/>
        </w:rPr>
        <w:footnoteReference w:id="2175"/>
      </w:r>
      <w:r>
        <w:rPr>
          <w:rFonts w:ascii="Amiri" w:hAnsi="Amiri" w:eastAsia="Amiri" w:cs="Amiri"/>
          <w:color w:val="111111"/>
          <w:sz w:val="28"/>
          <w:sz w:val="28"/>
          <w:szCs w:val="28"/>
          <w:rtl w:val="true"/>
          <w:lang w:bidi="ar-SA"/>
        </w:rPr>
        <w:t xml:space="preserve">، و برواية أبي إسحاق المصرّحة بصبّ الماء عليه مرّتين </w:t>
      </w:r>
      <w:r>
        <w:rPr>
          <w:rStyle w:val="FootnoteAnchor"/>
          <w:rtl w:val="true"/>
        </w:rPr>
        <w:footnoteReference w:id="2176"/>
      </w:r>
      <w:r>
        <w:rPr>
          <w:rFonts w:ascii="Amiri" w:hAnsi="Amiri" w:eastAsia="Amiri" w:cs="Amiri"/>
          <w:color w:val="111111"/>
          <w:sz w:val="28"/>
          <w:sz w:val="28"/>
          <w:szCs w:val="28"/>
          <w:rtl w:val="true"/>
          <w:lang w:bidi="ar-SA"/>
        </w:rPr>
        <w:t xml:space="preserve">و غيرها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قصرٌ ابن الشارح </w:t>
      </w:r>
      <w:r>
        <w:rPr>
          <w:rStyle w:val="FootnoteAnchor"/>
          <w:rtl w:val="true"/>
        </w:rPr>
        <w:footnoteReference w:id="2178"/>
      </w:r>
      <w:r>
        <w:rPr>
          <w:rFonts w:ascii="Amiri" w:hAnsi="Amiri" w:eastAsia="Amiri" w:cs="Amiri"/>
          <w:color w:val="111111"/>
          <w:sz w:val="28"/>
          <w:sz w:val="28"/>
          <w:szCs w:val="28"/>
          <w:rtl w:val="true"/>
          <w:lang w:bidi="ar-SA"/>
        </w:rPr>
        <w:t xml:space="preserve">المرّتين غسلاً أو صبّاً على الثوب و البدن خاصّة فيرجع في غيره إلى إطلاقات الغسل، غير متّجه، بل زوجيّة الصبّ ثابتة في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أشبه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يكفي الصبّ عليه مرّتين بلا دلك و لا عصر،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تنفصل </w:t>
      </w:r>
      <w:r>
        <w:rPr>
          <w:rStyle w:val="FootnoteAnchor"/>
          <w:rtl w:val="true"/>
        </w:rPr>
        <w:footnoteReference w:id="2179"/>
      </w:r>
      <w:r>
        <w:rPr>
          <w:rFonts w:ascii="Amiri" w:hAnsi="Amiri" w:eastAsia="Amiri" w:cs="Amiri"/>
          <w:color w:val="111111"/>
          <w:sz w:val="28"/>
          <w:sz w:val="28"/>
          <w:szCs w:val="28"/>
          <w:rtl w:val="true"/>
          <w:lang w:bidi="ar-SA"/>
        </w:rPr>
        <w:t>الغسالة عنه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يحتاج انفصالها إلى 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كالحجر و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المعادن، فتكفي المرّة فيها لصقالتها على إشكال في الفارق بعد اتّحاد المناط لو لم يكن قياساً فيهما و فيها، فالأَولى عدم الإلحاق، و كفاية المرّة بعد زوال العين؛ لبطلانه في المذهب، فتأمّل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الأقوى كفاية المرّة في الاستنجاء من البول؛ لفقد ما يصلح للتعدّد فيه من إطلاق غسل البدن و الذكر منه من البول مرّتين، و من استصحاب النّجاسة المسمّى بعموم الدليل، و من رواية نشيط بن صالحٍ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كم يجزي من الماء في الاستنجاء من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على الحشفة </w:t>
      </w:r>
      <w:r>
        <w:rPr>
          <w:rFonts w:eastAsia="IRNazanin" w:cs="IRNazanin"/>
          <w:color w:val="111111"/>
          <w:sz w:val="28"/>
          <w:szCs w:val="28"/>
          <w:rtl w:val="true"/>
          <w:lang w:bidi="fa-IR"/>
        </w:rPr>
        <w:t xml:space="preserve">» </w:t>
      </w:r>
      <w:r>
        <w:rPr>
          <w:rStyle w:val="FootnoteAnchor"/>
          <w:rtl w:val="true"/>
        </w:rPr>
        <w:footnoteReference w:id="2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السند، و مثلها عبارة الصّدوق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يصبّ على إحليله من الماء مثلي ما عليه من البول يصبّه مرّتين</w:t>
      </w:r>
      <w:r>
        <w:rPr>
          <w:rFonts w:eastAsia="Amiri" w:cs="Amiri" w:ascii="Amiri" w:hAnsi="Amiri"/>
          <w:color w:val="111111"/>
          <w:sz w:val="28"/>
          <w:szCs w:val="28"/>
          <w:rtl w:val="true"/>
          <w:lang w:bidi="ar-SA"/>
        </w:rPr>
        <w:t xml:space="preserve">) </w:t>
      </w:r>
      <w:r>
        <w:rPr>
          <w:rStyle w:val="FootnoteAnchor"/>
          <w:rtl w:val="true"/>
        </w:rPr>
        <w:footnoteReference w:id="21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بهذا و نحوه استظهر المصنّف </w:t>
      </w:r>
      <w:r>
        <w:rPr>
          <w:rStyle w:val="FootnoteAnchor"/>
          <w:rtl w:val="true"/>
        </w:rPr>
        <w:footnoteReference w:id="2182"/>
      </w:r>
      <w:r>
        <w:rPr>
          <w:rFonts w:ascii="IRNazanin" w:hAnsi="IRNazanin" w:eastAsia="IRNazanin"/>
          <w:color w:val="111111"/>
          <w:sz w:val="28"/>
          <w:sz w:val="28"/>
          <w:szCs w:val="28"/>
          <w:rtl w:val="true"/>
          <w:lang w:bidi="fa-IR"/>
        </w:rPr>
        <w:t xml:space="preserve">، و الشارح </w:t>
      </w:r>
      <w:r>
        <w:rPr>
          <w:rStyle w:val="FootnoteAnchor"/>
          <w:rtl w:val="true"/>
        </w:rPr>
        <w:footnoteReference w:id="2183"/>
      </w:r>
      <w:r>
        <w:rPr>
          <w:rFonts w:ascii="IRNazanin" w:hAnsi="IRNazanin" w:eastAsia="IRNazanin"/>
          <w:color w:val="111111"/>
          <w:sz w:val="28"/>
          <w:sz w:val="28"/>
          <w:szCs w:val="28"/>
          <w:rtl w:val="true"/>
          <w:lang w:bidi="fa-IR"/>
        </w:rPr>
        <w:t xml:space="preserve">، و جامع المقاصد </w:t>
      </w:r>
      <w:r>
        <w:rPr>
          <w:rStyle w:val="FootnoteAnchor"/>
          <w:rtl w:val="true"/>
        </w:rPr>
        <w:footnoteReference w:id="2184"/>
      </w:r>
      <w:r>
        <w:rPr>
          <w:rFonts w:ascii="Amiri" w:hAnsi="Amiri" w:eastAsia="Amiri" w:cs="Amiri"/>
          <w:color w:val="111111"/>
          <w:sz w:val="28"/>
          <w:sz w:val="28"/>
          <w:szCs w:val="28"/>
          <w:rtl w:val="true"/>
          <w:lang w:bidi="ar-SA"/>
        </w:rPr>
        <w:t xml:space="preserve">، و غيرهم </w:t>
      </w:r>
      <w:r>
        <w:rPr>
          <w:rStyle w:val="FootnoteAnchor"/>
          <w:rtl w:val="true"/>
        </w:rPr>
        <w:footnoteReference w:id="2185"/>
      </w:r>
      <w:r>
        <w:rPr>
          <w:rFonts w:ascii="Amiri" w:hAnsi="Amiri" w:eastAsia="Amiri" w:cs="Amiri"/>
          <w:color w:val="111111"/>
          <w:sz w:val="28"/>
          <w:sz w:val="28"/>
          <w:szCs w:val="28"/>
          <w:rtl w:val="true"/>
          <w:lang w:bidi="ar-SA"/>
        </w:rPr>
        <w:t xml:space="preserve">المرّتين فيه، و به أخذ شيخ أساتيدنا </w:t>
      </w:r>
      <w:r>
        <w:rPr>
          <w:rStyle w:val="FootnoteAnchor"/>
          <w:rtl w:val="true"/>
        </w:rPr>
        <w:footnoteReference w:id="2186"/>
      </w:r>
      <w:r>
        <w:rPr>
          <w:rFonts w:ascii="Amiri" w:hAnsi="Amiri" w:eastAsia="Amiri" w:cs="Amiri"/>
          <w:color w:val="111111"/>
          <w:sz w:val="28"/>
          <w:sz w:val="28"/>
          <w:szCs w:val="28"/>
          <w:rtl w:val="true"/>
          <w:lang w:bidi="ar-SA"/>
        </w:rPr>
        <w:t>بتقريبات لا تبلّ غلّة، فالأَحْرى الاجتزاء بالمرة؛ لورود أخبار بها مصرّحة حاكمة على الصحيحة بعد فرض الدّلالة، و سيجيء الكلام عليه مفصّلاً في آداب التخلّي عند ذكر المصنّف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يتوقّف حصول التطهير زوجاً أو فرداً على إطلاق الماء إلى العصر، فلو تغيّر بأحد الثلاثة قبله فيما هو شرط فيه في جملة من المصبوغات و لو بالدّم فلا تطهير؛ إذ لا وجه المراعاة الإطلاق قبل الورود على المحلّ جزماً، و إن تغيّر بنفس العصر فوجهان، من عدم بقاء اشتراط الإطلاق حتّى حال العصر؛ لكونه شرطاً آخر للتّطهير بعد خروجه عن مفهوم الغسل، و اغتفار نجاسة المتنجّس الخارج بالعصر مثل الماء المتخلّف بالمحلّ بعده، و من أنّ يقين التطهير يحصل بذلك، فيستصحب بقاء النجاسة بحالها، و أنّ المرّة أو المرّتين بعد زوال العين أخذاً بإطلاق اعتبار الإطلاق في الماء مطلقاً، و هو الأحوط و إن كان المخرّج على القواعد الأوّل؛ للرجوع إلى إطلاقات الغسل فيما يبقى بلَلَه، و لأنّ الثابت من اعتبار إطلاق الماء هو ما كان قبل العصر مطلقاً، و من كفاية المرّتين في غسل الرّطب مع ممازجة الماء بأجزاء البول الباقية في المحلّ، فإنّ مقتضاه عدم طهارة المصبوغ و لو في الكرّ؛ لصيرورة الماء الملاصق للمحلّ مضافاً فينجس المحلّ به، و هو عسر، فكما أنّ ماء الغسل نجس في المحلّ كالمحلّ فإذا انفصل طهر المحلّ لو زعم نجاسته، كذلك الماء المتلوّن نجس هو و محلّه ما دام فيه، فإذا انفصل عنه اختصّ الحكم به دونه فلا تؤثّر نجاسة الصبغ في المحلّ شيئاً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المعتبر في التّطهير إزالة عين النجاسة و أثرها الكاشف عن زوال العين </w:t>
      </w:r>
    </w:p>
    <w:p>
      <w:pPr>
        <w:pStyle w:val="BookText"/>
        <w:rPr/>
      </w:pPr>
      <w:r>
        <w:rPr>
          <w:rFonts w:ascii="Amiri" w:hAnsi="Amiri" w:eastAsia="Amiri" w:cs="Amiri"/>
          <w:color w:val="111111"/>
          <w:sz w:val="28"/>
          <w:sz w:val="28"/>
          <w:szCs w:val="28"/>
          <w:rtl w:val="true"/>
          <w:lang w:bidi="ar-SA"/>
        </w:rPr>
        <w:t>و لو اشتمل المطهر على ذلك الأثر ، و أنّه لا عبرة ببقاء اللّون الذي يتعذّر أو يتعسّر إزالته ما لم يصدق عليه عرفاً أنّه دم مثلاً، فيجب المبالغة في إزالته إلَّا إذا تعسّر على المزيل سبب الإزالة فيبقى النجس بحاله، و يلحقه حكم آخر مع أنّه نجس، و لا كذلك العسر الناشئ من المبالغة في الغسل على الوجه المتعارف، فإنّه إذا توقّفت الإزالة على غير المتعارف حكم بطهارة المحلّ و إن بقي للنجاسة أثر المسمّى بالعرض ممّا لا يصدق عليه عناوين النجاسة، و يستصحب إطلاق الماء لو شكّ في التغيير، و المرئي بعد العصر أنّه قبله، و لا يعارضه أصالة تأخّر الغسل المأمور به عن حصول التغيير فيه؛ لمعلوميّة زمان الغسل و العصر دون زمان التغيير، مع أنّ أصالة عدم الغسل قبل التغيير لا يفيد شيئاً، و لا يثبت به وقوع الغسل بعد التغيير إلَّا بمثبت الأصل، فلا معنى للمعارضة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تجب المرّتان في المنصوصين من الثوب و البدن و غيرهما المشابه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نجس العين منه لو تنجّس لحقهما في الحكم و إن لم يكن منصوصاً بشرط أن لا يمكن عصره، فالقربة كالثوب، و كأنّ اعتبار المرّتين فيه بعد أصالة نفي الزائد عنها لجهة أولويّته من البدن أو مساواته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بنقصان حكمه و خفّة النجاسة فيه فلا يعتبر فيه إجراء الماء بحيث ينفصل بنفسه، ألا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يكفي صَبّ الماء فيه بحيث يصيب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إفراغه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تطهيره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مغرف و غيره، بشرط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 إليه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شيء من الماء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بشرط أن لا يصيب الماء أحد جوانبه النجسة ثمّ يجري إلى بقيّة الجوانب عند من ينجس الغسالة، و بشرط عدم بقاء عين النجاسة فيه و زوال عينها قبله كما نصّ عليه المصنّف و غيره، و لم نعرف وجهه فقد النّص، و قد ينزل على إلحاق الماء الذي لا تزول به العين أو اعتبار جفاف الإناء بعد تفريغ المطهّر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فيه الماء ثمّ يحرّك و يفرّغ و هكذا و لو مليء ماءً كفى إفراغه عن تحريكه، و لو كان مثبتاً و شقّ قلعه ملئ ماءً و أخرج بما لا يتكرّر إلَّا بعد غسله </w:t>
      </w:r>
      <w:r>
        <w:rPr>
          <w:rStyle w:val="FootnoteAnchor"/>
          <w:rtl w:val="true"/>
        </w:rPr>
        <w:footnoteReference w:id="218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يظهر منه أنّ المثبت الذي لا يشقّ قلعه لا يلحقه هذا الحكم، و الأصحّ هنا لحوقه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ذلك المثبت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يَشُقُّ قلعه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و مفاد العبارة اعتبار المرّتين في الآنية مطلقاً، و أنّ غيرها لا يطهر بدون جريان الماء عليه و انفصاله بنفسه عنه، و أنّها تطهر بإصابة الماء مطلقاً و إفراغه بقلب أو آلة، و أنّ الآلة لا بدّ من تطهيرها بالعود، و يجري فيها حكم الثياب من التّعدد و العصر و حكم الحجر و الخشب أيضاً إذا كانت من أحدهما، و هي ساكتة عن اعتبار الورود في التطهير في الجميع و عدمه إن لم يكن ظاهر الصبّ و الغسل اعتبار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فلم نقف له على دليل و لا قائل إلَّا ما عرفت من حديث المساواة أو الأولويّة، و كأنّهما ممنوعان، أو هو ضَربٌ من القياس المخفي، فإنّ مَن وصل إلينا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ما نبّه عليه و المسكر من الأشربة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قائل بالاكتفاء بالمرّة كالمفيد </w:t>
      </w:r>
      <w:r>
        <w:rPr>
          <w:rStyle w:val="FootnoteAnchor"/>
          <w:rtl w:val="true"/>
        </w:rPr>
        <w:footnoteReference w:id="2188"/>
      </w:r>
      <w:r>
        <w:rPr>
          <w:rFonts w:ascii="Amiri" w:hAnsi="Amiri" w:eastAsia="Amiri" w:cs="Amiri"/>
          <w:color w:val="111111"/>
          <w:sz w:val="28"/>
          <w:sz w:val="28"/>
          <w:szCs w:val="28"/>
          <w:rtl w:val="true"/>
          <w:lang w:bidi="ar-SA"/>
        </w:rPr>
        <w:t xml:space="preserve">و الحلّي </w:t>
      </w:r>
      <w:r>
        <w:rPr>
          <w:rStyle w:val="FootnoteAnchor"/>
          <w:rtl w:val="true"/>
        </w:rPr>
        <w:footnoteReference w:id="2189"/>
      </w:r>
      <w:r>
        <w:rPr>
          <w:rFonts w:ascii="Amiri" w:hAnsi="Amiri" w:eastAsia="Amiri" w:cs="Amiri"/>
          <w:color w:val="111111"/>
          <w:sz w:val="28"/>
          <w:sz w:val="28"/>
          <w:szCs w:val="28"/>
          <w:rtl w:val="true"/>
          <w:lang w:bidi="ar-SA"/>
        </w:rPr>
        <w:t xml:space="preserve">و سلّار </w:t>
      </w:r>
      <w:r>
        <w:rPr>
          <w:rStyle w:val="FootnoteAnchor"/>
          <w:rtl w:val="true"/>
        </w:rPr>
        <w:footnoteReference w:id="2190"/>
      </w:r>
      <w:r>
        <w:rPr>
          <w:rFonts w:ascii="IRNazanin" w:hAnsi="IRNazanin" w:eastAsia="IRNazanin"/>
          <w:color w:val="111111"/>
          <w:sz w:val="28"/>
          <w:sz w:val="28"/>
          <w:szCs w:val="28"/>
          <w:rtl w:val="true"/>
          <w:lang w:bidi="fa-IR"/>
        </w:rPr>
        <w:t xml:space="preserve">و الفاضل </w:t>
      </w:r>
      <w:r>
        <w:rPr>
          <w:rStyle w:val="FootnoteAnchor"/>
          <w:rtl w:val="true"/>
        </w:rPr>
        <w:footnoteReference w:id="2191"/>
      </w:r>
      <w:r>
        <w:rPr>
          <w:rFonts w:ascii="Amiri" w:hAnsi="Amiri" w:eastAsia="Amiri" w:cs="Amiri"/>
          <w:color w:val="111111"/>
          <w:sz w:val="28"/>
          <w:sz w:val="28"/>
          <w:szCs w:val="28"/>
          <w:rtl w:val="true"/>
          <w:lang w:bidi="ar-SA"/>
        </w:rPr>
        <w:t xml:space="preserve">و المصنّف في البيان </w:t>
      </w:r>
      <w:r>
        <w:rPr>
          <w:rStyle w:val="FootnoteAnchor"/>
          <w:rtl w:val="true"/>
        </w:rPr>
        <w:footnoteReference w:id="2192"/>
      </w:r>
      <w:r>
        <w:rPr>
          <w:rFonts w:ascii="Amiri" w:hAnsi="Amiri" w:eastAsia="Amiri" w:cs="Amiri"/>
          <w:color w:val="111111"/>
          <w:sz w:val="28"/>
          <w:sz w:val="28"/>
          <w:szCs w:val="28"/>
          <w:rtl w:val="true"/>
          <w:lang w:bidi="ar-SA"/>
        </w:rPr>
        <w:t xml:space="preserve">، و المحقّق </w:t>
      </w:r>
      <w:r>
        <w:rPr>
          <w:rStyle w:val="FootnoteAnchor"/>
          <w:rtl w:val="true"/>
        </w:rPr>
        <w:footnoteReference w:id="2193"/>
      </w:r>
      <w:r>
        <w:rPr>
          <w:rFonts w:ascii="Amiri" w:hAnsi="Amiri" w:eastAsia="Amiri" w:cs="Amiri"/>
          <w:color w:val="111111"/>
          <w:sz w:val="28"/>
          <w:sz w:val="28"/>
          <w:szCs w:val="28"/>
          <w:rtl w:val="true"/>
          <w:lang w:bidi="ar-SA"/>
        </w:rPr>
        <w:t xml:space="preserve">حكم به مع إضافة الدّلك؛ لإخراج عين النجاسة كالفاضل، و بين مدّع وجوب الثلاث كالخلاف </w:t>
      </w:r>
      <w:r>
        <w:rPr>
          <w:rStyle w:val="FootnoteAnchor"/>
          <w:rtl w:val="true"/>
        </w:rPr>
        <w:footnoteReference w:id="2194"/>
      </w:r>
      <w:r>
        <w:rPr>
          <w:rFonts w:ascii="IRNazanin" w:hAnsi="IRNazanin" w:eastAsia="IRNazanin"/>
          <w:color w:val="111111"/>
          <w:sz w:val="28"/>
          <w:sz w:val="28"/>
          <w:szCs w:val="28"/>
          <w:rtl w:val="true"/>
          <w:lang w:bidi="fa-IR"/>
        </w:rPr>
        <w:t xml:space="preserve">و الدروس </w:t>
      </w:r>
      <w:r>
        <w:rPr>
          <w:rStyle w:val="FootnoteAnchor"/>
          <w:rtl w:val="true"/>
        </w:rPr>
        <w:footnoteReference w:id="2195"/>
      </w:r>
      <w:r>
        <w:rPr>
          <w:rFonts w:ascii="Amiri" w:hAnsi="Amiri" w:eastAsia="Amiri" w:cs="Amiri"/>
          <w:color w:val="111111"/>
          <w:sz w:val="28"/>
          <w:sz w:val="28"/>
          <w:szCs w:val="28"/>
          <w:rtl w:val="true"/>
          <w:lang w:bidi="ar-SA"/>
        </w:rPr>
        <w:t xml:space="preserve">و الكركي </w:t>
      </w:r>
      <w:r>
        <w:rPr>
          <w:rStyle w:val="FootnoteAnchor"/>
          <w:rtl w:val="true"/>
        </w:rPr>
        <w:footnoteReference w:id="2196"/>
      </w:r>
      <w:r>
        <w:rPr>
          <w:rFonts w:ascii="Amiri" w:hAnsi="Amiri" w:eastAsia="Amiri" w:cs="Amiri"/>
          <w:color w:val="111111"/>
          <w:sz w:val="28"/>
          <w:sz w:val="28"/>
          <w:szCs w:val="28"/>
          <w:rtl w:val="true"/>
          <w:lang w:bidi="ar-SA"/>
        </w:rPr>
        <w:t>، و نقل الإجماع عليه من الشيخ في الأَخير، و لم أعثر به في كلماته، مع أنّه قال في الخلاف في إصابة الثوب بماء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يراعى فيه العدد إذا غسل، و كذا ما مسّ الكلب و الخنزير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أراد العدد الولوغي المشتمل على التراب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بين مفصّلٍ كابن حمزة، فيوجب الثلاث في غير ما يكون بمباشرة النّجس من الحيوان، و فيها بالمرّة، فليس للحكم بالمرّتين إلَّا نفس الحمل و استضعاف خبر الثلاث المعمول به في الذكرى، بضميمة نقل إجماع الشيخ الذي لم يوجد في كتبه، و بأنّ المذهب قد يعلم </w:t>
      </w:r>
      <w:r>
        <w:rPr>
          <w:rStyle w:val="FootnoteAnchor"/>
          <w:rtl w:val="true"/>
        </w:rPr>
        <w:footnoteReference w:id="2197"/>
      </w:r>
      <w:r>
        <w:rPr>
          <w:rFonts w:ascii="Amiri" w:hAnsi="Amiri" w:eastAsia="Amiri" w:cs="Amiri"/>
          <w:color w:val="111111"/>
          <w:sz w:val="28"/>
          <w:sz w:val="28"/>
          <w:szCs w:val="28"/>
          <w:rtl w:val="true"/>
          <w:lang w:bidi="ar-SA"/>
        </w:rPr>
        <w:t>بالرواية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بشرط تلقّي الكلّ لها بالقبول، و لا يكفي عدم وجود المعارض لها في الأخذ بها على سبيل الوجوب، و لعلّ نظره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المتّجه عدم التعدّد بعد زوال العين؛ لإطلاق الأمر بالغسل كما سبق، و لا يسمّى ما يجري على الثوب و البدن غسلاً، بل ذلك يسمّى صَبّاً و رشاً، و به يثبت الثاني، و الثالث بخبر </w:t>
      </w:r>
      <w:r>
        <w:rPr>
          <w:rStyle w:val="FootnoteAnchor"/>
          <w:rtl w:val="true"/>
        </w:rPr>
        <w:footnoteReference w:id="2198"/>
      </w:r>
      <w:r>
        <w:rPr>
          <w:rFonts w:ascii="Amiri" w:hAnsi="Amiri" w:eastAsia="Amiri" w:cs="Amiri"/>
          <w:color w:val="111111"/>
          <w:sz w:val="28"/>
          <w:sz w:val="28"/>
          <w:szCs w:val="28"/>
          <w:rtl w:val="true"/>
          <w:lang w:bidi="ar-SA"/>
        </w:rPr>
        <w:t>عمّار الآمر فيه بغسل الإناء ثلاث مرّات من مطلق النجاسة، بضميمة طهارة الإناء و نحوها مع عدم إمكان الجريان عنه بنفسه في الغالب، فلا يلزم فيها الصبّ المُفضي إلى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فهو مبنيّ على كون الغسالة كالمحلّ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بعدم تنجّس المغسول بماء غسالته، و إلَّا لكان المتقاطر من الآلة نجساً، و لو أراد بالعود في المرّة الثانية من الغسلتين كي لا يختلط المتنجّس بالأُولى بالثانية كما احتمل، ففيه منافاته لإطلاقه أنّ المغسول يتنجّس بماء غسالته جزماً مع الانفصال و الالتزام بالنجاسة، و لا نقض في مسألة التقاطر؛ لأنها من الملتزم به، فلا فرق في عود الآلة بين الغسلتين أو الواحدة، بل لو قيل بطهارة ماء الغسالة قبل الانفصال بعود الآلة ينجس الجميع؛ لأنه أصابه نجاسة من خارج، فإنّ الآلة بنجاسة ماء الغسالة المنفصلة نجست هي و ما أقلّته من الماء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الخامس فقد سَلَف بعض الكلام فيه و في الغسالة باقية، و هنا أنّ القائل بنجاسة الغسالة يقوى في حقّه عدم اعتبار الورود في المطهر؛ للإطلاق السالم عن المعارض، و ظهور أوامر الصبّ في الورود لا يكفي في تقييد الإطلاق؛ لأنّ العبرة في العنوان العام من الأدلّة دون الخاص ، و لا ينفع الاستصحاب بعد وجود القاطع، و ملاحظة ما ورد في 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الأواني من الولوغ و غيره، و تجويز غسل الثياب في المركن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القائل بالطهارة مطلقاً، أو قبل الانفصال، فالأَحرى له اعتبار الورود في المطهّر لما قضى بنجاسة الماء إذا ورد عليه اليد القذرة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ما يقبل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يقبله مع بقائه على حالته و عدم تغيّر صورته فلا يطهر، و تستصحب نجاسته، و هو متّجه في سائر المائعات من مضاف الماء و الدّهن و الدّبس و العسل و الشمع و العجين و الطّين و غيرها؛ إذ عموم تطهير الماء كالمجمل بالنسبة إلى المتعلّق، إذ لم يَرِد أنّ الماء مطهّر لكلّ شيء على أيّ نحو و كيفيّة، فلا ينفع إطلاق مطهّريّته للمشكوك في قبوله الطّهارة، و وصول الماء إلى كلّ أجزاء النجّس من المائع لا يجدي بعد انفعال القليل بالملاقاة و عدم انفعال المطهّر، و في الكثير يدور التطهير و عدمه مَدار سلب الإطلاق، و عدمه، و مع الثاني تسقط ثمرته، و قد سبق في المضاف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جمد المائع و تنجّس كان حاله حال الجوامد، و إن تنجس قبل الجمود و جمد طهر ظاهره إذا انفصلت غسالته بالقليل و الكثير، و يطهر ما ترسب فيه النجاسة و لا يمكن إخراجها بالعصر، كالأرض و المدر و القرطاس و الطّين اليابس و الخبز و بعض الفواكه و الحلو و القند و السُّكّر، بوضعها في الكثير حتّى يصل الماء إلى جميع أجزائها، و مثله المنتقع بالنجاسة من الحبوب كالحنطة و الرُّز و السّمسم و شبهها، أو طبخ في الماء النجس، و الأقرب طهارته في القليل أيضاً إذا نفذ الماء إلى ما نفذت إليه النجاسة ثمّ جفّف كالمفخور من آجر و خزف، و لو تَعَدّت النجاسة إلى داخله جفّف أيضاً، و إلَّا طهر ظاهره و باطنه تبعاً في غير الأصحّ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سمعت من كيفيّة التطهير لم يبق على إطلاقه في خصوص الإناء، فإنّ بعضه له حُكم غير ما سبق، و ذلك في الولوغ،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ولغ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الإناء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كلب الماء و كلب الصّيد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شرب ممّا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حرّكه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على الغسلتين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مَسْحَه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الجنيد أوجب سبعاً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لرواية عاميّة و أُخرى فطحيّة، و غيره </w:t>
      </w:r>
      <w:r>
        <w:rPr>
          <w:rStyle w:val="FootnoteAnchor"/>
          <w:rtl w:val="true"/>
        </w:rPr>
        <w:footnoteReference w:id="2201"/>
      </w:r>
      <w:r>
        <w:rPr>
          <w:rFonts w:ascii="IRNazanin" w:hAnsi="IRNazanin" w:eastAsia="IRNazanin"/>
          <w:color w:val="111111"/>
          <w:sz w:val="28"/>
          <w:sz w:val="28"/>
          <w:szCs w:val="28"/>
          <w:rtl w:val="true"/>
          <w:lang w:bidi="fa-IR"/>
        </w:rPr>
        <w:t xml:space="preserve">أوجب توسّط التّراب، و آخر </w:t>
      </w:r>
      <w:r>
        <w:rPr>
          <w:rStyle w:val="FootnoteAnchor"/>
          <w:rtl w:val="true"/>
        </w:rPr>
        <w:footnoteReference w:id="2202"/>
      </w:r>
      <w:r>
        <w:rPr>
          <w:rFonts w:ascii="IRNazanin" w:hAnsi="IRNazanin" w:eastAsia="IRNazanin"/>
          <w:color w:val="111111"/>
          <w:sz w:val="28"/>
          <w:sz w:val="28"/>
          <w:szCs w:val="28"/>
          <w:rtl w:val="true"/>
          <w:lang w:bidi="fa-IR"/>
        </w:rPr>
        <w:t>خيّرَ، و هما محجوجان بالنصّ عن الصادق علیه السلام، و الترتيب الذّكري يورث الترتيب الحكمي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انتهيت إلى الكلب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 لا يتوضأ بسؤره و اصبُب ذلك الماء، و اغسله بالتراب أوّل مرّة، ثمّ بالماء مرّتين</w:t>
      </w:r>
      <w:r>
        <w:rPr>
          <w:rFonts w:eastAsia="IRNazanin" w:cs="IRNazanin"/>
          <w:color w:val="111111"/>
          <w:sz w:val="28"/>
          <w:szCs w:val="28"/>
          <w:rtl w:val="true"/>
          <w:lang w:bidi="fa-IR"/>
        </w:rPr>
        <w:t xml:space="preserve">»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الرّضوي </w:t>
      </w:r>
      <w:r>
        <w:rPr>
          <w:rStyle w:val="FootnoteAnchor"/>
          <w:rtl w:val="true"/>
        </w:rPr>
        <w:footnoteReference w:id="2204"/>
      </w:r>
      <w:r>
        <w:rPr>
          <w:rFonts w:ascii="Amiri" w:hAnsi="Amiri" w:eastAsia="Amiri" w:cs="Amiri"/>
          <w:color w:val="111111"/>
          <w:sz w:val="28"/>
          <w:sz w:val="28"/>
          <w:szCs w:val="28"/>
          <w:rtl w:val="true"/>
          <w:lang w:bidi="ar-SA"/>
        </w:rPr>
        <w:t xml:space="preserve">، غير أنّ التثنية غير موجودة إلَّا في الخلاف </w:t>
      </w:r>
      <w:r>
        <w:rPr>
          <w:rStyle w:val="FootnoteAnchor"/>
          <w:rtl w:val="true"/>
        </w:rPr>
        <w:footnoteReference w:id="2205"/>
      </w:r>
      <w:r>
        <w:rPr>
          <w:rFonts w:ascii="Amiri" w:hAnsi="Amiri" w:eastAsia="Amiri" w:cs="Amiri"/>
          <w:color w:val="111111"/>
          <w:sz w:val="28"/>
          <w:sz w:val="28"/>
          <w:szCs w:val="28"/>
          <w:rtl w:val="true"/>
          <w:lang w:bidi="ar-SA"/>
        </w:rPr>
        <w:t xml:space="preserve">و كتابَي الفاضلين </w:t>
      </w:r>
      <w:r>
        <w:rPr>
          <w:rStyle w:val="FootnoteAnchor"/>
          <w:rtl w:val="true"/>
        </w:rPr>
        <w:footnoteReference w:id="2206"/>
      </w:r>
      <w:r>
        <w:rPr>
          <w:rFonts w:ascii="Amiri" w:hAnsi="Amiri" w:eastAsia="Amiri" w:cs="Amiri"/>
          <w:color w:val="111111"/>
          <w:sz w:val="28"/>
          <w:sz w:val="28"/>
          <w:szCs w:val="28"/>
          <w:rtl w:val="true"/>
          <w:lang w:bidi="ar-SA"/>
        </w:rPr>
        <w:t xml:space="preserve">، فلا شبهة في ثبوتها و ثبوت أوّليّة غسله بالتّراب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لفقد ما يصلح لاشتراطه و إن نص عليه في الدّروس </w:t>
      </w:r>
      <w:r>
        <w:rPr>
          <w:rStyle w:val="FootnoteAnchor"/>
          <w:rtl w:val="true"/>
        </w:rPr>
        <w:footnoteReference w:id="2207"/>
      </w:r>
      <w:r>
        <w:rPr>
          <w:rFonts w:ascii="IRNazanin" w:hAnsi="IRNazanin" w:eastAsia="IRNazanin"/>
          <w:color w:val="111111"/>
          <w:sz w:val="28"/>
          <w:sz w:val="28"/>
          <w:szCs w:val="28"/>
          <w:rtl w:val="true"/>
          <w:lang w:bidi="fa-IR"/>
        </w:rPr>
        <w:t xml:space="preserve">و قبله الفاضل </w:t>
      </w:r>
      <w:r>
        <w:rPr>
          <w:rStyle w:val="FootnoteAnchor"/>
          <w:rtl w:val="true"/>
        </w:rPr>
        <w:footnoteReference w:id="2208"/>
      </w:r>
      <w:r>
        <w:rPr>
          <w:rFonts w:ascii="Amiri" w:hAnsi="Amiri" w:eastAsia="Amiri" w:cs="Amiri"/>
          <w:color w:val="111111"/>
          <w:sz w:val="28"/>
          <w:sz w:val="28"/>
          <w:szCs w:val="28"/>
          <w:rtl w:val="true"/>
          <w:lang w:bidi="ar-SA"/>
        </w:rPr>
        <w:t>لإطلاق الطّهور عليه هنا و المراد به الطّاهر المطهر، و لأن النجس لا يكون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يدفعهما إنكار الإطلاق في أخبار الخاصّة، و يكفي في اعتباره أنّه للإزالة لا للتّطهير، فلم يبق إلَّا الأخذ بالمتيقّن لو وجد، أو لا ينهض بتعيينه و لا ظهوره به في أخبار التيمّم مع الفارق و خفاء العلّة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 ممّا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في الطّهوريّة كالماء، أو في الإزالة كالصّابون و الأشنان و الدقيق و غيرها، و لو زاد عليه فإنّه لا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الطاهر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خِيفَ فساد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باستعماله، و الإسكافي </w:t>
      </w:r>
      <w:r>
        <w:rPr>
          <w:rStyle w:val="FootnoteAnchor"/>
          <w:rtl w:val="true"/>
        </w:rPr>
        <w:footnoteReference w:id="2209"/>
      </w:r>
      <w:r>
        <w:rPr>
          <w:rFonts w:ascii="Amiri" w:hAnsi="Amiri" w:eastAsia="Amiri" w:cs="Amiri"/>
          <w:color w:val="111111"/>
          <w:sz w:val="28"/>
          <w:sz w:val="28"/>
          <w:szCs w:val="28"/>
          <w:rtl w:val="true"/>
          <w:lang w:bidi="ar-SA"/>
        </w:rPr>
        <w:t xml:space="preserve">أجازه بغيره كالأشنان مطلقاً، و غيره مع </w:t>
      </w:r>
    </w:p>
    <w:p>
      <w:pPr>
        <w:pStyle w:val="BookText"/>
        <w:rPr/>
      </w:pPr>
      <w:r>
        <w:rPr>
          <w:rFonts w:ascii="IRNazanin" w:hAnsi="IRNazanin" w:eastAsia="IRNazanin"/>
          <w:color w:val="111111"/>
          <w:sz w:val="28"/>
          <w:sz w:val="28"/>
          <w:szCs w:val="28"/>
          <w:rtl w:val="true"/>
          <w:lang w:bidi="fa-IR"/>
        </w:rPr>
        <w:t xml:space="preserve">فقده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بعضهم جعل فساد المحلّ كالفاقد للتراب، فيلحقه حكمه من الغسل بالماء ثلاثاً أو مرّتين، و هو مبنيّ على أنّ التراب رخصة أو عزيمة، فيه قولان، و يتفرّع على ذلك إجزاء الماء اختياراً على الأوَّل و عدمه على الثاني، و يظهر من الفاضل </w:t>
      </w:r>
      <w:r>
        <w:rPr>
          <w:rStyle w:val="FootnoteAnchor"/>
          <w:rtl w:val="true"/>
        </w:rPr>
        <w:footnoteReference w:id="2211"/>
      </w:r>
      <w:r>
        <w:rPr>
          <w:rFonts w:ascii="Amiri" w:hAnsi="Amiri" w:eastAsia="Amiri" w:cs="Amiri"/>
          <w:color w:val="111111"/>
          <w:sz w:val="28"/>
          <w:sz w:val="28"/>
          <w:szCs w:val="28"/>
          <w:rtl w:val="true"/>
          <w:lang w:bidi="ar-SA"/>
        </w:rPr>
        <w:t xml:space="preserve">في بعض زبره الأوَّل، و يقوى عندي عدم إجزاء الماء و لا غيره اختياراً و لا اضطراراً؛ لظاهر النّص </w:t>
      </w:r>
      <w:r>
        <w:rPr>
          <w:rStyle w:val="FootnoteAnchor"/>
          <w:rtl w:val="true"/>
        </w:rPr>
        <w:footnoteReference w:id="2212"/>
      </w:r>
      <w:r>
        <w:rPr>
          <w:rFonts w:ascii="Amiri" w:hAnsi="Amiri" w:eastAsia="Amiri" w:cs="Amiri"/>
          <w:color w:val="111111"/>
          <w:sz w:val="28"/>
          <w:sz w:val="28"/>
          <w:szCs w:val="28"/>
          <w:rtl w:val="true"/>
          <w:lang w:bidi="ar-SA"/>
        </w:rPr>
        <w:t xml:space="preserve">و الأصل في الحكم كونه عزيمة و احتمال كون غيره أبلغ في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جواز إبداله بغيره ه مطلقاً؛ لعدم اعتبار العلّة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حصول المشقّة ببقائه على النجاسة عند فقد التراب فيكتفي بما يفيد مفاده مدفوعة بلزوم المشقّة أيضاً مع فقد الماء، فينبغي أن يكتفى بالتراب فقط، و لو صلح ما ذكرتموه لجرى في كلّ ما يشقّ تطهيره؛ لفساد محلّه أو لتعسّر المطهّر أو تعذّره، و لا وجه له، و لا يجري حكم التعفير على ماء غسالته سواء توسّط التّراب بين الغسلتين أو لا ؛ للحوقه لفضل الكلب، و ليست الغسالة فضل كلب و إن وجب فيها ما يجب في المحلّ غيره، فإنّ كونها كالمحلّ قبلها إذا لم يكن لخصوص النجاسة مدخليّة، و على فرض وجوب تقديم التّعفير لم يبق سوى العدد في المحلّ، ولكن يكون الملاقي قبله متنجّساً به لا أنّه غسالة، فيجب فيه التّعفير على قول المحقّق الثاني؛ لأنه اعتبره في الغسالة قبله لو فرض حصولها؛ للأولوية فيه عليها مع فرضه، فتقيّده إن كان لإخراج ما وقع من الغسالة بعد التّعفير فحسن، و إن كان لإخراج المتنجّس ممّا لم يكن غسالة فلا وجه له على اختيار، و الحمل على أحدهما من الجواهر </w:t>
      </w:r>
      <w:r>
        <w:rPr>
          <w:rStyle w:val="FootnoteAnchor"/>
          <w:rtl w:val="true"/>
        </w:rPr>
        <w:footnoteReference w:id="2213"/>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وجوب مزجه بالماء قول </w:t>
      </w:r>
      <w:r>
        <w:rPr>
          <w:rStyle w:val="FootnoteAnchor"/>
          <w:rtl w:val="true"/>
        </w:rPr>
        <w:footnoteReference w:id="2214"/>
      </w:r>
      <w:r>
        <w:rPr>
          <w:rFonts w:ascii="Amiri" w:hAnsi="Amiri" w:eastAsia="Amiri" w:cs="Amiri"/>
          <w:color w:val="111111"/>
          <w:sz w:val="28"/>
          <w:sz w:val="28"/>
          <w:szCs w:val="28"/>
          <w:rtl w:val="true"/>
          <w:lang w:bidi="ar-SA"/>
        </w:rPr>
        <w:t xml:space="preserve">لا موجب له سوى صحّة صدق الغسل، و تحصيل </w:t>
      </w:r>
    </w:p>
    <w:p>
      <w:pPr>
        <w:pStyle w:val="BookText"/>
        <w:rPr/>
      </w:pPr>
      <w:r>
        <w:rPr>
          <w:rFonts w:ascii="Amiri" w:hAnsi="Amiri" w:eastAsia="Amiri" w:cs="Amiri"/>
          <w:color w:val="111111"/>
          <w:sz w:val="28"/>
          <w:sz w:val="28"/>
          <w:szCs w:val="28"/>
          <w:rtl w:val="true"/>
          <w:lang w:bidi="ar-SA"/>
        </w:rPr>
        <w:t xml:space="preserve">حقيقته أو أقرب مجازاته، أو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المصاحبة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بثياب السّفر، فالظرف مستقرّ إمّا صفة لمصدر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غسلاً مصاحباً للتراب، أو حال من الضمير، أو لأنّ الغسل بالمجموع هو اغسله بالسّدر و الخطمي، و منع بحصول التجوّز على كل حال لا حقيقته، بالماء مطلقاً لا كلّ مائع كالطّين و إن حمل التراب على حقيقته، و إبقاء الغسل في مطلق المطهّر أَولى من التّصرف في التّراب؛ لمعروفيّة المجاز الأوّل دون الثاني، مع لزوم التجوّز في كليهما، لا يرفعه حديث المصاحبة؛ لاستلزامه لإخراج الماء و الغسل عن الحقيقة، إذ الماء بعد المزج يلحقه اسم آخر، غير أنّه ماء مصاحب للتراب، أو أنّه تراب، أو أنّه غسل بالماء المصاحب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فالأقرب وفاقاً لأنوار الوالد </w:t>
      </w:r>
      <w:r>
        <w:rPr>
          <w:rStyle w:val="FootnoteAnchor"/>
          <w:rtl w:val="true"/>
        </w:rPr>
        <w:footnoteReference w:id="2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غسله بالتّراب غير اليابس منه بحيث لا يخرجه البَلَل عن صدق الاسم عليه، فإنّه أقرب للتنظيف و للتجوّز في الغسل و الاحتياط، و أمّا إبقاء الماء على إطلاقه و إضافة شيء من التراب إليه فهو خروج عن ظاهر النصّ و الفتوى و الاحتياط، و عليه فيجوز إضافة غير الماء من المائعات إليه ممّا لم تخرجه عن التّرابيّة؛ لعدم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 بالولوغ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التعفير قبل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لطعه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يلحسه بلسانه، و ألحق الفاضل </w:t>
      </w:r>
      <w:r>
        <w:rPr>
          <w:rStyle w:val="FootnoteAnchor"/>
          <w:rtl w:val="true"/>
        </w:rPr>
        <w:footnoteReference w:id="2216"/>
      </w:r>
      <w:r>
        <w:rPr>
          <w:rFonts w:ascii="Amiri" w:hAnsi="Amiri" w:eastAsia="Amiri" w:cs="Amiri"/>
          <w:color w:val="111111"/>
          <w:sz w:val="28"/>
          <w:sz w:val="28"/>
          <w:szCs w:val="28"/>
          <w:rtl w:val="true"/>
          <w:lang w:bidi="ar-SA"/>
        </w:rPr>
        <w:t xml:space="preserve">وقوع لعابه فيه أيضاً من غير ولوغ و لا لطع، و استقرب في النّهاية </w:t>
      </w:r>
      <w:r>
        <w:rPr>
          <w:rStyle w:val="FootnoteAnchor"/>
          <w:rtl w:val="true"/>
        </w:rPr>
        <w:footnoteReference w:id="2217"/>
      </w:r>
      <w:r>
        <w:rPr>
          <w:rFonts w:ascii="Amiri" w:hAnsi="Amiri" w:eastAsia="Amiri" w:cs="Amiri"/>
          <w:color w:val="111111"/>
          <w:sz w:val="28"/>
          <w:sz w:val="28"/>
          <w:szCs w:val="28"/>
          <w:rtl w:val="true"/>
          <w:lang w:bidi="ar-SA"/>
        </w:rPr>
        <w:t>سراية الحكم في سائر فضلاته؛ لأنّ فمه أنظف من غيره، لطيب نكهته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المتّبع النّص، فإن قرن الحكم بالولوغ اختصّ به جزماً دون الملحق به هنا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مباشرته له بسائر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إفادة تنقيح المناط، فإنّه كالقياس، مع عدم الموجب حتّى الاحتياط؛ لعدم كونه من موارده بعد ظهور النّص في خصوص الولوغ، فيبقى غيره كغيره، و إن اشتبه الأمر في النّص؛ لإجمال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الولوغ، اتّجه اللّحوق مطلقاً في جميع </w:t>
      </w:r>
    </w:p>
    <w:p>
      <w:pPr>
        <w:pStyle w:val="BookText"/>
        <w:rPr/>
      </w:pPr>
      <w:r>
        <w:rPr>
          <w:rFonts w:ascii="Amiri" w:hAnsi="Amiri" w:eastAsia="Amiri" w:cs="Amiri"/>
          <w:color w:val="111111"/>
          <w:sz w:val="28"/>
          <w:sz w:val="28"/>
          <w:szCs w:val="28"/>
          <w:rtl w:val="true"/>
          <w:lang w:bidi="ar-SA"/>
        </w:rPr>
        <w:t xml:space="preserve">أجزائه، و يعضد الأوّل إجماع السّرائر </w:t>
      </w:r>
      <w:r>
        <w:rPr>
          <w:rStyle w:val="FootnoteAnchor"/>
          <w:rtl w:val="true"/>
        </w:rPr>
        <w:footnoteReference w:id="2218"/>
      </w:r>
      <w:r>
        <w:rPr>
          <w:rFonts w:ascii="Amiri" w:hAnsi="Amiri" w:eastAsia="Amiri" w:cs="Amiri"/>
          <w:color w:val="111111"/>
          <w:sz w:val="28"/>
          <w:sz w:val="28"/>
          <w:szCs w:val="28"/>
          <w:rtl w:val="true"/>
          <w:lang w:bidi="ar-SA"/>
        </w:rPr>
        <w:t xml:space="preserve">، و الثاني ذهب الصّدوقان </w:t>
      </w:r>
      <w:r>
        <w:rPr>
          <w:rStyle w:val="FootnoteAnchor"/>
          <w:rtl w:val="true"/>
        </w:rPr>
        <w:footnoteReference w:id="2219"/>
      </w:r>
      <w:r>
        <w:rPr>
          <w:rFonts w:ascii="Amiri" w:hAnsi="Amiri" w:eastAsia="Amiri" w:cs="Amiri"/>
          <w:color w:val="111111"/>
          <w:sz w:val="28"/>
          <w:sz w:val="28"/>
          <w:szCs w:val="28"/>
          <w:rtl w:val="true"/>
          <w:lang w:bidi="ar-SA"/>
        </w:rPr>
        <w:t xml:space="preserve">و المفيد </w:t>
      </w:r>
      <w:r>
        <w:rPr>
          <w:rStyle w:val="FootnoteAnchor"/>
          <w:rtl w:val="true"/>
        </w:rPr>
        <w:footnoteReference w:id="2220"/>
      </w:r>
      <w:r>
        <w:rPr>
          <w:rFonts w:ascii="Amiri" w:hAnsi="Amiri" w:eastAsia="Amiri" w:cs="Amiri"/>
          <w:color w:val="111111"/>
          <w:sz w:val="28"/>
          <w:sz w:val="28"/>
          <w:szCs w:val="28"/>
          <w:rtl w:val="true"/>
          <w:lang w:bidi="ar-SA"/>
        </w:rPr>
        <w:t xml:space="preserve">إليه، و لم يظهر لنا وجهه سوى وحدة أجزاء الحيوان، و هو غير محقَّق عندنا لذهاب الشافعي </w:t>
      </w:r>
      <w:r>
        <w:rPr>
          <w:rStyle w:val="FootnoteAnchor"/>
          <w:rtl w:val="true"/>
        </w:rPr>
        <w:footnoteReference w:id="2221"/>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اتّحد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تكرّر الولوغ 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إلَّا مرّة، و إن ترامى الولوغ أو الوالغ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 من النجاسات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اختلفت في الجنس؛ لفقد الفرق في حكم التطهير بين القليل و الكثير، فمتى اجتمع مع غيره من النجاسات دخل الأقلّ في الأكثر؛ لحصول الغرض و الامتثال و عدم تعدّد الغسل بتعدّد نوع النجاسة في غير الولوغ، فكذلك فيه، و يبقى عليهما سؤال الفرق بين المقام و بين تعدّد الواقع في البئر مع النّص منهما على عدم التداخل هناك، فإنْ فزعا للأصل جرى فيهما، أو التعبّد من حيث نفس التقدير فهما فيه سواء،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تكرّر الولوغ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بعد التعفير قبل الغسلتين أو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و لو وقعت فيه نجاسة أُخرى أخذ بأكثر الأمرين ممّا وجب لها و من بقيّة غسلات الولوغ،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غسله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 المرّة الواحدة بعد التعفير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فيه بدونه لو كان رخصة، و لا يكتفي بالوحدة من اعتبره وسطاً و عزيمة، و دليل المعتبر رواية المعتبر </w:t>
      </w:r>
      <w:r>
        <w:rPr>
          <w:rStyle w:val="FootnoteAnchor"/>
          <w:rtl w:val="true"/>
        </w:rPr>
        <w:footnoteReference w:id="2222"/>
      </w:r>
      <w:r>
        <w:rPr>
          <w:rFonts w:ascii="Amiri" w:hAnsi="Amiri" w:eastAsia="Amiri" w:cs="Amiri"/>
          <w:color w:val="111111"/>
          <w:sz w:val="28"/>
          <w:sz w:val="28"/>
          <w:szCs w:val="28"/>
          <w:rtl w:val="true"/>
          <w:lang w:bidi="ar-SA"/>
        </w:rPr>
        <w:t>الظاهر منها بقرينة الصّب أنّه في القليل كظهور الإجماع فيه فينفى الزائد بالأصل في الكثير على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الوضع في الكثير لا يكفي عن الثلاث </w:t>
      </w:r>
      <w:r>
        <w:rPr>
          <w:rStyle w:val="FootnoteAnchor"/>
          <w:rtl w:val="true"/>
        </w:rPr>
        <w:footnoteReference w:id="2223"/>
      </w:r>
      <w:r>
        <w:rPr>
          <w:rFonts w:ascii="Amiri" w:hAnsi="Amiri" w:eastAsia="Amiri" w:cs="Amiri"/>
          <w:color w:val="111111"/>
          <w:sz w:val="28"/>
          <w:sz w:val="28"/>
          <w:szCs w:val="28"/>
          <w:rtl w:val="true"/>
          <w:lang w:bidi="ar-SA"/>
        </w:rPr>
        <w:t>، و ظاهره المساواة للقليل، و المعتبر أنّه حقّ إذا لم يسبق التعفير، فلو سبقه و تعاقبت عليه الجريات كانت الطّهارة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أشبه، و كأنّه أجراها مجْرى المرّات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الفاضل في المنتهى ظاهراً </w:t>
      </w:r>
      <w:r>
        <w:rPr>
          <w:rStyle w:val="FootnoteAnchor"/>
          <w:rtl w:val="true"/>
        </w:rPr>
        <w:footnoteReference w:id="2224"/>
      </w:r>
      <w:r>
        <w:rPr>
          <w:rFonts w:ascii="Amiri" w:hAnsi="Amiri" w:eastAsia="Amiri" w:cs="Amiri"/>
          <w:color w:val="111111"/>
          <w:sz w:val="28"/>
          <w:sz w:val="28"/>
          <w:szCs w:val="28"/>
          <w:rtl w:val="true"/>
          <w:lang w:bidi="ar-SA"/>
        </w:rPr>
        <w:t xml:space="preserve">، و في المختلف إشعاراً </w:t>
      </w:r>
      <w:r>
        <w:rPr>
          <w:rStyle w:val="FootnoteAnchor"/>
          <w:rtl w:val="true"/>
        </w:rPr>
        <w:footnoteReference w:id="2225"/>
      </w:r>
      <w:r>
        <w:rPr>
          <w:rFonts w:ascii="Amiri" w:hAnsi="Amiri" w:eastAsia="Amiri" w:cs="Amiri"/>
          <w:color w:val="111111"/>
          <w:sz w:val="28"/>
          <w:sz w:val="28"/>
          <w:szCs w:val="28"/>
          <w:rtl w:val="true"/>
          <w:lang w:bidi="ar-SA"/>
        </w:rPr>
        <w:t xml:space="preserve">، و النهاية نصّاً </w:t>
      </w:r>
      <w:r>
        <w:rPr>
          <w:rStyle w:val="FootnoteAnchor"/>
          <w:rtl w:val="true"/>
        </w:rPr>
        <w:footnoteReference w:id="2226"/>
      </w:r>
      <w:r>
        <w:rPr>
          <w:rFonts w:ascii="Amiri" w:hAnsi="Amiri" w:eastAsia="Amiri" w:cs="Amiri"/>
          <w:color w:val="111111"/>
          <w:sz w:val="28"/>
          <w:sz w:val="28"/>
          <w:szCs w:val="28"/>
          <w:rtl w:val="true"/>
          <w:lang w:bidi="ar-SA"/>
        </w:rPr>
        <w:t xml:space="preserve">، عدم اعتبار التراب في الكثير مطلقاً، و المصنّف في الدّروس </w:t>
      </w:r>
      <w:r>
        <w:rPr>
          <w:rStyle w:val="FootnoteAnchor"/>
          <w:rtl w:val="true"/>
        </w:rPr>
        <w:footnoteReference w:id="2227"/>
      </w:r>
      <w:r>
        <w:rPr>
          <w:rFonts w:ascii="Amiri" w:hAnsi="Amiri" w:eastAsia="Amiri" w:cs="Amiri"/>
          <w:color w:val="111111"/>
          <w:sz w:val="28"/>
          <w:sz w:val="28"/>
          <w:szCs w:val="28"/>
          <w:rtl w:val="true"/>
          <w:lang w:bidi="ar-SA"/>
        </w:rPr>
        <w:t xml:space="preserve">و الذكرى </w:t>
      </w:r>
      <w:r>
        <w:rPr>
          <w:rStyle w:val="FootnoteAnchor"/>
          <w:rtl w:val="true"/>
        </w:rPr>
        <w:footnoteReference w:id="2228"/>
      </w:r>
      <w:r>
        <w:rPr>
          <w:rFonts w:ascii="Amiri" w:hAnsi="Amiri" w:eastAsia="Amiri" w:cs="Amiri"/>
          <w:color w:val="111111"/>
          <w:sz w:val="28"/>
          <w:sz w:val="28"/>
          <w:szCs w:val="28"/>
          <w:rtl w:val="true"/>
          <w:lang w:bidi="ar-SA"/>
        </w:rPr>
        <w:t>على تردّد فيه، و منشؤه ظهور الخبر في خصوص القليل، فيبقى غيره على حكم الأصل، و الحقّ أنّ التعبّديّة فيه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تسامحاً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خروجاً عن خلاف أو جبهنّ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الموجب لم يعتبر السّبع بالماء بل الأولى منها بالتراب، و ظاهر العبارة أنّها بالماء جميعاً حيث لم يطلق الغسل على التراب هنا و كأنّ الاستحباب للجمع بين رواية عمّار </w:t>
      </w:r>
      <w:r>
        <w:rPr>
          <w:rStyle w:val="FootnoteAnchor"/>
          <w:rtl w:val="true"/>
        </w:rPr>
        <w:footnoteReference w:id="2230"/>
      </w:r>
      <w:r>
        <w:rPr>
          <w:rFonts w:ascii="Amiri" w:hAnsi="Amiri" w:eastAsia="Amiri" w:cs="Amiri"/>
          <w:color w:val="111111"/>
          <w:sz w:val="28"/>
          <w:sz w:val="28"/>
          <w:szCs w:val="28"/>
          <w:rtl w:val="true"/>
          <w:lang w:bidi="ar-SA"/>
        </w:rPr>
        <w:t xml:space="preserve">و صحيحة البقباق </w:t>
      </w:r>
      <w:r>
        <w:rPr>
          <w:rStyle w:val="FootnoteAnchor"/>
          <w:rtl w:val="true"/>
        </w:rPr>
        <w:footnoteReference w:id="2231"/>
      </w:r>
      <w:r>
        <w:rPr>
          <w:rFonts w:ascii="Amiri" w:hAnsi="Amiri" w:eastAsia="Amiri" w:cs="Amiri"/>
          <w:color w:val="111111"/>
          <w:sz w:val="28"/>
          <w:sz w:val="28"/>
          <w:szCs w:val="28"/>
          <w:rtl w:val="true"/>
          <w:lang w:bidi="ar-SA"/>
        </w:rPr>
        <w:t>لدلالة الأُولى على السبع و الثانية على التّراب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الفأرة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للأمر بها في بعض الأخبار </w:t>
      </w:r>
      <w:r>
        <w:rPr>
          <w:rStyle w:val="FootnoteAnchor"/>
          <w:rtl w:val="true"/>
        </w:rPr>
        <w:footnoteReference w:id="2232"/>
      </w:r>
      <w:r>
        <w:rPr>
          <w:rFonts w:ascii="Amiri" w:hAnsi="Amiri" w:eastAsia="Amiri" w:cs="Amiri"/>
          <w:color w:val="111111"/>
          <w:sz w:val="28"/>
          <w:sz w:val="28"/>
          <w:szCs w:val="28"/>
          <w:rtl w:val="true"/>
          <w:lang w:bidi="ar-SA"/>
        </w:rPr>
        <w:t>التي لم تنهض حجّة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 على النّدب، و الشيخ في النهاية </w:t>
      </w:r>
      <w:r>
        <w:rPr>
          <w:rStyle w:val="FootnoteAnchor"/>
          <w:rtl w:val="true"/>
        </w:rPr>
        <w:footnoteReference w:id="2233"/>
      </w:r>
      <w:r>
        <w:rPr>
          <w:rFonts w:ascii="Amiri" w:hAnsi="Amiri" w:eastAsia="Amiri" w:cs="Amiri"/>
          <w:color w:val="111111"/>
          <w:sz w:val="28"/>
          <w:sz w:val="28"/>
          <w:szCs w:val="28"/>
          <w:rtl w:val="true"/>
          <w:lang w:bidi="ar-SA"/>
        </w:rPr>
        <w:t xml:space="preserve">أوجبها للفأرة كابن حمزة </w:t>
      </w:r>
      <w:r>
        <w:rPr>
          <w:rStyle w:val="FootnoteAnchor"/>
          <w:rtl w:val="true"/>
        </w:rPr>
        <w:footnoteReference w:id="2234"/>
      </w:r>
      <w:r>
        <w:rPr>
          <w:rFonts w:ascii="Amiri" w:hAnsi="Amiri" w:eastAsia="Amiri" w:cs="Amiri"/>
          <w:color w:val="111111"/>
          <w:sz w:val="28"/>
          <w:sz w:val="28"/>
          <w:szCs w:val="28"/>
          <w:rtl w:val="true"/>
          <w:lang w:bidi="ar-SA"/>
        </w:rPr>
        <w:t xml:space="preserve">و سلّار </w:t>
      </w:r>
      <w:r>
        <w:rPr>
          <w:rStyle w:val="FootnoteAnchor"/>
          <w:rtl w:val="true"/>
        </w:rPr>
        <w:footnoteReference w:id="2235"/>
      </w:r>
      <w:r>
        <w:rPr>
          <w:rFonts w:ascii="Amiri" w:hAnsi="Amiri" w:eastAsia="Amiri" w:cs="Amiri"/>
          <w:color w:val="111111"/>
          <w:sz w:val="28"/>
          <w:sz w:val="28"/>
          <w:szCs w:val="28"/>
          <w:rtl w:val="true"/>
          <w:lang w:bidi="ar-SA"/>
        </w:rPr>
        <w:t xml:space="preserve">، و ابن بابويه ذكر السّبع للجرذ </w:t>
      </w:r>
      <w:r>
        <w:rPr>
          <w:rStyle w:val="FootnoteAnchor"/>
          <w:rtl w:val="true"/>
        </w:rPr>
        <w:footnoteReference w:id="2236"/>
      </w:r>
      <w:r>
        <w:rPr>
          <w:rFonts w:ascii="IRNazanin" w:hAnsi="IRNazanin" w:eastAsia="IRNazanin"/>
          <w:color w:val="111111"/>
          <w:sz w:val="28"/>
          <w:sz w:val="28"/>
          <w:szCs w:val="28"/>
          <w:rtl w:val="true"/>
          <w:lang w:bidi="fa-IR"/>
        </w:rPr>
        <w:t xml:space="preserve">، و الفاضل رحمه الله أوجب السّبع </w:t>
      </w:r>
    </w:p>
    <w:p>
      <w:pPr>
        <w:pStyle w:val="BookText"/>
        <w:rPr/>
      </w:pPr>
      <w:r>
        <w:rPr>
          <w:rFonts w:ascii="Amiri" w:hAnsi="Amiri" w:eastAsia="Amiri" w:cs="Amiri"/>
          <w:color w:val="111111"/>
          <w:sz w:val="28"/>
          <w:sz w:val="28"/>
          <w:szCs w:val="28"/>
          <w:rtl w:val="true"/>
          <w:lang w:bidi="ar-SA"/>
        </w:rPr>
        <w:t xml:space="preserve">في الثاني </w:t>
      </w:r>
      <w:r>
        <w:rPr>
          <w:rStyle w:val="FootnoteAnchor"/>
          <w:rtl w:val="true"/>
        </w:rPr>
        <w:footnoteReference w:id="2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الاجتزاء فيهما بالمرّتين كغيرهما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آخى الشيخ </w:t>
      </w:r>
      <w:r>
        <w:rPr>
          <w:rStyle w:val="FootnoteAnchor"/>
          <w:rtl w:val="true"/>
        </w:rPr>
        <w:footnoteReference w:id="2238"/>
      </w:r>
      <w:r>
        <w:rPr>
          <w:rFonts w:ascii="Amiri" w:hAnsi="Amiri" w:eastAsia="Amiri" w:cs="Amiri"/>
          <w:color w:val="111111"/>
          <w:sz w:val="28"/>
          <w:sz w:val="28"/>
          <w:szCs w:val="28"/>
          <w:rtl w:val="true"/>
          <w:lang w:bidi="ar-SA"/>
        </w:rPr>
        <w:t>بين الكلب و الخنزير في جميع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ولوغ الخنزير وجوب السّبع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الصحّة روايته </w:t>
      </w:r>
      <w:r>
        <w:rPr>
          <w:rStyle w:val="FootnoteAnchor"/>
          <w:rtl w:val="true"/>
        </w:rPr>
        <w:footnoteReference w:id="2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خنزير شرب من إناء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داعي لحملها على الاستحباب مع ظهورها في الوجوب و عدم 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المصنّف في باقي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هنا؛ ففي الذكرى </w:t>
      </w:r>
      <w:r>
        <w:rPr>
          <w:rStyle w:val="FootnoteAnchor"/>
          <w:rtl w:val="true"/>
        </w:rPr>
        <w:footnoteReference w:id="2241"/>
      </w:r>
      <w:r>
        <w:rPr>
          <w:rFonts w:ascii="Amiri" w:hAnsi="Amiri" w:eastAsia="Amiri" w:cs="Amiri"/>
          <w:color w:val="111111"/>
          <w:sz w:val="28"/>
          <w:sz w:val="28"/>
          <w:szCs w:val="28"/>
          <w:rtl w:val="true"/>
          <w:lang w:bidi="ar-SA"/>
        </w:rPr>
        <w:t xml:space="preserve">قرب وجوب السّبع فيه و في الجرذ، و في الدّروس و البيان </w:t>
      </w:r>
      <w:r>
        <w:rPr>
          <w:rStyle w:val="FootnoteAnchor"/>
          <w:rtl w:val="true"/>
        </w:rPr>
        <w:footnoteReference w:id="2242"/>
      </w:r>
      <w:r>
        <w:rPr>
          <w:rFonts w:ascii="Amiri" w:hAnsi="Amiri" w:eastAsia="Amiri" w:cs="Amiri"/>
          <w:color w:val="111111"/>
          <w:sz w:val="28"/>
          <w:sz w:val="28"/>
          <w:szCs w:val="28"/>
          <w:rtl w:val="true"/>
          <w:lang w:bidi="ar-SA"/>
        </w:rPr>
        <w:t xml:space="preserve">و فيه أوجبها له و للفأرة، و في الكتاب تبع المحقّق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النجاسات؛ للأمر به في بعض الأخبار </w:t>
      </w:r>
      <w:r>
        <w:rPr>
          <w:rStyle w:val="FootnoteAnchor"/>
          <w:rtl w:val="true"/>
        </w:rPr>
        <w:footnoteReference w:id="2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 القصر على الإناء، و في غيره </w:t>
      </w:r>
      <w:r>
        <w:rPr>
          <w:rStyle w:val="FootnoteAnchor"/>
          <w:rtl w:val="true"/>
        </w:rPr>
        <w:footnoteReference w:id="2245"/>
      </w:r>
      <w:r>
        <w:rPr>
          <w:rFonts w:ascii="Amiri" w:hAnsi="Amiri" w:eastAsia="Amiri" w:cs="Amiri"/>
          <w:color w:val="111111"/>
          <w:sz w:val="28"/>
          <w:sz w:val="28"/>
          <w:szCs w:val="28"/>
          <w:rtl w:val="true"/>
          <w:lang w:bidi="ar-SA"/>
        </w:rPr>
        <w:t xml:space="preserve">أطلق لرواية الثلاث </w:t>
      </w:r>
      <w:r>
        <w:rPr>
          <w:rStyle w:val="FootnoteAnchor"/>
          <w:rtl w:val="true"/>
        </w:rPr>
        <w:footnoteReference w:id="2246"/>
      </w:r>
      <w:r>
        <w:rPr>
          <w:rFonts w:ascii="Amiri" w:hAnsi="Amiri" w:eastAsia="Amiri" w:cs="Amiri"/>
          <w:color w:val="111111"/>
          <w:sz w:val="28"/>
          <w:sz w:val="28"/>
          <w:szCs w:val="28"/>
          <w:rtl w:val="true"/>
          <w:lang w:bidi="ar-SA"/>
        </w:rPr>
        <w:t>في الاستنجاء من البول، فإذا ندب في البول على البدن فغيره و غير البدن أَولى؛ للأشدّيّة في غيره، و لأنّ الآنية أَولى من من الجسم، و هذا الاستحباب في غير المعصوم من القليل، أمّا المعصوم فيلحقه حكمه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الإناء بالتعدّد أَولى من غيره؛ لأمر الشارع به في أخبار كثيرة، و القَدْر </w:t>
      </w:r>
      <w:bookmarkStart w:id="176" w:name="pg9146_86262"/>
    </w:p>
    <w:p>
      <w:pPr>
        <w:pStyle w:val="BookText"/>
        <w:rPr/>
      </w:pPr>
      <w:bookmarkEnd w:id="176"/>
      <w:r>
        <w:rPr>
          <w:rFonts w:ascii="Amiri" w:hAnsi="Amiri" w:eastAsia="Amiri" w:cs="Amiri"/>
          <w:color w:val="111111"/>
          <w:sz w:val="28"/>
          <w:sz w:val="28"/>
          <w:szCs w:val="28"/>
          <w:rtl w:val="true"/>
          <w:lang w:bidi="ar-SA"/>
        </w:rPr>
        <w:t xml:space="preserve">المتيقّن في غيره و غير البول الغسل مرّة بين الإزالة، و عليه المرسلة </w:t>
      </w:r>
      <w:r>
        <w:rPr>
          <w:rStyle w:val="FootnoteAnchor"/>
          <w:rtl w:val="true"/>
        </w:rPr>
        <w:footnoteReference w:id="2247"/>
      </w:r>
      <w:r>
        <w:rPr>
          <w:rFonts w:ascii="Amiri" w:hAnsi="Amiri" w:eastAsia="Amiri" w:cs="Amiri"/>
          <w:color w:val="111111"/>
          <w:sz w:val="28"/>
          <w:sz w:val="28"/>
          <w:szCs w:val="28"/>
          <w:rtl w:val="true"/>
          <w:lang w:bidi="ar-SA"/>
        </w:rPr>
        <w:t xml:space="preserve">و إجماع الحلّي </w:t>
      </w:r>
      <w:r>
        <w:rPr>
          <w:rStyle w:val="FootnoteAnchor"/>
          <w:rtl w:val="true"/>
        </w:rPr>
        <w:footnoteReference w:id="2248"/>
      </w:r>
      <w:r>
        <w:rPr>
          <w:rFonts w:ascii="Amiri" w:hAnsi="Amiri" w:eastAsia="Amiri" w:cs="Amiri"/>
          <w:color w:val="111111"/>
          <w:sz w:val="28"/>
          <w:sz w:val="28"/>
          <w:szCs w:val="28"/>
          <w:rtl w:val="true"/>
          <w:lang w:bidi="ar-SA"/>
        </w:rPr>
        <w:t>إلَّا أنّ الثلاث أحوط مطلقاً، ثمّ التثنية بعد الإزالة، ثمّ هي واحدة للإزالة و أُخرى للإنقاء، و طريق التطهير أن يصبّ الماء حتّى يجري عليه و ينحدر منه أو يصبّ فيه و يحرّك و يفرغ بنفسه أو بالآلة، و يجب كلّ ما يتوقّف عليه إزالة العين في القليل و الكثير، و يسقط التعدّد في الثاني، و حكم الملاقي حكم الملاقي و إن ارتفع</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3322642_2870459653"/>
      <w:bookmarkStart w:id="178" w:name="_Toc59"/>
      <w:bookmarkEnd w:id="177"/>
      <w:r>
        <w:rPr>
          <w:rtl w:val="true"/>
        </w:rPr>
        <w:t>[</w:t>
      </w:r>
      <w:r>
        <w:rPr>
          <w:rtl w:val="true"/>
        </w:rPr>
        <w:t>طرق ثبوت النجاسة</w:t>
      </w:r>
      <w:r>
        <w:rPr>
          <w:rtl w:val="true"/>
        </w:rPr>
        <w:t>]</w:t>
      </w:r>
      <w:bookmarkEnd w:id="178"/>
    </w:p>
    <w:p>
      <w:pPr>
        <w:pStyle w:val="BookText"/>
        <w:rPr/>
      </w:pPr>
      <w:r>
        <w:rPr>
          <w:rFonts w:ascii="Amiri" w:hAnsi="Amiri" w:eastAsia="Amiri" w:cs="Amiri"/>
          <w:color w:val="111111"/>
          <w:sz w:val="28"/>
          <w:sz w:val="28"/>
          <w:szCs w:val="28"/>
          <w:rtl w:val="true"/>
          <w:lang w:bidi="ar-SA"/>
        </w:rPr>
        <w:t>و تثبت النجاسة كغيرها بالقطع، أو الظنّ الخاص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و خبر العدل، و صاحب اليد ما لم يستراب بخبر الأخيرين؛ للأدلّة الناصّة </w:t>
      </w:r>
      <w:r>
        <w:rPr>
          <w:rStyle w:val="FootnoteAnchor"/>
          <w:rtl w:val="true"/>
        </w:rPr>
        <w:footnoteReference w:id="2249"/>
      </w:r>
      <w:r>
        <w:rPr>
          <w:rFonts w:ascii="Amiri" w:hAnsi="Amiri" w:eastAsia="Amiri" w:cs="Amiri"/>
          <w:color w:val="111111"/>
          <w:sz w:val="28"/>
          <w:sz w:val="28"/>
          <w:szCs w:val="28"/>
          <w:rtl w:val="true"/>
          <w:lang w:bidi="ar-SA"/>
        </w:rPr>
        <w:t xml:space="preserve">بذلك المخصّصة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Style w:val="FootnoteAnchor"/>
          <w:rtl w:val="true"/>
        </w:rPr>
        <w:footnoteReference w:id="2250"/>
      </w:r>
      <w:r>
        <w:rPr>
          <w:rFonts w:ascii="Amiri" w:hAnsi="Amiri" w:eastAsia="Amiri" w:cs="Amiri"/>
          <w:color w:val="111111"/>
          <w:sz w:val="28"/>
          <w:sz w:val="28"/>
          <w:szCs w:val="28"/>
          <w:rtl w:val="true"/>
          <w:lang w:bidi="ar-SA"/>
        </w:rPr>
        <w:t>إن حملنا العلم على معناه، و إن عمّمناه سقط التخصيص، و هل يشترط ذكر سبب النجاسة في قبول خبر الجميع من حيث اختلاف الأنظار فيها أنواعاً و أجناساً و كيفيّةً، و الأصل الطهارة أم لا، فيحمل الخبر على النّجاسة الواقعيّة المعلومة أو المظنونة بالظنّ الخاص؟</w:t>
      </w:r>
    </w:p>
    <w:p>
      <w:pPr>
        <w:pStyle w:val="BookText"/>
        <w:rPr/>
      </w:pPr>
      <w:r>
        <w:rPr>
          <w:rFonts w:ascii="Amiri" w:hAnsi="Amiri" w:eastAsia="Amiri" w:cs="Amiri"/>
          <w:color w:val="111111"/>
          <w:sz w:val="28"/>
          <w:sz w:val="28"/>
          <w:szCs w:val="28"/>
          <w:rtl w:val="true"/>
          <w:lang w:bidi="ar-SA"/>
        </w:rPr>
        <w:t>وجهان أظهرهما الثاني خصوصاً في قبول الشهادة؛ لقبولها في مقام دعوى العيب مطلقاً، فليقبل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الأدلّة كمّاً و كيفاً 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تقديم الظاهر على الأصل في خصوص النجاسة و إن زعمه بعضهم الخصوص أخبار قَضَت بالاستظهار فتثبت بالظنّ مطلقاً؛ لأنّ المرء متعبّد بظنّه، و لرجحانه، و الأخذ بالمرجوح قبيح</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منعه ظاهر بالأخبار الدّالة على الطّهارة إلى العلم بالنّجاسة حتّى صار من المسلَّمات </w:t>
      </w:r>
      <w:bookmarkStart w:id="179" w:name="pg9146_86263"/>
    </w:p>
    <w:p>
      <w:pPr>
        <w:pStyle w:val="BookText"/>
        <w:rPr/>
      </w:pPr>
      <w:bookmarkEnd w:id="179"/>
      <w:r>
        <w:rPr>
          <w:rFonts w:ascii="Amiri" w:hAnsi="Amiri" w:eastAsia="Amiri" w:cs="Amiri"/>
          <w:color w:val="111111"/>
          <w:sz w:val="28"/>
          <w:sz w:val="28"/>
          <w:szCs w:val="28"/>
          <w:rtl w:val="true"/>
          <w:lang w:bidi="ar-SA"/>
        </w:rPr>
        <w:t>فيما يوجد في أسواق المسلمين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التوقّي في بعض الأشياء لدليله، و سيجيء مزيد بيان لذلك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وجوب التجفيف في الغسل إلَّا إذا توقّف وصول أجزاء الماء إلى الأعماق عليه، و عليك بملاحظة المقامات، و أُوصيك بعدم الوسواس فإنّه من خطرات الشّيطان، و الله الموفّق</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3322644_2870459653"/>
      <w:bookmarkStart w:id="181" w:name="_Toc60"/>
      <w:bookmarkEnd w:id="180"/>
      <w:r>
        <w:rPr>
          <w:rtl w:val="true"/>
        </w:rPr>
        <w:t>[</w:t>
      </w:r>
      <w:r>
        <w:rPr>
          <w:rtl w:val="true"/>
        </w:rPr>
        <w:t>ماء الغسالة</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الماء المنفصل عن المحلّ المغسول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بالإفراغ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للدّق و التغميز، و فسّرها غيره </w:t>
      </w:r>
      <w:r>
        <w:rPr>
          <w:rStyle w:val="FootnoteAnchor"/>
          <w:rtl w:val="true"/>
        </w:rPr>
        <w:footnoteReference w:id="2251"/>
      </w:r>
      <w:r>
        <w:rPr>
          <w:rFonts w:ascii="Amiri" w:hAnsi="Amiri" w:eastAsia="Amiri" w:cs="Amiri"/>
          <w:color w:val="111111"/>
          <w:sz w:val="28"/>
          <w:sz w:val="28"/>
          <w:szCs w:val="28"/>
          <w:rtl w:val="true"/>
          <w:lang w:bidi="ar-SA"/>
        </w:rPr>
        <w:t xml:space="preserve">بالماء المستعمل في غسل الأخباث، و هي عندهما هنا و في غيره </w:t>
      </w:r>
      <w:r>
        <w:rPr>
          <w:rStyle w:val="FootnoteAnchor"/>
          <w:rtl w:val="true"/>
        </w:rPr>
        <w:footnoteReference w:id="2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كالمحلّ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ذلك الماء المنفصل المسمّى بها على المحلّ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Style w:val="FootnoteAnchor"/>
          <w:rtl w:val="true"/>
        </w:rPr>
        <w:footnoteReference w:id="2253"/>
      </w:r>
      <w:r>
        <w:rPr>
          <w:rFonts w:ascii="Amiri" w:hAnsi="Amiri" w:eastAsia="Amiri" w:cs="Amiri"/>
          <w:color w:val="111111"/>
          <w:sz w:val="28"/>
          <w:sz w:val="28"/>
          <w:szCs w:val="28"/>
          <w:rtl w:val="true"/>
          <w:lang w:bidi="ar-SA"/>
        </w:rPr>
        <w:t>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كي لا ينافي تفسيره لها، حيث اعتبر الانفصال في صدق الاسم، فلا يصدق قبل الخروج، و حتّى يطابق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من الغسلة الأُولى وجب غسل ما أصابته تمام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المحلّ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 هذا القول كفاية المرّة في ما يكتفى فيه بالمرّة، و يظهر منهما عدم الاكتفاء في جميع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الغسالة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فينقص </w:t>
      </w:r>
      <w:r>
        <w:rPr>
          <w:rStyle w:val="FootnoteAnchor"/>
          <w:rtl w:val="true"/>
        </w:rPr>
        <w:footnoteReference w:id="2254"/>
      </w:r>
      <w:r>
        <w:rPr>
          <w:rFonts w:ascii="Amiri" w:hAnsi="Amiri" w:eastAsia="Amiri" w:cs="Amiri"/>
          <w:color w:val="111111"/>
          <w:sz w:val="28"/>
          <w:sz w:val="28"/>
          <w:szCs w:val="28"/>
          <w:rtl w:val="true"/>
          <w:lang w:bidi="ar-SA"/>
        </w:rPr>
        <w:t xml:space="preserve">ما أصابته عن المحلّ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الثالثة يحصل النقصان في مرّتين، فتتنازل إلى الواحدة في المحلّ الذي يلزم فيه التعدّد، إذ على تقديره لا يجب تمام العدد في غسالة المرّة الأُولى، فإنّه قبل خروجها حصل غسل المحلّ مرّة فيلزم أن ينقص في المرّة الأُولى مرّة و هكذا، فينافيه اعتباره لتمام العدد </w:t>
      </w:r>
    </w:p>
    <w:p>
      <w:pPr>
        <w:pStyle w:val="BookText"/>
        <w:rPr/>
      </w:pPr>
      <w:r>
        <w:rPr>
          <w:rFonts w:ascii="Amiri" w:hAnsi="Amiri" w:eastAsia="Amiri" w:cs="Amiri"/>
          <w:color w:val="111111"/>
          <w:sz w:val="28"/>
          <w:sz w:val="28"/>
          <w:szCs w:val="28"/>
          <w:rtl w:val="true"/>
          <w:lang w:bidi="ar-SA"/>
        </w:rPr>
        <w:t>في المرّة الأُولى، و الظاهر أنّ الغسلة الأولى تتحقّق عنده بنفس خروج الماء و انفصاله و لو من دون عصر في ما يعتبر فيه ذلك أخذاً بظاهر تقييده، بل هو المتبادر، فتحسب غسلة واحدة قبله، خلافاً لما نختاره في ما اعتبر فيه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مقالته من جعل الغسالة كالمحلّ قبلها أنّها لو أصابت محلّاً آخر قبل غسل المحلّ الأوّل أو الإفراغ لم يجب الصَّب في المرّة الأُولى للمصاب بها، إذ هو كالمحلّ الأوّل قبل خروجها الذي لا يجب فيه غير الأمرين، و هو لا يرتضيه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إنّما عبّر بالخروج نظراً إلى ظاهر المتن من عدم إطلاق الغسالة إلَّا على الخارج المنفصل بعد العصر عند معتبره أو بالإفراغ، و أمّا قبل الخروج لا غسالة لكي يترتّب عليه حكمها،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كالمحلّ قبلها، أي قبل حصولها بوصف كونها غسالة فيرتفع الإشكال عنه قبل الإفراغ؛ إذ لا غسالة حتّى تساوي المحلّ، و لا يخفى ما فيه من التعقيد،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 هو مساواة الغسالة للمحلّ في النجاسة،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في ما يغسل مرّتين لا لخصوص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 بالتعدّد فيها بخصوصها، فكأنّه يرى أنّ التعدّد في الغسل منه ما هو عام لكلّ نجاسة لا يخصّ نجاسة بعينها، فالغسالة كالمحلّ الذي يجب تعدّد الغسل فيه من حيث اندراجه في ما يلزم فيه التعدّد؛ لأنه أحد أفراد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خصّه الشارع بنجاسة معيّنة و جعل التعدّد فيه دائراً مَدار الاسم الخاصّ، فإن كان من قبيل الأوّل يلزم التعدّد في ما أصابته الغسالة؛ لأنها كالمحلّ، و إن كان الثاني لا يلزم ذلك؛ لعدم صدق ذلك العنوان الواجب له التعدّد بخصوصه في الغسالة، و لا ينافيه وجوب التعدّد في غسالته؛ لأنه من النجاسات اللازم فيها التعدّد مطلقاً، فتظهر الثمرة في ما أمر بالتعدّد فيه زائداً على سائر النجاسات، فإنّ غسالته لا تكون كمحلّه؛ لعدم صدق العنوان عليها الذي يدور التعدّد مَداره بخصوصه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يحتمل في ما اكتفى فيه بالمرّة بخصوصه أنّ غسالته كذلك؛ لعدم زيادة الفرع على أصله، و لأنّ المحلّ يجب فيه مرّة، و هي كالمحلّ قبلها، و يحتمل أنّها يجب فيها التعدّد و إن اكتفى بالمرّة في المحلّ بناءً على أنّ المرّة الثانية إنّما سقطت من هذا المحلّ الذي كان مندرجاً في ما يجب التعدّد فيه لخصوصيّة لا نعلمها، فهي كالعفو عمّا دون الدّرهم من الدّم دون غسالته، </w:t>
      </w:r>
    </w:p>
    <w:p>
      <w:pPr>
        <w:pStyle w:val="BookText"/>
        <w:rPr/>
      </w:pPr>
      <w:r>
        <w:rPr>
          <w:rFonts w:ascii="Amiri" w:hAnsi="Amiri" w:eastAsia="Amiri" w:cs="Amiri"/>
          <w:color w:val="111111"/>
          <w:sz w:val="28"/>
          <w:sz w:val="28"/>
          <w:szCs w:val="28"/>
          <w:rtl w:val="true"/>
          <w:lang w:bidi="ar-SA"/>
        </w:rPr>
        <w:t>و لولا هذه الخصوصيّة لكان حكمه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غسالته، فحيث لم تكن فيها تلك الخصوصيّة كانت كسائر ما يلزم التّعدد فيه؛ إذ لا مخرج لها عن العموم بعد القول بالنجاسة إلَّا احتمال التبعيّة و عدم زيادة الفرع على أصله، و فرضنا أنّ الأصل حكمه ذلك لولا الخصوصيّة فلا زيادة، و التبعيّة بحالها، فتتمّ الثمرة في الزائد على ما وجب لمطلق النجاسة و الناقص، و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كالمحلّ قبلها، أي المحلّ النجس الذي لم يثبت له حكم مخصوص يفارق الحكم العام الذي للنجاسة سواء زاد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إلى ما قلناه صريحاً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المخصوص كالولوغ فلا؛ لأنّ الغسالة لا تسمّى ولوغا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التعدّد يدور مَدار الولوغ، و هو لم يوجد في الغسالة و إن تعدّدت لتعدّد النجاسة المندرجة في العنوان العام، أمّا التعدّد الولوغي فليس فيها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لو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لعابه في الإناء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بحكمه من اللّطع الذي يساوي الولوغ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يوجب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 التّعفير؛ لعدم صدق الولوغ، و بطريق أَولى لا يكون ذلك في غسالته؛ لعدم الصدق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الحكم لا يلزم به من يذهب إلى كفاية المرّة في سائر النجاسات؛ إذ عليه تجب المرّة في مطلق الغسالة؛ لأنّ وجوب المرّتين أو الأكثر في بعض النجاسات إنّما يكون لخصوصية لا توجد في الغسالة؛ لعدم صدق الاسم الذي يدور مَداره التعدّد، فيجب فيها الغسل مرّة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المذهب أيضاً يجب التعدّد فيها كالمحلّ قبلها إلَّا في خصوص الولوغ، باعتبار أنّ غيره كالبول ممّا يمكن فيه انتقال بعض أجزائه إلى الغسالة، فيجب التّعدد؛ لبقاء عين النجاسة فيها حتّى عند من يكتفي بالمرّة في غيره من النجاسات؛ لأنّ البوليّة حاصلة فيها، و كذا غيرها ممّا يمكن انتقال أجزائه إلى الغسالة مع مشروعيّة التعدّد فيه، و لا كذلك الولوغ، فإنّه لا يمكن فيه ذلك، و من هنا خصّه بالذِّكر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الغسالة تلحق المحلّ في النجاسة و تعدّد الغسل بشرط أن يكون التعدّد لمطلق النجاسة لا لخصوص نجاسة معلومة، فيلحق التعدّد الاسم، و مع عدمه </w:t>
      </w:r>
    </w:p>
    <w:p>
      <w:pPr>
        <w:pStyle w:val="BookText"/>
        <w:rPr/>
      </w:pPr>
      <w:r>
        <w:rPr>
          <w:rFonts w:ascii="Amiri" w:hAnsi="Amiri" w:eastAsia="Amiri" w:cs="Amiri"/>
          <w:color w:val="111111"/>
          <w:sz w:val="28"/>
          <w:sz w:val="28"/>
          <w:szCs w:val="28"/>
          <w:rtl w:val="true"/>
          <w:lang w:bidi="ar-SA"/>
        </w:rPr>
        <w:t>في الغسالة لا يجب التعدّد فيها إلَّا إذا أمكن انتقال أجزاء المخصوص إليها، فيلحقها الحكم للخصوصيّة كلحوقه للمحرَّم، و إذا لم يمكن فيه ذلك لا يلحق أبداً كالولوغ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أحسن ما توجّه به عبارته ممّا لم يسبقني إليه أحد، فلا يرد عليه أنّ هذا التقسيم تقسيم إلى متناقضين، و لا يتمحّل له بما في الجماليّة </w:t>
      </w:r>
      <w:r>
        <w:rPr>
          <w:rStyle w:val="FootnoteAnchor"/>
          <w:rtl w:val="true"/>
        </w:rPr>
        <w:footnoteReference w:id="2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أنّه إذا وجب شيء لخصوصيّة في النجاسة كالمسح بالتراب في الولوغ فلا يمكن الحكم به في غسالته؛ لاحتياج الحمل المزبور إلى بعض التقادير بلا قرينة، و هي مرغوب عنها،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المتعدّد في سائر النجاسات معلّق على اسم غير حاصل بالغسالة كالبول و نحوه؛ لأنّ الظاهر بقرينة مثاله أنّ تعدّد الغسل في الولوغ لمعنى ليس موجوداً في الغسالة، بخلاف البول و غيره، فإنّ فيه عينيّة فتتبعها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التعدّد للعاب الوالغ الموجود في المحلّ كان كالبول في أنّ فيه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أنّ الغسالة لم تكن داخلة تحت اسم ما ورد التعدّد فيه إذا لم يكن التعدّد لمطلق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بأنّ نجاستها لم يعرف لها مقدار من الشرع، فالاستصحاب ثابت، و لا تتيقّن الطَّهارة إلَّا بالتعدّد الموجود بالمحلّ قبلها، و نقطع بعدم احتمال الزيادة كي لا تزيد على الأصل، و لأنها لما اشتملت على النجاسة التي في المحلّ فلا يزيلها إلَّا ما يزيلها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المساواة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المنتهية إلى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اختاره أيضاً في البيان، و جعله أَولى في الدروس و أحوط في الذكرى </w:t>
      </w:r>
      <w:r>
        <w:rPr>
          <w:rStyle w:val="FootnoteAnchor"/>
          <w:rtl w:val="true"/>
        </w:rPr>
        <w:footnoteReference w:id="2256"/>
      </w:r>
      <w:r>
        <w:rPr>
          <w:rFonts w:ascii="Amiri" w:hAnsi="Amiri" w:eastAsia="Amiri" w:cs="Amiri"/>
          <w:color w:val="111111"/>
          <w:sz w:val="28"/>
          <w:sz w:val="28"/>
          <w:szCs w:val="28"/>
          <w:rtl w:val="true"/>
          <w:lang w:bidi="ar-SA"/>
        </w:rPr>
        <w:t xml:space="preserve">، و لحقه فيه جماعة </w:t>
      </w:r>
      <w:r>
        <w:rPr>
          <w:rStyle w:val="FootnoteAnchor"/>
          <w:rtl w:val="true"/>
        </w:rPr>
        <w:footnoteReference w:id="2257"/>
      </w:r>
      <w:r>
        <w:rPr>
          <w:rFonts w:ascii="Amiri" w:hAnsi="Amiri" w:eastAsia="Amiri" w:cs="Amiri"/>
          <w:color w:val="111111"/>
          <w:sz w:val="28"/>
          <w:sz w:val="28"/>
          <w:szCs w:val="28"/>
          <w:rtl w:val="true"/>
          <w:lang w:bidi="ar-SA"/>
        </w:rPr>
        <w:t>من محقِّقي المتأخِّرين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إطلاقه يشمل غير المتغيّر إلَّا ماء الاستنجاء سواء تعدّى عن محلّه أم لا، انفصل </w:t>
      </w:r>
    </w:p>
    <w:p>
      <w:pPr>
        <w:pStyle w:val="BookText"/>
        <w:rPr/>
      </w:pPr>
      <w:r>
        <w:rPr>
          <w:rFonts w:ascii="Amiri" w:hAnsi="Amiri" w:eastAsia="Amiri" w:cs="Amiri"/>
          <w:color w:val="111111"/>
          <w:sz w:val="28"/>
          <w:sz w:val="28"/>
          <w:szCs w:val="28"/>
          <w:rtl w:val="true"/>
          <w:lang w:bidi="ar-SA"/>
        </w:rPr>
        <w:t xml:space="preserve">عن الجسم الذي جرى عليه أم لا، انقطع اتّصاله فصار في مكان آخر أم لا، غسل آنية الولوغ أم لا، وارداً كان أم موروداً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 به المحلّ أم احتاج إلى تكرير من أيّ غسلة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قال به كذلك الوالد قدّس سرّه في أنوار فقاهته </w:t>
      </w:r>
      <w:r>
        <w:rPr>
          <w:rStyle w:val="FootnoteAnchor"/>
          <w:rtl w:val="true"/>
        </w:rPr>
        <w:footnoteReference w:id="2258"/>
      </w:r>
      <w:r>
        <w:rPr>
          <w:rFonts w:ascii="Amiri" w:hAnsi="Amiri" w:eastAsia="Amiri" w:cs="Amiri"/>
          <w:color w:val="111111"/>
          <w:sz w:val="28"/>
          <w:sz w:val="28"/>
          <w:szCs w:val="28"/>
          <w:rtl w:val="true"/>
          <w:lang w:bidi="ar-SA"/>
        </w:rPr>
        <w:t xml:space="preserve">و شيخ أساتيدنا في شرحه </w:t>
      </w:r>
      <w:r>
        <w:rPr>
          <w:rStyle w:val="FootnoteAnchor"/>
          <w:rtl w:val="true"/>
        </w:rPr>
        <w:footnoteReference w:id="2259"/>
      </w:r>
      <w:r>
        <w:rPr>
          <w:rFonts w:ascii="Amiri" w:hAnsi="Amiri" w:eastAsia="Amiri" w:cs="Amiri"/>
          <w:color w:val="111111"/>
          <w:sz w:val="28"/>
          <w:sz w:val="28"/>
          <w:szCs w:val="28"/>
          <w:rtl w:val="true"/>
          <w:lang w:bidi="ar-SA"/>
        </w:rPr>
        <w:t xml:space="preserve">ذكر تبعاً للمستند الحكم بالطّهارة لو قيل بقول العماني </w:t>
      </w:r>
      <w:r>
        <w:rPr>
          <w:rStyle w:val="FootnoteAnchor"/>
          <w:rtl w:val="true"/>
        </w:rPr>
        <w:footnoteReference w:id="2260"/>
      </w:r>
      <w:r>
        <w:rPr>
          <w:rFonts w:ascii="Amiri" w:hAnsi="Amiri" w:eastAsia="Amiri" w:cs="Amiri"/>
          <w:color w:val="111111"/>
          <w:sz w:val="28"/>
          <w:sz w:val="28"/>
          <w:szCs w:val="28"/>
          <w:rtl w:val="true"/>
          <w:lang w:bidi="ar-SA"/>
        </w:rPr>
        <w:t xml:space="preserve">أو السّيد </w:t>
      </w:r>
      <w:r>
        <w:rPr>
          <w:rStyle w:val="FootnoteAnchor"/>
          <w:rtl w:val="true"/>
        </w:rPr>
        <w:footnoteReference w:id="2261"/>
      </w:r>
      <w:r>
        <w:rPr>
          <w:rFonts w:ascii="Amiri" w:hAnsi="Amiri" w:eastAsia="Amiri" w:cs="Amiri"/>
          <w:color w:val="111111"/>
          <w:sz w:val="28"/>
          <w:sz w:val="28"/>
          <w:szCs w:val="28"/>
          <w:rtl w:val="true"/>
          <w:lang w:bidi="ar-SA"/>
        </w:rPr>
        <w:t xml:space="preserve">و الحلّي </w:t>
      </w:r>
      <w:r>
        <w:rPr>
          <w:rStyle w:val="FootnoteAnchor"/>
          <w:rtl w:val="true"/>
        </w:rPr>
        <w:footnoteReference w:id="2262"/>
      </w:r>
      <w:r>
        <w:rPr>
          <w:rFonts w:ascii="Amiri" w:hAnsi="Amiri" w:eastAsia="Amiri" w:cs="Amiri"/>
          <w:color w:val="111111"/>
          <w:sz w:val="28"/>
          <w:sz w:val="28"/>
          <w:szCs w:val="28"/>
          <w:rtl w:val="true"/>
          <w:lang w:bidi="ar-SA"/>
        </w:rPr>
        <w:t>في القليل، و إلَّا فالنجاسة على الأقوى مطلقاً؛ و ذلك لأنّ الخلاف في استثناء الغسالة عن القليل بعد الحكم بالنجاسة، فلا وجه لعدّ كاشف الالتباس أنّ الثلاثة من القائلين بالطهارة،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خصّ السيّد و الحليّ الطهارة بالماء الوارد للإزالة كان لما ذكر وجه،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جيد لولا أنّ من تفکَّر في مذهب السّيد و الحليّ يرى أنّ المخصوص واقع، و أنّ بعض كلماتهما ظاهر بذلك، نحو ما شرطا في طهارة غسالة الوضوء، و الغسل في الإناء بأن يكون ماؤهما نظيفاً و بدنه طاهراً، فإنّ اشتراط طهارة الإناء و البَدَن لا يجامع القول بطهارة الوارد مطلقاً و يجامع القول بطهارة الغسالة؛ إذ ليس كلّ ما يجري على البدن النجس داخلاً في الغسالة؛ لاحتمال بقاء عين النجاسة فيه قبل انفصال الماء</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المنجّسين مطلقاً إجماع التحرير </w:t>
      </w:r>
      <w:r>
        <w:rPr>
          <w:rStyle w:val="FootnoteAnchor"/>
          <w:rtl w:val="true"/>
        </w:rPr>
        <w:footnoteReference w:id="2263"/>
      </w:r>
      <w:r>
        <w:rPr>
          <w:rFonts w:ascii="IRNazanin" w:hAnsi="IRNazanin" w:eastAsia="IRNazanin"/>
          <w:color w:val="111111"/>
          <w:sz w:val="28"/>
          <w:sz w:val="28"/>
          <w:szCs w:val="28"/>
          <w:rtl w:val="true"/>
          <w:lang w:bidi="fa-IR"/>
        </w:rPr>
        <w:t xml:space="preserve">و المعتبر </w:t>
      </w:r>
      <w:r>
        <w:rPr>
          <w:rStyle w:val="FootnoteAnchor"/>
          <w:rtl w:val="true"/>
        </w:rPr>
        <w:footnoteReference w:id="2264"/>
      </w:r>
      <w:r>
        <w:rPr>
          <w:rFonts w:ascii="Amiri" w:hAnsi="Amiri" w:eastAsia="Amiri" w:cs="Amiri"/>
          <w:color w:val="111111"/>
          <w:sz w:val="28"/>
          <w:sz w:val="28"/>
          <w:szCs w:val="28"/>
          <w:rtl w:val="true"/>
          <w:lang w:bidi="ar-SA"/>
        </w:rPr>
        <w:t xml:space="preserve">في باب غسل المسّ مع اعتضادهما بشهرة </w:t>
      </w:r>
      <w:r>
        <w:rPr>
          <w:rStyle w:val="FootnoteAnchor"/>
          <w:rtl w:val="true"/>
        </w:rPr>
        <w:footnoteReference w:id="2265"/>
      </w:r>
      <w:r>
        <w:rPr>
          <w:rFonts w:ascii="Amiri" w:hAnsi="Amiri" w:eastAsia="Amiri" w:cs="Amiri"/>
          <w:color w:val="111111"/>
          <w:sz w:val="28"/>
          <w:sz w:val="28"/>
          <w:szCs w:val="28"/>
          <w:rtl w:val="true"/>
          <w:lang w:bidi="ar-SA"/>
        </w:rPr>
        <w:t xml:space="preserve">المتأخِّرين أوّلاً، و عموم أدلّة انفعال الماء القليل كالخبر المعروف المفهوم منه عموم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الوالد قدّس سرّه الاستدلال بمفهوم أخبار الكُرّ المُشْعِرَة بحملان ما لم يبلغ الكرُّ كلَّ خَبَتْ؛ لترك البيان فيه، فلو كان يحمل خَبثاً دون آخر، لبيّنه فيفهم منه؛ لأنه في مقام البيان أنّ الكُريّة و عدمها علّة في عدم الحملان و الحملان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2267"/>
      </w:r>
      <w:r>
        <w:rPr>
          <w:rFonts w:ascii="Amiri" w:hAnsi="Amiri" w:eastAsia="Amiri" w:cs="Amiri"/>
          <w:color w:val="111111"/>
          <w:sz w:val="28"/>
          <w:sz w:val="28"/>
          <w:szCs w:val="28"/>
          <w:rtl w:val="true"/>
          <w:lang w:bidi="ar-SA"/>
        </w:rPr>
        <w:t xml:space="preserve">تبعاً لغيره </w:t>
      </w:r>
      <w:r>
        <w:rPr>
          <w:rStyle w:val="FootnoteAnchor"/>
          <w:rtl w:val="true"/>
        </w:rPr>
        <w:footnoteReference w:id="2268"/>
      </w:r>
      <w:r>
        <w:rPr>
          <w:rFonts w:ascii="Amiri" w:hAnsi="Amiri" w:eastAsia="Amiri" w:cs="Amiri"/>
          <w:color w:val="111111"/>
          <w:sz w:val="28"/>
          <w:sz w:val="28"/>
          <w:szCs w:val="28"/>
          <w:rtl w:val="true"/>
          <w:lang w:bidi="ar-SA"/>
        </w:rPr>
        <w:t>المناقشة في عموم المفهوم بما طرق سمعك في غير المقام و بانَ لك فسادها حتّى أوضحنا، أصالة انفعال القليل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رحمه الله بعد المماشاة مع القائلين بعمومه من حيث أفراد الماء و أفراد النجاسة له كلام في العموم من حيث الأحوال الراجعة إلى كيفيّة سببيّة الملاقاة للتنجيس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الكلام لا يخلو من وجاهة؛ لعدم وجود القضيّة في الأخبار إلَّا في بيان تمييز الماء الذي لا ينجسه عن الذي ينجسه شيء، فلا إطلاق فيه ينفع عند الشك في اعتبار بعض الكيفيّات في التنجيس، و مع ذلك لا وجه لهذا الكلام؛ إذ نحن إنّما حكمنا بعموم المفهوم مطلقاً حتّى بالنّسبة إلى الكيفيّات كي ندفع به مذهب السيّد رحمه الله </w:t>
      </w:r>
      <w:r>
        <w:rPr>
          <w:rStyle w:val="FootnoteAnchor"/>
          <w:rtl w:val="true"/>
        </w:rPr>
        <w:footnoteReference w:id="2269"/>
      </w:r>
      <w:r>
        <w:rPr>
          <w:rFonts w:ascii="Amiri" w:hAnsi="Amiri" w:eastAsia="Amiri" w:cs="Amiri"/>
          <w:color w:val="111111"/>
          <w:sz w:val="28"/>
          <w:sz w:val="28"/>
          <w:szCs w:val="28"/>
          <w:rtl w:val="true"/>
          <w:lang w:bidi="ar-SA"/>
        </w:rPr>
        <w:t xml:space="preserve">من الفرق بين الوارد و المورود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دليل لنا يردّه سواه، و لأجله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Style w:val="FootnoteAnchor"/>
          <w:rtl w:val="true"/>
        </w:rPr>
        <w:footnoteReference w:id="2270"/>
      </w:r>
      <w:r>
        <w:rPr>
          <w:rFonts w:ascii="Amiri" w:hAnsi="Amiri" w:eastAsia="Amiri" w:cs="Amiri"/>
          <w:color w:val="111111"/>
          <w:sz w:val="28"/>
          <w:sz w:val="28"/>
          <w:szCs w:val="28"/>
          <w:rtl w:val="true"/>
          <w:lang w:bidi="ar-SA"/>
        </w:rPr>
        <w:t xml:space="preserve">في التناقض؛ لتمسّكه في ردّ السيّد رحمه الله بالمفهوم المزبور الشامل للوارد و المورود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بعض الأخبار الناصّة التي هي أدون من المفهوم مع إنكار عمومه هنا، فراجع كلامه في ردّ مذهب السيّد و كلامه في المقام يتّضح لك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الأمر أنّ أصالة الانفعال في القليل أصلٌ أصيل لا يخرج عنه إلَّا لقاطع مثله، و لا يصلح مجموع ما ذكره مخصّصاً لذلك الأصل سواء ثبت من المفهوم المزبور أو من غيره </w:t>
      </w:r>
    </w:p>
    <w:p>
      <w:pPr>
        <w:pStyle w:val="BookText"/>
        <w:rPr/>
      </w:pPr>
      <w:r>
        <w:rPr>
          <w:rFonts w:ascii="Amiri" w:hAnsi="Amiri" w:eastAsia="Amiri" w:cs="Amiri"/>
          <w:color w:val="111111"/>
          <w:sz w:val="28"/>
          <w:sz w:val="28"/>
          <w:szCs w:val="28"/>
          <w:rtl w:val="true"/>
          <w:lang w:bidi="ar-SA"/>
        </w:rPr>
        <w:t xml:space="preserve">من الأخبار الخاصّة أو من الاستقراء، فعلى القائل بانفعال القليل مطلقاً في غير الإزالة إقامة الدليل على ذلك و كلّما يركن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للمقام، و كأنّ العمدة في إثبات النجاسة مطلقاً هو عموم المفهوم المذكور على ما سلف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أضاف الوالده رحمه الله </w:t>
      </w:r>
      <w:r>
        <w:rPr>
          <w:rStyle w:val="FootnoteAnchor"/>
          <w:rtl w:val="true"/>
        </w:rPr>
        <w:footnoteReference w:id="2271"/>
      </w:r>
      <w:r>
        <w:rPr>
          <w:rFonts w:ascii="Amiri" w:hAnsi="Amiri" w:eastAsia="Amiri" w:cs="Amiri"/>
          <w:color w:val="111111"/>
          <w:sz w:val="28"/>
          <w:sz w:val="28"/>
          <w:szCs w:val="28"/>
          <w:rtl w:val="true"/>
          <w:lang w:bidi="ar-SA"/>
        </w:rPr>
        <w:t xml:space="preserve">و الأُستاد </w:t>
      </w:r>
      <w:r>
        <w:rPr>
          <w:rStyle w:val="FootnoteAnchor"/>
          <w:rtl w:val="true"/>
        </w:rPr>
        <w:footnoteReference w:id="2272"/>
      </w:r>
      <w:r>
        <w:rPr>
          <w:rFonts w:ascii="Amiri" w:hAnsi="Amiri" w:eastAsia="Amiri" w:cs="Amiri"/>
          <w:color w:val="111111"/>
          <w:sz w:val="28"/>
          <w:sz w:val="28"/>
          <w:szCs w:val="28"/>
          <w:rtl w:val="true"/>
          <w:lang w:bidi="ar-SA"/>
        </w:rPr>
        <w:t xml:space="preserve">و غيرهما </w:t>
      </w:r>
      <w:r>
        <w:rPr>
          <w:rStyle w:val="FootnoteAnchor"/>
          <w:rtl w:val="true"/>
        </w:rPr>
        <w:footnoteReference w:id="2273"/>
      </w:r>
      <w:r>
        <w:rPr>
          <w:rFonts w:ascii="Amiri" w:hAnsi="Amiri" w:eastAsia="Amiri" w:cs="Amiri"/>
          <w:color w:val="111111"/>
          <w:sz w:val="28"/>
          <w:sz w:val="28"/>
          <w:szCs w:val="28"/>
          <w:rtl w:val="true"/>
          <w:lang w:bidi="ar-SA"/>
        </w:rPr>
        <w:t xml:space="preserve">إليه خبر العيص </w:t>
      </w:r>
      <w:r>
        <w:rPr>
          <w:rStyle w:val="FootnoteAnchor"/>
          <w:rtl w:val="true"/>
        </w:rPr>
        <w:footnoteReference w:id="2274"/>
      </w:r>
      <w:r>
        <w:rPr>
          <w:rFonts w:ascii="IRNazanin" w:hAnsi="IRNazanin" w:eastAsia="IRNazanin"/>
          <w:color w:val="111111"/>
          <w:sz w:val="28"/>
          <w:sz w:val="28"/>
          <w:szCs w:val="28"/>
          <w:rtl w:val="true"/>
          <w:lang w:bidi="fa-IR"/>
        </w:rPr>
        <w:t xml:space="preserve">المعتبر بفتوى المشهور </w:t>
      </w:r>
      <w:r>
        <w:rPr>
          <w:rStyle w:val="FootnoteAnchor"/>
          <w:rtl w:val="true"/>
        </w:rPr>
        <w:footnoteReference w:id="2275"/>
      </w:r>
      <w:r>
        <w:rPr>
          <w:rFonts w:ascii="Amiri" w:hAnsi="Amiri" w:eastAsia="Amiri" w:cs="Amiri"/>
          <w:color w:val="111111"/>
          <w:sz w:val="28"/>
          <w:sz w:val="28"/>
          <w:szCs w:val="28"/>
          <w:rtl w:val="true"/>
          <w:lang w:bidi="ar-SA"/>
        </w:rPr>
        <w:t xml:space="preserve">الدّال على الأمر بغسل ما أصابه قطرة من وضوء بول أو قذر، و خبر ابن سنان </w:t>
      </w:r>
      <w:r>
        <w:rPr>
          <w:rStyle w:val="FootnoteAnchor"/>
          <w:rtl w:val="true"/>
        </w:rPr>
        <w:footnoteReference w:id="2276"/>
      </w:r>
      <w:r>
        <w:rPr>
          <w:rFonts w:ascii="Amiri" w:hAnsi="Amiri" w:eastAsia="Amiri" w:cs="Amiri"/>
          <w:color w:val="111111"/>
          <w:sz w:val="28"/>
          <w:sz w:val="28"/>
          <w:szCs w:val="28"/>
          <w:rtl w:val="true"/>
          <w:lang w:bidi="ar-SA"/>
        </w:rPr>
        <w:t xml:space="preserve">الناهي عن الوضوء بماء يغسل به الثوب، و لما جاء من الأمر بالعصر </w:t>
      </w:r>
      <w:r>
        <w:rPr>
          <w:rStyle w:val="FootnoteAnchor"/>
          <w:rtl w:val="true"/>
        </w:rPr>
        <w:footnoteReference w:id="2277"/>
      </w:r>
      <w:r>
        <w:rPr>
          <w:rFonts w:ascii="Amiri" w:hAnsi="Amiri" w:eastAsia="Amiri" w:cs="Amiri"/>
          <w:color w:val="111111"/>
          <w:sz w:val="28"/>
          <w:sz w:val="28"/>
          <w:szCs w:val="28"/>
          <w:rtl w:val="true"/>
          <w:lang w:bidi="ar-SA"/>
        </w:rPr>
        <w:t>، و لما جاء بإهراق الماء من المغسول المتعدّد في الظروف و الأواني، و بأنّه لو كانت طاهرة لما خفي حكمها مع توفّر الدّواعي، و لاستبعاد تنجّس الماء القليل بقطرة بول في غير الغسل و عدم التنجّس بأكثر منه لو كان غسلاً، و لاستبعاد عدم الحكم على الماء الوارد على الإناء حتّى يراق فينكشف أنّه غسالة و إلَّا كان غيرها فينجس،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طاهر ابتداءً فهو عين قول العماني </w:t>
      </w:r>
      <w:r>
        <w:rPr>
          <w:rStyle w:val="FootnoteAnchor"/>
          <w:rtl w:val="true"/>
        </w:rPr>
        <w:footnoteReference w:id="2278"/>
      </w:r>
      <w:r>
        <w:rPr>
          <w:rFonts w:ascii="Amiri" w:hAnsi="Amiri" w:eastAsia="Amiri" w:cs="Amiri"/>
          <w:color w:val="111111"/>
          <w:sz w:val="28"/>
          <w:sz w:val="28"/>
          <w:szCs w:val="28"/>
          <w:rtl w:val="true"/>
          <w:lang w:bidi="ar-SA"/>
        </w:rPr>
        <w:t>، و هذه الأدلّة تقريبات لا تنهض بتمام الحجّة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الأُستاذ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 القاعدة العمومات الدّالة على جواز رفع الحَدَث بالماء الطاهر، فإنّها تدلّ بعكس النقيض على أنّ كلّ ما لا يرفع الحَدَث ليس بطاهر، و ما لا يرفع من بعض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الماء طاهراً لجاز رفع الحَدَث به، و سند الملازمة الإطلاقات، و سند بطلان الثاني الإجماع و النّص </w:t>
      </w:r>
      <w:r>
        <w:rPr>
          <w:rStyle w:val="FootnoteAnchor"/>
          <w:rtl w:val="true"/>
        </w:rPr>
        <w:footnoteReference w:id="227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يمكن منع مقدّمتيه بظهور كلام غير واحد </w:t>
      </w:r>
      <w:r>
        <w:rPr>
          <w:rStyle w:val="FootnoteAnchor"/>
          <w:rtl w:val="true"/>
        </w:rPr>
        <w:footnoteReference w:id="2280"/>
      </w:r>
      <w:r>
        <w:rPr>
          <w:rFonts w:ascii="Amiri" w:hAnsi="Amiri" w:eastAsia="Amiri" w:cs="Amiri"/>
          <w:color w:val="111111"/>
          <w:sz w:val="28"/>
          <w:sz w:val="28"/>
          <w:szCs w:val="28"/>
          <w:rtl w:val="true"/>
          <w:lang w:bidi="ar-SA"/>
        </w:rPr>
        <w:t>بالجواز، ولا كلّيّة تنفع في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طاهر من الماء ممّا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سوى الآية </w:t>
      </w:r>
      <w:r>
        <w:rPr>
          <w:rStyle w:val="FootnoteAnchor"/>
          <w:rtl w:val="true"/>
        </w:rPr>
        <w:footnoteReference w:id="2281"/>
      </w:r>
      <w:r>
        <w:rPr>
          <w:rFonts w:ascii="Amiri" w:hAnsi="Amiri" w:eastAsia="Amiri" w:cs="Amiri"/>
          <w:color w:val="111111"/>
          <w:sz w:val="28"/>
          <w:sz w:val="28"/>
          <w:szCs w:val="28"/>
          <w:rtl w:val="true"/>
          <w:lang w:bidi="ar-SA"/>
        </w:rPr>
        <w:t>بناءً على أنّ الطهور في نفسه المطهّر لغيره فكلّ ما هو ليس بمطهّر فليس بماء أو ليس بطاهر، و في إطلاقه على وجه الكلّيّة تأمّل، فينحصر الدليل بما أصّلناه من أصالة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المشهور هذا هو المشهور من أقوال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الغسالة كالمحلّ قبل الغسل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لها تمام العدد الواجب في المحلّ و إن كانت آخر الغسلات الواجبة فيه، و الإطلاق في كلامه راجع للغسالة، أي سواء كانت من الأولى أو الأخيرة أو ما بينهما فكالمحلّ قبل الغسل، و نسب القول للفاضلين </w:t>
      </w:r>
      <w:r>
        <w:rPr>
          <w:rStyle w:val="FootnoteAnchor"/>
          <w:rtl w:val="true"/>
        </w:rPr>
        <w:footnoteReference w:id="2282"/>
      </w:r>
      <w:r>
        <w:rPr>
          <w:rFonts w:ascii="IRNazanin" w:hAnsi="IRNazanin" w:eastAsia="IRNazanin"/>
          <w:color w:val="111111"/>
          <w:sz w:val="28"/>
          <w:sz w:val="28"/>
          <w:szCs w:val="28"/>
          <w:rtl w:val="true"/>
          <w:lang w:bidi="fa-IR"/>
        </w:rPr>
        <w:t xml:space="preserve">و فخر الإسلام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وقفنا عليه من كلامهم القول بالنجاسة مطلقاً، فإن ذهب إليه أحد فوجهه أنّ نجاسة الغسالة عين نجاسة المغسول، فيجب لها ما يجب له و زيادة، و زيادة الفرع على أصله لا عِبْرَة به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 انحلال هذه النجاسة إلى أجزاء قد زال بعضها بالغسلة الأُولى؛ لأنها لا بدّ أن تؤثِّر أثراً، و ليس هو إلا رفع بعض أجزائها فلا تساوي المحلّ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اعتباري لا يجدي في الشرعيّات؛ لاحتمال عدم التبعيّة، فيرجع فيها إلى النجاسة غير المنصوصة، فيجب تمام العدد في تمام الغسلات، مضافاً إلى أنّ الخَبَث كالحَدَث في عدم التخفيف إلى أن يحصل المزيل الرافع، فاستصحاب النجاسة قبل الرافع بحالها؛ لتساوي نسبة المحلّ في تمام الغسلات، فحكم نفس الغسلات هنا حكم غسلات الوضوء، فإنّ ظاهر الأدلّة بساطة كلّ من الحَدَث و الحَبَث و توقّف رفعهما على المزيل الشرعي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حصول التخفيف بغسلة فغسلة قياساً على القذارة العرفيّة غيرُ مرضيّة لنا، إلَّا </w:t>
      </w:r>
    </w:p>
    <w:p>
      <w:pPr>
        <w:pStyle w:val="BookText"/>
        <w:rPr/>
      </w:pPr>
      <w:r>
        <w:rPr>
          <w:rFonts w:ascii="Amiri" w:hAnsi="Amiri" w:eastAsia="Amiri" w:cs="Amiri"/>
          <w:color w:val="111111"/>
          <w:sz w:val="28"/>
          <w:sz w:val="28"/>
          <w:szCs w:val="28"/>
          <w:rtl w:val="true"/>
          <w:lang w:bidi="ar-SA"/>
        </w:rPr>
        <w:t xml:space="preserve">أنّ هذا إنّما يتمّ لو فرض وجوب </w:t>
      </w:r>
      <w:r>
        <w:rPr>
          <w:rStyle w:val="FootnoteAnchor"/>
          <w:rtl w:val="true"/>
        </w:rPr>
        <w:footnoteReference w:id="2284"/>
      </w:r>
      <w:r>
        <w:rPr>
          <w:rFonts w:ascii="Amiri" w:hAnsi="Amiri" w:eastAsia="Amiri" w:cs="Amiri"/>
          <w:color w:val="111111"/>
          <w:sz w:val="28"/>
          <w:sz w:val="28"/>
          <w:szCs w:val="28"/>
          <w:rtl w:val="true"/>
          <w:lang w:bidi="ar-SA"/>
        </w:rPr>
        <w:t>إطلاق يقضي بوجوب العدد في الغسالة، وهو ممنوع؛ لأنّ القدر المحرز منه مراعاة العدد في خصوص تلك النجاسة قبل الغسل فيرجع في ما يلاقيها أو يلاقي غسالتها بعد الغسل إلى ما تقتضيه القواعد، إمّا لما اعتبره المصنّف رحمه الله، أو تندرج بما لا نَصِّ فيه، و الأخير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الغسالة كالمحلّ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فتكون طاهرة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غسلة كانت في الورود و عدمه، و في الثياب و الأواني و غيرها، و القائل الشيخ </w:t>
      </w:r>
      <w:r>
        <w:rPr>
          <w:rStyle w:val="FootnoteAnchor"/>
          <w:rtl w:val="true"/>
        </w:rPr>
        <w:footnoteReference w:id="2285"/>
      </w:r>
      <w:r>
        <w:rPr>
          <w:rFonts w:ascii="Amiri" w:hAnsi="Amiri" w:eastAsia="Amiri" w:cs="Amiri"/>
          <w:color w:val="111111"/>
          <w:sz w:val="28"/>
          <w:sz w:val="28"/>
          <w:szCs w:val="28"/>
          <w:rtl w:val="true"/>
          <w:lang w:bidi="ar-SA"/>
        </w:rPr>
        <w:t xml:space="preserve">على تردّد في الإطلاق و القول، و هو المنقول عن ابن حمزة </w:t>
      </w:r>
      <w:r>
        <w:rPr>
          <w:rStyle w:val="FootnoteAnchor"/>
          <w:rtl w:val="true"/>
        </w:rPr>
        <w:footnoteReference w:id="2286"/>
      </w:r>
      <w:r>
        <w:rPr>
          <w:rFonts w:ascii="Amiri" w:hAnsi="Amiri" w:eastAsia="Amiri" w:cs="Amiri"/>
          <w:color w:val="111111"/>
          <w:sz w:val="28"/>
          <w:sz w:val="28"/>
          <w:szCs w:val="28"/>
          <w:rtl w:val="true"/>
          <w:lang w:bidi="ar-SA"/>
        </w:rPr>
        <w:t xml:space="preserve">و البصروي </w:t>
      </w:r>
      <w:r>
        <w:rPr>
          <w:rStyle w:val="FootnoteAnchor"/>
          <w:rtl w:val="true"/>
        </w:rPr>
        <w:footnoteReference w:id="2287"/>
      </w:r>
      <w:r>
        <w:rPr>
          <w:rFonts w:ascii="Amiri" w:hAnsi="Amiri" w:eastAsia="Amiri" w:cs="Amiri"/>
          <w:color w:val="111111"/>
          <w:sz w:val="28"/>
          <w:sz w:val="28"/>
          <w:szCs w:val="28"/>
          <w:rtl w:val="true"/>
          <w:lang w:bidi="ar-SA"/>
        </w:rPr>
        <w:t xml:space="preserve">و المحقّق الثاني في بعض فوائده </w:t>
      </w:r>
      <w:r>
        <w:rPr>
          <w:rStyle w:val="FootnoteAnchor"/>
          <w:rtl w:val="true"/>
        </w:rPr>
        <w:footnoteReference w:id="2288"/>
      </w:r>
      <w:r>
        <w:rPr>
          <w:rFonts w:ascii="Amiri" w:hAnsi="Amiri" w:eastAsia="Amiri" w:cs="Amiri"/>
          <w:color w:val="111111"/>
          <w:sz w:val="28"/>
          <w:sz w:val="28"/>
          <w:szCs w:val="28"/>
          <w:rtl w:val="true"/>
          <w:lang w:bidi="ar-SA"/>
        </w:rPr>
        <w:t xml:space="preserve">، و عزاه القاضي إلى جماعة </w:t>
      </w:r>
      <w:r>
        <w:rPr>
          <w:rStyle w:val="FootnoteAnchor"/>
          <w:rtl w:val="true"/>
        </w:rPr>
        <w:footnoteReference w:id="2289"/>
      </w:r>
      <w:r>
        <w:rPr>
          <w:rFonts w:ascii="Amiri" w:hAnsi="Amiri" w:eastAsia="Amiri" w:cs="Amiri"/>
          <w:color w:val="111111"/>
          <w:sz w:val="28"/>
          <w:sz w:val="28"/>
          <w:szCs w:val="28"/>
          <w:rtl w:val="true"/>
          <w:lang w:bidi="ar-SA"/>
        </w:rPr>
        <w:t xml:space="preserve">، و في جامع المقاصد </w:t>
      </w:r>
      <w:r>
        <w:rPr>
          <w:rStyle w:val="FootnoteAnchor"/>
          <w:rtl w:val="true"/>
        </w:rPr>
        <w:footnoteReference w:id="2290"/>
      </w:r>
      <w:r>
        <w:rPr>
          <w:rFonts w:ascii="Amiri" w:hAnsi="Amiri" w:eastAsia="Amiri" w:cs="Amiri"/>
          <w:color w:val="111111"/>
          <w:sz w:val="28"/>
          <w:sz w:val="28"/>
          <w:szCs w:val="28"/>
          <w:rtl w:val="true"/>
          <w:lang w:bidi="ar-SA"/>
        </w:rPr>
        <w:t xml:space="preserve">أنّه الأشهر بين المتقدِّمين، و يشعر به كلام الصدوق </w:t>
      </w:r>
      <w:r>
        <w:rPr>
          <w:rStyle w:val="FootnoteAnchor"/>
          <w:rtl w:val="true"/>
        </w:rPr>
        <w:footnoteReference w:id="2291"/>
      </w:r>
      <w:r>
        <w:rPr>
          <w:rFonts w:ascii="Amiri" w:hAnsi="Amiri" w:eastAsia="Amiri" w:cs="Amiri"/>
          <w:color w:val="111111"/>
          <w:sz w:val="28"/>
          <w:sz w:val="28"/>
          <w:szCs w:val="28"/>
          <w:rtl w:val="true"/>
          <w:lang w:bidi="ar-SA"/>
        </w:rPr>
        <w:t xml:space="preserve">، و هو ظاهر الذكرى </w:t>
      </w:r>
      <w:r>
        <w:rPr>
          <w:rStyle w:val="FootnoteAnchor"/>
          <w:rtl w:val="true"/>
        </w:rPr>
        <w:footnoteReference w:id="2292"/>
      </w:r>
      <w:r>
        <w:rPr>
          <w:rFonts w:ascii="Amiri" w:hAnsi="Amiri" w:eastAsia="Amiri" w:cs="Amiri"/>
          <w:color w:val="111111"/>
          <w:sz w:val="28"/>
          <w:sz w:val="28"/>
          <w:szCs w:val="28"/>
          <w:rtl w:val="true"/>
          <w:lang w:bidi="ar-SA"/>
        </w:rPr>
        <w:t xml:space="preserve">و المدارك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نسبة السيّد </w:t>
      </w:r>
      <w:r>
        <w:rPr>
          <w:rStyle w:val="FootnoteAnchor"/>
          <w:rtl w:val="true"/>
        </w:rPr>
        <w:footnoteReference w:id="2294"/>
      </w:r>
      <w:r>
        <w:rPr>
          <w:rFonts w:ascii="Amiri" w:hAnsi="Amiri" w:eastAsia="Amiri" w:cs="Amiri"/>
          <w:color w:val="111111"/>
          <w:sz w:val="28"/>
          <w:sz w:val="28"/>
          <w:szCs w:val="28"/>
          <w:rtl w:val="true"/>
          <w:lang w:bidi="ar-SA"/>
        </w:rPr>
        <w:t xml:space="preserve">و الحلّى </w:t>
      </w:r>
      <w:r>
        <w:rPr>
          <w:rStyle w:val="FootnoteAnchor"/>
          <w:rtl w:val="true"/>
        </w:rPr>
        <w:footnoteReference w:id="2295"/>
      </w:r>
      <w:r>
        <w:rPr>
          <w:rFonts w:ascii="Amiri" w:hAnsi="Amiri" w:eastAsia="Amiri" w:cs="Amiri"/>
          <w:color w:val="111111"/>
          <w:sz w:val="28"/>
          <w:sz w:val="28"/>
          <w:szCs w:val="28"/>
          <w:rtl w:val="true"/>
          <w:lang w:bidi="ar-SA"/>
        </w:rPr>
        <w:t xml:space="preserve">إلى القول بالطهارة فكما سمعت، و نزيده أن غسالة غير الوارد ليس بغسالة عندهما؛ لاعتبارهما زوال النجاسة بالوارد، فما يسمّيانه غسالة يقولان بطهارته، و ما حكاه الشارح هنا لم يحك صريحاً من أحد القدماء على إطلاقه، و كأنّه تبع فيه </w:t>
      </w:r>
    </w:p>
    <w:p>
      <w:pPr>
        <w:pStyle w:val="BookText"/>
        <w:rPr/>
      </w:pPr>
      <w:r>
        <w:rPr>
          <w:rFonts w:ascii="Amiri" w:hAnsi="Amiri" w:eastAsia="Amiri" w:cs="Amiri"/>
          <w:color w:val="111111"/>
          <w:sz w:val="28"/>
          <w:sz w:val="28"/>
          <w:szCs w:val="28"/>
          <w:rtl w:val="true"/>
          <w:lang w:bidi="ar-SA"/>
        </w:rPr>
        <w:t xml:space="preserve">الشيخ، حيث حكاه مطلقاً عن بعض الناس الظاهر في غيرنا، لكن نسبه في كشف الالتباس إلى شيوخ المذهب </w:t>
      </w:r>
      <w:r>
        <w:rPr>
          <w:rStyle w:val="FootnoteAnchor"/>
          <w:rtl w:val="true"/>
        </w:rPr>
        <w:footnoteReference w:id="2296"/>
      </w:r>
      <w:r>
        <w:rPr>
          <w:rFonts w:ascii="Amiri" w:hAnsi="Amiri" w:eastAsia="Amiri" w:cs="Amiri"/>
          <w:color w:val="111111"/>
          <w:sz w:val="28"/>
          <w:sz w:val="28"/>
          <w:szCs w:val="28"/>
          <w:rtl w:val="true"/>
          <w:lang w:bidi="ar-SA"/>
        </w:rPr>
        <w:t xml:space="preserve">، و في اللّوامع إلى جلّ الطبقة الأُولى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كلمات الشيخ فمضطربة، و جمعها لا يخلو من صعوبة؛ إذ قد صرّح في موضعين من المبسوط بعدم وجوب الاجتناب عن غسالة الولوغ مطلقاً </w:t>
      </w:r>
      <w:r>
        <w:rPr>
          <w:rStyle w:val="FootnoteAnchor"/>
          <w:rtl w:val="true"/>
        </w:rPr>
        <w:footnoteReference w:id="2298"/>
      </w:r>
      <w:r>
        <w:rPr>
          <w:rFonts w:ascii="IRNazanin" w:hAnsi="IRNazanin" w:eastAsia="IRNazanin"/>
          <w:color w:val="111111"/>
          <w:sz w:val="28"/>
          <w:sz w:val="28"/>
          <w:szCs w:val="28"/>
          <w:rtl w:val="true"/>
          <w:lang w:bidi="fa-IR"/>
        </w:rPr>
        <w:t xml:space="preserve">، و في باب الصلاة و الماء المستعمل في الغسل و فی باب تطهير الثياب يظهر منه المَيْل إلى النجاسة، بل الحكم بها، لكن نسبة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المصنّف في الذكرى </w:t>
      </w:r>
      <w:r>
        <w:rPr>
          <w:rStyle w:val="FootnoteAnchor"/>
          <w:rtl w:val="true"/>
        </w:rPr>
        <w:footnoteReference w:id="2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القول بالطهارة ممّا يبعد عدم إصابتهم لمراده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غيره كالسّيد </w:t>
      </w:r>
      <w:r>
        <w:rPr>
          <w:rStyle w:val="FootnoteAnchor"/>
          <w:rtl w:val="true"/>
        </w:rPr>
        <w:footnoteReference w:id="2300"/>
      </w:r>
      <w:r>
        <w:rPr>
          <w:rFonts w:ascii="Amiri" w:hAnsi="Amiri" w:eastAsia="Amiri" w:cs="Amiri"/>
          <w:color w:val="111111"/>
          <w:sz w:val="28"/>
          <w:sz w:val="28"/>
          <w:szCs w:val="28"/>
          <w:rtl w:val="true"/>
          <w:lang w:bidi="ar-SA"/>
        </w:rPr>
        <w:t xml:space="preserve">و الحلّي </w:t>
      </w:r>
      <w:r>
        <w:rPr>
          <w:rStyle w:val="FootnoteAnchor"/>
          <w:rtl w:val="true"/>
        </w:rPr>
        <w:footnoteReference w:id="2301"/>
      </w:r>
      <w:r>
        <w:rPr>
          <w:rFonts w:ascii="Amiri" w:hAnsi="Amiri" w:eastAsia="Amiri" w:cs="Amiri"/>
          <w:color w:val="111111"/>
          <w:sz w:val="28"/>
          <w:sz w:val="28"/>
          <w:szCs w:val="28"/>
          <w:rtl w:val="true"/>
          <w:lang w:bidi="ar-SA"/>
        </w:rPr>
        <w:t xml:space="preserve">و ابن حمزة </w:t>
      </w:r>
      <w:r>
        <w:rPr>
          <w:rStyle w:val="FootnoteAnchor"/>
          <w:rtl w:val="true"/>
        </w:rPr>
        <w:footnoteReference w:id="2302"/>
      </w:r>
      <w:r>
        <w:rPr>
          <w:rFonts w:ascii="Amiri" w:hAnsi="Amiri" w:eastAsia="Amiri" w:cs="Amiri"/>
          <w:color w:val="111111"/>
          <w:sz w:val="28"/>
          <w:sz w:val="28"/>
          <w:szCs w:val="28"/>
          <w:rtl w:val="true"/>
          <w:lang w:bidi="ar-SA"/>
        </w:rPr>
        <w:t>، ففي نظري أنّهم يظهر منهم القول بها و إن حمل بعضهم كلام الأوّلين على اعتبار الوارد في التطهير لا في الطهارة، و هو باطل جزماً إن أراد أنّه لا يقضي بطهارة الغسالة في الوارد مطلقاً؛ إذ صريحهما عدم انفعال الوارد من القليل، و إنْ أراد أنّه لا يدلّ على التفصيل في طهارة الغسالة فيا حَبّذا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حمل كلام السيّد على نجاسة الغسالة، بتقرير أنّ الماء الوارد بعد انفصاله ماء وردت عليه النجاسة؛ إذ أيّ داعٍ له حينئذٍ إلى التفصيل المزبور إذا فرض نجاسة الماء باتّصاله أو بعد انفصاله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بعض عبائر الحِلّي كعبائر الشيخ فراجع التحرير </w:t>
      </w:r>
      <w:r>
        <w:rPr>
          <w:rStyle w:val="FootnoteAnchor"/>
          <w:rtl w:val="true"/>
        </w:rPr>
        <w:footnoteReference w:id="2303"/>
      </w:r>
      <w:r>
        <w:rPr>
          <w:rFonts w:ascii="Amiri" w:hAnsi="Amiri" w:eastAsia="Amiri" w:cs="Amiri"/>
          <w:color w:val="111111"/>
          <w:sz w:val="28"/>
          <w:sz w:val="28"/>
          <w:szCs w:val="28"/>
          <w:rtl w:val="true"/>
          <w:lang w:bidi="ar-SA"/>
        </w:rPr>
        <w:t xml:space="preserve">، و المسألة من مَزالّ الأقدام؛ لأنّ أغلب مَن حكمَ بالنجاسة أو جعلها الأولى نقل قول الطّهارة حتّى نسب إلى من عرفت، </w:t>
      </w:r>
    </w:p>
    <w:p>
      <w:pPr>
        <w:pStyle w:val="BookText"/>
        <w:rPr/>
      </w:pPr>
      <w:r>
        <w:rPr>
          <w:rFonts w:ascii="Amiri" w:hAnsi="Amiri" w:eastAsia="Amiri" w:cs="Amiri"/>
          <w:color w:val="111111"/>
          <w:sz w:val="28"/>
          <w:sz w:val="28"/>
          <w:szCs w:val="28"/>
          <w:rtl w:val="true"/>
          <w:lang w:bidi="ar-SA"/>
        </w:rPr>
        <w:t xml:space="preserve">فكيف يجتمع ذلك مع الإجماع </w:t>
      </w:r>
      <w:r>
        <w:rPr>
          <w:rStyle w:val="FootnoteAnchor"/>
          <w:rtl w:val="true"/>
        </w:rPr>
        <w:footnoteReference w:id="2304"/>
      </w:r>
      <w:r>
        <w:rPr>
          <w:rFonts w:ascii="Amiri" w:hAnsi="Amiri" w:eastAsia="Amiri" w:cs="Amiri"/>
          <w:color w:val="111111"/>
          <w:sz w:val="28"/>
          <w:sz w:val="28"/>
          <w:szCs w:val="28"/>
          <w:rtl w:val="true"/>
          <w:lang w:bidi="ar-SA"/>
        </w:rPr>
        <w:t>المدّعى في نجاسة غسالة الجنب إذا كان على بدنه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صرفه إلى بعض ما لا ينافي المقام؛ كي لا تتناقض كلماتهم و تُنسَب الغفلة إلى جمعهم و هم المؤيَّدون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المصنّف اعترف بخلوّ كلام الأكثر عن المسألة، فينزل على عدم جواز الوضوء به أي رفعه الحَدَث و تبقى طهارته في نفسه و نجاسته مسكوت عنها، و من هنا منع ظهور قول الصدوق في النجاسة مع نسبة ذلك إليه؛ لحكمه بعدم جواز الوضوء بالمستعمل في إزالة النجاسات و رفع الجنابة </w:t>
      </w:r>
      <w:r>
        <w:rPr>
          <w:rStyle w:val="FootnoteAnchor"/>
          <w:rtl w:val="true"/>
        </w:rPr>
        <w:footnoteReference w:id="2305"/>
      </w:r>
      <w:r>
        <w:rPr>
          <w:rFonts w:ascii="Amiri" w:hAnsi="Amiri" w:eastAsia="Amiri" w:cs="Amiri"/>
          <w:color w:val="111111"/>
          <w:sz w:val="28"/>
          <w:sz w:val="28"/>
          <w:szCs w:val="28"/>
          <w:rtl w:val="true"/>
          <w:lang w:bidi="ar-SA"/>
        </w:rPr>
        <w:t>، بأنّ عدم الجواز فيما ذكر لا يستلزم الحكم منه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فالقول بالطهارة إن لم يكن أشهر فلا أقلّ من مساواتهما في الشهرة، و عليه فالمتّبع الدليل، وقد عَوَّلَ فيه على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 عمومات </w:t>
      </w:r>
      <w:r>
        <w:rPr>
          <w:rStyle w:val="FootnoteAnchor"/>
          <w:rtl w:val="true"/>
        </w:rPr>
        <w:footnoteReference w:id="2306"/>
      </w:r>
      <w:r>
        <w:rPr>
          <w:rFonts w:ascii="Amiri" w:hAnsi="Amiri" w:eastAsia="Amiri" w:cs="Amiri"/>
          <w:color w:val="111111"/>
          <w:sz w:val="28"/>
          <w:sz w:val="28"/>
          <w:szCs w:val="28"/>
          <w:rtl w:val="true"/>
          <w:lang w:bidi="ar-SA"/>
        </w:rPr>
        <w:t>طهارة الماء، بعد منع كلّيّة انفعال القليل الذي سلف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تنجّست لم تفد طهارة المحلّ، و التالي باطل قطعاً، و الملازمة واضحة؛ إذ لا قابليّة و لا معنى لكون النجس مطهّراً، بل يعتبر في رفع الحَدَث و الخَبَث طهارة الماء اتّفاقاً، فصار من القواعد المسلّمة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الجزم به و المبالغة في إتقانه، قال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من تتبّعِ كثيرٍ من الأخبار و بعض الإجماعات باستفادة قاعدة،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المتنجّس لا يطهر، بل ممّا يدلّ على نجاسة الكثير نفسه؛ لأنّ معناها لا ترفع حَدَثاً و لا تزيل خَبثاً، مضافاً إلى ظهور كون الماء طهوراً به؛ لأنه الطاهر في نفسه المطهِّر لغيره في طهارته حال مطهريّته </w:t>
      </w:r>
      <w:r>
        <w:rPr>
          <w:rStyle w:val="FootnoteAnchor"/>
          <w:rtl w:val="true"/>
        </w:rPr>
        <w:footnoteReference w:id="230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يعضده مساعدة العقل بأنّ معطي الشيء لا يكون فاقداً له </w:t>
      </w:r>
      <w:r>
        <w:rPr>
          <w:rStyle w:val="FootnoteAnchor"/>
          <w:rtl w:val="true"/>
        </w:rPr>
        <w:footnoteReference w:id="2308"/>
      </w:r>
      <w:r>
        <w:rPr>
          <w:rFonts w:ascii="Amiri" w:hAnsi="Amiri" w:eastAsia="Amiri" w:cs="Amiri"/>
          <w:color w:val="111111"/>
          <w:sz w:val="28"/>
          <w:sz w:val="28"/>
          <w:szCs w:val="28"/>
          <w:rtl w:val="true"/>
          <w:lang w:bidi="ar-SA"/>
        </w:rPr>
        <w:t>، و حينئذٍ مع القول بنجاسة الغسالة يلزم خرق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خيالُ عروض النجاسة لها بعد طهارة المحلّ، فالماء باقٍ على طهارته عند تطهيره، فإذا تمّ تطهيره انفعل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مقالة الفريقين، فإنّ المنجّس يرى نجاسته أوّل الملاقاة، هَبْ أنّ حصول الطهارة و النجاسة في آنٍ واحد، فإنّه لا يجدي في تمام القاعدة، بل عمومها يوجب عدم زوال النجاسة عن المحلّ أو تخصيص بلا دليل، و عموم أدلّة الانفعال لا ينفع في التخصيص؛ إذ بينهما عمومٌ من وجه؛ لاجتماعهما في غير الغسالة و حجر الاستنجاء من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الأخبار القاضية بالنجاسة؛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القاعدة على وجه تشمل المقام؛ لفقد دليل قاطع من الكتاب و السنّة، بل غاية ما ثبت بالاستقراء أنّ الماء المستعمل في رفع الأحداث و الأخباث أو مطلق الوضوء أو الغسل لا يستعمل؛ لانفعاله قبل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اشتراط عدم ملاقاته لها حين الاستعمال، فلو سلّمنا العموم اللّفظي في إثبات القاعدة يلزم أن نخصّصها بما قضى بجواز التطهير بالقليل بعد ملاحظة أدلّة انفعاله مطلقاً، فينتج منه عدم استحالة أنّ النجس مطهّر كحجر الاستنجاء و مائه على القول بالعفو عنه، و أنّه غير طاهر و بلوغ النجس كُرّاً كما هو مذهب السيّد </w:t>
      </w:r>
      <w:r>
        <w:rPr>
          <w:rStyle w:val="FootnoteAnchor"/>
          <w:rtl w:val="true"/>
        </w:rPr>
        <w:footnoteReference w:id="2309"/>
      </w:r>
      <w:r>
        <w:rPr>
          <w:rFonts w:ascii="Amiri" w:hAnsi="Amiri" w:eastAsia="Amiri" w:cs="Amiri"/>
          <w:color w:val="111111"/>
          <w:sz w:val="28"/>
          <w:sz w:val="28"/>
          <w:szCs w:val="28"/>
          <w:rtl w:val="true"/>
          <w:lang w:bidi="ar-SA"/>
        </w:rPr>
        <w:t xml:space="preserve">و الحلّي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العيص </w:t>
      </w:r>
      <w:r>
        <w:rPr>
          <w:rStyle w:val="FootnoteAnchor"/>
          <w:rtl w:val="true"/>
        </w:rPr>
        <w:footnoteReference w:id="2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تصحیح سنده كما اعترف به المصنّف، حيث أعرض عن السّند و ناقش في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أقوى الأدلة على ارتكاب التخصيص في عموم أنّ </w:t>
      </w:r>
    </w:p>
    <w:p>
      <w:pPr>
        <w:pStyle w:val="BookText"/>
        <w:rPr/>
      </w:pPr>
      <w:r>
        <w:rPr>
          <w:rFonts w:ascii="Amiri" w:hAnsi="Amiri" w:eastAsia="Amiri" w:cs="Amiri"/>
          <w:color w:val="111111"/>
          <w:sz w:val="28"/>
          <w:sz w:val="28"/>
          <w:szCs w:val="28"/>
          <w:rtl w:val="true"/>
          <w:lang w:bidi="ar-SA"/>
        </w:rPr>
        <w:t>النجس لا يطهر، و أنّ الماء من جهة المحلّ غير قادح في التطهير، فتبقى عمومات الانفعال بحالها؛ فإنّا لو أعرضنا عنه أمكنَ أن يُدّعى أن تخصيص ما قضى بأنّ النجس لا يطهّر ليس بأَولى من تخصيص عمومات انفعال القليل، فإنّ التخصيص في غير المقام عارض لهما معاً، فيحصل التعارض و يرجع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يلتفت إلى بعض الاعتباريّات في تخصيص أحدهما دون الآخر، بل الأظهر تخصيص عمومات الانفعال؛ لأنها معركة الآراء و إن أحكمَ الأُستاذ رحمه الله أولويّة تخصيص القاعدة الثانية بالمركوزة، و المتبادر عرفاً هو أنّ النجس لا يطهّر و مع ذلك بناؤهم على نجاسة الغسالة و طهارة المحلّ، فكأنّهم يفهمون من أدلّة غسل النجاسة انتقالها عن المحلّ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رحمه الله جازماً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الطهارة منقطع بالدّليل الخاص؛ لعدم الشك في شمول أدلّة انفعال الماء القليل لماء الغسالة، و لعدم الشك في ثبوت قاعدة أنّ كلّ نجس ينجّس؛ لتحصيلها على سبيل القطع من موارد الأخبار و الإجماع، و لعدم تسليم قاعدة أنّ النجس لا يطهر مطلقاً حتّى لو تنجّس بما طهّره، إنّما المسلّم أنّ النجس سابقاً على حال التطهير لا يطهر </w:t>
      </w:r>
      <w:r>
        <w:rPr>
          <w:rStyle w:val="FootnoteAnchor"/>
          <w:rtl w:val="true"/>
        </w:rPr>
        <w:footnoteReference w:id="2312"/>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الموافق لمذاق الفقهاء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المنفصل جزء من الباقي في المحلّ، و هو طاهر بالإجماع، فكذا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نجاسة الماء جميعاً، لكن المتّصل بالمحلّ من المتخلّف تعرضه الطهارة بعد انفصال الغسالة عنه للتبعيّة نظير يَد الغاسل، و تقضي به أوامر الغسل؛ لاستلزام الغسل لذلك عقلاً و عادةً، نحو ما ذكروا في منزحات البئر من طهارة الآلات بعد النزح، و أمّا مقدار المتخلّف فستعرفه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ينقدح كيفيّة طهارة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أنّ اللازم من نجاسة الماء في المحلّ نجاسته لحصول الملاقاة من الطّرفين، و لا يحسن في ردّه من أنّ ما تأثّر من الشيء لا يؤثِّر به ذلك الأثر، فالتزامه أَولى من القول بنجاسة الماء في المحلّ، فإنّ ظاهر الدّليل و الجواب التسالم على طهارة المحلّ قبل خروج الغسالة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نمنعه بما حرّرنا من توقّف طهر المحلّ و ما تخلّف فيه على انفصال الغسالة، </w:t>
      </w:r>
    </w:p>
    <w:p>
      <w:pPr>
        <w:pStyle w:val="BookText"/>
        <w:rPr/>
      </w:pPr>
      <w:r>
        <w:rPr>
          <w:rFonts w:ascii="Amiri" w:hAnsi="Amiri" w:eastAsia="Amiri" w:cs="Amiri"/>
          <w:color w:val="111111"/>
          <w:sz w:val="28"/>
          <w:sz w:val="28"/>
          <w:szCs w:val="28"/>
          <w:rtl w:val="true"/>
          <w:lang w:bidi="ar-SA"/>
        </w:rPr>
        <w:t>و قبل خروجها لا إشكال في نجاسة المحلّ، و لأجله أشكل تطهير ما يرسب الماء فيه، فالمحلّ نجس قبل انفصال الغسالة طاهر بعده، لكن تمام ذلك في ما يجب فيه التعدّد مشكل؛ لاستلزامه التسلسل من حيث نجاسة المحلّ بملاقاته للماء الذي انتقلت النجاسة إليه، فلو كانت بولاً لزم تعدّد غسل المحلّ لملاقاته البول في ضمن الغسالة، فيتعدّد غسله و يترامى، و لا كذلك إذا لم ينفعل المحلّ بالغسالة ثانياً، فإنّ غايته بقاء أثر النجاسة فيه بعد الغسلة الأُولى من النجاسة الأُولى فيطهر بالثانية، و لا يتسلسل؛ إذ لم تعرض للمحلّ نجاسة أُخرى من الغسالة، و يتخلّص منه بتوقّفه على مساواة النجس للمتنجّس، و أنّ حكم ما لاقاه البول من الماء حكم البول في اعتبار تعدّد غسل الملاقي، و هو ممنوع، بل لا ريب في أنّ مجاورة المحلّ لماء الغسل لا تزيد في نجاسته التي فيه قبل الماء فبالغسلة الأُولى تخفّ تلك النجاسة لا أنّ المحلّ يكتسب نجاسة أّخرى، فالملازمة واضحة السّقوط، و حديث التأثّر و التأثير بالمقام غير مربوط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النجاسة للحرج المنفي، لكنّه منفي هنا بالبداهة، و أيضاً فالخروج عن التكليف بمثل هذا الحرج ما لم يعضده غيره لا تقبله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المناط من نصوص الاستنجاء، أو شموله لغير الظاهر من أفراده؛ لصدقه لغةً على زوال مطلق الأخباث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يدفعهما وجود الفارق، و هو عسر الاجتناب عنه دون غيره، و ظهوره إن لم يكن حقيقة في خصوص هذا الفرد فلا يعمّ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w:t>
      </w:r>
      <w:r>
        <w:rPr>
          <w:rStyle w:val="FootnoteAnchor"/>
          <w:rtl w:val="true"/>
        </w:rPr>
        <w:footnoteReference w:id="2313"/>
      </w:r>
      <w:r>
        <w:rPr>
          <w:rFonts w:ascii="Amiri" w:hAnsi="Amiri" w:eastAsia="Amiri" w:cs="Amiri"/>
          <w:color w:val="111111"/>
          <w:sz w:val="28"/>
          <w:sz w:val="28"/>
          <w:szCs w:val="28"/>
          <w:rtl w:val="true"/>
          <w:lang w:bidi="ar-SA"/>
        </w:rPr>
        <w:t>غسالة الحمّام القاضية بطهارتها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ردّها لمعارضتها بأخبار </w:t>
      </w:r>
      <w:r>
        <w:rPr>
          <w:rStyle w:val="FootnoteAnchor"/>
          <w:rtl w:val="true"/>
        </w:rPr>
        <w:footnoteReference w:id="2314"/>
      </w:r>
      <w:r>
        <w:rPr>
          <w:rFonts w:ascii="Amiri" w:hAnsi="Amiri" w:eastAsia="Amiri" w:cs="Amiri"/>
          <w:color w:val="111111"/>
          <w:sz w:val="28"/>
          <w:sz w:val="28"/>
          <w:szCs w:val="28"/>
          <w:rtl w:val="true"/>
          <w:lang w:bidi="ar-SA"/>
        </w:rPr>
        <w:t>نجاستها، و الجمع باختصاص أحد الطائفتين بالغسالة التي لم تشتمل على نجاسة عينيّة، و الأُخرى بالمشتملة، مع أنّ أخبار النجاسة أصرح،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 من البئر التي فيها ماء الحمّام فإنّه يسيل فيها ما يغتسل به الجُنب</w:t>
      </w:r>
      <w:r>
        <w:rPr>
          <w:rFonts w:eastAsia="Amiri" w:cs="Amiri" w:ascii="Amiri" w:hAnsi="Amiri"/>
          <w:color w:val="111111"/>
          <w:sz w:val="28"/>
          <w:szCs w:val="28"/>
          <w:rtl w:val="true"/>
          <w:lang w:bidi="ar-SA"/>
        </w:rPr>
        <w:t xml:space="preserve">» </w:t>
      </w:r>
      <w:r>
        <w:rPr>
          <w:rStyle w:val="FootnoteAnchor"/>
          <w:rtl w:val="true"/>
        </w:rPr>
        <w:footnoteReference w:id="2315"/>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تغتسل من غسالة الحمّام ففيها غسالة اليهودي</w:t>
      </w:r>
      <w:r>
        <w:rPr>
          <w:rFonts w:eastAsia="Amiri" w:cs="Amiri" w:ascii="Amiri" w:hAnsi="Amiri"/>
          <w:color w:val="111111"/>
          <w:sz w:val="28"/>
          <w:szCs w:val="28"/>
          <w:rtl w:val="true"/>
          <w:lang w:bidi="ar-SA"/>
        </w:rPr>
        <w:t xml:space="preserve">» </w:t>
      </w:r>
      <w:r>
        <w:rPr>
          <w:rStyle w:val="FootnoteAnchor"/>
          <w:rtl w:val="true"/>
        </w:rPr>
        <w:footnoteReference w:id="2316"/>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w:t>
      </w:r>
      <w:r>
        <w:rPr>
          <w:rStyle w:val="FootnoteAnchor"/>
          <w:rtl w:val="true"/>
        </w:rPr>
        <w:footnoteReference w:id="2317"/>
      </w:r>
      <w:r>
        <w:rPr>
          <w:rFonts w:ascii="Amiri" w:hAnsi="Amiri" w:eastAsia="Amiri" w:cs="Amiri"/>
          <w:color w:val="111111"/>
          <w:sz w:val="28"/>
          <w:sz w:val="28"/>
          <w:szCs w:val="28"/>
          <w:rtl w:val="true"/>
          <w:lang w:bidi="ar-SA"/>
        </w:rPr>
        <w:t>الاكتفاء بصبّ الماء في بول الصبيّ الذي لم يأكل الطّعام، فإنّ الأمر بالصّب يزيد المحلّ نجاسة لو قيل بنجاسة الغسالة،</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المتخلّف المحكوم بطهارته كالمتخلّف بعد العصر </w:t>
      </w:r>
      <w:r>
        <w:rPr>
          <w:rStyle w:val="FootnoteAnchor"/>
          <w:rtl w:val="true"/>
        </w:rPr>
        <w:footnoteReference w:id="2318"/>
      </w:r>
      <w:r>
        <w:rPr>
          <w:rFonts w:ascii="Amiri" w:hAnsi="Amiri" w:eastAsia="Amiri" w:cs="Amiri"/>
          <w:color w:val="111111"/>
          <w:sz w:val="28"/>
          <w:sz w:val="28"/>
          <w:szCs w:val="28"/>
          <w:rtl w:val="true"/>
          <w:lang w:bidi="ar-SA"/>
        </w:rPr>
        <w:t>، فإن منع التفكيك اتّجه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Style w:val="FootnoteAnchor"/>
          <w:rtl w:val="true"/>
        </w:rPr>
        <w:footnoteReference w:id="2319"/>
      </w:r>
      <w:r>
        <w:rPr>
          <w:rFonts w:ascii="Amiri" w:hAnsi="Amiri" w:eastAsia="Amiri" w:cs="Amiri"/>
          <w:color w:val="111111"/>
          <w:sz w:val="28"/>
          <w:sz w:val="28"/>
          <w:szCs w:val="28"/>
          <w:rtl w:val="true"/>
          <w:lang w:bidi="ar-SA"/>
        </w:rPr>
        <w:t xml:space="preserve">الدّالة على نفي البأس عمّا ينضح من غسالة الجنب، و الأخبار </w:t>
      </w:r>
      <w:r>
        <w:rPr>
          <w:rStyle w:val="FootnoteAnchor"/>
          <w:rtl w:val="true"/>
        </w:rPr>
        <w:footnoteReference w:id="2320"/>
      </w:r>
      <w:r>
        <w:rPr>
          <w:rFonts w:ascii="Amiri" w:hAnsi="Amiri" w:eastAsia="Amiri" w:cs="Amiri"/>
          <w:color w:val="111111"/>
          <w:sz w:val="28"/>
          <w:sz w:val="28"/>
          <w:szCs w:val="28"/>
          <w:rtl w:val="true"/>
          <w:lang w:bidi="ar-SA"/>
        </w:rPr>
        <w:t>الآمرة بالرّش و النضح فيما يظن فيه النجاسة كبيوت الكفّار، و ما ورد في الثوب يصيبه البول فينفذ إلى الجانب الآخر، و من الفرو و ما فيه من الحشو،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أصاب منه، و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شيئاً فاغسله و إلَّا فانضحه</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في أمر النبي صلّی الله علیه و آله بذنوب من الماء يصبّ في أرض المسجد ليطهر من بول الأعرابي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لا يأمر بما يزيده تنجساً </w:t>
      </w:r>
      <w:r>
        <w:rPr>
          <w:rStyle w:val="FootnoteAnchor"/>
          <w:rtl w:val="true"/>
        </w:rPr>
        <w:footnoteReference w:id="2323"/>
      </w:r>
      <w:r>
        <w:rPr>
          <w:rFonts w:ascii="Amiri" w:hAnsi="Amiri" w:eastAsia="Amiri" w:cs="Amiri"/>
          <w:color w:val="111111"/>
          <w:sz w:val="28"/>
          <w:sz w:val="28"/>
          <w:szCs w:val="28"/>
          <w:rtl w:val="true"/>
          <w:lang w:bidi="ar-SA"/>
        </w:rPr>
        <w:t xml:space="preserve">فيلزم أن يكون الماء باقياً على طهارته، و ما ورد في غسل الثوب في المركن مرّتين إلّا في الماء الجاري </w:t>
      </w:r>
      <w:r>
        <w:rPr>
          <w:rStyle w:val="FootnoteAnchor"/>
          <w:rtl w:val="true"/>
        </w:rPr>
        <w:footnoteReference w:id="2324"/>
      </w:r>
      <w:r>
        <w:rPr>
          <w:rFonts w:ascii="Amiri" w:hAnsi="Amiri" w:eastAsia="Amiri" w:cs="Amiri"/>
          <w:color w:val="111111"/>
          <w:sz w:val="28"/>
          <w:sz w:val="28"/>
          <w:szCs w:val="28"/>
          <w:rtl w:val="true"/>
          <w:lang w:bidi="ar-SA"/>
        </w:rPr>
        <w:t xml:space="preserve">فمرّة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أورده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 الذي تكون فيه الجنابة فيبلّه المطر،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نجاسة الغسالة لم يكن وجه لنفي البأس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كلّ واحد من هذه الأخبار عن إثبات المدّعى كلّية واضحٌ، لكن النظر في مجموعها ممّا يورث الظنّ بالطّهارة مطلقاً، إلَّا أنّ هذا الظهور لا يقاوم ما هو نص في النجاسة، نحو خبر العيص، و لو حملنا نفي البأس في الأُولى على صورة خلوّ بدن المجنب عن المَني و قلنا في الثانية بمنع التزام استحبابه و إلَّا لورد على القول بالطّهارة أيضاً؛ لتخصيصهم لها بالمستعمل في رفع الخَبَث، و في الثالثة كذلك، و في الرابعة أنّها غير معمول بها و لا معوّل عليها، و لو صحّت فغاية ما تدلّ على نجاسة تخوم أرض المسجد، و وجوب إزالة النجاسة عن غير البارز البيّن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الخامس بأنّ المركن كَيَدِ الغاسل، و السادس أنّ المطر أصاب غير محلّ النجاسة، لا أقلّ من الشك، أو نقول إنّ المطر بحكم الجاري، فلا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ما حرّرنا في المسألة تأمّل، فإن تمّ خبر العيص سنداً و دلالةً لا نمنع من حكومته على أصالة الطهارة، و إلَّا فلا معارض لها، مع صعوبة الفرق بين المتخلّف من الغسالة و بين المنفصل جدّاً، فينحصر التطهير من الأخباث بالكُر أو ما في حكمه لو بنينا على عموم انفعال القليل للمفروض، بل احتمل قويّاً أنّ السؤال في خبر العيص كان قبل تطهير المحلّ حين الاشتغال بالغسل، و لا نمنع النجاسة إذ ذاك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أدرِ من أيّ فقراتها فهموا أنّ السؤال عن الغسالة بعد تطهير المحلّ كي يتمحّلوا في حملها على المتغيّر، أو على الاستحباب، و تخصیصُ الطهارة التبعيّة في غير المنفصل ترجيح بلا مرجّح، فإنّ عسر التطهير لا يصيّر الشيء طاهراً شرعاً، و إلَّا لساغ مباشرة ما لا يمكن تطهيره مطلقاً، فإن قضى بالطهارة فليقض بهما في الأمرين معاً، لتفاوت ما يتخلّف الأجسام، و تفاوت العصر بين القوي و الضعيف و بقاء استصحاب النجاسة في ما يشكّ في </w:t>
      </w:r>
    </w:p>
    <w:p>
      <w:pPr>
        <w:pStyle w:val="BookText"/>
        <w:rPr/>
      </w:pPr>
      <w:r>
        <w:rPr>
          <w:rFonts w:ascii="Amiri" w:hAnsi="Amiri" w:eastAsia="Amiri" w:cs="Amiri"/>
          <w:color w:val="111111"/>
          <w:sz w:val="28"/>
          <w:sz w:val="28"/>
          <w:szCs w:val="28"/>
          <w:rtl w:val="true"/>
          <w:lang w:bidi="ar-SA"/>
        </w:rPr>
        <w:t>اندراجه تحت المتخلّف المحكوم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عسر أعظم من هذا؛ إذ لا تكاد تجزم بالطّهارة في الثوب و مثله حتّى بعد اليبس؛ لاحتمال تخلّف غير ما يعفى عن تخلّفه فيه، فلا رافع لاستصحاب النجاسة حينئذٍ، مع بقاء الطهارة في الشرعيّات على تمام السهولة حتّى اكتفى بعضهم بطهارة بعض الأجسام بمجرّد زوال عين النجاسة بلا غسل، فلا أقول إنّ المنجّس لا يطهّر؛ لعدم اطراده، و لا أقول بقول العماني؛ لتحقّق منعه،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خرج من عموم انفعال القليل ليس بأتقن من هذا</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بدّ من قصر الإجماعين على موردهما؛ إذ لا جرأة لي على المخالفة أو اتّهام الناقل، و لعلّي أُراجع المسألة مرّة فمرّة حتّى أدرك بحول الله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الغسالة كالمحلّ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غسل ما لاقته إذا وجب غسل المحلّ مرة و فيما يجب فيه مرّتين ينقص مرّة فيها و يجب مرّة، و عزي القول للشيخ رحمه الله </w:t>
      </w:r>
      <w:r>
        <w:rPr>
          <w:rStyle w:val="FootnoteAnchor"/>
          <w:rtl w:val="true"/>
        </w:rPr>
        <w:footnoteReference w:id="2328"/>
      </w:r>
      <w:r>
        <w:rPr>
          <w:rFonts w:ascii="Amiri" w:hAnsi="Amiri" w:eastAsia="Amiri" w:cs="Amiri"/>
          <w:color w:val="111111"/>
          <w:sz w:val="28"/>
          <w:sz w:val="28"/>
          <w:szCs w:val="28"/>
          <w:rtl w:val="true"/>
          <w:lang w:bidi="ar-SA"/>
        </w:rPr>
        <w:t xml:space="preserve">لحكمه بنجاسة الأُولى دون الثانية، و الحلّي </w:t>
      </w:r>
      <w:r>
        <w:rPr>
          <w:rStyle w:val="FootnoteAnchor"/>
          <w:rtl w:val="true"/>
        </w:rPr>
        <w:footnoteReference w:id="2329"/>
      </w:r>
      <w:r>
        <w:rPr>
          <w:rFonts w:ascii="Amiri" w:hAnsi="Amiri" w:eastAsia="Amiri" w:cs="Amiri"/>
          <w:color w:val="111111"/>
          <w:sz w:val="28"/>
          <w:sz w:val="28"/>
          <w:szCs w:val="28"/>
          <w:rtl w:val="true"/>
          <w:lang w:bidi="ar-SA"/>
        </w:rPr>
        <w:t>قال في الولوغ كذلك، لكن من الجائز على الشيخ أنّه لا يرى وجوب الغسلة الثانية، و يرى أنّ غسالة الغسلة الأُولى كالمحلّ قبلها، فليس كلامهما نصّاً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القول إلى طهارة الغسالة التي يطهر المحلّ قبلها، و دليله أنّها بعض الماء الذي بقي بعضه بالمحلّ، و لا يختلفان بالطهارة و النجاسة حين الاتّصال أو الانفصال؛ فالمنفصل حكمه حكم المتخلّف في المحلّ، و جوابه ظاهر ممّا مرّ من قيام الدليل على اختلاف الحكم بين المتّصل و المنفصل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دليله أنّ عموم انفعال القليل سليم عن المعارض في ما لا يطهر المحلّ من الغسلات؛ لعدم تطهيرها المحلّ و عدم طهارة المتخلّف منها في المغسول وجوبها عدم الملازمة بينهما و بين المحلّ طهارةً و نجاسةً كما غبر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 الشارح بروضه خامساً للأقوال، حاكياً له عن المصنّف بحكايته له عمّن لم يسمّه بحاشية الألفيّة،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ماء كلّ غسلة كمغسولها قبل الغسل و إن حكم بطهارة المحلّ، بل و إن ترامت الغسلات لا إلى نهاية، محتجّاً بأنّه ماء قليل لاقى نجاسة </w:t>
      </w:r>
      <w:r>
        <w:rPr>
          <w:rStyle w:val="FootnoteAnchor"/>
          <w:rtl w:val="true"/>
        </w:rPr>
        <w:footnoteReference w:id="23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أوضحَ سنده بأنّ تطهير القليل خلاف الأصل، فيقتصر فيه على المحلّ دون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بحكم الشارع بالطّهارة عند تمام الغسلات فلا اعتبار بما يحصل بعد ذلك، و للزوم الخرج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حكم المنفصل حكم المحلّ قبل الغسل، و يلزم منه نجاسة المنفصل و لو زادت المرّات عن الواجب، و هو اختيار المصنّف و العلّامة و الفخر </w:t>
      </w:r>
      <w:r>
        <w:rPr>
          <w:rStyle w:val="FootnoteAnchor"/>
          <w:rtl w:val="true"/>
        </w:rPr>
        <w:footnoteReference w:id="233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الأُستاذ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إذا لم ينفصل عن المحلّ بالغسلة المطهّرة </w:t>
      </w:r>
      <w:r>
        <w:rPr>
          <w:rStyle w:val="FootnoteAnchor"/>
          <w:rtl w:val="true"/>
        </w:rPr>
        <w:footnoteReference w:id="2332"/>
      </w:r>
      <w:r>
        <w:rPr>
          <w:rFonts w:ascii="Amiri" w:hAnsi="Amiri" w:eastAsia="Amiri" w:cs="Amiri"/>
          <w:color w:val="111111"/>
          <w:sz w:val="28"/>
          <w:sz w:val="28"/>
          <w:szCs w:val="28"/>
          <w:rtl w:val="true"/>
          <w:lang w:bidi="ar-SA"/>
        </w:rPr>
        <w:t>، فهو نجس فإذا غسل مرّة أُخرى بماء آخر صار نجساً؛ لملاقاته للماء النجس في المحلّ و إنْ طهر، و أمّا كون الماء إذا ورد على المحلّ الطاهر بعد انفصال الغسالة و طهارته يكون نجساً فلا ينبغي حكايته للشهيد، و لا اختياره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المستعمل في مندوب الإزالة طهور </w:t>
      </w:r>
      <w:r>
        <w:rPr>
          <w:rStyle w:val="FootnoteAnchor"/>
          <w:rtl w:val="true"/>
        </w:rPr>
        <w:footnoteReference w:id="23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حمل الأُستاذ خلاف الظاهر من هذا القول كما يقضي به صريحاً ردّ الشهيد له، فإنّ مبناه على الملاقاة بعد الانفصال جزماً، فيحمل على ورود الماء عليه قبل جفاف </w:t>
      </w:r>
      <w:r>
        <w:rPr>
          <w:rStyle w:val="FootnoteAnchor"/>
          <w:rtl w:val="true"/>
        </w:rPr>
        <w:footnoteReference w:id="2334"/>
      </w:r>
      <w:r>
        <w:rPr>
          <w:rFonts w:ascii="Amiri" w:hAnsi="Amiri" w:eastAsia="Amiri" w:cs="Amiri"/>
          <w:color w:val="111111"/>
          <w:sz w:val="28"/>
          <w:sz w:val="28"/>
          <w:szCs w:val="28"/>
          <w:rtl w:val="true"/>
          <w:lang w:bidi="ar-SA"/>
        </w:rPr>
        <w:t>المحلّ و لو بعد انفصال الغسالة و وجوب الاجتناب حتّى يبس المحلّ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في الحدائق </w:t>
      </w:r>
      <w:r>
        <w:rPr>
          <w:rStyle w:val="FootnoteAnchor"/>
          <w:rtl w:val="true"/>
        </w:rPr>
        <w:footnoteReference w:id="2335"/>
      </w:r>
      <w:r>
        <w:rPr>
          <w:rFonts w:ascii="Amiri" w:hAnsi="Amiri" w:eastAsia="Amiri" w:cs="Amiri"/>
          <w:color w:val="111111"/>
          <w:sz w:val="28"/>
          <w:sz w:val="28"/>
          <w:szCs w:val="28"/>
          <w:rtl w:val="true"/>
          <w:lang w:bidi="ar-SA"/>
        </w:rPr>
        <w:t xml:space="preserve">الطهارة إلى المشهور، و النجاسة إلى صاحب هذا القول، و العفو </w:t>
      </w:r>
    </w:p>
    <w:p>
      <w:pPr>
        <w:pStyle w:val="BookText"/>
        <w:rPr/>
      </w:pPr>
      <w:r>
        <w:rPr>
          <w:rFonts w:ascii="Amiri" w:hAnsi="Amiri" w:eastAsia="Amiri" w:cs="Amiri"/>
          <w:color w:val="111111"/>
          <w:sz w:val="28"/>
          <w:sz w:val="28"/>
          <w:szCs w:val="28"/>
          <w:rtl w:val="true"/>
          <w:lang w:bidi="ar-SA"/>
        </w:rPr>
        <w:t xml:space="preserve">مع النجاسة، و هو ظاهر مجمع الفائدة </w:t>
      </w:r>
      <w:r>
        <w:rPr>
          <w:rStyle w:val="FootnoteAnchor"/>
          <w:rtl w:val="true"/>
        </w:rPr>
        <w:footnoteReference w:id="2336"/>
      </w:r>
      <w:r>
        <w:rPr>
          <w:rFonts w:ascii="Amiri" w:hAnsi="Amiri" w:eastAsia="Amiri" w:cs="Amiri"/>
          <w:color w:val="111111"/>
          <w:sz w:val="28"/>
          <w:sz w:val="28"/>
          <w:szCs w:val="28"/>
          <w:rtl w:val="true"/>
          <w:lang w:bidi="ar-SA"/>
        </w:rPr>
        <w:t>، و التفصيل بطهارة المتخلّف قبل العصر و بعده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جازمون بالطّهارة فيه كشيخ أساتيدنا </w:t>
      </w:r>
      <w:r>
        <w:rPr>
          <w:rStyle w:val="FootnoteAnchor"/>
          <w:rtl w:val="true"/>
        </w:rPr>
        <w:footnoteReference w:id="2337"/>
      </w:r>
      <w:r>
        <w:rPr>
          <w:rFonts w:ascii="Amiri" w:hAnsi="Amiri" w:eastAsia="Amiri" w:cs="Amiri"/>
          <w:color w:val="111111"/>
          <w:sz w:val="28"/>
          <w:sz w:val="28"/>
          <w:szCs w:val="28"/>
          <w:rtl w:val="true"/>
          <w:lang w:bidi="ar-SA"/>
        </w:rPr>
        <w:t>مع إصراره على نجاسة الغسالة مطلقاً، و برهانه في المستثنى إطلاق الأمر بصبّ الماء من غير تقييد بشيء آخر بعد الصبّ من علاج لفصل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ذلك برواية عمّار </w:t>
      </w:r>
      <w:r>
        <w:rPr>
          <w:rStyle w:val="FootnoteAnchor"/>
          <w:rtl w:val="true"/>
        </w:rPr>
        <w:footnoteReference w:id="2338"/>
      </w:r>
      <w:r>
        <w:rPr>
          <w:rFonts w:ascii="Amiri" w:hAnsi="Amiri" w:eastAsia="Amiri" w:cs="Amiri"/>
          <w:color w:val="111111"/>
          <w:sz w:val="28"/>
          <w:sz w:val="28"/>
          <w:szCs w:val="28"/>
          <w:rtl w:val="true"/>
          <w:lang w:bidi="ar-SA"/>
        </w:rPr>
        <w:t>الواردة في تطهير الإناء من إدخال الماء و إفراغه منه ثلاث مرّات حيث، دلّ على الطهارة بمجرّد إفراغ الماء منه، و الكوز لا ينفكّ بعد الإفراغ عن قطرات عالقة على فمه أو في أسفله، و تخصيصه هذه الإطلاقات بالدلالة على خصوص طهارة المتخلّف دون مطلق الغسالة محتاج إلى التفكّر؛ إذ لا ظهور على النجاسة من نفس الإفراغ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بالنجاسة عليه أن يلتزم بلوازم مذهبه مطلقاً، و لو فتح باب التّصرف و الحمل في أخبار الطهارة لسرى ذلك بعينه إلى أخبار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فيظهر من ذلك أنّ المختار من بين أقوال النجاسة هو تخصيصها بنجاسة الغسالة التي لا تورِث طهارة المحلّ فيختص التنجيس بغير الغسلة المطهّرة، و یعتبر الجفاف قبل إيراد الغسلة المطهرة كي لا تتنجّس بملاقاة المتخلّف من التنجّس، فلا انفكاك بين المحلّ و الغسالة بالتطهير و التنجيس، و التبعيّة بحالها فيهما معاً، و الاعتبار يساعد عليه في غير ما وردت النجاسة عليه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فالمطهّر للغسالة يخصّها بالغسلة المطهّرة للمحلّ مع ورودها عليه و لا يفرق في ما نجس منها غير ما قصر الطهارة عليه بين الانفصال و الاتّصال، و لا بين المتخلّف و غيره في ما وردت عليه النجاسة من الماء هو نجس و إن كان غسالة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أظن أنّ القائل بطهارة الغسالة يعمّمها للفرض المزبور، و إن ظهر من المصنّف في الدّروس </w:t>
      </w:r>
      <w:r>
        <w:rPr>
          <w:rStyle w:val="FootnoteAnchor"/>
          <w:rtl w:val="true"/>
        </w:rPr>
        <w:footnoteReference w:id="2339"/>
      </w:r>
      <w:r>
        <w:rPr>
          <w:rFonts w:ascii="Amiri" w:hAnsi="Amiri" w:eastAsia="Amiri" w:cs="Amiri"/>
          <w:color w:val="111111"/>
          <w:sz w:val="28"/>
          <w:sz w:val="28"/>
          <w:szCs w:val="28"/>
          <w:rtl w:val="true"/>
          <w:lang w:bidi="ar-SA"/>
        </w:rPr>
        <w:t xml:space="preserve">وجود القول بذلك، حيث جعل التفصيل بين ورود الماء و غيره قولاً في ما يزول به الخَبَث، فيقضي بأنّ هناك قائلاً بعدم اعتبار الورود في الإزالة، و يلزمه أن يكون طاهراً؛ لأنّ النجس لا يطهر، و هو رحمه الله مالَ في الذكرى </w:t>
      </w:r>
      <w:r>
        <w:rPr>
          <w:rStyle w:val="FootnoteAnchor"/>
          <w:rtl w:val="true"/>
        </w:rPr>
        <w:footnoteReference w:id="2340"/>
      </w:r>
      <w:r>
        <w:rPr>
          <w:rFonts w:ascii="Amiri" w:hAnsi="Amiri" w:eastAsia="Amiri" w:cs="Amiri"/>
          <w:color w:val="111111"/>
          <w:sz w:val="28"/>
          <w:sz w:val="28"/>
          <w:szCs w:val="28"/>
          <w:rtl w:val="true"/>
          <w:lang w:bidi="ar-SA"/>
        </w:rPr>
        <w:t>إلى طهارة الغسالة و إلى عدم اعتبار الورود في إزالة النجاسات 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فالتعميم عارٍ عن الدّليل بعد ما عرفت من نجاسة القليل بالملاقاة، و حينئذٍ إما أن يقال بقصور ما دلّ على انفعال القليل بالملاقاة و عدم شموله لصورة ورود الماء على النجاسة، و قد تقدّم منّا عدم قصورها عن ذلك، و كلامنا في الغسالة بعد الفراغ من عموم أدلّة الانفعال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لتوقّف تحقّق عنوان الغسالة على الورود بناءً على توقّف التطهير عليه، و إمّا بأن يكون لأجل اختصاص ما دلّ على طهارة الغسالة بصورة الوارد مع عمومها موضوعاً للصورتين و أنّ التطهير لا يتوقّف على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الأخبار </w:t>
      </w:r>
      <w:r>
        <w:rPr>
          <w:rStyle w:val="FootnoteAnchor"/>
          <w:rtl w:val="true"/>
        </w:rPr>
        <w:footnoteReference w:id="2341"/>
      </w:r>
      <w:r>
        <w:rPr>
          <w:rFonts w:ascii="Amiri" w:hAnsi="Amiri" w:eastAsia="Amiri" w:cs="Amiri"/>
          <w:color w:val="111111"/>
          <w:sz w:val="28"/>
          <w:sz w:val="28"/>
          <w:szCs w:val="28"/>
          <w:rtl w:val="true"/>
          <w:lang w:bidi="ar-SA"/>
        </w:rPr>
        <w:t>الناهية عن إدخال اليَد القَذرة في الماء يظهر منها غير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القائل بالطهارة لا يفرّق في غسالة ما يحصل التطهير به للمحلّ، فالاختصاص المزبور بجهة الأخذ بالقدر المتيقّن فيما يحصل التطهير به في القليل دون غيره؛ لوقوع الاختلاف في حصول التطهير به لا يتمّ حجة للاختصاص بعد عدم اعتبار الورود في التطهير، فتأمّل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طهارة الغسالة مطلقاً أو بعضها ذكروا أنّه لا إشكال في عدم رفع الحَدَث بها كالمضاف الطاهر بالنّسبة للحدث، و في المعتبر </w:t>
      </w:r>
      <w:r>
        <w:rPr>
          <w:rStyle w:val="FootnoteAnchor"/>
          <w:rtl w:val="true"/>
        </w:rPr>
        <w:footnoteReference w:id="2342"/>
      </w:r>
      <w:r>
        <w:rPr>
          <w:rFonts w:ascii="Amiri" w:hAnsi="Amiri" w:eastAsia="Amiri" w:cs="Amiri"/>
          <w:color w:val="111111"/>
          <w:sz w:val="28"/>
          <w:sz w:val="28"/>
          <w:szCs w:val="28"/>
          <w:rtl w:val="true"/>
          <w:lang w:bidi="ar-SA"/>
        </w:rPr>
        <w:t xml:space="preserve">الإجماع عليه، و يظهر من المصنّف رحمه الله في </w:t>
      </w:r>
    </w:p>
    <w:p>
      <w:pPr>
        <w:pStyle w:val="BookText"/>
        <w:rPr/>
      </w:pPr>
      <w:r>
        <w:rPr>
          <w:rFonts w:ascii="Amiri" w:hAnsi="Amiri" w:eastAsia="Amiri" w:cs="Amiri"/>
          <w:color w:val="111111"/>
          <w:sz w:val="28"/>
          <w:sz w:val="28"/>
          <w:szCs w:val="28"/>
          <w:rtl w:val="true"/>
          <w:lang w:bidi="ar-SA"/>
        </w:rPr>
        <w:t xml:space="preserve">غيره </w:t>
      </w:r>
      <w:r>
        <w:rPr>
          <w:rStyle w:val="FootnoteAnchor"/>
          <w:rtl w:val="true"/>
        </w:rPr>
        <w:footnoteReference w:id="2343"/>
      </w:r>
      <w:r>
        <w:rPr>
          <w:rFonts w:ascii="Amiri" w:hAnsi="Amiri" w:eastAsia="Amiri" w:cs="Amiri"/>
          <w:color w:val="111111"/>
          <w:sz w:val="28"/>
          <w:sz w:val="28"/>
          <w:szCs w:val="28"/>
          <w:rtl w:val="true"/>
          <w:lang w:bidi="ar-SA"/>
        </w:rPr>
        <w:t>عدم كونه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حكم هذا الماء عندهم لا يزيد على ماء الاستنجاء و لا ينقص، لكن ظاهر بعضهم </w:t>
      </w:r>
      <w:r>
        <w:rPr>
          <w:rStyle w:val="FootnoteAnchor"/>
          <w:rtl w:val="true"/>
        </w:rPr>
        <w:footnoteReference w:id="2344"/>
      </w:r>
      <w:r>
        <w:rPr>
          <w:rFonts w:ascii="Amiri" w:hAnsi="Amiri" w:eastAsia="Amiri" w:cs="Amiri"/>
          <w:color w:val="111111"/>
          <w:sz w:val="28"/>
          <w:sz w:val="28"/>
          <w:szCs w:val="28"/>
          <w:rtl w:val="true"/>
          <w:lang w:bidi="ar-SA"/>
        </w:rPr>
        <w:t xml:space="preserve">وجود القائل برفعه للحدث هنا، و ساوى ابن حمزة </w:t>
      </w:r>
      <w:r>
        <w:rPr>
          <w:rStyle w:val="FootnoteAnchor"/>
          <w:rtl w:val="true"/>
        </w:rPr>
        <w:footnoteReference w:id="2345"/>
      </w:r>
      <w:r>
        <w:rPr>
          <w:rFonts w:ascii="Amiri" w:hAnsi="Amiri" w:eastAsia="Amiri" w:cs="Amiri"/>
          <w:color w:val="111111"/>
          <w:sz w:val="28"/>
          <w:sz w:val="28"/>
          <w:szCs w:val="28"/>
          <w:rtl w:val="true"/>
          <w:lang w:bidi="ar-SA"/>
        </w:rPr>
        <w:t xml:space="preserve">بينه و بين رافع الحَدَث الأكبر، و المراد بالتّسوية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طاهراً و مطهّراً من الحَدَث و الحَبَث، و حينئذٍ فيتطرّق الوَهْن في 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ابن سنان </w:t>
      </w:r>
      <w:r>
        <w:rPr>
          <w:rStyle w:val="FootnoteAnchor"/>
          <w:rtl w:val="true"/>
        </w:rPr>
        <w:footnoteReference w:id="2346"/>
      </w:r>
      <w:r>
        <w:rPr>
          <w:rFonts w:ascii="Amiri" w:hAnsi="Amiri" w:eastAsia="Amiri" w:cs="Amiri"/>
          <w:color w:val="111111"/>
          <w:sz w:val="28"/>
          <w:sz w:val="28"/>
          <w:szCs w:val="28"/>
          <w:rtl w:val="true"/>
          <w:lang w:bidi="ar-SA"/>
        </w:rPr>
        <w:t xml:space="preserve">كفاية في أنّ ما يغسل به الثوب لا يجوز التوضؤ به و إن كان ابن هلال </w:t>
      </w:r>
      <w:r>
        <w:rPr>
          <w:rStyle w:val="FootnoteAnchor"/>
          <w:rtl w:val="true"/>
        </w:rPr>
        <w:footnoteReference w:id="2347"/>
      </w:r>
      <w:r>
        <w:rPr>
          <w:rFonts w:ascii="Amiri" w:hAnsi="Amiri" w:eastAsia="Amiri" w:cs="Amiri"/>
          <w:color w:val="111111"/>
          <w:sz w:val="28"/>
          <w:sz w:val="28"/>
          <w:szCs w:val="28"/>
          <w:rtl w:val="true"/>
          <w:lang w:bidi="ar-SA"/>
        </w:rPr>
        <w:t>في سندها، لكن اختصاصها بالثوب أوّلاً، و المساواة بينه و بين رافع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يُوهِن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يندفعان بأنّ الثوب من باب المثال، و استعمال النّهي في القَدْر المشترك بين التحريم و الكراهة، لا أقلّ أنّ الإجماع المنقول قرينة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المسألة إجماعٌ محقّقٌ لما احتجنا للخبر، فلا دلالة فيها على التحريم إلَّا على القول بأنّ الشهرة تجبر الدلالة كالسند،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الخَبَث، ففيه قولان، و تحقيق الحال فيه يعرف من ماء الاستنجاء؛ لمساواته له بكلّ معنی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يظهر من تحديد الغسالة أنّ تمام معناها هو الماء المستعمل في إزالة النجاسة بقي في محلّه أو انفصل، لكن الشارح اعتبر الانفصال فيها، و غيره لم يعتبر ذلك، و ظاهر كلماتهم تقضي بشمولها للأمرين، و على أيّهما بني لا غموض في معناها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 الجواهر </w:t>
      </w:r>
      <w:r>
        <w:rPr>
          <w:rStyle w:val="FootnoteAnchor"/>
          <w:rtl w:val="true"/>
        </w:rPr>
        <w:footnoteReference w:id="2348"/>
      </w:r>
      <w:r>
        <w:rPr>
          <w:rFonts w:ascii="Amiri" w:hAnsi="Amiri" w:eastAsia="Amiri" w:cs="Amiri"/>
          <w:color w:val="111111"/>
          <w:sz w:val="28"/>
          <w:sz w:val="28"/>
          <w:szCs w:val="28"/>
          <w:rtl w:val="true"/>
          <w:lang w:bidi="ar-SA"/>
        </w:rPr>
        <w:t xml:space="preserve">استعظام ذلك، أنّى و أرباب النجاسة لا يتحاشون عن الالتزام بلوازم مذهبهم مطلقاً، فيقولون بنجاسة جميع مصاديق مفهوم الغسالة؛ لاتّحاد الدّليل كما اعترف به رحمه الله </w:t>
      </w:r>
      <w:r>
        <w:rPr>
          <w:rStyle w:val="FootnoteAnchor"/>
          <w:rtl w:val="true"/>
        </w:rPr>
        <w:footnoteReference w:id="2349"/>
      </w:r>
      <w:r>
        <w:rPr>
          <w:rFonts w:ascii="Amiri" w:hAnsi="Amiri" w:eastAsia="Amiri" w:cs="Amiri"/>
          <w:color w:val="111111"/>
          <w:sz w:val="28"/>
          <w:sz w:val="28"/>
          <w:szCs w:val="28"/>
          <w:rtl w:val="true"/>
          <w:lang w:bidi="ar-SA"/>
        </w:rPr>
        <w:t>، و لا حرج فيه كما يدّعى إلَّا المتخلّف في المحلّ بعد العصر، فهو تابع للمحلّ في الطهارة كيدِ الغاسل، فإنّه من لوازم الخطاب، و مثله ما يتعدّى إليه ذلك الماء من أطراف المحلّ عادةً، فإنّه و إن تنجّس بالماء لكنّه بطهارة المحلّ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يتعدّى إليه من باب الاتّفاق فلا يطهر عندهم جزماً؛ لأنّ النجس لا يطهر، و غاية ما خرج طهارة المحلّ و ما جعله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بمساعدة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كالمحلّ، أمّا غيرهما فيحتاج إلى مطهّر آخر عند إصابة الغسالة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فالردّ عليهم بما ينكرونه تمحّل بيّن، فلو تنجّس أعلى البدن طهّر الماء محلّ النجاسة و ما اكتنف به ممّا هو كالمحلّ عادةً، فإن جرى على غيره من الأعضاء عدّ منفصلاً و وجب غسله على القول المذكور، و قوّى شيخ أساتيدنا رحمه الله </w:t>
      </w:r>
      <w:r>
        <w:rPr>
          <w:rStyle w:val="FootnoteAnchor"/>
          <w:rtl w:val="true"/>
        </w:rPr>
        <w:footnoteReference w:id="2350"/>
      </w:r>
      <w:r>
        <w:rPr>
          <w:rFonts w:ascii="Amiri" w:hAnsi="Amiri" w:eastAsia="Amiri" w:cs="Amiri"/>
          <w:color w:val="111111"/>
          <w:sz w:val="28"/>
          <w:sz w:val="28"/>
          <w:szCs w:val="28"/>
          <w:rtl w:val="true"/>
          <w:lang w:bidi="ar-SA"/>
        </w:rPr>
        <w:t>في الغسل مراعاة حكم النجاسة في الغسالة و إن كان طهارة المحلّ متوقّفة على أقلّ من العدد؛ لاستيفاء بعض غسلاته، إلَّا أن يعلم إنّ التعدّد لأجل خفّة النجاسة فلا يزيد الفرع على الأصل، و لا يخلو هذا الحكم من صعوبة منافية للسّهولة في أمر الطهارة و النجاسة، لا أقلّ من القول بمقالة المصنّف، أو جعلها كما لا نصّ فيه من النجاسة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نجاسة الغسالة و لوازمها إنْ لم يكن متقناً، فذهاب الوالد رحمه الله </w:t>
      </w:r>
      <w:r>
        <w:rPr>
          <w:rStyle w:val="FootnoteAnchor"/>
          <w:rtl w:val="true"/>
        </w:rPr>
        <w:footnoteReference w:id="2351"/>
      </w:r>
      <w:r>
        <w:rPr>
          <w:rFonts w:ascii="Amiri" w:hAnsi="Amiri" w:eastAsia="Amiri" w:cs="Amiri"/>
          <w:color w:val="111111"/>
          <w:sz w:val="28"/>
          <w:sz w:val="28"/>
          <w:szCs w:val="28"/>
          <w:rtl w:val="true"/>
          <w:lang w:bidi="ar-SA"/>
        </w:rPr>
        <w:t xml:space="preserve">مع عدم احتياطه في أغلب الموارد إلى النجاسة، و القطع بها عند الإمام المرتضى شيخ أساتيدنا رحمه الله </w:t>
      </w:r>
      <w:r>
        <w:rPr>
          <w:rStyle w:val="FootnoteAnchor"/>
          <w:rtl w:val="true"/>
        </w:rPr>
        <w:footnoteReference w:id="2352"/>
      </w:r>
      <w:r>
        <w:rPr>
          <w:rFonts w:ascii="Amiri" w:hAnsi="Amiri" w:eastAsia="Amiri" w:cs="Amiri"/>
          <w:color w:val="111111"/>
          <w:sz w:val="28"/>
          <w:sz w:val="28"/>
          <w:szCs w:val="28"/>
          <w:rtl w:val="true"/>
          <w:lang w:bidi="ar-SA"/>
        </w:rPr>
        <w:t>، ممّا يُرددُ القاطع بالطهارة</w:t>
      </w:r>
      <w:r>
        <w:rPr>
          <w:rFonts w:eastAsia="Amiri" w:cs="Amiri" w:ascii="Amiri" w:hAnsi="Amiri"/>
          <w:color w:val="111111"/>
          <w:sz w:val="28"/>
          <w:szCs w:val="28"/>
          <w:rtl w:val="true"/>
          <w:lang w:bidi="ar-SA"/>
        </w:rPr>
        <w:t xml:space="preserve">. </w:t>
      </w:r>
      <w:bookmarkStart w:id="182" w:name="pg9146_86285"/>
    </w:p>
    <w:p>
      <w:pPr>
        <w:pStyle w:val="BookText"/>
        <w:rPr/>
      </w:pPr>
      <w:bookmarkEnd w:id="182"/>
      <w:r>
        <w:rPr>
          <w:rFonts w:ascii="Amiri" w:hAnsi="Amiri" w:eastAsia="Amiri" w:cs="Amiri"/>
          <w:color w:val="111111"/>
          <w:sz w:val="28"/>
          <w:sz w:val="28"/>
          <w:szCs w:val="28"/>
          <w:rtl w:val="true"/>
          <w:lang w:bidi="ar-SA"/>
        </w:rPr>
        <w:t xml:space="preserve">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يترجّح عندي القول بالنجاسة مطلقاً، أسأل الله تعالى كشف هذا الستر عن بصري و بصيرتي</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3322646_2870459653"/>
      <w:bookmarkStart w:id="184" w:name="_Toc61"/>
      <w:bookmarkEnd w:id="183"/>
      <w:r>
        <w:rPr>
          <w:rtl w:val="true"/>
        </w:rPr>
        <w:t>[</w:t>
      </w:r>
      <w:r>
        <w:rPr>
          <w:rtl w:val="true"/>
        </w:rPr>
        <w:t>ماء الاستنجاء</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يستثنى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المذكور للغسالة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المنفصل و الباقي في المحلّ و في الإناء قبل إيراده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الاستنجاء أو 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w:t>
      </w:r>
      <w:r>
        <w:rPr>
          <w:rFonts w:eastAsia="Amiri" w:cs="Amiri" w:ascii="Amiri" w:hAnsi="Amiri"/>
          <w:color w:val="111111"/>
          <w:sz w:val="28"/>
          <w:szCs w:val="28"/>
          <w:rtl w:val="true"/>
          <w:lang w:bidi="ar-SA"/>
        </w:rPr>
        <w:t xml:space="preserve">] </w:t>
      </w:r>
      <w:r>
        <w:rPr>
          <w:rStyle w:val="FootnoteAnchor"/>
          <w:rtl w:val="true"/>
        </w:rPr>
        <w:footnoteReference w:id="2353"/>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الاجتناب منها و من ملاقيها نصّاً و فتوًى </w:t>
      </w:r>
      <w:r>
        <w:rPr>
          <w:rStyle w:val="FootnoteAnchor"/>
          <w:rtl w:val="true"/>
        </w:rPr>
        <w:footnoteReference w:id="2354"/>
      </w:r>
      <w:r>
        <w:rPr>
          <w:rFonts w:ascii="Amiri" w:hAnsi="Amiri" w:eastAsia="Amiri" w:cs="Amiri"/>
          <w:color w:val="111111"/>
          <w:sz w:val="28"/>
          <w:sz w:val="28"/>
          <w:szCs w:val="28"/>
          <w:rtl w:val="true"/>
          <w:lang w:bidi="ar-SA"/>
        </w:rPr>
        <w:t xml:space="preserve">، في الصلاة أو مطلقاً، و أمّا أنّها طاهرة أو معفوّ عنها فخلافٌ، خيرةُ الشرائع </w:t>
      </w:r>
      <w:r>
        <w:rPr>
          <w:rStyle w:val="FootnoteAnchor"/>
          <w:rtl w:val="true"/>
        </w:rPr>
        <w:footnoteReference w:id="2355"/>
      </w:r>
      <w:r>
        <w:rPr>
          <w:rFonts w:ascii="Amiri" w:hAnsi="Amiri" w:eastAsia="Amiri" w:cs="Amiri"/>
          <w:color w:val="111111"/>
          <w:sz w:val="28"/>
          <w:sz w:val="28"/>
          <w:szCs w:val="28"/>
          <w:rtl w:val="true"/>
          <w:lang w:bidi="ar-SA"/>
        </w:rPr>
        <w:t xml:space="preserve">و الفاضل في غير واحد </w:t>
      </w:r>
      <w:r>
        <w:rPr>
          <w:rStyle w:val="FootnoteAnchor"/>
          <w:rtl w:val="true"/>
        </w:rPr>
        <w:footnoteReference w:id="2356"/>
      </w:r>
      <w:r>
        <w:rPr>
          <w:rFonts w:ascii="Amiri" w:hAnsi="Amiri" w:eastAsia="Amiri" w:cs="Amiri"/>
          <w:color w:val="111111"/>
          <w:sz w:val="28"/>
          <w:sz w:val="28"/>
          <w:szCs w:val="28"/>
          <w:rtl w:val="true"/>
          <w:lang w:bidi="ar-SA"/>
        </w:rPr>
        <w:t>هو الأوّل، و عبارته في التحرير تؤذن بالاتّفاق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أصحابنا ماء الاستنجاء فإنّه طاهر ما 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3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نسبه بمنتهاه </w:t>
      </w:r>
      <w:r>
        <w:rPr>
          <w:rStyle w:val="FootnoteAnchor"/>
          <w:rtl w:val="true"/>
        </w:rPr>
        <w:footnoteReference w:id="2358"/>
      </w:r>
      <w:r>
        <w:rPr>
          <w:rFonts w:ascii="Amiri" w:hAnsi="Amiri" w:eastAsia="Amiri" w:cs="Amiri"/>
          <w:color w:val="111111"/>
          <w:sz w:val="28"/>
          <w:sz w:val="28"/>
          <w:szCs w:val="28"/>
          <w:rtl w:val="true"/>
          <w:lang w:bidi="ar-SA"/>
        </w:rPr>
        <w:t xml:space="preserve">كالمحقّق بمعتبره </w:t>
      </w:r>
      <w:r>
        <w:rPr>
          <w:rStyle w:val="FootnoteAnchor"/>
          <w:rtl w:val="true"/>
        </w:rPr>
        <w:footnoteReference w:id="2359"/>
      </w:r>
      <w:r>
        <w:rPr>
          <w:rFonts w:ascii="Amiri" w:hAnsi="Amiri" w:eastAsia="Amiri" w:cs="Amiri"/>
          <w:color w:val="111111"/>
          <w:sz w:val="28"/>
          <w:sz w:val="28"/>
          <w:szCs w:val="28"/>
          <w:rtl w:val="true"/>
          <w:lang w:bidi="ar-SA"/>
        </w:rPr>
        <w:t xml:space="preserve">إلى الشيخين، و عليه المصنّف في الدروس </w:t>
      </w:r>
      <w:r>
        <w:rPr>
          <w:rStyle w:val="FootnoteAnchor"/>
          <w:rtl w:val="true"/>
        </w:rPr>
        <w:footnoteReference w:id="2360"/>
      </w:r>
      <w:r>
        <w:rPr>
          <w:rFonts w:ascii="IRNazanin" w:hAnsi="IRNazanin" w:eastAsia="IRNazanin"/>
          <w:color w:val="111111"/>
          <w:sz w:val="28"/>
          <w:sz w:val="28"/>
          <w:szCs w:val="28"/>
          <w:rtl w:val="true"/>
          <w:lang w:bidi="fa-IR"/>
        </w:rPr>
        <w:t xml:space="preserve">، و الشارح </w:t>
      </w:r>
      <w:r>
        <w:rPr>
          <w:rStyle w:val="FootnoteAnchor"/>
          <w:rtl w:val="true"/>
        </w:rPr>
        <w:footnoteReference w:id="2361"/>
      </w:r>
      <w:r>
        <w:rPr>
          <w:rFonts w:ascii="Amiri" w:hAnsi="Amiri" w:eastAsia="Amiri" w:cs="Amiri"/>
          <w:color w:val="111111"/>
          <w:sz w:val="28"/>
          <w:sz w:val="28"/>
          <w:szCs w:val="28"/>
          <w:rtl w:val="true"/>
          <w:lang w:bidi="ar-SA"/>
        </w:rPr>
        <w:t xml:space="preserve">كذلك، و نقل المحقّق الثاني </w:t>
      </w:r>
      <w:r>
        <w:rPr>
          <w:rStyle w:val="FootnoteAnchor"/>
          <w:rtl w:val="true"/>
        </w:rPr>
        <w:footnoteReference w:id="2362"/>
      </w:r>
      <w:r>
        <w:rPr>
          <w:rFonts w:ascii="Amiri" w:hAnsi="Amiri" w:eastAsia="Amiri" w:cs="Amiri"/>
          <w:color w:val="111111"/>
          <w:sz w:val="28"/>
          <w:sz w:val="28"/>
          <w:szCs w:val="28"/>
          <w:rtl w:val="true"/>
          <w:lang w:bidi="ar-SA"/>
        </w:rPr>
        <w:t xml:space="preserve">الإجماع عليه بعد أن اختاره، و الثاني وقع في كلام الفاضلين </w:t>
      </w:r>
      <w:r>
        <w:rPr>
          <w:rStyle w:val="FootnoteAnchor"/>
          <w:rtl w:val="true"/>
        </w:rPr>
        <w:footnoteReference w:id="2363"/>
      </w:r>
      <w:r>
        <w:rPr>
          <w:rFonts w:ascii="Amiri" w:hAnsi="Amiri" w:eastAsia="Amiri" w:cs="Amiri"/>
          <w:color w:val="111111"/>
          <w:sz w:val="28"/>
          <w:sz w:val="28"/>
          <w:szCs w:val="28"/>
          <w:rtl w:val="true"/>
          <w:lang w:bidi="ar-SA"/>
        </w:rPr>
        <w:t xml:space="preserve">و لم نتحقّقه لأحد من شيوخ المذهب كالأوّل، بل عبائرهم محتملة للأمرين معاً </w:t>
      </w:r>
    </w:p>
    <w:p>
      <w:pPr>
        <w:pStyle w:val="BookText"/>
        <w:rPr/>
      </w:pPr>
      <w:r>
        <w:rPr>
          <w:rFonts w:ascii="Amiri" w:hAnsi="Amiri" w:eastAsia="Amiri" w:cs="Amiri"/>
          <w:color w:val="111111"/>
          <w:sz w:val="28"/>
          <w:sz w:val="28"/>
          <w:szCs w:val="28"/>
          <w:rtl w:val="true"/>
          <w:lang w:bidi="ar-SA"/>
        </w:rPr>
        <w:t xml:space="preserve">سوى المفيد رحمه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ينجس شيئا من ثيابه </w:t>
      </w:r>
      <w:r>
        <w:rPr>
          <w:rStyle w:val="FootnoteAnchor"/>
          <w:rtl w:val="true"/>
        </w:rPr>
        <w:footnoteReference w:id="2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الشيخ بقوله في الخلاف في خصوص المرّة الثانية من الغسالة غير ماء الاستنجاء بعد أن حكمَ بطهارتها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على أصل الطّهارة و نجاسته تحتاج إلى دليل </w:t>
      </w:r>
      <w:r>
        <w:rPr>
          <w:rStyle w:val="FootnoteAnchor"/>
          <w:rtl w:val="true"/>
        </w:rPr>
        <w:footnoteReference w:id="2365"/>
      </w:r>
      <w:r>
        <w:rPr>
          <w:rFonts w:ascii="Amiri" w:hAnsi="Amiri" w:eastAsia="Amiri" w:cs="Amiri"/>
          <w:color w:val="111111"/>
          <w:sz w:val="28"/>
          <w:sz w:val="28"/>
          <w:szCs w:val="28"/>
          <w:rtl w:val="true"/>
          <w:lang w:bidi="ar-SA"/>
        </w:rPr>
        <w:t>، و ما روي في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 عمّم الحكم بطهارة الغسلة الثانية للاستنجاء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منهما فيها الطّهارة دون العفو، لكن الطهارة مقصورة على الثانية من الثاني، فإسناد الطهارة مطلقاً إليه كما ترى، و في المبسوط و النهاية عبارته تحتمل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العفو فنسبه المعتب إلى السیّد، و هي كعبائر الشيخ و الحلّي لم يظهر منها تحقّق النسبة، قال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بما ينضح من ماء الاستنجاء على الثوب و البدن </w:t>
      </w:r>
      <w:r>
        <w:rPr>
          <w:rStyle w:val="FootnoteAnchor"/>
          <w:rtl w:val="true"/>
        </w:rPr>
        <w:footnoteReference w:id="236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الذكرى و البيان اختاره و لم يستثنه هنا و في الألفيّة </w:t>
      </w:r>
      <w:r>
        <w:rPr>
          <w:rStyle w:val="FootnoteAnchor"/>
          <w:rtl w:val="true"/>
        </w:rPr>
        <w:footnoteReference w:id="2367"/>
      </w:r>
      <w:r>
        <w:rPr>
          <w:rFonts w:ascii="Amiri" w:hAnsi="Amiri" w:eastAsia="Amiri" w:cs="Amiri"/>
          <w:color w:val="111111"/>
          <w:sz w:val="28"/>
          <w:sz w:val="28"/>
          <w:szCs w:val="28"/>
          <w:rtl w:val="true"/>
          <w:lang w:bidi="ar-SA"/>
        </w:rPr>
        <w:t>عن الغسالة فيلحقان بهما، لكنّه في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المعتبر ليس في الاستنجاء تصريح بالطهارة، إنّما هو بالعفو </w:t>
      </w:r>
      <w:r>
        <w:rPr>
          <w:rStyle w:val="FootnoteAnchor"/>
          <w:rtl w:val="true"/>
        </w:rPr>
        <w:footnoteReference w:id="2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نجد فيه ذلك، بل صريحه إسناد الطهارة إلى الشيخين كالفاضل، و لم نظفر به صريحاً في كلامها، فالإسنادان محتاجان إلى التتبّع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رَيْب أنّ الأشهر </w:t>
      </w:r>
      <w:r>
        <w:rPr>
          <w:rStyle w:val="FootnoteAnchor"/>
          <w:rtl w:val="true"/>
        </w:rPr>
        <w:footnoteReference w:id="2369"/>
      </w:r>
      <w:r>
        <w:rPr>
          <w:rFonts w:ascii="Amiri" w:hAnsi="Amiri" w:eastAsia="Amiri" w:cs="Amiri"/>
          <w:color w:val="111111"/>
          <w:sz w:val="28"/>
          <w:sz w:val="28"/>
          <w:szCs w:val="28"/>
          <w:rtl w:val="true"/>
          <w:lang w:bidi="ar-SA"/>
        </w:rPr>
        <w:t xml:space="preserve">هو الطهارة دون العفو بمعانيه و إن كان مطلقاً، فتثبت له أحكام الطهارة مطلقاً و المطهّرية كذلك حتّى في الحَدَث لإطلاق الأدلّة السليمة عن المعارض، فإنّ الظاهر عدم شمول الإجماعين المنقولين على عدم رفع الحَدَث فيما تزول به النجاسة له لتصريح من </w:t>
      </w:r>
      <w:r>
        <w:rPr>
          <w:rStyle w:val="FootnoteAnchor"/>
          <w:rtl w:val="true"/>
        </w:rPr>
        <w:footnoteReference w:id="2370"/>
      </w:r>
      <w:r>
        <w:rPr>
          <w:rFonts w:ascii="Amiri" w:hAnsi="Amiri" w:eastAsia="Amiri" w:cs="Amiri"/>
          <w:color w:val="111111"/>
          <w:sz w:val="28"/>
          <w:sz w:val="28"/>
          <w:szCs w:val="28"/>
          <w:rtl w:val="true"/>
          <w:lang w:bidi="ar-SA"/>
        </w:rPr>
        <w:t xml:space="preserve">ادّعاه بأنّه طاهر مطهّر، و ظهور جملة من العبارات به، و لا نصّ </w:t>
      </w:r>
    </w:p>
    <w:p>
      <w:pPr>
        <w:pStyle w:val="BookText"/>
        <w:rPr/>
      </w:pPr>
      <w:r>
        <w:rPr>
          <w:rFonts w:ascii="Amiri" w:hAnsi="Amiri" w:eastAsia="Amiri" w:cs="Amiri"/>
          <w:color w:val="111111"/>
          <w:sz w:val="28"/>
          <w:sz w:val="28"/>
          <w:szCs w:val="28"/>
          <w:rtl w:val="true"/>
          <w:lang w:bidi="ar-SA"/>
        </w:rPr>
        <w:t xml:space="preserve">لأصحابنا فيه سوى ما قاله الشيخ </w:t>
      </w:r>
      <w:r>
        <w:rPr>
          <w:rStyle w:val="FootnoteAnchor"/>
          <w:rtl w:val="true"/>
        </w:rPr>
        <w:footnoteReference w:id="2371"/>
      </w:r>
      <w:r>
        <w:rPr>
          <w:rFonts w:ascii="Amiri" w:hAnsi="Amiri" w:eastAsia="Amiri" w:cs="Amiri"/>
          <w:color w:val="111111"/>
          <w:sz w:val="28"/>
          <w:sz w:val="28"/>
          <w:szCs w:val="28"/>
          <w:rtl w:val="true"/>
          <w:lang w:bidi="ar-SA"/>
        </w:rPr>
        <w:t>من عدم ارتفاع الحَدَث من غسالة الجنابة و لا يعوّل عليه، و يجوز فيه الوضوء و الغسل الغير الرافعين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مشكّكاً في رفعه للحدث، لكن من نسبة ذلك إلى المشهور يُوهِم وجود القائل بعدمه، كلّ ذلك لاستفادة طهوريّته من كلمات الأصحاب و من أخبار الباب، فإنّ منها ما نفى البأس عن خصوص الثوب الملاقي لماء الاستنجاء كحسنة الأحول </w:t>
      </w:r>
      <w:r>
        <w:rPr>
          <w:rStyle w:val="FootnoteAnchor"/>
          <w:rtl w:val="true"/>
        </w:rPr>
        <w:footnoteReference w:id="2372"/>
      </w:r>
      <w:r>
        <w:rPr>
          <w:rFonts w:ascii="Amiri" w:hAnsi="Amiri" w:eastAsia="Amiri" w:cs="Amiri"/>
          <w:color w:val="111111"/>
          <w:sz w:val="28"/>
          <w:sz w:val="28"/>
          <w:szCs w:val="28"/>
          <w:rtl w:val="true"/>
          <w:lang w:bidi="ar-SA"/>
        </w:rPr>
        <w:t xml:space="preserve">، و روايته في العلل </w:t>
      </w:r>
      <w:r>
        <w:rPr>
          <w:rStyle w:val="FootnoteAnchor"/>
          <w:rtl w:val="true"/>
        </w:rPr>
        <w:footnoteReference w:id="2373"/>
      </w:r>
      <w:r>
        <w:rPr>
          <w:rFonts w:ascii="Amiri" w:hAnsi="Amiri" w:eastAsia="Amiri" w:cs="Amiri"/>
          <w:color w:val="111111"/>
          <w:sz w:val="28"/>
          <w:sz w:val="28"/>
          <w:szCs w:val="28"/>
          <w:rtl w:val="true"/>
          <w:lang w:bidi="ar-SA"/>
        </w:rPr>
        <w:t xml:space="preserve">، و منها ما صرّح بعدم تنجيسه للثوب الواقع فيه كرواية عبد الكريم </w:t>
      </w:r>
      <w:r>
        <w:rPr>
          <w:rStyle w:val="FootnoteAnchor"/>
          <w:rtl w:val="true"/>
        </w:rPr>
        <w:footnoteReference w:id="2374"/>
      </w:r>
      <w:r>
        <w:rPr>
          <w:rFonts w:ascii="Amiri" w:hAnsi="Amiri" w:eastAsia="Amiri" w:cs="Amiri"/>
          <w:color w:val="111111"/>
          <w:sz w:val="28"/>
          <w:sz w:val="28"/>
          <w:szCs w:val="28"/>
          <w:rtl w:val="true"/>
          <w:lang w:bidi="ar-SA"/>
        </w:rPr>
        <w:t>، فلو كان نجساً لزم فيه ثبوت البأس تكليفاً أو وضعاً في ما يلاقيه مطلقاً، فعلم من نفيه بهذه النّصوص</w:t>
      </w:r>
    </w:p>
    <w:p>
      <w:pPr>
        <w:pStyle w:val="BookText"/>
        <w:rPr/>
      </w:pPr>
      <w:r>
        <w:rPr>
          <w:rFonts w:ascii="Amiri" w:hAnsi="Amiri" w:eastAsia="Amiri" w:cs="Amiri"/>
          <w:color w:val="111111"/>
          <w:sz w:val="28"/>
          <w:sz w:val="28"/>
          <w:szCs w:val="28"/>
          <w:rtl w:val="true"/>
          <w:lang w:bidi="ar-SA"/>
        </w:rPr>
        <w:t>عدم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تخصيص كلّ نجس منجس بناءً على استفادة هذه الكلّيّة من إجماع و غيره، و بين تخصيص أدلّة انفعال القليل مطلقاً، أو خصوص رواية العيص السابقة، و لا مرجّح لأحدهما، فيجب المصير إلى القدر المتيقّن من الالتزام بنجاسة أصل الماء و رفع اليد عن القاعدة المزبورة في طهارة الملاقي مطلقاً، أو خصوص الثوب، فيلتزم حينئذٍ بالعفو في المخصوص دون غيره من مطلق الاستعمال، فتتّضح الثمرة بين القولين و ينجم دليل العفو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لو تمّ لما تبادر من نفي البأس في الأخبار عن ملاقاة الأشياء طهارة الملاقي مطلقاً، و لتوقّف الذهن بين الطهارة أو العفو عمّا يلاقيها، و العفو كذلك حكم جديد لم يعلم ثبوته، و الأصل عدمه عند الشك، خصوصاً بعد لحاظ التخصيص في غير المقام بمثل هذه الأخبار فيما قضى بالانفعال مطلقاً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لحديث العفو فيها أثر، فهي بنفسها معارضة لأدلّة تنجيس القليل من غير </w:t>
      </w:r>
    </w:p>
    <w:p>
      <w:pPr>
        <w:pStyle w:val="BookText"/>
        <w:rPr/>
      </w:pPr>
      <w:r>
        <w:rPr>
          <w:rFonts w:ascii="Amiri" w:hAnsi="Amiri" w:eastAsia="Amiri" w:cs="Amiri"/>
          <w:color w:val="111111"/>
          <w:sz w:val="28"/>
          <w:sz w:val="28"/>
          <w:szCs w:val="28"/>
          <w:rtl w:val="true"/>
          <w:lang w:bidi="ar-SA"/>
        </w:rPr>
        <w:t>توسّط قاعدة التعدّي، فإنّ حقيقة النجاسة وجوب الاجتناب عن الشيء في الصلاة و الأكل أو في مطلق الاستعمال، فإذا حكم الشارع بجواز الصلاة و غيرها في ما لاقاه ماء الاستنجاء من الثوب أو مطلقاً لم يكن نجساً، و ثبتت له جميع أحكام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فالبأس المنفي راجع فيها إلى ماء الاستنجاء و لو بقرينة عدم اجتناب الملاقي القاضي بطهارة ما لاقاه؛ لأنه بالفرض لم يؤثِّر في ملاقيه تنجيساً، كذا أفاد الأُستاذ رحمه الله </w:t>
      </w:r>
      <w:r>
        <w:rPr>
          <w:rStyle w:val="FootnoteAnchor"/>
          <w:rtl w:val="true"/>
        </w:rPr>
        <w:footnoteReference w:id="2375"/>
      </w:r>
      <w:r>
        <w:rPr>
          <w:rFonts w:ascii="Amiri" w:hAnsi="Amiri" w:eastAsia="Amiri" w:cs="Amiri"/>
          <w:color w:val="111111"/>
          <w:sz w:val="28"/>
          <w:sz w:val="28"/>
          <w:szCs w:val="28"/>
          <w:rtl w:val="true"/>
          <w:lang w:bidi="ar-SA"/>
        </w:rPr>
        <w:t xml:space="preserve">، لكن سلب أحكام النجاسة عن الثوب لا يقضي إلَّا بطهارته، و أين هو من طهارة الماء الملاقي، و أيّ دليل يرفع أحكام النجاسة عن الماء 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إلَّا عين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 النجاسة إلى الأحكام المذكورة مسلّم بلا شهادة الشهيد، لكن سلبها في غير موارد السلب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مَن قال بالعفو لا يخصّه جزماً بالثوب دون ملاقيه، بل الدليل لا يساعد على الاختصاص، بل لا يلتزم به أحد، و متى عمّهما كان عبارة أُخرى عن طهارته إذ لا نعني بها في المقام إلَّا عدم وجوب الاجتناب عنه و عن ملاقيه بقول مطلق، و الالتزام بهذا لا أولويّة فيه على القول بطهارة أصل الماء الملاقي له، و تخصيص عمومات انفعاله مطلقاً حتّى الرّواية؛ لعروض العلم الإجمالي بطروّ التخصيص لها إمّا في الماء أو في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انفعال القليل بحالها، و العلم الإجمالي إنّما خصّص القاعدة،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نجس منجس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غير موجود بذلك العموم؛ لردّه بأنّه لو </w:t>
      </w:r>
      <w:r>
        <w:rPr>
          <w:rStyle w:val="FootnoteAnchor"/>
          <w:rtl w:val="true"/>
        </w:rPr>
        <w:footnoteReference w:id="2376"/>
      </w:r>
      <w:r>
        <w:rPr>
          <w:rFonts w:ascii="Amiri" w:hAnsi="Amiri" w:eastAsia="Amiri" w:cs="Amiri"/>
          <w:color w:val="111111"/>
          <w:sz w:val="28"/>
          <w:sz w:val="28"/>
          <w:szCs w:val="28"/>
          <w:rtl w:val="true"/>
          <w:lang w:bidi="ar-SA"/>
        </w:rPr>
        <w:t>أدلة انفعال القليل لما كان لعموم بذلك القاعدة وجه، و من أين ثبتت نجاسة الماء حتّى يحكم بأنه منجّس للقاعدة؟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سيّالة في غير الماء، و فيه متوقفة على فرض انفعاله القاضي به المفهوم المتقدّم، فلو فرض عدم تناول القاعدة للمفروض، و خروج هذا النجس عن كونه منجساً، كيف رجع إلى عموم انفعال القليل في الماء، و الحال أنّ المعلوم إجمالاً خروج الفرد المردد بين ماء الاستنجاء أو ملاقيه، فلا عموم للقاعدة مع فرض اعتصام الماء مطلقاً، و متى حصل التّوقف </w:t>
      </w:r>
    </w:p>
    <w:p>
      <w:pPr>
        <w:pStyle w:val="BookText"/>
        <w:rPr/>
      </w:pPr>
      <w:r>
        <w:rPr>
          <w:rFonts w:ascii="Amiri" w:hAnsi="Amiri" w:eastAsia="Amiri" w:cs="Amiri"/>
          <w:color w:val="111111"/>
          <w:sz w:val="28"/>
          <w:sz w:val="28"/>
          <w:szCs w:val="28"/>
          <w:rtl w:val="true"/>
          <w:lang w:bidi="ar-SA"/>
        </w:rPr>
        <w:t>ثبت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نجس منجّس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قليل منفعل سوى هذا، و لا يجدي رفع الأوّل؛ لتوقّفه على كلّية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يدّعى إحراز الكلّيّة الأُولى مع قطع النظر عن أدلّة الثانية، فعليه الدليل، مضافاً إلى أنّ المفهوم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الماء أكثر </w:t>
      </w:r>
      <w:r>
        <w:rPr>
          <w:rFonts w:eastAsia="IRNazanin" w:cs="IRNazanin"/>
          <w:color w:val="111111"/>
          <w:sz w:val="28"/>
          <w:szCs w:val="28"/>
          <w:rtl w:val="true"/>
          <w:lang w:bidi="fa-IR"/>
        </w:rPr>
        <w:t xml:space="preserve">» </w:t>
      </w:r>
      <w:r>
        <w:rPr>
          <w:rStyle w:val="FootnoteAnchor"/>
          <w:rtl w:val="true"/>
        </w:rPr>
        <w:footnoteReference w:id="2377"/>
      </w:r>
      <w:r>
        <w:rPr>
          <w:rFonts w:ascii="Amiri" w:hAnsi="Amiri" w:eastAsia="Amiri" w:cs="Amiri"/>
          <w:color w:val="111111"/>
          <w:sz w:val="28"/>
          <w:sz w:val="28"/>
          <w:szCs w:val="28"/>
          <w:rtl w:val="true"/>
          <w:lang w:bidi="ar-SA"/>
        </w:rPr>
        <w:t>، هو نفي البأس عن ماء الاستنجاء لا عن الملاقي له؛ لظهور البأس المنفي في النجاسة عند مظنّتها لا في الاجتناب عن الملاقي؛ لأنها بنفسها بأس في الأشياء، فلا معنى للقول بالعفو، كما لا معنى لأخذ العفو في كلامهم إلى ما يرداف الطهارة من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تصريحهم بثمرة القولين في جواز التناول و عدمه أو إزالة النجاسة و عدمها قد وَقْع لردّ المحقّق الثاني </w:t>
      </w:r>
      <w:r>
        <w:rPr>
          <w:rStyle w:val="FootnoteAnchor"/>
          <w:rtl w:val="true"/>
        </w:rPr>
        <w:footnoteReference w:id="2378"/>
      </w:r>
      <w:r>
        <w:rPr>
          <w:rFonts w:ascii="Amiri" w:hAnsi="Amiri" w:eastAsia="Amiri" w:cs="Amiri"/>
          <w:color w:val="111111"/>
          <w:sz w:val="28"/>
          <w:sz w:val="28"/>
          <w:szCs w:val="28"/>
          <w:rtl w:val="true"/>
          <w:lang w:bidi="ar-SA"/>
        </w:rPr>
        <w:t xml:space="preserve">، و لا لتخيّل السيّد في المدارك </w:t>
      </w:r>
      <w:r>
        <w:rPr>
          <w:rStyle w:val="FootnoteAnchor"/>
          <w:rtl w:val="true"/>
        </w:rPr>
        <w:footnoteReference w:id="2379"/>
      </w:r>
      <w:r>
        <w:rPr>
          <w:rFonts w:ascii="Amiri" w:hAnsi="Amiri" w:eastAsia="Amiri" w:cs="Amiri"/>
          <w:color w:val="111111"/>
          <w:sz w:val="28"/>
          <w:sz w:val="28"/>
          <w:szCs w:val="28"/>
          <w:rtl w:val="true"/>
          <w:lang w:bidi="ar-SA"/>
        </w:rPr>
        <w:t>، فالمحقَّق حينئذٍ هو الطّهارة لكن ما لم يتغيّر غسالة الاستنجاء بالنجاسة في أحد أوصافها الثلاثة بلا خلاف أجده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زيادة الوزن غيرها قول للفاضل </w:t>
      </w:r>
      <w:r>
        <w:rPr>
          <w:rStyle w:val="FootnoteAnchor"/>
          <w:rtl w:val="true"/>
        </w:rPr>
        <w:footnoteReference w:id="2380"/>
      </w:r>
      <w:r>
        <w:rPr>
          <w:rFonts w:ascii="Amiri" w:hAnsi="Amiri" w:eastAsia="Amiri" w:cs="Amiri"/>
          <w:color w:val="111111"/>
          <w:sz w:val="28"/>
          <w:sz w:val="28"/>
          <w:szCs w:val="28"/>
          <w:rtl w:val="true"/>
          <w:lang w:bidi="ar-SA"/>
        </w:rPr>
        <w:t xml:space="preserve">و المصنّف </w:t>
      </w:r>
      <w:r>
        <w:rPr>
          <w:rStyle w:val="FootnoteAnchor"/>
          <w:rtl w:val="true"/>
        </w:rPr>
        <w:footnoteReference w:id="2381"/>
      </w:r>
      <w:r>
        <w:rPr>
          <w:rFonts w:ascii="IRNazanin" w:hAnsi="IRNazanin" w:eastAsia="IRNazanin"/>
          <w:color w:val="111111"/>
          <w:sz w:val="28"/>
          <w:sz w:val="28"/>
          <w:szCs w:val="28"/>
          <w:rtl w:val="true"/>
          <w:lang w:bidi="fa-IR"/>
        </w:rPr>
        <w:t xml:space="preserve">و الشارح </w:t>
      </w:r>
      <w:r>
        <w:rPr>
          <w:rStyle w:val="FootnoteAnchor"/>
          <w:rtl w:val="true"/>
        </w:rPr>
        <w:footnoteReference w:id="2382"/>
      </w:r>
      <w:r>
        <w:rPr>
          <w:rFonts w:ascii="IRNazanin" w:hAnsi="IRNazanin" w:eastAsia="IRNazanin"/>
          <w:color w:val="111111"/>
          <w:sz w:val="28"/>
          <w:sz w:val="28"/>
          <w:szCs w:val="28"/>
          <w:rtl w:val="true"/>
          <w:lang w:bidi="fa-IR"/>
        </w:rPr>
        <w:t>، و الأخذ بعمومات التّغيير هنا مع أخصّیة أخبار الباب منها من وجه، فالمرجع الطهارة إنّما هو بملاحظة عدم الخلاف في نجاسة المتغيّر مطلقاً، و إلّا أشكلَ الأمر في الحكم هنا، و لا تقضي أخبار التغيير بغير الثلاثة في النجاسة، فلا أدري شرط عدم زيادة الوزن مِمَّ مأخذه سوى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دلالة فيه، و العلّة غير معمول بها عند المعتبر، مع استلزام ذلك قصر العفو على ما يزيل أثر النّجو لا نفسه، و هذا لا يَكاد يستقيم، فالأحرى عدم اعتباره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فظهر أنّه لا ينجس إلَّا إذا تغيّر،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Style w:val="FootnoteAnchor"/>
          <w:rtl w:val="true"/>
        </w:rPr>
        <w:footnoteReference w:id="2383"/>
      </w:r>
      <w:r>
        <w:rPr>
          <w:rFonts w:ascii="Amiri" w:hAnsi="Amiri" w:eastAsia="Amiri" w:cs="Amiri"/>
          <w:color w:val="111111"/>
          <w:sz w:val="28"/>
          <w:sz w:val="28"/>
          <w:szCs w:val="28"/>
          <w:rtl w:val="true"/>
          <w:lang w:bidi="ar-SA"/>
        </w:rPr>
        <w:t xml:space="preserve">غسالة الاستنجاء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خارجة عن حقيقة الحَدَث المستنجى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 كان أو غائطاً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خارجة عن المفهوم المردّد بين الحَدَث و المحلّ، فلو أصابَ شيئاً آخر لم يثبت له الحكم سواء خالفه في الحقيقة كالدّم، أو وافقه كالحَدَث الملقى؛ لأنه ليس في محلّه و لا من محلّه، و بروضه و يشترط زيادة أن لا ينفصل مع الماء أجزاء من النجاسة متميِّزة؛ لأنها كالنجاسة الخارجيّة يتنجّس الماء بها بعد مفارقة المحلّ </w:t>
      </w:r>
      <w:r>
        <w:rPr>
          <w:rStyle w:val="FootnoteAnchor"/>
          <w:rtl w:val="true"/>
        </w:rPr>
        <w:footnoteReference w:id="23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ذلك لعدم نهوض إطلاق بإثبات العفو و الطّهارة من هذه الجهات، فإنّ هذا الماء المستعمل ليس أقوى من غير المستعمل، لكن في خصوص ما يصاحب النجو من الدّم و الدّود و الحصاة و غيرها إشكال؛ لإطلاق الأخبار، و الغالب عدم انفكاك الغائط عن شيء، و في مصحّحة ابن النّعمان دلالة على العفو و إن كان على الذَّكَر شيء من المَنيّ؛ لقوله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جُنب،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يظهر حال كلّ مصاحب حتّى غير النّجس، بل و أقول خلاف الرّوض </w:t>
      </w:r>
      <w:r>
        <w:rPr>
          <w:rStyle w:val="FootnoteAnchor"/>
          <w:rtl w:val="true"/>
        </w:rPr>
        <w:footnoteReference w:id="2386"/>
      </w:r>
      <w:r>
        <w:rPr>
          <w:rFonts w:ascii="Amiri" w:hAnsi="Amiri" w:eastAsia="Amiri" w:cs="Amiri"/>
          <w:color w:val="111111"/>
          <w:sz w:val="28"/>
          <w:sz w:val="28"/>
          <w:szCs w:val="28"/>
          <w:rtl w:val="true"/>
          <w:lang w:bidi="ar-SA"/>
        </w:rPr>
        <w:t>من طهارة المنفصل منه و إن اصطحب بعض الأجزاء المتميّزة؛ لعدم اتّضاح إلحاقه بالنّجاسة الخارجة، مع وجود الفرق بينهما من حيث تناول الإطلاق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النجاسة فيما لو كان الخارج أكثر من الماء كثرة عرفيّة، لكن معه لا بدّ من التغيير، و مثله ما لو تعدّى عن المخرج تعدياً فاحشاً، و لعلّه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محلّه، فتأمّل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اشترط بعضهم </w:t>
      </w:r>
      <w:r>
        <w:rPr>
          <w:rStyle w:val="FootnoteAnchor"/>
          <w:rtl w:val="true"/>
        </w:rPr>
        <w:footnoteReference w:id="2387"/>
      </w:r>
      <w:r>
        <w:rPr>
          <w:rFonts w:ascii="Amiri" w:hAnsi="Amiri" w:eastAsia="Amiri" w:cs="Amiri"/>
          <w:color w:val="111111"/>
          <w:sz w:val="28"/>
          <w:sz w:val="28"/>
          <w:szCs w:val="28"/>
          <w:rtl w:val="true"/>
          <w:lang w:bidi="ar-SA"/>
        </w:rPr>
        <w:t xml:space="preserve">عدم سبق اليَد للماء، و عدم تنجّسها بنجاسة أُخرى قبل الاستنجاء، و أن يكون الخارج أحد الشيئين دون الدّم و القيح و نحوهما، و الأصل في هذه الشروط هو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الأخذ بالمتيقّن في ما خالف الأصل أو المتبادر من الإطلاق، و من هنا تختلف الآراء باختلاف الأنظار في مقدار الانصراف، و الله العالم</w:t>
      </w:r>
      <w:r>
        <w:rPr>
          <w:rFonts w:eastAsia="Amiri" w:cs="Amiri" w:ascii="Amiri" w:hAnsi="Amiri"/>
          <w:color w:val="111111"/>
          <w:sz w:val="28"/>
          <w:szCs w:val="28"/>
          <w:rtl w:val="true"/>
          <w:lang w:bidi="ar-SA"/>
        </w:rPr>
        <w:t xml:space="preserve">. </w:t>
      </w:r>
      <w:bookmarkStart w:id="185" w:name="pg9146_86292"/>
    </w:p>
    <w:p>
      <w:pPr>
        <w:pStyle w:val="Heading2"/>
        <w:numPr>
          <w:ilvl w:val="1"/>
          <w:numId w:val="1"/>
        </w:numPr>
        <w:rPr/>
      </w:pPr>
      <w:bookmarkStart w:id="186" w:name="__RefHeading___Toc3322648_2870459653"/>
      <w:bookmarkStart w:id="187" w:name="_Toc62"/>
      <w:bookmarkEnd w:id="185"/>
      <w:bookmarkEnd w:id="186"/>
      <w:r>
        <w:rPr>
          <w:rtl w:val="true"/>
        </w:rPr>
        <w:t>[</w:t>
      </w:r>
      <w:r>
        <w:rPr>
          <w:rtl w:val="true"/>
        </w:rPr>
        <w:t>المطهّرات</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المطهّرات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و البيان </w:t>
      </w:r>
      <w:r>
        <w:rPr>
          <w:rStyle w:val="FootnoteAnchor"/>
          <w:rtl w:val="true"/>
        </w:rPr>
        <w:footnoteReference w:id="2388"/>
      </w:r>
      <w:r>
        <w:rPr>
          <w:rFonts w:ascii="Amiri" w:hAnsi="Amiri" w:eastAsia="Amiri" w:cs="Amiri"/>
          <w:color w:val="111111"/>
          <w:sz w:val="28"/>
          <w:sz w:val="28"/>
          <w:szCs w:val="28"/>
          <w:rtl w:val="true"/>
          <w:lang w:bidi="ar-SA"/>
        </w:rPr>
        <w:t>كذلك، و تفصيله في الثاني يعطي تسعة، و في الأوّل لم يعدّ زوال العين، و تفصيله هنا يعطي أحد عشر، فلا معنى للعشرة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المضاف إنّ رجع للماء، و إن أُعيد إلى المطهّر كما هو ظاهر الشارح كان معناه أنّه مطهر من كلّ نجاسة، و حيث إنّه لا يشمل الأربعة مع عدم الاستحالة خصّه بأنّه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سائر النجاسات التي تقبل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 مطلقاً، و الأوّل عام لكلّ مطهّر الماء و غيره، و الثاني لا يتمّ في الأربعة؛ لقبولها التطهير بغير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بالقبول المصطلح عند أرباب المعقول و هو وجود القابل عند المقبول، فيكون قبول التطهير مع بقاء العين، و تخرج الأربعة لعدم قبولها له مطلقاً و عينها باقية، و يشمل القبول غيرها و إن بقيت الحقيقة حتّى المستهلك فيه؛ إذ الاستهلاك لا يحيل الحقيقة إلى غيرها و إن لم يتميّز للحسّ، فالنجاسة في غير الأربعة معلّقة على البول المتميّز مثلاً، و مع فَقْد التّمييز بغلَبَة المطهّر عليه يطهر و إن بقي شائعاً في أجزاء المطهّر، و في الكلب مطلقاً و الميتة معلّقة على نفس العين فلا تطهر إلَّا بانقلابها و استحالتها، لما جرى ذلك في المتنجّس؛ لعدم قبوله التطهير مع بقاء عين النجاسة فيه، إلّا أن يفسّر بما يقبل التّطهير بالقبول مع بقاء العين، أو ما يترتّب عليه حكم النجاسة مطلقاً، بقيت العين أم لا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ظاهرة في أنّه مطهّر للأشياء من النجاسات، فلا دليل على تطهيره لنفس النجاسة إلَّا بجعلها كالمتنجّس تسامحاً، فالدّم نجس ما دام متميّزاً، فيكون التمييز علّة نجاسته، فيشمل ما كان نجساً بالذات أو العرض، و الأصوب أنّه لمّا كانت الأحكام معلّقة على الأسماء و دائرةً مدارها وجوداً و عدماً، بين رحمه الله أنّ كلّ ما يقبل التطهير مع بقاء اسمه مطلقاً، الماءُ مطهّر له، فيخرج ما لا يقبل التطهير مع بقاء اسمه و إن قبله بتبدل </w:t>
      </w:r>
    </w:p>
    <w:p>
      <w:pPr>
        <w:pStyle w:val="BookText"/>
        <w:rPr/>
      </w:pPr>
      <w:r>
        <w:rPr>
          <w:rFonts w:ascii="Amiri" w:hAnsi="Amiri" w:eastAsia="Amiri" w:cs="Amiri"/>
          <w:color w:val="111111"/>
          <w:sz w:val="28"/>
          <w:sz w:val="28"/>
          <w:szCs w:val="28"/>
          <w:rtl w:val="true"/>
          <w:lang w:bidi="ar-SA"/>
        </w:rPr>
        <w:t>اسمه عرفاً، و بعد انقلابه يكون ممّا يقبل التطهير إذا تنجس، و لا ينقض بالعصير و لا الدّم المنتقل إلى البعوض مما لا يقبل الطّهارة بالماء قبل انتقاله و ذهاب ثلثيه مع أنّه يقبل التطهير و الاسم باقٍ بهما؛ لمنع بقاء الاسم، أو قبولهما للتطهير بالماء عند غلبته عليهما بحيث لم يظهر للحسّ كما بيّنا، و لا كذلك الأربعة، فتدبّر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باطن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الخفّ مع صدق الاسم لا مطلقاً أو مطلق ما ينتعل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من 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أسفله الملاصق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تستره حالة الاعتماد عليها، فلا يلحق به حافّتاه و جوانبه بروضه </w:t>
      </w:r>
      <w:r>
        <w:rPr>
          <w:rStyle w:val="FootnoteAnchor"/>
          <w:rtl w:val="true"/>
        </w:rPr>
        <w:footnoteReference w:id="2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يكتف المصنّف بالباطن كالإرشاد </w:t>
      </w:r>
      <w:r>
        <w:rPr>
          <w:rStyle w:val="FootnoteAnchor"/>
          <w:rtl w:val="true"/>
        </w:rPr>
        <w:footnoteReference w:id="2390"/>
      </w:r>
      <w:r>
        <w:rPr>
          <w:rFonts w:ascii="Amiri" w:hAnsi="Amiri" w:eastAsia="Amiri" w:cs="Amiri"/>
          <w:color w:val="111111"/>
          <w:sz w:val="28"/>
          <w:sz w:val="28"/>
          <w:szCs w:val="28"/>
          <w:rtl w:val="true"/>
          <w:lang w:bidi="ar-SA"/>
        </w:rPr>
        <w:t xml:space="preserve">لتوهّم العطف على المضاف فذكر الأسفل، و هما بمعنىً، و الحكم مشهور </w:t>
      </w:r>
      <w:r>
        <w:rPr>
          <w:rStyle w:val="FootnoteAnchor"/>
          <w:rtl w:val="true"/>
        </w:rPr>
        <w:footnoteReference w:id="2391"/>
      </w:r>
      <w:r>
        <w:rPr>
          <w:rFonts w:ascii="Amiri" w:hAnsi="Amiri" w:eastAsia="Amiri" w:cs="Amiri"/>
          <w:color w:val="111111"/>
          <w:sz w:val="28"/>
          <w:sz w:val="28"/>
          <w:szCs w:val="28"/>
          <w:rtl w:val="true"/>
          <w:lang w:bidi="ar-SA"/>
        </w:rPr>
        <w:t xml:space="preserve">لصحيحتي زرارة في من وطأ العذرة </w:t>
      </w:r>
      <w:r>
        <w:rPr>
          <w:rStyle w:val="FootnoteAnchor"/>
          <w:rtl w:val="true"/>
        </w:rPr>
        <w:footnoteReference w:id="2392"/>
      </w:r>
      <w:r>
        <w:rPr>
          <w:rFonts w:ascii="Amiri" w:hAnsi="Amiri" w:eastAsia="Amiri" w:cs="Amiri"/>
          <w:color w:val="111111"/>
          <w:sz w:val="28"/>
          <w:sz w:val="28"/>
          <w:szCs w:val="28"/>
          <w:rtl w:val="true"/>
          <w:lang w:bidi="ar-SA"/>
        </w:rPr>
        <w:t xml:space="preserve">، و إطلاق جواز مسح الرّجلين </w:t>
      </w:r>
      <w:r>
        <w:rPr>
          <w:rStyle w:val="FootnoteAnchor"/>
          <w:rtl w:val="true"/>
        </w:rPr>
        <w:footnoteReference w:id="2393"/>
      </w:r>
      <w:r>
        <w:rPr>
          <w:rFonts w:ascii="Amiri" w:hAnsi="Amiri" w:eastAsia="Amiri" w:cs="Amiri"/>
          <w:color w:val="111111"/>
          <w:sz w:val="28"/>
          <w:sz w:val="28"/>
          <w:szCs w:val="28"/>
          <w:rtl w:val="true"/>
          <w:lang w:bidi="ar-SA"/>
        </w:rPr>
        <w:t xml:space="preserve">، و خبر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Style w:val="FootnoteAnchor"/>
          <w:rtl w:val="true"/>
        </w:rPr>
        <w:footnoteReference w:id="2394"/>
      </w:r>
      <w:r>
        <w:rPr>
          <w:rFonts w:ascii="Amiri" w:hAnsi="Amiri" w:eastAsia="Amiri" w:cs="Amiri"/>
          <w:color w:val="111111"/>
          <w:sz w:val="28"/>
          <w:sz w:val="28"/>
          <w:szCs w:val="28"/>
          <w:rtl w:val="true"/>
          <w:lang w:bidi="ar-SA"/>
        </w:rPr>
        <w:t xml:space="preserve">لنفي البأس إذا مشى بيابس الأرض بعد ملاقاة نداوة البول، و مثلها رواية المعلّى </w:t>
      </w:r>
      <w:r>
        <w:rPr>
          <w:rStyle w:val="FootnoteAnchor"/>
          <w:rtl w:val="true"/>
        </w:rPr>
        <w:footnoteReference w:id="2395"/>
      </w:r>
      <w:r>
        <w:rPr>
          <w:rFonts w:ascii="Amiri" w:hAnsi="Amiri" w:eastAsia="Amiri" w:cs="Amiri"/>
          <w:color w:val="111111"/>
          <w:sz w:val="28"/>
          <w:sz w:val="28"/>
          <w:szCs w:val="28"/>
          <w:rtl w:val="true"/>
          <w:lang w:bidi="ar-SA"/>
        </w:rPr>
        <w:t xml:space="preserve">، و رواية حفص ابن أبي عيسى في الخفّ </w:t>
      </w:r>
      <w:r>
        <w:rPr>
          <w:rStyle w:val="FootnoteAnchor"/>
          <w:rtl w:val="true"/>
        </w:rPr>
        <w:footnoteReference w:id="2396"/>
      </w:r>
      <w:r>
        <w:rPr>
          <w:rFonts w:ascii="Amiri" w:hAnsi="Amiri" w:eastAsia="Amiri" w:cs="Amiri"/>
          <w:color w:val="111111"/>
          <w:sz w:val="28"/>
          <w:sz w:val="28"/>
          <w:szCs w:val="28"/>
          <w:rtl w:val="true"/>
          <w:lang w:bidi="ar-SA"/>
        </w:rPr>
        <w:t xml:space="preserve">، و إطلاق رواية الأحول </w:t>
      </w:r>
      <w:r>
        <w:rPr>
          <w:rStyle w:val="FootnoteAnchor"/>
          <w:rtl w:val="true"/>
        </w:rPr>
        <w:footnoteReference w:id="2397"/>
      </w:r>
      <w:r>
        <w:rPr>
          <w:rFonts w:ascii="Amiri" w:hAnsi="Amiri" w:eastAsia="Amiri" w:cs="Amiri"/>
          <w:color w:val="111111"/>
          <w:sz w:val="28"/>
          <w:sz w:val="28"/>
          <w:szCs w:val="28"/>
          <w:rtl w:val="true"/>
          <w:lang w:bidi="ar-SA"/>
        </w:rPr>
        <w:t>، لكنّه حدّد المشي بعد التنجيس في خمسة عشر ذراعاً، 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وطأ أحدكم الأذى بخفّه فإنّ التّراب له طهور </w:t>
      </w:r>
      <w:r>
        <w:rPr>
          <w:rFonts w:eastAsia="Amiri" w:cs="Amiri" w:ascii="Amiri" w:hAnsi="Amiri"/>
          <w:color w:val="111111"/>
          <w:sz w:val="28"/>
          <w:szCs w:val="28"/>
          <w:rtl w:val="true"/>
          <w:lang w:bidi="ar-SA"/>
        </w:rPr>
        <w:t xml:space="preserve">» </w:t>
      </w:r>
      <w:r>
        <w:rPr>
          <w:rStyle w:val="FootnoteAnchor"/>
          <w:rtl w:val="true"/>
        </w:rPr>
        <w:footnoteReference w:id="2398"/>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مع ضميمة إجماع ثاني المحقّقين </w:t>
      </w:r>
      <w:r>
        <w:rPr>
          <w:rStyle w:val="FootnoteAnchor"/>
          <w:rtl w:val="true"/>
        </w:rPr>
        <w:footnoteReference w:id="2399"/>
      </w:r>
      <w:r>
        <w:rPr>
          <w:rFonts w:ascii="IRNazanin" w:hAnsi="IRNazanin" w:eastAsia="IRNazanin"/>
          <w:color w:val="111111"/>
          <w:sz w:val="28"/>
          <w:sz w:val="28"/>
          <w:szCs w:val="28"/>
          <w:rtl w:val="true"/>
          <w:lang w:bidi="fa-IR"/>
        </w:rPr>
        <w:t xml:space="preserve">و عدم ظهور الخلاف إلَّا من ظاهر الخلاف </w:t>
      </w:r>
      <w:r>
        <w:rPr>
          <w:rStyle w:val="FootnoteAnchor"/>
          <w:rtl w:val="true"/>
        </w:rPr>
        <w:footnoteReference w:id="2400"/>
      </w:r>
      <w:r>
        <w:rPr>
          <w:rFonts w:ascii="Amiri" w:hAnsi="Amiri" w:eastAsia="Amiri" w:cs="Amiri"/>
          <w:color w:val="111111"/>
          <w:sz w:val="28"/>
          <w:sz w:val="28"/>
          <w:szCs w:val="28"/>
          <w:rtl w:val="true"/>
          <w:lang w:bidi="ar-SA"/>
        </w:rPr>
        <w:t xml:space="preserve">لعدم اعتماده على النّبوي، و حمله جملة الأخبار على العفو عمّا لا تتمّ به الصلاة من النعل و الخفّ، يصيّر الحكم في الجملة ممّا لا غبار عليه، و الحمل لا يسري في أخبار القدم جزماً؛ و لأجله تردّد فيه الفاضل </w:t>
      </w:r>
      <w:r>
        <w:rPr>
          <w:rStyle w:val="FootnoteAnchor"/>
          <w:rtl w:val="true"/>
        </w:rPr>
        <w:footnoteReference w:id="2401"/>
      </w:r>
      <w:r>
        <w:rPr>
          <w:rFonts w:ascii="Amiri" w:hAnsi="Amiri" w:eastAsia="Amiri" w:cs="Amiri"/>
          <w:color w:val="111111"/>
          <w:sz w:val="28"/>
          <w:sz w:val="28"/>
          <w:szCs w:val="28"/>
          <w:rtl w:val="true"/>
          <w:lang w:bidi="ar-SA"/>
        </w:rPr>
        <w:t xml:space="preserve">، و الإجماع وجه المدّعي مع الإضافة، لكن طهارتهما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زوال عين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المتنجّس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أثرها، فلا يضرّ بقاؤه بنصّ الأكثر إلَّا ابن الجنيد </w:t>
      </w:r>
      <w:r>
        <w:rPr>
          <w:rStyle w:val="FootnoteAnchor"/>
          <w:rtl w:val="true"/>
        </w:rPr>
        <w:footnoteReference w:id="2402"/>
      </w:r>
      <w:r>
        <w:rPr>
          <w:rFonts w:ascii="Amiri" w:hAnsi="Amiri" w:eastAsia="Amiri" w:cs="Amiri"/>
          <w:color w:val="111111"/>
          <w:sz w:val="28"/>
          <w:sz w:val="28"/>
          <w:szCs w:val="28"/>
          <w:rtl w:val="true"/>
          <w:lang w:bidi="ar-SA"/>
        </w:rPr>
        <w:t xml:space="preserve">و إن ظهر منه كفاية المسح بغير الأرض في الطّهارة، و إشارة السّبق </w:t>
      </w:r>
      <w:r>
        <w:rPr>
          <w:rStyle w:val="FootnoteAnchor"/>
          <w:rtl w:val="true"/>
        </w:rPr>
        <w:footnoteReference w:id="2403"/>
      </w:r>
      <w:r>
        <w:rPr>
          <w:rFonts w:ascii="Amiri" w:hAnsi="Amiri" w:eastAsia="Amiri" w:cs="Amiri"/>
          <w:color w:val="111111"/>
          <w:sz w:val="28"/>
          <w:sz w:val="28"/>
          <w:szCs w:val="28"/>
          <w:rtl w:val="true"/>
          <w:lang w:bidi="ar-SA"/>
        </w:rPr>
        <w:t>أيضاً كذلك بشرط المسح بالتراب، و المصنّف في الذكرى لم يتعرّض لشيء، لكنّه في وجوب إزالة النجاسة مطلقاً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ذهاب العين و الأثر </w:t>
      </w:r>
      <w:r>
        <w:rPr>
          <w:rStyle w:val="FootnoteAnchor"/>
          <w:rtl w:val="true"/>
        </w:rPr>
        <w:footnoteReference w:id="2404"/>
      </w:r>
      <w:r>
        <w:rPr>
          <w:rFonts w:ascii="IRNazanin" w:hAnsi="IRNazanin" w:eastAsia="IRNazanin"/>
          <w:color w:val="111111"/>
          <w:sz w:val="28"/>
          <w:sz w:val="28"/>
          <w:szCs w:val="28"/>
          <w:rtl w:val="true"/>
          <w:lang w:bidi="fa-IR"/>
        </w:rPr>
        <w:t>، و أظنّهم قاسوه على كفاية ذهاب العين بالأحجار في الاستنجاء، و الأقوى اشتراط ذهابهما للأصل، و قولُه علیه السلام في صحيحة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يذهب أثرها</w:t>
      </w:r>
      <w:r>
        <w:rPr>
          <w:rFonts w:eastAsia="IRNazanin" w:cs="IRNazanin"/>
          <w:color w:val="111111"/>
          <w:sz w:val="28"/>
          <w:szCs w:val="28"/>
          <w:rtl w:val="true"/>
          <w:lang w:bidi="fa-IR"/>
        </w:rPr>
        <w:t xml:space="preserve">» </w:t>
      </w:r>
      <w:r>
        <w:rPr>
          <w:rStyle w:val="FootnoteAnchor"/>
          <w:rtl w:val="true"/>
        </w:rPr>
        <w:footnoteReference w:id="2405"/>
      </w:r>
      <w:r>
        <w:rPr>
          <w:rFonts w:ascii="Amiri" w:hAnsi="Amiri" w:eastAsia="Amiri" w:cs="Amiri"/>
          <w:color w:val="111111"/>
          <w:sz w:val="28"/>
          <w:sz w:val="28"/>
          <w:szCs w:val="28"/>
          <w:rtl w:val="true"/>
          <w:lang w:bidi="ar-SA"/>
        </w:rPr>
        <w:t>كافٍ فيه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الأثر الذي لا يضرّ بقاؤه في الإزالة بالماء كاللّون الذي لا يخرج هو كذلك، و أمّا مطلقه فلا، فإذا زالت العين و الأثر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بمشي و دلك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مزيلاتها و لو بمجرّد الوضع حكم بالطهارة و إن أفادت رواية الأحول </w:t>
      </w:r>
      <w:r>
        <w:rPr>
          <w:rStyle w:val="FootnoteAnchor"/>
          <w:rtl w:val="true"/>
        </w:rPr>
        <w:footnoteReference w:id="2406"/>
      </w:r>
      <w:r>
        <w:rPr>
          <w:rFonts w:ascii="Amiri" w:hAnsi="Amiri" w:eastAsia="Amiri" w:cs="Amiri"/>
          <w:color w:val="111111"/>
          <w:sz w:val="28"/>
          <w:sz w:val="28"/>
          <w:szCs w:val="28"/>
          <w:rtl w:val="true"/>
          <w:lang w:bidi="ar-SA"/>
        </w:rPr>
        <w:t xml:space="preserve">المشي، لكن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 تزول به النجاسة و ذكره المشي بخصوص العدد لعلّه لجهة الفرد الظاهر، فلا وقع لقول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 أو غيره،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 خمسة عشر ذراعاً </w:t>
      </w:r>
      <w:r>
        <w:rPr>
          <w:rStyle w:val="FootnoteAnchor"/>
          <w:rtl w:val="true"/>
        </w:rPr>
        <w:footnoteReference w:id="2407"/>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الحجر و الرّمل من أصناف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ممّا صدق عليه الاسم، و عبّر المفيد </w:t>
      </w:r>
      <w:r>
        <w:rPr>
          <w:rStyle w:val="FootnoteAnchor"/>
          <w:rtl w:val="true"/>
        </w:rPr>
        <w:footnoteReference w:id="2408"/>
      </w:r>
      <w:r>
        <w:rPr>
          <w:rFonts w:ascii="Amiri" w:hAnsi="Amiri" w:eastAsia="Amiri" w:cs="Amiri"/>
          <w:color w:val="111111"/>
          <w:sz w:val="28"/>
          <w:sz w:val="28"/>
          <w:szCs w:val="28"/>
          <w:rtl w:val="true"/>
          <w:lang w:bidi="ar-SA"/>
        </w:rPr>
        <w:t xml:space="preserve">و غيره </w:t>
      </w:r>
      <w:r>
        <w:rPr>
          <w:rStyle w:val="FootnoteAnchor"/>
          <w:rtl w:val="true"/>
        </w:rPr>
        <w:footnoteReference w:id="2409"/>
      </w:r>
      <w:r>
        <w:rPr>
          <w:rFonts w:ascii="Amiri" w:hAnsi="Amiri" w:eastAsia="Amiri" w:cs="Amiri"/>
          <w:color w:val="111111"/>
          <w:sz w:val="28"/>
          <w:sz w:val="28"/>
          <w:szCs w:val="28"/>
          <w:rtl w:val="true"/>
          <w:lang w:bidi="ar-SA"/>
        </w:rPr>
        <w:t xml:space="preserve">بالتّراب، و جمع سلّار </w:t>
      </w:r>
      <w:r>
        <w:rPr>
          <w:rStyle w:val="FootnoteAnchor"/>
          <w:rtl w:val="true"/>
        </w:rPr>
        <w:footnoteReference w:id="2410"/>
      </w:r>
      <w:r>
        <w:rPr>
          <w:rFonts w:ascii="Amiri" w:hAnsi="Amiri" w:eastAsia="Amiri" w:cs="Amiri"/>
          <w:color w:val="111111"/>
          <w:sz w:val="28"/>
          <w:sz w:val="28"/>
          <w:szCs w:val="28"/>
          <w:rtl w:val="true"/>
          <w:lang w:bidi="ar-SA"/>
        </w:rPr>
        <w:t xml:space="preserve">بينهما، و نفى الفرق في المقداديّات </w:t>
      </w:r>
      <w:r>
        <w:rPr>
          <w:rStyle w:val="FootnoteAnchor"/>
          <w:rtl w:val="true"/>
        </w:rPr>
        <w:footnoteReference w:id="2411"/>
      </w:r>
      <w:r>
        <w:rPr>
          <w:rFonts w:ascii="Amiri" w:hAnsi="Amiri" w:eastAsia="Amiri" w:cs="Amiri"/>
          <w:color w:val="111111"/>
          <w:sz w:val="28"/>
          <w:sz w:val="28"/>
          <w:szCs w:val="28"/>
          <w:rtl w:val="true"/>
          <w:lang w:bidi="ar-SA"/>
        </w:rPr>
        <w:t>بين الأرض و الحجر و الآجر و الجصّ و النورة،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إذا كانت متحجِّرة، و الإسكافي </w:t>
      </w:r>
      <w:r>
        <w:rPr>
          <w:rStyle w:val="FootnoteAnchor"/>
          <w:rtl w:val="true"/>
        </w:rPr>
        <w:footnoteReference w:id="2412"/>
      </w:r>
      <w:r>
        <w:rPr>
          <w:rFonts w:ascii="Amiri" w:hAnsi="Amiri" w:eastAsia="Amiri" w:cs="Amiri"/>
          <w:color w:val="111111"/>
          <w:sz w:val="28"/>
          <w:sz w:val="28"/>
          <w:szCs w:val="28"/>
          <w:rtl w:val="true"/>
          <w:lang w:bidi="ar-SA"/>
        </w:rPr>
        <w:t xml:space="preserve">طرد الحكم في الأجسام الطاهرة؛ لإطلاق المسح، و الظّاهر إحالة المقام على التيمّم و السجود فيقتصر على ما يصحّ فيه ذلك، فإن كان المقام أعمّ اتّجه اختيار الخافي،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يطهّر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 و لا 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تكن أصلاً، أو زالت بنفسها قبل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 الإمساس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دلك و لا مشي، فإنّ اعتبارهما للإزالة، لكن لزوم الإمساس مع عدم الأثر كأنّه فاقد للحجّة بعد جعل الغاية عدم الأثر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المشي و إن شمل إطلاقها للمفروض، إلَّا أنّها ظاهرة بوطء النظيف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قرينة أنّ المشي لإزالة العين أو الأثر، فإذا لم يكن قاضياً بالتعبّدية و لا للعقل مَسرَح فيه، لم يلزم الإمساس، و يرجع فيه إلى ما تقتضيه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الأخبار </w:t>
      </w:r>
      <w:r>
        <w:rPr>
          <w:rStyle w:val="FootnoteAnchor"/>
          <w:rtl w:val="true"/>
        </w:rPr>
        <w:footnoteReference w:id="2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الجافّة و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يخرج </w:t>
      </w:r>
      <w:r>
        <w:rPr>
          <w:rStyle w:val="FootnoteAnchor"/>
          <w:rtl w:val="true"/>
        </w:rPr>
        <w:footnoteReference w:id="2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بالرطوبة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مستدرك لغناء التعليق على الأرض عنه، و حينئذٍ فلو كانت وَحْلاً أو طيناً لم تفدْ طهارة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الجافّة مشكوكة الحال، فالرجوع فيها إلى الأصل أَولى، مع اشتمال الأخبار على التراب الظاهر في اليبس، و اليبس في بعضها، فتقيّد تلك المطلقات، و عليه المهذب </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و المسالك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اليبس الكلّي لا عِبرَة به على القولين، فيكفي مسمّاه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يشترط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مطهريّتها مطلقاً، أو العينيّة، أو لا يشترط؟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الأرض فالعموم، و من ظهور القيد في الطاهرة بالخبر فالخصوص، و الأقوى الاشتراط؛ لظهور العلّة فيه فوق الإشعار، و لإجمال المطلقات بواسطة اشتباه العلّة أو إجمالها، فيرجع للقواعد و يتّجه الاستصحاب، أو للاتّفاق على طاهره المطهّر كما نفى الخلاف فيه البعض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 أنّه غير معلوم، فالظاهر كفاية الظنّ باعتباره في سقوط الإطلاق لدورانها مَدار الظنّ الخفي أو عدم الظنّ بالخلاف مطلقاً و لو كان من أمارة غير معتبرة كالاستقراء، فلا وقع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 النّص و الفتوى يقتضي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حديث النّص فنقطع لا يكفي فيه أنّ النظيف في رواية الأحول من كلام السائل فلا إشعار فيه، و أنّ خبر التراب </w:t>
      </w:r>
      <w:r>
        <w:rPr>
          <w:rStyle w:val="FootnoteAnchor"/>
          <w:rtl w:val="true"/>
        </w:rPr>
        <w:footnoteReference w:id="2418"/>
      </w:r>
      <w:r>
        <w:rPr>
          <w:rFonts w:ascii="IRNazanin" w:hAnsi="IRNazanin" w:eastAsia="IRNazanin"/>
          <w:color w:val="111111"/>
          <w:sz w:val="28"/>
          <w:sz w:val="28"/>
          <w:szCs w:val="28"/>
          <w:rtl w:val="true"/>
          <w:lang w:bidi="fa-IR"/>
        </w:rPr>
        <w:t>الرُّشد في خلافه لو أشعر، أو أنّ إطلاق الطهور فيه مراد به نفس المطهّرية، و الإضافة بالخبر مُشعِرَة، أو أنّ إشعار التعليل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يطهِّر بعضها بعضاً</w:t>
      </w:r>
      <w:r>
        <w:rPr>
          <w:rFonts w:eastAsia="IRNazanin" w:cs="IRNazanin"/>
          <w:color w:val="111111"/>
          <w:sz w:val="28"/>
          <w:szCs w:val="28"/>
          <w:rtl w:val="true"/>
          <w:lang w:bidi="fa-IR"/>
        </w:rPr>
        <w:t xml:space="preserve">» </w:t>
      </w:r>
      <w:r>
        <w:rPr>
          <w:rStyle w:val="FootnoteAnchor"/>
          <w:rtl w:val="true"/>
        </w:rPr>
        <w:footnoteReference w:id="2419"/>
      </w:r>
      <w:r>
        <w:rPr>
          <w:rFonts w:ascii="Amiri" w:hAnsi="Amiri" w:eastAsia="Amiri" w:cs="Amiri"/>
          <w:color w:val="111111"/>
          <w:sz w:val="28"/>
          <w:sz w:val="28"/>
          <w:szCs w:val="28"/>
          <w:rtl w:val="true"/>
          <w:lang w:bidi="ar-SA"/>
        </w:rPr>
        <w:t>، موقوف على توسّط مقدّمة أُخرى، و هي أنّ كلّ طاهر مطهّر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ممنوعة، مع احتمال أن يكون البعض إنّما يطهّر البعض المتنجّس منها الملاصق للخُفّ، فلا دلالة لها على أصل المدّعى، فإنّ كلّ ذلك تمحلّ لا ترتضيه السليقة، بل ظاهر تطهير الأرض بعضها بعضاً بقرينة سوق الكلام أنّها تطهّر ما بحكمها ممّا یوضع علیها، و أُطلق الأرض علیها للمجاورة، أو لأن الخفّ و النعل بمنزلة الأرض للرِجْل و أسفل القدم؛ للمجاورة، أو أنّ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النجاسة الحاصلة منها بالوطء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 حمل التنوين على غير التمكين هو بعد تعذّر حملها عليه، فعسى أن يكون في بعض ليست للعوض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الذي هو الطاهر اليابس يطهِّر بعض الأشياء، فإنكار الإشعار غير لائق، و إلَّا لما توهّم، لا أقلّ من وَهن الإطلاق، و معه لا يتمّ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إطلاق الفتوى، فأراد بها فتوى المصنّف هنا؛ لإطلاق فتوى الكلّ مع وجود المخالف مطلقاً كالخافي و أتباعه، أو الخالية من النجاسة العينيّة كابن فهد </w:t>
      </w:r>
      <w:r>
        <w:rPr>
          <w:rStyle w:val="FootnoteAnchor"/>
          <w:rtl w:val="true"/>
        </w:rPr>
        <w:footnoteReference w:id="2420"/>
      </w:r>
      <w:r>
        <w:rPr>
          <w:rFonts w:ascii="Amiri" w:hAnsi="Amiri" w:eastAsia="Amiri" w:cs="Amiri"/>
          <w:color w:val="111111"/>
          <w:sz w:val="28"/>
          <w:sz w:val="28"/>
          <w:szCs w:val="28"/>
          <w:rtl w:val="true"/>
          <w:lang w:bidi="ar-SA"/>
        </w:rPr>
        <w:t>، و المطلق الذي لم يتعرّض أحاله على باب التيمّم و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يظهر عدم الاكتفاء بما يقتطع من الأرض و یزال به النجاسة و إن كان طاهراً؛ لبقائه على حكم الأصل من جهة الشك، فيقتصر حينئذٍ على يابس الأرض الطاهر مع المماسّة لها، و على المنصوص من النعل و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بالنعل ما يجعل أسفل الرّجل للمشي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ليس خصوص ما تعارف في ذلك العصر بحيث يكون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وقاية من الأرض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يمشى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كالقبقاب، فيشمل جميع ما وضع ليمشى عليه حتّى اليَد و الركبة و البطن كما نصَّ عليه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خشبة الأقطع كالنعل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المسالك </w:t>
      </w:r>
      <w:r>
        <w:rPr>
          <w:rStyle w:val="FootnoteAnchor"/>
          <w:rtl w:val="true"/>
        </w:rPr>
        <w:footnoteReference w:id="2421"/>
      </w:r>
      <w:r>
        <w:rPr>
          <w:rFonts w:ascii="IRNazanin" w:hAnsi="IRNazanin" w:eastAsia="IRNazanin"/>
          <w:color w:val="111111"/>
          <w:sz w:val="28"/>
          <w:sz w:val="28"/>
          <w:szCs w:val="28"/>
          <w:rtl w:val="true"/>
          <w:lang w:bidi="fa-IR"/>
        </w:rPr>
        <w:t xml:space="preserve">، و بروضه </w:t>
      </w:r>
      <w:r>
        <w:rPr>
          <w:rStyle w:val="FootnoteAnchor"/>
          <w:rtl w:val="true"/>
        </w:rPr>
        <w:footnoteReference w:id="2422"/>
      </w:r>
      <w:r>
        <w:rPr>
          <w:rFonts w:ascii="Amiri" w:hAnsi="Amiri" w:eastAsia="Amiri" w:cs="Amiri"/>
          <w:color w:val="111111"/>
          <w:sz w:val="28"/>
          <w:sz w:val="28"/>
          <w:szCs w:val="28"/>
          <w:rtl w:val="true"/>
          <w:lang w:bidi="ar-SA"/>
        </w:rPr>
        <w:t>تردّد؛ لعدم صدق الاسم المعلّق عليه الحكم، و هو جيّد؛ لما ذكرنا، فإنّ تطهير الأرض كتطهير الماء مجمل بالنسبة إلى كيفيّاته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النجس إذا قلنا لا بدّ له من مطهّر، و لا يكفي زوال العين فقط، نأخذ بالمتيقّن بما يحصل به هذا الأثر، و المشكوك به يبقى على أصله، فلا يلحق بالمنصوص أسفل العكاز و كعب الرّمح و سكّة الحديد للحرث و لباس الرجل من الجورب و غيره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الظلف و الحافر في غير الإنسان و نعل الحديد فيكفي فيها نفس زوال النجاسة بلا ريب، و ليس لها ربط في المقام، 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في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جزء علّة للتطهير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القليل أو مطلقاً، و لا يطهر الإناء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ضميمة الغسلتين أو الثلاث أو السّت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كونه علّة تامّة، و قد سلف أنّ الفاضل </w:t>
      </w:r>
      <w:r>
        <w:rPr>
          <w:rStyle w:val="FootnoteAnchor"/>
          <w:rtl w:val="true"/>
        </w:rPr>
        <w:footnoteReference w:id="2423"/>
      </w:r>
      <w:r>
        <w:rPr>
          <w:rFonts w:ascii="Amiri" w:hAnsi="Amiri" w:eastAsia="Amiri" w:cs="Amiri"/>
          <w:color w:val="111111"/>
          <w:sz w:val="28"/>
          <w:sz w:val="28"/>
          <w:szCs w:val="28"/>
          <w:rtl w:val="true"/>
          <w:lang w:bidi="ar-SA"/>
        </w:rPr>
        <w:t>احتمل أنّه للاستعانة، و عليه يقوم غيره مقامه مطلقاً، و على الأوّل لا ينوب عنه شيء، و لا بدّ أن يكون طاهراً، و عليهما تطلق عليه الطهارة توسّعاً، لكن على الأخير ترتفع الخصوصيّة و يكون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القالع للنجاسة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اللّزج و لا الصقيل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لا يقلعانها، و غير الرطب أيضاً، و غير المنهي عنه في رأي </w:t>
      </w:r>
      <w:r>
        <w:rPr>
          <w:rStyle w:val="FootnoteAnchor"/>
          <w:rtl w:val="true"/>
        </w:rPr>
        <w:footnoteReference w:id="2424"/>
      </w:r>
      <w:r>
        <w:rPr>
          <w:rFonts w:ascii="Amiri" w:hAnsi="Amiri" w:eastAsia="Amiri" w:cs="Amiri"/>
          <w:color w:val="111111"/>
          <w:sz w:val="28"/>
          <w:sz w:val="28"/>
          <w:szCs w:val="28"/>
          <w:rtl w:val="true"/>
          <w:lang w:bidi="ar-SA"/>
        </w:rPr>
        <w:t xml:space="preserve">لم يبيِّن لنا وجهه، فإنّه بشرطه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المتعدّي من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يسمّى حجر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الحاجب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بمعونة الهواء مطلقاً، أو من البول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بإشراقها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كانت فيه سبباً للتجفيف بلا 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أشرقت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زوالها بالإشراق، أو قبله و فيه بَلَل غير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التطهير كذلك عليه الأكثر، بل الإجماع المنقول </w:t>
      </w:r>
      <w:r>
        <w:rPr>
          <w:rStyle w:val="FootnoteAnchor"/>
          <w:rtl w:val="true"/>
        </w:rPr>
        <w:footnoteReference w:id="2425"/>
      </w:r>
      <w:r>
        <w:rPr>
          <w:rFonts w:ascii="Amiri" w:hAnsi="Amiri" w:eastAsia="Amiri" w:cs="Amiri"/>
          <w:color w:val="111111"/>
          <w:sz w:val="28"/>
          <w:sz w:val="28"/>
          <w:szCs w:val="28"/>
          <w:rtl w:val="true"/>
          <w:lang w:bidi="ar-SA"/>
        </w:rPr>
        <w:t xml:space="preserve">، و ابن حمزة </w:t>
      </w:r>
      <w:r>
        <w:rPr>
          <w:rStyle w:val="FootnoteAnchor"/>
          <w:rtl w:val="true"/>
        </w:rPr>
        <w:footnoteReference w:id="2426"/>
      </w:r>
      <w:r>
        <w:rPr>
          <w:rFonts w:ascii="Amiri" w:hAnsi="Amiri" w:eastAsia="Amiri" w:cs="Amiri"/>
          <w:color w:val="111111"/>
          <w:sz w:val="28"/>
          <w:sz w:val="28"/>
          <w:szCs w:val="28"/>
          <w:rtl w:val="true"/>
          <w:lang w:bidi="ar-SA"/>
        </w:rPr>
        <w:t xml:space="preserve">، و الراوندي </w:t>
      </w:r>
      <w:r>
        <w:rPr>
          <w:rStyle w:val="FootnoteAnchor"/>
          <w:rtl w:val="true"/>
        </w:rPr>
        <w:footnoteReference w:id="2427"/>
      </w:r>
      <w:r>
        <w:rPr>
          <w:rFonts w:ascii="IRNazanin" w:hAnsi="IRNazanin" w:eastAsia="IRNazanin"/>
          <w:color w:val="111111"/>
          <w:sz w:val="28"/>
          <w:sz w:val="28"/>
          <w:szCs w:val="28"/>
          <w:rtl w:val="true"/>
          <w:lang w:bidi="fa-IR"/>
        </w:rPr>
        <w:t xml:space="preserve">، و المعتبر </w:t>
      </w:r>
      <w:r>
        <w:rPr>
          <w:rStyle w:val="FootnoteAnchor"/>
          <w:rtl w:val="true"/>
        </w:rPr>
        <w:footnoteReference w:id="2428"/>
      </w:r>
      <w:r>
        <w:rPr>
          <w:rFonts w:ascii="Amiri" w:hAnsi="Amiri" w:eastAsia="Amiri" w:cs="Amiri"/>
          <w:color w:val="111111"/>
          <w:sz w:val="28"/>
          <w:sz w:val="28"/>
          <w:szCs w:val="28"/>
          <w:rtl w:val="true"/>
          <w:lang w:bidi="ar-SA"/>
        </w:rPr>
        <w:t>في صدر كلامه يظهر منه العفو في السجود على الجاف بها دون الطهارة، و تظهر الثمرة في عدم جواز التيمم و ملاقاة الموضع برطوبة بعد الجفاف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المصنف تبع الأكثر في الطهارة، و أراد بالموصول العموم لكلّ ما جَفٌ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الحصر </w:t>
      </w:r>
    </w:p>
    <w:p>
      <w:pPr>
        <w:pStyle w:val="BookText"/>
        <w:rPr/>
      </w:pPr>
      <w:r>
        <w:rPr>
          <w:rFonts w:ascii="Amiri" w:hAnsi="Amiri" w:eastAsia="Amiri" w:cs="Amiri"/>
          <w:color w:val="111111"/>
          <w:sz w:val="28"/>
          <w:sz w:val="28"/>
          <w:szCs w:val="28"/>
          <w:rtl w:val="true"/>
          <w:lang w:bidi="ar-SA"/>
        </w:rPr>
        <w:t>و البواري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اقتصر عليهما الراوندي </w:t>
      </w:r>
      <w:r>
        <w:rPr>
          <w:rStyle w:val="FootnoteAnchor"/>
          <w:rtl w:val="true"/>
        </w:rPr>
        <w:footnoteReference w:id="2429"/>
      </w:r>
      <w:r>
        <w:rPr>
          <w:rFonts w:ascii="Amiri" w:hAnsi="Amiri" w:eastAsia="Amiri" w:cs="Amiri"/>
          <w:color w:val="111111"/>
          <w:sz w:val="28"/>
          <w:sz w:val="28"/>
          <w:szCs w:val="28"/>
          <w:rtl w:val="true"/>
          <w:lang w:bidi="ar-SA"/>
        </w:rPr>
        <w:t xml:space="preserve">و ابن الجنيد </w:t>
      </w:r>
      <w:r>
        <w:rPr>
          <w:rStyle w:val="FootnoteAnchor"/>
          <w:rtl w:val="true"/>
        </w:rPr>
        <w:footnoteReference w:id="2430"/>
      </w:r>
      <w:r>
        <w:rPr>
          <w:rFonts w:ascii="Amiri" w:hAnsi="Amiri" w:eastAsia="Amiri" w:cs="Amiri"/>
          <w:color w:val="111111"/>
          <w:sz w:val="28"/>
          <w:sz w:val="28"/>
          <w:szCs w:val="28"/>
          <w:rtl w:val="true"/>
          <w:lang w:bidi="ar-SA"/>
        </w:rPr>
        <w:t xml:space="preserve">، و في المقنعة </w:t>
      </w:r>
      <w:r>
        <w:rPr>
          <w:rStyle w:val="FootnoteAnchor"/>
          <w:rtl w:val="true"/>
        </w:rPr>
        <w:footnoteReference w:id="2431"/>
      </w:r>
      <w:r>
        <w:rPr>
          <w:rFonts w:ascii="Amiri" w:hAnsi="Amiri" w:eastAsia="Amiri" w:cs="Amiri"/>
          <w:color w:val="111111"/>
          <w:sz w:val="28"/>
          <w:sz w:val="28"/>
          <w:szCs w:val="28"/>
          <w:rtl w:val="true"/>
          <w:lang w:bidi="ar-SA"/>
        </w:rPr>
        <w:t xml:space="preserve">هما فقط، و في الخبر </w:t>
      </w:r>
      <w:r>
        <w:rPr>
          <w:rStyle w:val="FootnoteAnchor"/>
          <w:rtl w:val="true"/>
        </w:rPr>
        <w:footnoteReference w:id="2432"/>
      </w:r>
      <w:r>
        <w:rPr>
          <w:rFonts w:ascii="Amiri" w:hAnsi="Amiri" w:eastAsia="Amiri" w:cs="Amiri"/>
          <w:color w:val="111111"/>
          <w:sz w:val="28"/>
          <w:sz w:val="28"/>
          <w:szCs w:val="28"/>
          <w:rtl w:val="true"/>
          <w:lang w:bidi="ar-SA"/>
        </w:rPr>
        <w:t>البواري، و كأنهما بمعنىّ،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البارية </w:t>
      </w:r>
      <w:r>
        <w:rPr>
          <w:rStyle w:val="FootnoteAnchor"/>
          <w:rtl w:val="true"/>
        </w:rPr>
        <w:footnoteReference w:id="2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ما جَفّ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نقله كما في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 ببعض ما لا ينقل دون بعض كاختصاص المنقول بهما من بين ما ينقل، أو أنّ الإطلاق بالنسبة إلى الأرض و غيرها، فأراد به تعميم الحكم لما لا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و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حَجر و مَدر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ليدخل غير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يلحقها أغلاقها و مساميرها و سائر ما اشتملت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إرجاع القيد لهما فيلغو إطلاق الأخشاب، و حينئذ لا تطهِّر ما لم يثبت منهما من ألواح الحوانيت و سائر الخشب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الأوتاد 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فتدخل في الأخشاب المثبتة، و ما كان منها غير خشب فحكمه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إن صغرت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الفواكه الباقية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إذ قبل أوان قِطافها هي ممّا لا يُنْقَل عادةً جزماً، و بعده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حان أوان قطافها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ما دامت على الشجر يصدق عليها أنّها داخلة فيما لا يُنْقَل كورقها دائماً و إن ذوى، و الزرع في زمان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 يقضي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الشهرة إن لم يكن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نصوص كخبر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اشرقت عليه الشمس فهو طاهر</w:t>
      </w:r>
      <w:r>
        <w:rPr>
          <w:rFonts w:eastAsia="Amiri" w:cs="Amiri" w:ascii="Amiri" w:hAnsi="Amiri"/>
          <w:color w:val="111111"/>
          <w:sz w:val="28"/>
          <w:szCs w:val="28"/>
          <w:rtl w:val="true"/>
          <w:lang w:bidi="ar-SA"/>
        </w:rPr>
        <w:t xml:space="preserve">» </w:t>
      </w:r>
      <w:r>
        <w:rPr>
          <w:rStyle w:val="FootnoteAnchor"/>
          <w:rtl w:val="true"/>
        </w:rPr>
        <w:footnoteReference w:id="243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أشرقت عليه الشمس فقد </w:t>
      </w:r>
    </w:p>
    <w:p>
      <w:pPr>
        <w:pStyle w:val="BookText"/>
        <w:rPr/>
      </w:pP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Style w:val="FootnoteAnchor"/>
          <w:rtl w:val="true"/>
        </w:rPr>
        <w:footnoteReference w:id="2435"/>
      </w:r>
      <w:r>
        <w:rPr>
          <w:rFonts w:ascii="Amiri" w:hAnsi="Amiri" w:eastAsia="Amiri" w:cs="Amiri"/>
          <w:color w:val="111111"/>
          <w:sz w:val="28"/>
          <w:sz w:val="28"/>
          <w:szCs w:val="28"/>
          <w:rtl w:val="true"/>
          <w:lang w:bidi="ar-SA"/>
        </w:rPr>
        <w:t xml:space="preserve">، و موثّقة عمّار </w:t>
      </w:r>
      <w:r>
        <w:rPr>
          <w:rStyle w:val="FootnoteAnchor"/>
          <w:rtl w:val="true"/>
        </w:rPr>
        <w:footnoteReference w:id="2436"/>
      </w:r>
      <w:r>
        <w:rPr>
          <w:rFonts w:ascii="Amiri" w:hAnsi="Amiri" w:eastAsia="Amiri" w:cs="Amiri"/>
          <w:color w:val="111111"/>
          <w:sz w:val="28"/>
          <w:sz w:val="28"/>
          <w:szCs w:val="28"/>
          <w:rtl w:val="true"/>
          <w:lang w:bidi="ar-SA"/>
        </w:rPr>
        <w:t xml:space="preserve">على المشهور من نسختها، فإنّها صرّحت بجواز الصلاة على الموضع؛ يعني صحّة السجود،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لأنه بعض أجزاء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طهارته موضع وفاق، و المقابلة بالتمييز بالتجويز للمنع فيه على عدم العفو تُشرِف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صحيحة زرارة و الأزدي </w:t>
      </w:r>
      <w:r>
        <w:rPr>
          <w:rStyle w:val="FootnoteAnchor"/>
          <w:rtl w:val="true"/>
        </w:rPr>
        <w:footnoteReference w:id="2437"/>
      </w:r>
      <w:r>
        <w:rPr>
          <w:rFonts w:ascii="Amiri" w:hAnsi="Amiri" w:eastAsia="Amiri" w:cs="Amiri"/>
          <w:color w:val="111111"/>
          <w:sz w:val="28"/>
          <w:sz w:val="28"/>
          <w:szCs w:val="28"/>
          <w:rtl w:val="true"/>
          <w:lang w:bidi="ar-SA"/>
        </w:rPr>
        <w:t xml:space="preserve">و ما قضى بصحّة الصلاة مع يبس الموضع و غيرهما فيها يزول حكم الاستصحاب و لا يحتاج إلى مقالة المعالم </w:t>
      </w:r>
      <w:r>
        <w:rPr>
          <w:rStyle w:val="FootnoteAnchor"/>
          <w:rtl w:val="true"/>
        </w:rPr>
        <w:footnoteReference w:id="2438"/>
      </w:r>
      <w:r>
        <w:rPr>
          <w:rFonts w:ascii="Amiri" w:hAnsi="Amiri" w:eastAsia="Amiri" w:cs="Amiri"/>
          <w:color w:val="111111"/>
          <w:sz w:val="28"/>
          <w:sz w:val="28"/>
          <w:szCs w:val="28"/>
          <w:rtl w:val="true"/>
          <w:lang w:bidi="ar-SA"/>
        </w:rPr>
        <w:t xml:space="preserve">أنّ توهّم احتياج صفة النجاسة الثابتة إلى وجود الرافع و المزيل من الأغلاط، بل يكفي في رفعه إجمال المستصحب و عدم العلم به، و لا إلى مقالة الرّياض </w:t>
      </w:r>
      <w:r>
        <w:rPr>
          <w:rStyle w:val="FootnoteAnchor"/>
          <w:rtl w:val="true"/>
        </w:rPr>
        <w:footnoteReference w:id="2439"/>
      </w:r>
      <w:r>
        <w:rPr>
          <w:rFonts w:ascii="Amiri" w:hAnsi="Amiri" w:eastAsia="Amiri" w:cs="Amiri"/>
          <w:color w:val="111111"/>
          <w:sz w:val="28"/>
          <w:sz w:val="28"/>
          <w:szCs w:val="28"/>
          <w:rtl w:val="true"/>
          <w:lang w:bidi="ar-SA"/>
        </w:rPr>
        <w:t>بالمعارضة بطهارة الملاقي، فيرجع لأصل الطهارة؛ لدفعهما بما ثبت في محلّه من رجوع الأوّل إلى نفي حجّية الاستصحاب بمقدّمات باطلة تنزّه عنه أذهان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الحكومة في الأُصول المتعارضة، إلَّا أنّه لا يثمر إلَّا طهارة دون جواز التيمّم أو الأكلّ من الثمر الجاف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ربما يعارضها مصحّحة 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تطهر من غير ماء</w:t>
      </w:r>
      <w:r>
        <w:rPr>
          <w:rFonts w:eastAsia="IRNazanin" w:cs="IRNazanin"/>
          <w:color w:val="111111"/>
          <w:sz w:val="28"/>
          <w:szCs w:val="28"/>
          <w:rtl w:val="true"/>
          <w:lang w:bidi="fa-IR"/>
        </w:rPr>
        <w:t xml:space="preserve">» </w:t>
      </w:r>
      <w:r>
        <w:rPr>
          <w:rStyle w:val="FootnoteAnchor"/>
          <w:rtl w:val="true"/>
        </w:rPr>
        <w:footnoteReference w:id="2440"/>
      </w:r>
      <w:r>
        <w:rPr>
          <w:rFonts w:ascii="Amiri" w:hAnsi="Amiri" w:eastAsia="Amiri" w:cs="Amiri"/>
          <w:color w:val="111111"/>
          <w:sz w:val="28"/>
          <w:sz w:val="28"/>
          <w:szCs w:val="28"/>
          <w:rtl w:val="true"/>
          <w:lang w:bidi="ar-SA"/>
        </w:rPr>
        <w:t>، فإنّ التأويل فيها بحملها على كون النجاسة جافة فلا بدّ من إلقاء الماء حتّى يترطّب المحلّ فتجفّفه الشمس أو غير ذلك، ليس بأَولى من التصرّف في المعارض القاضي بالطهارة، فيجمع بالحمل على العفو</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كلامٌ غير متين؛ إذ العفو إن كان عن جميع أحكام النجاسة تكليفاً و وضعاً فنحن </w:t>
      </w:r>
    </w:p>
    <w:p>
      <w:pPr>
        <w:pStyle w:val="BookText"/>
        <w:rPr/>
      </w:pPr>
      <w:r>
        <w:rPr>
          <w:rFonts w:ascii="Amiri" w:hAnsi="Amiri" w:eastAsia="Amiri" w:cs="Amiri"/>
          <w:color w:val="111111"/>
          <w:sz w:val="28"/>
          <w:sz w:val="28"/>
          <w:szCs w:val="28"/>
          <w:rtl w:val="true"/>
          <w:lang w:bidi="ar-SA"/>
        </w:rPr>
        <w:t>لا ننكره، و إن كان عن خصوص السجدة فممتنع بملاحظة سَوْق الكلام، ولا يجدي احتمال أنّ فاء التفريع في الخبرين بمنزلة الإشارة إلى صغرى القياس الذي لا بدّ فيه من ترتيب كلّ حكم على موضوعه لاحتياجه إلى الشاهد المفقود، و إطلاق الطّهر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قصر الحكم على البول من النجاسات، و قصره على الحصر و البواري ممّا ينقل، و عدمه في ما لا ينقل مطلقاً أرضاً أو غيرها، أو اختصاص الحكم بالأرض فقط المنقول و غيره، و الوجه العدم في الأوّل؛ لفقد ما يصلح للقصر و إن ظهر ذلك من الشيخ رحمه الله </w:t>
      </w:r>
      <w:r>
        <w:rPr>
          <w:rStyle w:val="FootnoteAnchor"/>
          <w:rtl w:val="true"/>
        </w:rPr>
        <w:footnoteReference w:id="2441"/>
      </w:r>
      <w:r>
        <w:rPr>
          <w:rFonts w:ascii="Amiri" w:hAnsi="Amiri" w:eastAsia="Amiri" w:cs="Amiri"/>
          <w:color w:val="111111"/>
          <w:sz w:val="28"/>
          <w:sz w:val="28"/>
          <w:szCs w:val="28"/>
          <w:rtl w:val="true"/>
          <w:lang w:bidi="ar-SA"/>
        </w:rPr>
        <w:t xml:space="preserve">و استشمّ من المقنعة </w:t>
      </w:r>
      <w:r>
        <w:rPr>
          <w:rStyle w:val="FootnoteAnchor"/>
          <w:rtl w:val="true"/>
        </w:rPr>
        <w:footnoteReference w:id="2442"/>
      </w:r>
      <w:r>
        <w:rPr>
          <w:rFonts w:ascii="Amiri" w:hAnsi="Amiri" w:eastAsia="Amiri" w:cs="Amiri"/>
          <w:color w:val="111111"/>
          <w:sz w:val="28"/>
          <w:sz w:val="28"/>
          <w:szCs w:val="28"/>
          <w:rtl w:val="true"/>
          <w:lang w:bidi="ar-SA"/>
        </w:rPr>
        <w:t>لأنه لم يذكر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الشيخ </w:t>
      </w:r>
      <w:r>
        <w:rPr>
          <w:rStyle w:val="FootnoteAnchor"/>
          <w:rtl w:val="true"/>
        </w:rPr>
        <w:footnoteReference w:id="2443"/>
      </w:r>
      <w:r>
        <w:rPr>
          <w:rFonts w:ascii="Amiri" w:hAnsi="Amiri" w:eastAsia="Amiri" w:cs="Amiri"/>
          <w:color w:val="111111"/>
          <w:sz w:val="28"/>
          <w:sz w:val="28"/>
          <w:szCs w:val="28"/>
          <w:rtl w:val="true"/>
          <w:lang w:bidi="ar-SA"/>
        </w:rPr>
        <w:t xml:space="preserve">رواية عمّار </w:t>
      </w:r>
      <w:r>
        <w:rPr>
          <w:rStyle w:val="FootnoteAnchor"/>
          <w:rtl w:val="true"/>
        </w:rPr>
        <w:footnoteReference w:id="2444"/>
      </w:r>
      <w:r>
        <w:rPr>
          <w:rFonts w:ascii="IRNazanin" w:hAnsi="IRNazanin" w:eastAsia="IRNazanin"/>
          <w:color w:val="111111"/>
          <w:sz w:val="28"/>
          <w:sz w:val="28"/>
          <w:szCs w:val="28"/>
          <w:rtl w:val="true"/>
          <w:lang w:bidi="fa-IR"/>
        </w:rPr>
        <w:t>بعد الاعتراف بعمومها لغير البول بضعف السند، و بأن غيرها لا عموم فيه ينفعهما بعد اعتبار الموثّق عنده خصوصاً ما أسند لعمّار،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ما رووا و ذروا ما رأوا </w:t>
      </w:r>
      <w:r>
        <w:rPr>
          <w:rFonts w:eastAsia="IRNazanin" w:cs="IRNazanin"/>
          <w:color w:val="111111"/>
          <w:sz w:val="28"/>
          <w:szCs w:val="28"/>
          <w:rtl w:val="true"/>
          <w:lang w:bidi="fa-IR"/>
        </w:rPr>
        <w:t xml:space="preserve">» </w:t>
      </w:r>
      <w:r>
        <w:rPr>
          <w:rStyle w:val="FootnoteAnchor"/>
          <w:rtl w:val="true"/>
        </w:rPr>
        <w:footnoteReference w:id="2445"/>
      </w:r>
      <w:r>
        <w:rPr>
          <w:rFonts w:ascii="Amiri" w:hAnsi="Amiri" w:eastAsia="Amiri" w:cs="Amiri"/>
          <w:color w:val="111111"/>
          <w:sz w:val="28"/>
          <w:sz w:val="28"/>
          <w:szCs w:val="28"/>
          <w:rtl w:val="true"/>
          <w:lang w:bidi="ar-SA"/>
        </w:rPr>
        <w:t>، في المأخوذ من كتب بني فضّال، و هي منها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رحمه الله استند إليها في أصل المسألة فكيف أنكر العموم و اعترف بالخصوص، و إنكاره لعموم غيرها مع عموم رواية الحضرمي </w:t>
      </w:r>
      <w:r>
        <w:rPr>
          <w:rStyle w:val="FootnoteAnchor"/>
          <w:rtl w:val="true"/>
        </w:rPr>
        <w:footnoteReference w:id="2446"/>
      </w:r>
      <w:r>
        <w:rPr>
          <w:rFonts w:ascii="Amiri" w:hAnsi="Amiri" w:eastAsia="Amiri" w:cs="Amiri"/>
          <w:color w:val="111111"/>
          <w:sz w:val="28"/>
          <w:sz w:val="28"/>
          <w:szCs w:val="28"/>
          <w:rtl w:val="true"/>
          <w:lang w:bidi="ar-SA"/>
        </w:rPr>
        <w:t xml:space="preserve">و ابن بزيع </w:t>
      </w:r>
      <w:r>
        <w:rPr>
          <w:rStyle w:val="FootnoteAnchor"/>
          <w:rtl w:val="true"/>
        </w:rPr>
        <w:footnoteReference w:id="2447"/>
      </w:r>
      <w:r>
        <w:rPr>
          <w:rFonts w:ascii="Amiri" w:hAnsi="Amiri" w:eastAsia="Amiri" w:cs="Amiri"/>
          <w:color w:val="111111"/>
          <w:sz w:val="28"/>
          <w:sz w:val="28"/>
          <w:szCs w:val="28"/>
          <w:rtl w:val="true"/>
          <w:lang w:bidi="ar-SA"/>
        </w:rPr>
        <w:t>أغرب شيء، مع أنّه في المبسوط اختلف كلامه، ففي موضعين منه أطلق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النجاسة مائعة فإنّها تطهر بأن يتكاثر </w:t>
      </w:r>
    </w:p>
    <w:p>
      <w:pPr>
        <w:pStyle w:val="BookText"/>
        <w:rPr/>
      </w:pPr>
      <w:r>
        <w:rPr>
          <w:rFonts w:ascii="Amiri" w:hAnsi="Amiri" w:eastAsia="Amiri" w:cs="Amiri"/>
          <w:color w:val="111111"/>
          <w:sz w:val="28"/>
          <w:sz w:val="28"/>
          <w:szCs w:val="28"/>
          <w:rtl w:val="true"/>
          <w:lang w:bidi="ar-SA"/>
        </w:rPr>
        <w:t xml:space="preserve">عليها الماء أو يطلع عليها الشمس فتجففها و تزول عين النجاسة </w:t>
      </w:r>
      <w:r>
        <w:rPr>
          <w:rStyle w:val="FootnoteAnchor"/>
          <w:rtl w:val="true"/>
        </w:rPr>
        <w:footnoteReference w:id="24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و البواري إذا أصابتها نجاسة مائعة مثل البول و شبهه و جفّفتها الشمس جازَ السجود عليها </w:t>
      </w:r>
      <w:r>
        <w:rPr>
          <w:rStyle w:val="FootnoteAnchor"/>
          <w:rtl w:val="true"/>
        </w:rPr>
        <w:footnoteReference w:id="24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الخمر حكم البول إذا أصاب الأرض، إلَّا إذا جفّفتها الشمس فإنّه لا يحكم بطهارته، و حمله على البول قياس </w:t>
      </w:r>
      <w:r>
        <w:rPr>
          <w:rStyle w:val="FootnoteAnchor"/>
          <w:rtl w:val="true"/>
        </w:rPr>
        <w:footnoteReference w:id="245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الفاضل في المنتهى </w:t>
      </w:r>
      <w:r>
        <w:rPr>
          <w:rStyle w:val="FootnoteAnchor"/>
          <w:rtl w:val="true"/>
        </w:rPr>
        <w:footnoteReference w:id="2451"/>
      </w:r>
      <w:r>
        <w:rPr>
          <w:rFonts w:ascii="Amiri" w:hAnsi="Amiri" w:eastAsia="Amiri" w:cs="Amiri"/>
          <w:color w:val="111111"/>
          <w:sz w:val="28"/>
          <w:sz w:val="28"/>
          <w:szCs w:val="28"/>
          <w:rtl w:val="true"/>
          <w:lang w:bidi="ar-SA"/>
        </w:rPr>
        <w:t xml:space="preserve">تبع الشيخ، و في المختلف </w:t>
      </w:r>
      <w:r>
        <w:rPr>
          <w:rStyle w:val="FootnoteAnchor"/>
          <w:rtl w:val="true"/>
        </w:rPr>
        <w:footnoteReference w:id="2452"/>
      </w:r>
      <w:r>
        <w:rPr>
          <w:rFonts w:ascii="Amiri" w:hAnsi="Amiri" w:eastAsia="Amiri" w:cs="Amiri"/>
          <w:color w:val="111111"/>
          <w:sz w:val="28"/>
          <w:sz w:val="28"/>
          <w:szCs w:val="28"/>
          <w:rtl w:val="true"/>
          <w:lang w:bidi="ar-SA"/>
        </w:rPr>
        <w:t xml:space="preserve">أنكره، و المعتبر </w:t>
      </w:r>
      <w:r>
        <w:rPr>
          <w:rStyle w:val="FootnoteAnchor"/>
          <w:rtl w:val="true"/>
        </w:rPr>
        <w:footnoteReference w:id="2453"/>
      </w:r>
      <w:r>
        <w:rPr>
          <w:rFonts w:ascii="Amiri" w:hAnsi="Amiri" w:eastAsia="Amiri" w:cs="Amiri"/>
          <w:color w:val="111111"/>
          <w:sz w:val="28"/>
          <w:sz w:val="28"/>
          <w:szCs w:val="28"/>
          <w:rtl w:val="true"/>
          <w:lang w:bidi="ar-SA"/>
        </w:rPr>
        <w:t>تردّد، و الوجه الجميل أسفر لثامه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الباقي فالأقوى ما عليه الأكثر؛ لأنّ النصوص خاليّة عن إعطاء الميزان في تمييز المنقول من غيره و التخصيص ببعض الأفراد منهما، و كلام العلماء مختلف، و حينئذٍ فما ذهب الحلّي </w:t>
      </w:r>
      <w:r>
        <w:rPr>
          <w:rStyle w:val="FootnoteAnchor"/>
          <w:rtl w:val="true"/>
        </w:rPr>
        <w:footnoteReference w:id="2454"/>
      </w:r>
      <w:r>
        <w:rPr>
          <w:rFonts w:ascii="Amiri" w:hAnsi="Amiri" w:eastAsia="Amiri" w:cs="Amiri"/>
          <w:color w:val="111111"/>
          <w:sz w:val="28"/>
          <w:sz w:val="28"/>
          <w:szCs w:val="28"/>
          <w:rtl w:val="true"/>
          <w:lang w:bidi="ar-SA"/>
        </w:rPr>
        <w:t>فيه إلى عدم لحوق حكم التطهير بالإشراق عليه خرج عن عموم ما أشرقت عليه، و اندرج فيه غيره مطلقاً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العهد في الموصول؛ لجهة كثرة التخصيص، مدفوعٌ برجوعه إلى إجمال الرّواية، و هو ينافي استدلالهم بها، مع منع كثرة التخصيص على وجه يكشف عن العهديّة المستلزمة للإجمال، فلا بدّ من القول بعدمه و عدم جواز الأخذ بعمومه من غير مراعاة عمل الأصحاب، فلا مناص عن العمل بقدر الجابر؛ لضعفه سنداً و دلالة كما في غيره، و يلتزم بعمومه حينئذٍ في ما اشتهر فيه الحكم بالطهارة، و في ما لم يشتهر، دون ما اشتهر فيه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ما قرّرنا يخرج من المنقولات الثياب و الفرش و المأكولات؛ لذهاب الأكثر </w:t>
      </w:r>
      <w:r>
        <w:rPr>
          <w:rStyle w:val="FootnoteAnchor"/>
          <w:rtl w:val="true"/>
        </w:rPr>
        <w:footnoteReference w:id="2455"/>
      </w:r>
      <w:r>
        <w:rPr>
          <w:rFonts w:ascii="Amiri" w:hAnsi="Amiri" w:eastAsia="Amiri" w:cs="Amiri"/>
          <w:color w:val="111111"/>
          <w:sz w:val="28"/>
          <w:sz w:val="28"/>
          <w:szCs w:val="28"/>
          <w:rtl w:val="true"/>
          <w:lang w:bidi="ar-SA"/>
        </w:rPr>
        <w:t xml:space="preserve">على أنّها لا تطهر بالشمس، و في لحوق الحكم لكلّ ما عمل من نبات الأرض غير القطن و الكتان كما عليه الشيخ </w:t>
      </w:r>
      <w:r>
        <w:rPr>
          <w:rStyle w:val="FootnoteAnchor"/>
          <w:rtl w:val="true"/>
        </w:rPr>
        <w:footnoteReference w:id="2456"/>
      </w:r>
      <w:r>
        <w:rPr>
          <w:rFonts w:ascii="IRNazanin" w:hAnsi="IRNazanin" w:eastAsia="IRNazanin"/>
          <w:color w:val="111111"/>
          <w:sz w:val="28"/>
          <w:sz w:val="28"/>
          <w:szCs w:val="28"/>
          <w:rtl w:val="true"/>
          <w:lang w:bidi="fa-IR"/>
        </w:rPr>
        <w:t xml:space="preserve">و المنتهى </w:t>
      </w:r>
      <w:r>
        <w:rPr>
          <w:rStyle w:val="FootnoteAnchor"/>
          <w:rtl w:val="true"/>
        </w:rPr>
        <w:footnoteReference w:id="2457"/>
      </w:r>
      <w:r>
        <w:rPr>
          <w:rFonts w:ascii="IRNazanin" w:hAnsi="IRNazanin" w:eastAsia="IRNazanin"/>
          <w:color w:val="111111"/>
          <w:sz w:val="28"/>
          <w:sz w:val="28"/>
          <w:szCs w:val="28"/>
          <w:rtl w:val="true"/>
          <w:lang w:bidi="fa-IR"/>
        </w:rPr>
        <w:t xml:space="preserve">و الجامع </w:t>
      </w:r>
      <w:r>
        <w:rPr>
          <w:rStyle w:val="FootnoteAnchor"/>
          <w:rtl w:val="true"/>
        </w:rPr>
        <w:footnoteReference w:id="2458"/>
      </w:r>
      <w:r>
        <w:rPr>
          <w:rFonts w:ascii="Amiri" w:hAnsi="Amiri" w:eastAsia="Amiri" w:cs="Amiri"/>
          <w:color w:val="111111"/>
          <w:sz w:val="28"/>
          <w:sz w:val="28"/>
          <w:szCs w:val="28"/>
          <w:rtl w:val="true"/>
          <w:lang w:bidi="ar-SA"/>
        </w:rPr>
        <w:t>إشكال، و على الميزان ينبغي عدم دخوله في العام؛ لأنّ أصله في برج الشك، فكيف الفرع الذي يُوهِم عدم تعرّضهم له أنّهم لا يرون تأثير الشمس فيه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دخوله في العام، فأيّ معنى لاستثناء القطن و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القدر المتيقّن لحوق الطهارة لكلّ ما ذكره المصنّف بإطلاقه، و الشارح بتفصيله، ممّا لا يُنْقَل، و هل العِبرَة فيما لا ينقل بملاحظة حال الأصل، أو حال التطهير، أو حال التنجيس؟ احتمالات أظهرها الوسط، و أحوطها الجمع بين الأخيرين، و إن كانت رواية السطح </w:t>
      </w:r>
      <w:r>
        <w:rPr>
          <w:rStyle w:val="FootnoteAnchor"/>
          <w:rtl w:val="true"/>
        </w:rPr>
        <w:footnoteReference w:id="2459"/>
      </w:r>
      <w:r>
        <w:rPr>
          <w:rFonts w:ascii="Amiri" w:hAnsi="Amiri" w:eastAsia="Amiri" w:cs="Amiri"/>
          <w:color w:val="111111"/>
          <w:sz w:val="28"/>
          <w:sz w:val="28"/>
          <w:szCs w:val="28"/>
          <w:rtl w:val="true"/>
          <w:lang w:bidi="ar-SA"/>
        </w:rPr>
        <w:t>شاملة للمنقول ممّا عليه من الطّين النجس، لكنّا نقصرها على الثابت منه أخذاً بالمتيقّن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تجفيف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الشمس و لا غيرها؛ لأنها غير مشمولة لما أشرقت عليه الشمس في رواية الحضرمي،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لا تسمّى شمساً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يسمّى ما جَفّ بها أنّه جفّ بالشّمس، و عليه في شرح الألفيّة </w:t>
      </w:r>
      <w:r>
        <w:rPr>
          <w:rStyle w:val="FootnoteAnchor"/>
          <w:rtl w:val="true"/>
        </w:rPr>
        <w:footnoteReference w:id="2460"/>
      </w:r>
      <w:r>
        <w:rPr>
          <w:rFonts w:ascii="IRNazanin" w:hAnsi="IRNazanin" w:eastAsia="IRNazanin"/>
          <w:color w:val="111111"/>
          <w:sz w:val="28"/>
          <w:sz w:val="28"/>
          <w:szCs w:val="28"/>
          <w:rtl w:val="true"/>
          <w:lang w:bidi="fa-IR"/>
        </w:rPr>
        <w:t xml:space="preserve">الإجماع منقولاً، خلافاً لموضع من الخلاف </w:t>
      </w:r>
      <w:r>
        <w:rPr>
          <w:rStyle w:val="FootnoteAnchor"/>
          <w:rtl w:val="true"/>
        </w:rPr>
        <w:footnoteReference w:id="2461"/>
      </w:r>
      <w:r>
        <w:rPr>
          <w:rFonts w:ascii="IRNazanin" w:hAnsi="IRNazanin" w:eastAsia="IRNazanin"/>
          <w:color w:val="111111"/>
          <w:sz w:val="28"/>
          <w:sz w:val="28"/>
          <w:szCs w:val="28"/>
          <w:rtl w:val="true"/>
          <w:lang w:bidi="fa-IR"/>
        </w:rPr>
        <w:t xml:space="preserve">و للمعالم </w:t>
      </w:r>
      <w:r>
        <w:rPr>
          <w:rStyle w:val="FootnoteAnchor"/>
          <w:rtl w:val="true"/>
        </w:rPr>
        <w:footnoteReference w:id="2462"/>
      </w:r>
      <w:r>
        <w:rPr>
          <w:rFonts w:ascii="Amiri" w:hAnsi="Amiri" w:eastAsia="Amiri" w:cs="Amiri"/>
          <w:color w:val="111111"/>
          <w:sz w:val="28"/>
          <w:sz w:val="28"/>
          <w:szCs w:val="28"/>
          <w:rtl w:val="true"/>
          <w:lang w:bidi="ar-SA"/>
        </w:rPr>
        <w:t xml:space="preserve">فاكتفى بمجرّد التجفيف، و الروايات إنّما دلّت على الطهارة بضميمة الاتّفاق، و إلَّا فهي بنفسها قاصرة عن المدّعى بالشمس فكيف مطلق التجفيف، مع مخالفته لاتّفاق </w:t>
      </w:r>
    </w:p>
    <w:p>
      <w:pPr>
        <w:pStyle w:val="BookText"/>
        <w:rPr/>
      </w:pPr>
      <w:r>
        <w:rPr>
          <w:rFonts w:ascii="IRNazanin" w:hAnsi="IRNazanin" w:eastAsia="IRNazanin"/>
          <w:color w:val="111111"/>
          <w:sz w:val="28"/>
          <w:sz w:val="28"/>
          <w:szCs w:val="28"/>
          <w:rtl w:val="true"/>
          <w:lang w:bidi="fa-IR"/>
        </w:rPr>
        <w:t xml:space="preserve">المنتهی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الشمس، بل و إن انضمّت حرارتها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التجفيف بحرارتها أنّه ممّا جفّفته الشمس في الجملة، فإذا لم يفد كيف يفيد نفس الهواء بلا 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انضمامه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خلوّها عنه عالماً </w:t>
      </w:r>
      <w:r>
        <w:rPr>
          <w:rStyle w:val="FootnoteAnchor"/>
          <w:rtl w:val="true"/>
        </w:rPr>
        <w:footnoteReference w:id="2464"/>
      </w:r>
      <w:r>
        <w:rPr>
          <w:rFonts w:ascii="Amiri" w:hAnsi="Amiri" w:eastAsia="Amiri" w:cs="Amiri"/>
          <w:color w:val="111111"/>
          <w:sz w:val="28"/>
          <w:sz w:val="28"/>
          <w:szCs w:val="28"/>
          <w:rtl w:val="true"/>
          <w:lang w:bidi="ar-SA"/>
        </w:rPr>
        <w:t>، إلَّا أن يكون مدخليّة الشمس ضعيفة لشدّة الهواء، فلا يكفي أيضاً و إن أشرَقَت عليه؛ للشك في كونها جزء علّة للجفاف فتبقى النجاسة، و ليس كالرِّيح غيره من الضمائم؛ جموداً على ظاهر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في تطهير </w:t>
      </w:r>
      <w:r>
        <w:rPr>
          <w:rStyle w:val="FootnoteAnchor"/>
          <w:rtl w:val="true"/>
        </w:rPr>
        <w:footnoteReference w:id="2465"/>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النّجسة التي تطهر بالإشراق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الإشراق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جفاف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لا يجدي جفاف الظاهر بها و الباطن بغيرها منفرداً، و ظاهره إطلاق الطهارة حتّى في ما لو كان المتنجّس نفس الباطن دون ظاهره، فيكفي الإشراق على ظاهره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في تردّد من ذلك؛ لقصور الأدلّة عن إفادة الإطلاق و الشّك في المزيل، بل لا يبعد القول ببقاء نجاسة الباطن؛ لأنه لم تشرق عليه الشمس، إلَّا أن يفهم من صحيحة زرارة تبعيّة طهر الباطن و صدق التجفيف بها و إنْ لم تشرق عليه فيؤخذ بإطلاقه، أو يقال بصدق الاشراق نظراً إلى اتّحادهما عرفاً، لكن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المتعدّد الملاصق </w:t>
      </w:r>
      <w:r>
        <w:rPr>
          <w:rStyle w:val="FootnoteAnchor"/>
          <w:rtl w:val="true"/>
        </w:rPr>
        <w:footnoteReference w:id="2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انفصاله و لو بعلاج،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يطهر الآخر منه، و بخلاف ما إذا لاقَت النجاسة الوجهين بلا سراية من أحدهما، و في شرح الألفية </w:t>
      </w:r>
      <w:r>
        <w:rPr>
          <w:rStyle w:val="FootnoteAnchor"/>
          <w:rtl w:val="true"/>
        </w:rPr>
        <w:footnoteReference w:id="2467"/>
      </w:r>
      <w:r>
        <w:rPr>
          <w:rFonts w:ascii="Amiri" w:hAnsi="Amiri" w:eastAsia="Amiri" w:cs="Amiri"/>
          <w:color w:val="111111"/>
          <w:sz w:val="28"/>
          <w:sz w:val="28"/>
          <w:szCs w:val="28"/>
          <w:rtl w:val="true"/>
          <w:lang w:bidi="ar-SA"/>
        </w:rPr>
        <w:t xml:space="preserve">كذلك، و هو الأوفق </w:t>
      </w:r>
    </w:p>
    <w:p>
      <w:pPr>
        <w:pStyle w:val="BookText"/>
        <w:rPr/>
      </w:pPr>
      <w:r>
        <w:rPr>
          <w:rFonts w:ascii="Amiri" w:hAnsi="Amiri" w:eastAsia="Amiri" w:cs="Amiri"/>
          <w:color w:val="111111"/>
          <w:sz w:val="28"/>
          <w:sz w:val="28"/>
          <w:szCs w:val="28"/>
          <w:rtl w:val="true"/>
          <w:lang w:bidi="ar-SA"/>
        </w:rPr>
        <w:t>بالأدلّة، لأنّ الملاصق الممكن إشراق الشمس عليه جسم آخر يحتاج إلى إشراق آخر بعد عدم كفاية الحرارة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الفاضل </w:t>
      </w:r>
      <w:r>
        <w:rPr>
          <w:rStyle w:val="FootnoteAnchor"/>
          <w:rtl w:val="true"/>
        </w:rPr>
        <w:footnoteReference w:id="2468"/>
      </w:r>
      <w:r>
        <w:rPr>
          <w:rFonts w:ascii="Amiri" w:hAnsi="Amiri" w:eastAsia="Amiri" w:cs="Amiri"/>
          <w:color w:val="111111"/>
          <w:sz w:val="28"/>
          <w:sz w:val="28"/>
          <w:szCs w:val="28"/>
          <w:rtl w:val="true"/>
          <w:lang w:bidi="ar-SA"/>
        </w:rPr>
        <w:t xml:space="preserve">استند إلى الوجه الاعتباري في تطهير الشمس، و هو أنّ الشمس بحرارتها تفيد تسخيناً، و هو يوجب تبخير الأجزاء الرّطبة و تصعيدها، و الباقي تحيله الأرض إلى الأرضيّة فيطهر؛ لأنّ التراب طهور، و في النهاية </w:t>
      </w:r>
      <w:r>
        <w:rPr>
          <w:rStyle w:val="FootnoteAnchor"/>
          <w:rtl w:val="true"/>
        </w:rPr>
        <w:footnoteReference w:id="2469"/>
      </w:r>
      <w:r>
        <w:rPr>
          <w:rFonts w:ascii="Amiri" w:hAnsi="Amiri" w:eastAsia="Amiri" w:cs="Amiri"/>
          <w:color w:val="111111"/>
          <w:sz w:val="28"/>
          <w:sz w:val="28"/>
          <w:szCs w:val="28"/>
          <w:rtl w:val="true"/>
          <w:lang w:bidi="ar-SA"/>
        </w:rPr>
        <w:t xml:space="preserve">إنّه يتعذّر غسل هذه الأشياء فكانت طهارتها بزوال عين النجاسة؛ لزوال المعلول بزوال علّته، و أمّا إزالة الحكم بالماء ففي ما يمكن غسله، أمّا ما لا يمكن فلا، و مقتضاه عدم طهارة الباطن مطلقاً بها، و في التذكرة </w:t>
      </w:r>
      <w:r>
        <w:rPr>
          <w:rStyle w:val="FootnoteAnchor"/>
          <w:rtl w:val="true"/>
        </w:rPr>
        <w:footnoteReference w:id="2470"/>
      </w:r>
      <w:r>
        <w:rPr>
          <w:rFonts w:ascii="IRNazanin" w:hAnsi="IRNazanin" w:eastAsia="IRNazanin"/>
          <w:color w:val="111111"/>
          <w:sz w:val="28"/>
          <w:sz w:val="28"/>
          <w:szCs w:val="28"/>
          <w:rtl w:val="true"/>
          <w:lang w:bidi="fa-IR"/>
        </w:rPr>
        <w:t>صرّح بطهرهما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نجساً كان أو متنجساً و إن لم يقبل التطهير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رماداً أو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بُخاراً في المشهور؛ لخروجه عن مسمّى العين النجسة، و عدم المصرّح بأنّها لا تطهر أصلاً، فيكون المتيقّن من تطهيرها هو ما ذكروه، و اختلف كلام سلّار فلم يذكر النار في عِداد المطهّرات و حكم بنجاسة الخبز الذي عجن دقيقه بماء نجس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تزيل حكم النّجاسة عن المَرَق الذي وقع فيه دم و غلى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الحكم في الأعيان النجسة لا شبهة فيه في غير البخار و لا قاضي بالتردّد فيه سوى توهّم استصحاب النجاسة، و لا إشكال في تبدّل موضوعه أو الشكّ فيه، و معه يسقط حديثه، مع ما قضى بطهارة الرّماد؛ لاندراجه في جملة الأشياء الطّاهرة فتأمّل، و لخصوص صحيحة ابن محبوب الناطقة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و النّار قد طهّراه </w:t>
      </w:r>
      <w:r>
        <w:rPr>
          <w:rFonts w:eastAsia="Amiri" w:cs="Amiri" w:ascii="Amiri" w:hAnsi="Amiri"/>
          <w:color w:val="111111"/>
          <w:sz w:val="28"/>
          <w:szCs w:val="28"/>
          <w:rtl w:val="true"/>
          <w:lang w:bidi="ar-SA"/>
        </w:rPr>
        <w:t xml:space="preserve">»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قرب الإسناد عن الجصّ يطبخ بالعذرة أ يصلح أن يجصّص به المسجد؟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بأنّ العذرة أعمّ من النّجس، و العظام طاهرة بالذات، فحمل العذرة على فضلة الإنسان أوّل الدعوى ليدلّ الجواب على طهارة الجصّ الملاقي لدخانها و رمادها، و أنّ ظاهر التعليل لا يطابق القواعد؛ لاشتماله على الماء الذي لا يفيد تطهير الجصّ بعد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نجاسة الجصّ و تطهيره بالنار لا محصّل له، و هو ظاهر الخبر، فإنّ النار ما أحالت الجص لو فرض نجاسته، و لا يفيد نفي البأس عن السّجود عليه في الطّهارة؛ إذ صحّة السّجود عليه و لو كان طاهراً محلّ إشكال، و على فرضه فهو لم ينجس ليطهر؛ لأنه إنّما لاقى دخان العذرة، و هو غير منجس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تمحّل في حملها بأنّ غرض السائل نجاسة الجص إذا بلّل؛ لملاقاته لتراب العذرة، فأجاب بأنّ ذلك لا ينجّسه؛ لأنّ الماء و النّار شأنهما التطهير له إذا تنجّس فكيف ينجسانه، فيكون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طهّراه </w:t>
      </w:r>
      <w:r>
        <w:rPr>
          <w:rFonts w:eastAsia="IRNazanin" w:cs="IRNazanin"/>
          <w:color w:val="111111"/>
          <w:sz w:val="28"/>
          <w:szCs w:val="28"/>
          <w:rtl w:val="true"/>
          <w:lang w:bidi="fa-IR"/>
        </w:rPr>
        <w:t xml:space="preserve">» </w:t>
      </w:r>
      <w:r>
        <w:rPr>
          <w:rStyle w:val="FootnoteAnchor"/>
          <w:rtl w:val="true"/>
        </w:rPr>
        <w:footnoteReference w:id="2474"/>
      </w:r>
      <w:r>
        <w:rPr>
          <w:rFonts w:ascii="Amiri" w:hAnsi="Amiri" w:eastAsia="Amiri" w:cs="Amiri"/>
          <w:color w:val="111111"/>
          <w:sz w:val="28"/>
          <w:sz w:val="28"/>
          <w:szCs w:val="28"/>
          <w:rtl w:val="true"/>
          <w:lang w:bidi="ar-SA"/>
        </w:rPr>
        <w:t>، المبالغة في عدم تنجيسه لا الحكم بأنّه متنجّس و قد طهر بهما، أو أنّ المراد بالتطهير مجرّد التسبّب للطهارة فيكون المعنى أنّ ما خالطه قبل الرّماديّة لا يؤثِّر فيه بعد الإحالة إليها أو أنّ المراد التنظيف من التطهير أو إزالة عين النجاسة عنه فسُمِّيَ تطهيراً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الماء فالتطهير فيه بمعنى التنظيف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الإنصاف أنّ الرّواية غير صالحة الدلالة على المدّعى، بل ظاهرها نجاسة الجصّ بعد استحالة العذرة و العظام و أنّه يطهر بالنار و الماء، فيؤخذ بالمدّعى و يعرض عن الدّليل؛ لإجماله، و لا يكفي مقالة البعض </w:t>
      </w:r>
      <w:r>
        <w:rPr>
          <w:rStyle w:val="FootnoteAnchor"/>
          <w:rtl w:val="true"/>
        </w:rPr>
        <w:footnoteReference w:id="2475"/>
      </w:r>
      <w:r>
        <w:rPr>
          <w:rFonts w:ascii="Amiri" w:hAnsi="Amiri" w:eastAsia="Amiri" w:cs="Amiri"/>
          <w:color w:val="111111"/>
          <w:sz w:val="28"/>
          <w:sz w:val="28"/>
          <w:szCs w:val="28"/>
          <w:rtl w:val="true"/>
          <w:lang w:bidi="ar-SA"/>
        </w:rPr>
        <w:t>بأن التطهير بالنّسبة إلى النار أُريدَ به معناه الشرعي و إلى الماء مجرّد النّظافة، و أنّه لا معنى مانع من الجمع بين المعنيين بقرينتهما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فضرورة مطابقة الجواب للسؤال تعيّن الأوّل، و الإجماع يعيّن الثاني، أو أنّه من باب عموم المجاز، فإنّ هذا على خلاف التحقيق في المسألة الأصوليّة، مع أنّه لا يكفي؛ لعدم صحّة </w:t>
      </w:r>
    </w:p>
    <w:p>
      <w:pPr>
        <w:pStyle w:val="BookText"/>
        <w:rPr/>
      </w:pPr>
      <w:r>
        <w:rPr>
          <w:rFonts w:ascii="Amiri" w:hAnsi="Amiri" w:eastAsia="Amiri" w:cs="Amiri"/>
          <w:color w:val="111111"/>
          <w:sz w:val="28"/>
          <w:sz w:val="28"/>
          <w:szCs w:val="28"/>
          <w:rtl w:val="true"/>
          <w:lang w:bidi="ar-SA"/>
        </w:rPr>
        <w:t>رجوع الضمير إلى العذرة و الجص معاً و إن صحّ الجمع بين معنيين في استعمال واحد، فإنّه من خواص أسماء الأجناس لا الضمائر و سائر المبهمات، و لو خصّ الضمير برجوعه إلى الجصّ فقط و تصرّف في نسبة التطهير بأن يجعل المانع عن تلوّث الجصّ، و هو النار، و المطهّر للعذرة بمنزلة المطهّر له؛ إذ لو لا تطهيره للعذرة لتنجّس الجصّ، فالدافع و الرافع مشتركان في النتيجة كان تكليفاً آخر، فلا مناص عن حمل الرواية على أنّ التطهير مراد به التنظيف عن النفرة الحاصلة فيهما معاً، و ليس فيه شيء سوى حمل التطهير على غير معناه الشرعي، و 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المتنجّس المستحيل فقيل بطهارته للأولويّة، و بنجاسته لبقاء موضوعها، و هو الجسم المتنجّس، و أُجيب باحتمال مدخليّة الصورة النوعيّة في الموضوع فلا يحرز بقاؤه، و ردّ بالنقض إذا صار فحماً، أو صار حقيقة متوسطة بين الخشب و الفحم، فإنّهم لا يحكمون بالطّهارة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فيؤيّد ذلك أنّ الموضوع هو الجسم، و يدلّ عليه أيضاً اختلاف النجاسة و سائر الأحكام الشرعيّة في بعض صور الانقلاب و التبدّل بقاءً و ارتفاعاً، كما لو صار الماء النجس خلاً أو عرقاً، فإنّه يبقى على النجاسة على الأقوى، و لا يجوز استعماله في الوضوء و رفع الحَدَث إذا انقلب كذلك، و هو طاهر بلا خلاف، و حينئذٍ فاعتبار الصور النوعيّة في الموضوع مطلقاً لا يخلو من إشكال و غموض</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ظاهر إطلاق الإجماع في كلام المصنّف و غيره </w:t>
      </w:r>
      <w:r>
        <w:rPr>
          <w:rStyle w:val="FootnoteAnchor"/>
          <w:rtl w:val="true"/>
        </w:rPr>
        <w:footnoteReference w:id="2476"/>
      </w:r>
      <w:r>
        <w:rPr>
          <w:rFonts w:ascii="Amiri" w:hAnsi="Amiri" w:eastAsia="Amiri" w:cs="Amiri"/>
          <w:color w:val="111111"/>
          <w:sz w:val="28"/>
          <w:sz w:val="28"/>
          <w:szCs w:val="28"/>
          <w:rtl w:val="true"/>
          <w:lang w:bidi="ar-SA"/>
        </w:rPr>
        <w:t xml:space="preserve">على طهارة ما أحالته النار يقضي بشموله للمتنجّس، بل المفاتيح </w:t>
      </w:r>
      <w:r>
        <w:rPr>
          <w:rStyle w:val="FootnoteAnchor"/>
          <w:rtl w:val="true"/>
        </w:rPr>
        <w:footnoteReference w:id="2477"/>
      </w:r>
      <w:r>
        <w:rPr>
          <w:rFonts w:ascii="Amiri" w:hAnsi="Amiri" w:eastAsia="Amiri" w:cs="Amiri"/>
          <w:color w:val="111111"/>
          <w:sz w:val="28"/>
          <w:sz w:val="28"/>
          <w:szCs w:val="28"/>
          <w:rtl w:val="true"/>
          <w:lang w:bidi="ar-SA"/>
        </w:rPr>
        <w:t xml:space="preserve">استظهار ذلك، و صريح جامع المقاصد </w:t>
      </w:r>
      <w:r>
        <w:rPr>
          <w:rStyle w:val="FootnoteAnchor"/>
          <w:rtl w:val="true"/>
        </w:rPr>
        <w:footnoteReference w:id="2478"/>
      </w:r>
      <w:r>
        <w:rPr>
          <w:rFonts w:ascii="Amiri" w:hAnsi="Amiri" w:eastAsia="Amiri" w:cs="Amiri"/>
          <w:color w:val="111111"/>
          <w:sz w:val="28"/>
          <w:sz w:val="28"/>
          <w:szCs w:val="28"/>
          <w:rtl w:val="true"/>
          <w:lang w:bidi="ar-SA"/>
        </w:rPr>
        <w:t xml:space="preserve">الإجماع صريحاً، بل لم أعثر على مخالف صريحاً و إن كان عدم العلم بالخلاف لا يورث العلم بالوفاق، بل أقصاه الظنّ، و هو مشكل بعد ملاحظة اختصاص عنوان الاستحالة في نجس العين بجملة كلماتهم، و بعد احتمال تعويل المخبرين على اجتهادهم الناشئ من الأولويّة أو استنباط </w:t>
      </w:r>
    </w:p>
    <w:p>
      <w:pPr>
        <w:pStyle w:val="BookText"/>
        <w:rPr/>
      </w:pPr>
      <w:r>
        <w:rPr>
          <w:rFonts w:ascii="IRNazanin" w:hAnsi="IRNazanin" w:eastAsia="IRNazanin"/>
          <w:color w:val="111111"/>
          <w:sz w:val="28"/>
          <w:sz w:val="28"/>
          <w:szCs w:val="28"/>
          <w:rtl w:val="true"/>
          <w:lang w:bidi="fa-IR"/>
        </w:rPr>
        <w:t>المناط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فإِنْ تَمّ الإجماع و إلَّا ففي الحكم إشكال؛ للاستصحاب، و الركون إلى صحيحة ابن محبوب </w:t>
      </w:r>
      <w:r>
        <w:rPr>
          <w:rStyle w:val="FootnoteAnchor"/>
          <w:rtl w:val="true"/>
        </w:rPr>
        <w:footnoteReference w:id="2479"/>
      </w:r>
      <w:r>
        <w:rPr>
          <w:rFonts w:ascii="Amiri" w:hAnsi="Amiri" w:eastAsia="Amiri" w:cs="Amiri"/>
          <w:color w:val="111111"/>
          <w:sz w:val="28"/>
          <w:sz w:val="28"/>
          <w:szCs w:val="28"/>
          <w:rtl w:val="true"/>
          <w:lang w:bidi="ar-SA"/>
        </w:rPr>
        <w:t>لا يجدي بعدما عرفت المناقشة، و لا ينفع أنّ عظام الموتى نجاستها عرضيّة بالعذرة، و قد حكم فيها بالخبر بالطهارة من جهة جواز السّجود على الجصّ المختلط برمادها؛ لانصراف العذرة لغير عذرة الإنسان، و لأنّ صيرورة العظام رماداً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فرضه، فلعلّه طهر بمطر أو غيره، و أصالة بقائها لا يفيد إثبات عدم جواز السّجود على الجصّ؛ لأنه من الأُصول المثبتة على فرض صحّة السجود عليه، مع أنّ ملاحظة العلّة فيها تسقط الاستدلال بها رأساً، فلا تصلح برهاناً و إن ذهبنا إلى الطهارة في الرّماد مطلقاً، بل و الدّخان كذلك خلافاً للمبسوط </w:t>
      </w:r>
      <w:r>
        <w:rPr>
          <w:rStyle w:val="FootnoteAnchor"/>
          <w:rtl w:val="true"/>
        </w:rPr>
        <w:footnoteReference w:id="2480"/>
      </w:r>
      <w:r>
        <w:rPr>
          <w:rFonts w:ascii="Amiri" w:hAnsi="Amiri" w:eastAsia="Amiri" w:cs="Amiri"/>
          <w:color w:val="111111"/>
          <w:sz w:val="28"/>
          <w:sz w:val="28"/>
          <w:szCs w:val="28"/>
          <w:rtl w:val="true"/>
          <w:lang w:bidi="ar-SA"/>
        </w:rPr>
        <w:t>و النهاية، و في الأخير بعد الحكم بطهارة الدّخان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اشتمل الدخان على بعض الأجزاء النّجسة نجس؛ و لذا نهي عن الاستصباح بالدّهن النجس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إن عَمّ جميع الأزمنة باعتبار تأثير الحرارة لغا ما ذكره أوّلاً، و إن قصر على دخان الدّهن النجس سقط تعليله؛ لعدم الفرق بينه و بين غيره، مع منع كون مثل هذه الأجزاء تورث نجاسة لانتفاء الاسم الذي يدور مداره الحكم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صار فحماً فقد توقّف في الطهارة جماعة </w:t>
      </w:r>
      <w:r>
        <w:rPr>
          <w:rStyle w:val="FootnoteAnchor"/>
          <w:rtl w:val="true"/>
        </w:rPr>
        <w:footnoteReference w:id="2482"/>
      </w:r>
      <w:r>
        <w:rPr>
          <w:rFonts w:ascii="Amiri" w:hAnsi="Amiri" w:eastAsia="Amiri" w:cs="Amiri"/>
          <w:color w:val="111111"/>
          <w:sz w:val="28"/>
          <w:sz w:val="28"/>
          <w:szCs w:val="28"/>
          <w:rtl w:val="true"/>
          <w:lang w:bidi="ar-SA"/>
        </w:rPr>
        <w:t xml:space="preserve">للشكّ في صدق الاستحالة، و فصّل بعض </w:t>
      </w:r>
      <w:r>
        <w:rPr>
          <w:rStyle w:val="FootnoteAnchor"/>
          <w:rtl w:val="true"/>
        </w:rPr>
        <w:footnoteReference w:id="2483"/>
      </w:r>
      <w:r>
        <w:rPr>
          <w:rFonts w:ascii="Amiri" w:hAnsi="Amiri" w:eastAsia="Amiri" w:cs="Amiri"/>
          <w:color w:val="111111"/>
          <w:sz w:val="28"/>
          <w:sz w:val="28"/>
          <w:szCs w:val="28"/>
          <w:rtl w:val="true"/>
          <w:lang w:bidi="ar-SA"/>
        </w:rPr>
        <w:t>بين النّجس فالطهارة و المتنجّس فالنجاسة، و كأنّ من بنى على الأوّل يزعم أنّ الدّليل في مسألة الاستحالة زوال الاسم لا الإجماعات، و معه الأوفق هو الطهارة، و إلَّا فالنجاسة أقوى؛ لانصراف الاستحالة إلى نحو ما مثلّوا به من الرّماد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تأمّل الشارح في غيره </w:t>
      </w:r>
      <w:r>
        <w:rPr>
          <w:rStyle w:val="FootnoteAnchor"/>
          <w:rtl w:val="true"/>
        </w:rPr>
        <w:footnoteReference w:id="2484"/>
      </w:r>
      <w:r>
        <w:rPr>
          <w:rFonts w:ascii="Amiri" w:hAnsi="Amiri" w:eastAsia="Amiri" w:cs="Amiri"/>
          <w:color w:val="111111"/>
          <w:sz w:val="28"/>
          <w:sz w:val="28"/>
          <w:szCs w:val="28"/>
          <w:rtl w:val="true"/>
          <w:lang w:bidi="ar-SA"/>
        </w:rPr>
        <w:t>في العجين إذا استحال خبزاً، فما حال الفحم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هنا ما أحالته النار رماداً و دخاناً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خزفاً و لا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استحالة فيهما مخرجة عن الحقيقة، و اختلاف الاسم لا يجدي، مع أنّ الحجر أقوى تصلّباً منهما و لم يخرج عن اسم الأرض مع اشتراكهما في العلّة التي هي عمل الحرارة في أرض أصابتها رطوبة، فهما بالطريق الأَولى، كذا علل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منع يجيء في التيمّم، فالأقوى عدم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المصنّف </w:t>
      </w:r>
      <w:r>
        <w:rPr>
          <w:rStyle w:val="FootnoteAnchor"/>
          <w:rtl w:val="true"/>
        </w:rPr>
        <w:footnoteReference w:id="2485"/>
      </w:r>
      <w:r>
        <w:rPr>
          <w:rFonts w:ascii="Amiri" w:hAnsi="Amiri" w:eastAsia="Amiri" w:cs="Amiri"/>
          <w:color w:val="111111"/>
          <w:sz w:val="28"/>
          <w:sz w:val="28"/>
          <w:szCs w:val="28"/>
          <w:rtl w:val="true"/>
          <w:lang w:bidi="ar-SA"/>
        </w:rPr>
        <w:t>في غير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قوّى قول الشيخ بالطهارة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عبارته في الذكرى و الدّروس </w:t>
      </w:r>
      <w:r>
        <w:rPr>
          <w:rStyle w:val="FootnoteAnchor"/>
          <w:rtl w:val="true"/>
        </w:rPr>
        <w:footnoteReference w:id="2486"/>
      </w:r>
      <w:r>
        <w:rPr>
          <w:rFonts w:ascii="IRNazanin" w:hAnsi="IRNazanin" w:eastAsia="IRNazanin"/>
          <w:color w:val="111111"/>
          <w:sz w:val="28"/>
          <w:sz w:val="28"/>
          <w:szCs w:val="28"/>
          <w:rtl w:val="true"/>
          <w:lang w:bidi="fa-IR"/>
        </w:rPr>
        <w:t>فلا یظهر منها الجزم بالمنسوب إلیه و إن اقتصر علی نسبة الّطهارة للشیخ فیهما، و مثلهما الفحم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النورة و الجصّ فكذلك إلَّا إذا حكمنا بطهارة دخان متنجّس الخشب، فيشكل الفرق بينها في الاستحالة، و كيفيّتها قد تؤيّد الطّهارة بإرجاع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الجص في الخبر، على تقريب الأمارة في أنّ رسومات العظام و رطوبات العذرة تسري إلى حجر الجصّ لم يجز السّجود عليه و لا تجصيص المسجد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تطهير النار للجصّ تطهيره لما لولاه لكان مانعاً من السّجود و التجصيص للمخالطة، و كأنّ ظاهر كشف اللّثام </w:t>
      </w:r>
      <w:r>
        <w:rPr>
          <w:rStyle w:val="FootnoteAnchor"/>
          <w:rtl w:val="true"/>
        </w:rPr>
        <w:footnoteReference w:id="2487"/>
      </w:r>
      <w:r>
        <w:rPr>
          <w:rFonts w:ascii="Amiri" w:hAnsi="Amiri" w:eastAsia="Amiri" w:cs="Amiri"/>
          <w:color w:val="111111"/>
          <w:sz w:val="28"/>
          <w:sz w:val="28"/>
          <w:szCs w:val="28"/>
          <w:rtl w:val="true"/>
          <w:lang w:bidi="ar-SA"/>
        </w:rPr>
        <w:t xml:space="preserve">و الرياض </w:t>
      </w:r>
      <w:r>
        <w:rPr>
          <w:rStyle w:val="FootnoteAnchor"/>
          <w:rtl w:val="true"/>
        </w:rPr>
        <w:footnoteReference w:id="2488"/>
      </w:r>
      <w:r>
        <w:rPr>
          <w:rFonts w:ascii="Amiri" w:hAnsi="Amiri" w:eastAsia="Amiri" w:cs="Amiri"/>
          <w:color w:val="111111"/>
          <w:sz w:val="28"/>
          <w:sz w:val="28"/>
          <w:szCs w:val="28"/>
          <w:rtl w:val="true"/>
          <w:lang w:bidi="ar-SA"/>
        </w:rPr>
        <w:t>ذلك، بل هو لازم كلّ من قال بطهارة الخزف و الآجر بالفحوى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ليس في جواز التّيمم و منعه هنا دلالة على شيء من الطهارة و النجاسة، إذ لا منافاة بين بقاء صفة الأرضيّة المجوّزة له و زوال النجاسة؛ لجهة عروضها للصفة النّوعية لا </w:t>
      </w:r>
    </w:p>
    <w:p>
      <w:pPr>
        <w:pStyle w:val="BookText"/>
        <w:rPr/>
      </w:pPr>
      <w:r>
        <w:rPr>
          <w:rFonts w:ascii="Amiri" w:hAnsi="Amiri" w:eastAsia="Amiri" w:cs="Amiri"/>
          <w:color w:val="111111"/>
          <w:sz w:val="28"/>
          <w:sz w:val="28"/>
          <w:szCs w:val="28"/>
          <w:rtl w:val="true"/>
          <w:lang w:bidi="ar-SA"/>
        </w:rPr>
        <w:t>الشخصيّة حسبما قالوا بطهارة رماد الخشب المتنجّس، فتزول حينئذٍ بزوالها و تبقى الشخصيّة على حالها، أو لجهة تغيّر الموضوع عرفاً كما في الانتقال؛ لبقاء دم الإنسان على حقيقته في بطن البعوضة و مع ذلك لا يجري الاستصحاب؛ لتبدّل الاسم و إن بقت الحقيقة، فتشمله أدلّة طهارة دم ما لا نفس له و غيره من الأدلّة الخاصّة، و يرجع فيما لا يشمله دليل خاص إلى أصالة الطهارة لو كان له اسم ثان، و لا يعارضه استصحاب النجاسة؛ لأنّ العموم مقدّم عليه مزيل لحكمه، و ليس المقام ممّا تقدّم فيه الأُصول الموضوعيّة على العموم؛ لأنه من الشك في الشبهة الموضوعيّة كما أحكمناه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لو شكّ في الاستحالة مع تبدّل الاسم عرفاً يتبع الحكم الاسم الثاني، و مع فقده يقوى القول بالنجاسة، و عليه فيشكل نجاسة الفحم و غيره؛ للتبدّل، و الشك فيها و حرمة الفحم فيما كان حلالاً قبله قد تعضد الاستحالة و تبدّل الحقيقة و إن أمكن حمل الحرمة فيها على هذا الصّنف نحو حرمة العصير بعد الغليان و لم يكن حقيقة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الذي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بنزح المقدّر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أبدله بالنزح لكان أَولى كي يعمّ ما يجب فيه نزح الكلّ أو جفافه كلّه بلا نزح؛ إذ الظاهر أنّ المصدر مضاف إلى المفعول، و أنّه من المتعدّي، و لو جعل من اللّازم و مضافاً إلى الفاعل شمل ما ذكرنا و انتقض بنقصان بعض مائها بنفسه من دون نزح، فإنّه يشمله مع أنّه غير مطهّر عنده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المطهّر في البئر ليس هو النقص، بل تجدّد الماء و نبعه، و بدفعه بعد منعه، و إن ظهر من المنجّسين ذلك أنّ الحكم علّق على نزح المقدّر و إن كان السّبب في الطّهارة حقيقةً شيئاً آخر، مع أن ظاهرهم أنّ نزح الجميع إذا وجب تطهر به البئر و إن لم يتجدّد النبع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غنية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يطهر البئر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و النزح مطلقاً حتّى المشتمل على الماء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جدرانه إلى الأعلى إذا تنجس بماء النّزح أو قبله بمنجسه على إشكال، دون ما لو تنجّس بغير ذلك من النجاسات فإنّه لا يطهر، نحو ما لو تنجّس الدّلو خارجاً ثمّ ألقيَ في البئر، فإنّه بمنزلة عين النجاسة التي لا تطهر البئر إلَّا بعد إخراجها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المصنّف في الذكرى </w:t>
      </w:r>
      <w:r>
        <w:rPr>
          <w:rStyle w:val="FootnoteAnchor"/>
          <w:rtl w:val="true"/>
        </w:rPr>
        <w:footnoteReference w:id="2489"/>
      </w:r>
      <w:r>
        <w:rPr>
          <w:rFonts w:ascii="Amiri" w:hAnsi="Amiri" w:eastAsia="Amiri" w:cs="Amiri"/>
          <w:color w:val="111111"/>
          <w:sz w:val="28"/>
          <w:sz w:val="28"/>
          <w:szCs w:val="28"/>
          <w:rtl w:val="true"/>
          <w:lang w:bidi="ar-SA"/>
        </w:rPr>
        <w:t>الإجماع على حكمه هنا، غير أنّ ظاهر العبارة أنّ الحافات تنجّس بماء النزح ثمّ تطهر عند إكمال المقدر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صرّح الفاضلان </w:t>
      </w:r>
      <w:r>
        <w:rPr>
          <w:rStyle w:val="FootnoteAnchor"/>
          <w:rtl w:val="true"/>
        </w:rPr>
        <w:footnoteReference w:id="2490"/>
      </w:r>
      <w:r>
        <w:rPr>
          <w:rFonts w:ascii="Amiri" w:hAnsi="Amiri" w:eastAsia="Amiri" w:cs="Amiri"/>
          <w:color w:val="111111"/>
          <w:sz w:val="28"/>
          <w:sz w:val="28"/>
          <w:szCs w:val="28"/>
          <w:rtl w:val="true"/>
          <w:lang w:bidi="ar-SA"/>
        </w:rPr>
        <w:t xml:space="preserve">بأنّها لا تنجس به و تظهر الثمرة فيها قبل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الرشا و الدلو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للنزح من إصابة مائه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يصحبه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اللباس و غيره ممّا لا بدّ له عادة من مصاحبته؛ لعدم أمر الشارع بالغسل في الجميع كما نصّ عليه المصنّف في غيره </w:t>
      </w:r>
      <w:r>
        <w:rPr>
          <w:rStyle w:val="FootnoteAnchor"/>
          <w:rtl w:val="true"/>
        </w:rPr>
        <w:footnoteReference w:id="2491"/>
      </w:r>
      <w:r>
        <w:rPr>
          <w:rFonts w:ascii="Amiri" w:hAnsi="Amiri" w:eastAsia="Amiri" w:cs="Amiri"/>
          <w:color w:val="111111"/>
          <w:sz w:val="28"/>
          <w:sz w:val="28"/>
          <w:szCs w:val="28"/>
          <w:rtl w:val="true"/>
          <w:lang w:bidi="ar-SA"/>
        </w:rPr>
        <w:t>، و على اختيارهما في أحكام البئر يقوى القول بتنجيس الأخيرين؛ لعدم المشقّة و المتيقّن قصر التطهير على غيرهما، و مع الشك تستصحب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ذهاب ثُلثي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بنار أو غيرها من جفاف أو هواء أو طول مَكْث أو بإشراق الشمس عليه،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للثُّلث الآخر على القول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أصاب شيئاً و هو نجس ثمّ ذهب ثُلثاه عليه طهر المصيب و المصاب، و الحكم في الذّهاب بالنّار لا شبهة فيه نصّاً و فتوى </w:t>
      </w:r>
      <w:r>
        <w:rPr>
          <w:rStyle w:val="FootnoteAnchor"/>
          <w:rtl w:val="true"/>
        </w:rPr>
        <w:footnoteReference w:id="2492"/>
      </w:r>
      <w:r>
        <w:rPr>
          <w:rFonts w:ascii="IRNazanin" w:hAnsi="IRNazanin" w:eastAsia="IRNazanin"/>
          <w:color w:val="111111"/>
          <w:sz w:val="28"/>
          <w:sz w:val="28"/>
          <w:szCs w:val="28"/>
          <w:rtl w:val="true"/>
          <w:lang w:bidi="fa-IR"/>
        </w:rPr>
        <w:t xml:space="preserve">، بل نقل الإجماع </w:t>
      </w:r>
      <w:r>
        <w:rPr>
          <w:rStyle w:val="FootnoteAnchor"/>
          <w:rtl w:val="true"/>
        </w:rPr>
        <w:footnoteReference w:id="2493"/>
      </w:r>
      <w:r>
        <w:rPr>
          <w:rFonts w:ascii="Amiri" w:hAnsi="Amiri" w:eastAsia="Amiri" w:cs="Amiri"/>
          <w:color w:val="111111"/>
          <w:sz w:val="28"/>
          <w:sz w:val="28"/>
          <w:szCs w:val="28"/>
          <w:rtl w:val="true"/>
          <w:lang w:bidi="ar-SA"/>
        </w:rPr>
        <w:t>عليه ، و في غيرها يقتضيه إطلاق أكثر العبارات و الفتاوى لإطلاق النصّ إن لم يصرف إلى الغالب، و هو الذّهاب بالنّار، فيبقى أصالتا بقاء النجاسة و التحريم إلى أن يحصل اليقين بالرافع بحالها، لكن مخالفة المشهور ممّا تعظم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تغيّر العصير أو غلى فلا خير فيه حتّى يذهب ثلثاه</w:t>
      </w:r>
      <w:r>
        <w:rPr>
          <w:rFonts w:eastAsia="IRNazanin" w:cs="IRNazanin"/>
          <w:color w:val="111111"/>
          <w:sz w:val="28"/>
          <w:szCs w:val="28"/>
          <w:rtl w:val="true"/>
          <w:lang w:bidi="fa-IR"/>
        </w:rPr>
        <w:t xml:space="preserve">» </w:t>
      </w:r>
      <w:r>
        <w:rPr>
          <w:rStyle w:val="FootnoteAnchor"/>
          <w:rtl w:val="true"/>
        </w:rPr>
        <w:footnoteReference w:id="2494"/>
      </w:r>
      <w:r>
        <w:rPr>
          <w:rFonts w:ascii="Amiri" w:hAnsi="Amiri" w:eastAsia="Amiri" w:cs="Amiri"/>
          <w:color w:val="111111"/>
          <w:sz w:val="28"/>
          <w:sz w:val="28"/>
          <w:szCs w:val="28"/>
          <w:rtl w:val="true"/>
          <w:lang w:bidi="ar-SA"/>
        </w:rPr>
        <w:t>عام للجميع، فالأظهر ما عليه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لا فرق بين الكَيْل و الوَزن في الحكم؛ لأنهما منصوصان في رواية عقبة بن خالد </w:t>
      </w:r>
      <w:r>
        <w:rPr>
          <w:rStyle w:val="FootnoteAnchor"/>
          <w:rtl w:val="true"/>
        </w:rPr>
        <w:footnoteReference w:id="2495"/>
      </w:r>
      <w:r>
        <w:rPr>
          <w:rFonts w:ascii="Amiri" w:hAnsi="Amiri" w:eastAsia="Amiri" w:cs="Amiri"/>
          <w:color w:val="111111"/>
          <w:sz w:val="28"/>
          <w:sz w:val="28"/>
          <w:szCs w:val="28"/>
          <w:rtl w:val="true"/>
          <w:lang w:bidi="ar-SA"/>
        </w:rPr>
        <w:t xml:space="preserve">، و روايتي عمّار </w:t>
      </w:r>
      <w:r>
        <w:rPr>
          <w:rStyle w:val="FootnoteAnchor"/>
          <w:rtl w:val="true"/>
        </w:rPr>
        <w:footnoteReference w:id="2496"/>
      </w:r>
      <w:r>
        <w:rPr>
          <w:rFonts w:ascii="Amiri" w:hAnsi="Amiri" w:eastAsia="Amiri" w:cs="Amiri"/>
          <w:color w:val="111111"/>
          <w:sz w:val="28"/>
          <w:sz w:val="28"/>
          <w:szCs w:val="28"/>
          <w:rtl w:val="true"/>
          <w:lang w:bidi="ar-SA"/>
        </w:rPr>
        <w:t xml:space="preserve">المتقدِّمتين و إن تبادر الوزن للذّهن، فإنّ غَلَبة اعتبار العصير الطّبخ بالكيل و المساحة الراجعة إليه و تعسّر الوزن غالباً ممّا يوهن ذلك التبادر، و في الجواهر </w:t>
      </w:r>
      <w:r>
        <w:rPr>
          <w:rStyle w:val="FootnoteAnchor"/>
          <w:rtl w:val="true"/>
        </w:rPr>
        <w:footnoteReference w:id="2497"/>
      </w:r>
      <w:r>
        <w:rPr>
          <w:rFonts w:ascii="Amiri" w:hAnsi="Amiri" w:eastAsia="Amiri" w:cs="Amiri"/>
          <w:color w:val="111111"/>
          <w:sz w:val="28"/>
          <w:sz w:val="28"/>
          <w:szCs w:val="28"/>
          <w:rtl w:val="true"/>
          <w:lang w:bidi="ar-SA"/>
        </w:rPr>
        <w:t>بعد إضافة المساحة إليهما أنّهما أحوط، و لم يعرف الفرق بين المساحة و الكيل، فإنّها ترجع إليه و يرجع إليها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بدّ من تقديم الوزن إذا تعارض مع غيره؛ لتبادره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على الثلث فهو حرام</w:t>
      </w:r>
      <w:r>
        <w:rPr>
          <w:rFonts w:eastAsia="IRNazanin" w:cs="IRNazanin"/>
          <w:color w:val="111111"/>
          <w:sz w:val="28"/>
          <w:szCs w:val="28"/>
          <w:rtl w:val="true"/>
          <w:lang w:bidi="fa-IR"/>
        </w:rPr>
        <w:t xml:space="preserve">» </w:t>
      </w:r>
      <w:r>
        <w:rPr>
          <w:rStyle w:val="FootnoteAnchor"/>
          <w:rtl w:val="true"/>
        </w:rPr>
        <w:footnoteReference w:id="2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كذلك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يعالج بها و الآنية و إن علقت بعض أجزائه بأطرافه الفوقانيّة،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لاقى شيئاً من العصير قبل التّليث </w:t>
      </w:r>
      <w:r>
        <w:rPr>
          <w:rFonts w:eastAsia="Amiri" w:cs="Amiri" w:ascii="Amiri" w:hAnsi="Amiri"/>
          <w:color w:val="111111"/>
          <w:sz w:val="28"/>
          <w:szCs w:val="28"/>
          <w:rtl w:val="true"/>
          <w:lang w:bidi="ar-SA"/>
        </w:rPr>
        <w:t xml:space="preserve">- </w:t>
      </w:r>
      <w:r>
        <w:rPr>
          <w:rStyle w:val="FootnoteAnchor"/>
          <w:rtl w:val="true"/>
        </w:rPr>
        <w:footnoteReference w:id="2499"/>
      </w:r>
      <w:r>
        <w:rPr>
          <w:rFonts w:ascii="IRNazanin" w:hAnsi="IRNazanin" w:eastAsia="IRNazanin"/>
          <w:color w:val="111111"/>
          <w:sz w:val="28"/>
          <w:sz w:val="28"/>
          <w:szCs w:val="28"/>
          <w:rtl w:val="true"/>
          <w:lang w:bidi="fa-IR"/>
        </w:rPr>
        <w:t>و أجزاء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المستند ظهور ما دلّ على طهارة العصير بشرطه في طهارتها من طريق لوازم الخطاب، و معناه ثبوت الحكم لموضوع آخر من جهة ملازمته الغالبيّة لموضوع ذلك الحكم؛ إذ لو لم يتّحدا في الحكم لوجب البيان على المتكلِّم و إلَّا يبطل الانتفاع بحكمه؛ لتعسّره و لا يحسن منه السّكوت عنه و إيكاله إلى ما تقتضيه القواعد العامّة أو إلى مقام آخر، و هو المعبّر عنه بالتبعيّة المطهّرة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القدر المتيقّن منها في المقام نحو طهارة ما باشر العصير حتّى يذهب ثلثاه ممّا لا بدّ منه لا مطلقاً، فلو باشر العامل قدوراً متعدّدةً لا يطهر ما باشرها جميعاً بذهاب الثُّلثين من بعضها، و لو خرجت الآلة قبل الذهاب و رجعت بعده نجس الثُّلث الطاهر بها؛ لعدم إطلاق يقضي بكون التبعيّة المطلقة من المطهّرات إلَّا إذا قلنا بأنّ التبعيّة تدور مدار المتعارف </w:t>
      </w:r>
    </w:p>
    <w:p>
      <w:pPr>
        <w:pStyle w:val="BookText"/>
        <w:rPr/>
      </w:pPr>
      <w:r>
        <w:rPr>
          <w:rFonts w:ascii="Amiri" w:hAnsi="Amiri" w:eastAsia="Amiri" w:cs="Amiri"/>
          <w:color w:val="111111"/>
          <w:sz w:val="28"/>
          <w:sz w:val="28"/>
          <w:szCs w:val="28"/>
          <w:rtl w:val="true"/>
          <w:lang w:bidi="ar-SA"/>
        </w:rPr>
        <w:t>دون اللآبديّة، و المتعارف تكرار الإدخال و الإخراج في الآلة و عدم مسح الأجزاء العالقة بها عند الإدخال و إن لم يذهب ثُلثا العالق بها أو برجوعه للقدر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الأمر في الآلة المشتركة إذا ذهب ثلثا أحد القدور، و الظاهر نجاسة الطاهر كذلك بعودها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الأجسام الطّاهرة الموضوعة فيه غيرها فتطهر أيضاً تبعاً كما صرّح به غير واحد </w:t>
      </w:r>
      <w:r>
        <w:rPr>
          <w:rStyle w:val="FootnoteAnchor"/>
          <w:rtl w:val="true"/>
        </w:rPr>
        <w:footnoteReference w:id="2500"/>
      </w:r>
      <w:r>
        <w:rPr>
          <w:rFonts w:ascii="Amiri" w:hAnsi="Amiri" w:eastAsia="Amiri" w:cs="Amiri"/>
          <w:color w:val="111111"/>
          <w:sz w:val="28"/>
          <w:sz w:val="28"/>
          <w:szCs w:val="28"/>
          <w:rtl w:val="true"/>
          <w:lang w:bidi="ar-SA"/>
        </w:rPr>
        <w:t xml:space="preserve">، و استظهره القمي </w:t>
      </w:r>
      <w:r>
        <w:rPr>
          <w:rStyle w:val="FootnoteAnchor"/>
          <w:rtl w:val="true"/>
        </w:rPr>
        <w:footnoteReference w:id="2501"/>
      </w:r>
      <w:r>
        <w:rPr>
          <w:rFonts w:ascii="Amiri" w:hAnsi="Amiri" w:eastAsia="Amiri" w:cs="Amiri"/>
          <w:color w:val="111111"/>
          <w:sz w:val="28"/>
          <w:sz w:val="28"/>
          <w:szCs w:val="28"/>
          <w:rtl w:val="true"/>
          <w:lang w:bidi="ar-SA"/>
        </w:rPr>
        <w:t>من الأصحاب في جواب سؤاله، و هو ظاهر الشارح في 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يقدح فيه نجاسة الأجسام الموضوعة فيه قبل ذهاب الثَّلثين، كما يطهر ما فيه من الأجسام بعد انقلابه من الخمريّة إلى الخلّيّة عندنا </w:t>
      </w:r>
      <w:r>
        <w:rPr>
          <w:rStyle w:val="FootnoteAnchor"/>
          <w:rtl w:val="true"/>
        </w:rPr>
        <w:footnoteReference w:id="25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عندنا إن رجع إليهما كان صريحاً بالإجماع أو إلى أنّ الأخير دلّ على الأوّل بالفحوى، و يقضي به ما دلّ على حلّ </w:t>
      </w:r>
      <w:r>
        <w:rPr>
          <w:rStyle w:val="FootnoteAnchor"/>
          <w:rtl w:val="true"/>
        </w:rPr>
        <w:footnoteReference w:id="2503"/>
      </w:r>
      <w:r>
        <w:rPr>
          <w:rFonts w:ascii="Amiri" w:hAnsi="Amiri" w:eastAsia="Amiri" w:cs="Amiri"/>
          <w:color w:val="111111"/>
          <w:sz w:val="28"/>
          <w:sz w:val="28"/>
          <w:szCs w:val="28"/>
          <w:rtl w:val="true"/>
          <w:lang w:bidi="ar-SA"/>
        </w:rPr>
        <w:t xml:space="preserve">العصير بذهاب ثليثه، و خصوص رواية الحصرم </w:t>
      </w:r>
      <w:r>
        <w:rPr>
          <w:rStyle w:val="FootnoteAnchor"/>
          <w:rtl w:val="true"/>
        </w:rPr>
        <w:footnoteReference w:id="2504"/>
      </w:r>
      <w:r>
        <w:rPr>
          <w:rFonts w:ascii="Amiri" w:hAnsi="Amiri" w:eastAsia="Amiri" w:cs="Amiri"/>
          <w:color w:val="111111"/>
          <w:sz w:val="28"/>
          <w:sz w:val="28"/>
          <w:szCs w:val="28"/>
          <w:rtl w:val="true"/>
          <w:lang w:bidi="ar-SA"/>
        </w:rPr>
        <w:t>في نجاسة العصير، فإنّها صريحة في حلّ اللّحم المطروح فيه المطبوخ معه إذا ذهب ثلثاه، لكن كاشف اللّثام حكم بأنّها لو أُعيدت فيه بعد إخراجها منه لم تطهر مطلقاً حتّى لو أُعيدت قبل طهارته و أُزيل ما عليها من الأجزاء</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الأستاذ بشرح الإرشاد حكم بطهارتها كالآلة، و استظهره من كلّ من تعرّض للمسألة و قال بأنّ المتعارف وضع الأجسام في العصير عند طبخه من صدور الحكم؛ لرواية اللّحم التي لم يشترط فيها في طهارته عدم إخراجه قبل ذهاب الثُّلثين </w:t>
      </w:r>
      <w:r>
        <w:rPr>
          <w:rStyle w:val="FootnoteAnchor"/>
          <w:rtl w:val="true"/>
        </w:rPr>
        <w:footnoteReference w:id="2505"/>
      </w:r>
      <w:r>
        <w:rPr>
          <w:rFonts w:ascii="Amiri" w:hAnsi="Amiri" w:eastAsia="Amiri" w:cs="Amiri"/>
          <w:color w:val="111111"/>
          <w:sz w:val="28"/>
          <w:sz w:val="28"/>
          <w:szCs w:val="28"/>
          <w:rtl w:val="true"/>
          <w:lang w:bidi="ar-SA"/>
        </w:rPr>
        <w:t>، و هو كذلك بمعونة إطلاق الفتاوى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لا يشترط ذهاب ثُلثي ما على الأجسام من العصير بعد ذهاب ثُلثي المجموع حتّى عند من اشترط بقاء الأجسام في العصير و عدم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الاشتراط؛ لأنّ إطلاق كلامهم مبنيّ على الغالب من الملازمة بينهما في ذهاب الثَّلثين، و على الأوّل فالظاهر أنّه لا غضاضة في نقل الأجسام من قدر إلى قدر و لو بعد الغليان، فيطهر بذهاب ثلثيه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الأُستاذ من الطّهارة لو طرحت الأجسام مع ما علّق بها في القدر بعد نجاستها بالغليان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طهارتها و طهارة محلّها إشكال </w:t>
      </w:r>
      <w:r>
        <w:rPr>
          <w:rStyle w:val="FootnoteAnchor"/>
          <w:rtl w:val="true"/>
        </w:rPr>
        <w:footnoteReference w:id="250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مرامه رحمه الله إنّ الجسم إذا كان ما عليه من الأجزاء طاهرة لم تتنجّس بالغليان كان حالها حال قطرات الماء الواقعة في العصير، فيكفي ذهاب ثلثيه في الطهارة و إن علم بعدم ذهاب ثلثي الأجزاء، و إن كان ما عليه نجس من جهة غليان العصير السّابق الذي حلّ فيه الاستهلاك لا فائدة فيه، فيبقى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لنا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علمت ظاهر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الأجزاء العالقة بالآلة أو بجسم آخر غيرها و طهارتها بذهاب ثُلثي ما لاقاهما من العصير سواء أخرجا و أُعيدا أو أُخرجا قبل ذهاب الثُّلثين و لم يرجعا إلى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فذهاب الثَّلثين مطهّر مطلقاً، و نفس الانتقال من قدر إلى قدر لا مدخليّة له في التطهير و التنجيس أخذاً بظاهر الإطلاق و الفتاوى، و لو أنّا نقول بمقالته رحمه الله لكان القول بتوقّف طهارة الأجزاء العالقة بالآلة و الجسم على ذهاب ثلثي تلك الأجزاء مطلقاً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2507"/>
      </w:r>
      <w:r>
        <w:rPr>
          <w:rFonts w:ascii="Amiri" w:hAnsi="Amiri" w:eastAsia="Amiri" w:cs="Amiri"/>
          <w:color w:val="111111"/>
          <w:sz w:val="28"/>
          <w:sz w:val="28"/>
          <w:szCs w:val="28"/>
          <w:rtl w:val="true"/>
          <w:lang w:bidi="ar-SA"/>
        </w:rPr>
        <w:t xml:space="preserve">تبعاً للبهائي رحمه الله </w:t>
      </w:r>
      <w:r>
        <w:rPr>
          <w:rStyle w:val="FootnoteAnchor"/>
          <w:rtl w:val="true"/>
        </w:rPr>
        <w:footnoteReference w:id="2508"/>
      </w:r>
      <w:r>
        <w:rPr>
          <w:rFonts w:ascii="Amiri" w:hAnsi="Amiri" w:eastAsia="Amiri" w:cs="Amiri"/>
          <w:color w:val="111111"/>
          <w:sz w:val="28"/>
          <w:sz w:val="28"/>
          <w:szCs w:val="28"/>
          <w:rtl w:val="true"/>
          <w:lang w:bidi="ar-SA"/>
        </w:rPr>
        <w:t>اشتراط حضور المباشر وقت ذهاب الثُّلثين و اشتغاله بالعمل، فلو غاب أو أعرض عن العمل في أثنائه لم يطهر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لإطلاق الأدلّة و الفتاوى في تطهير الآلة و المباشر بدناً و ثياباً غاب أو 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حكمنا بطهارة الأجزاء الفوقانيّة تبعاً و معلوم عدم ذهاب ثلثيها، فإنّ اعتباره في كلّ جزء حَرَج و ضيق غير متعارف، فلو كان لازماً كان التنبيه عليه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التطهير بذهاب الثُّلثين إذا صار خلّاً دون ما كان دبساً و لم يذهب ثُلثاه و إن احتمله الشارح في غيره </w:t>
      </w:r>
      <w:r>
        <w:rPr>
          <w:rStyle w:val="FootnoteAnchor"/>
          <w:rtl w:val="true"/>
        </w:rPr>
        <w:footnoteReference w:id="2509"/>
      </w:r>
      <w:r>
        <w:rPr>
          <w:rFonts w:ascii="Amiri" w:hAnsi="Amiri" w:eastAsia="Amiri" w:cs="Amiri"/>
          <w:color w:val="111111"/>
          <w:sz w:val="28"/>
          <w:sz w:val="28"/>
          <w:szCs w:val="28"/>
          <w:rtl w:val="true"/>
          <w:lang w:bidi="ar-SA"/>
        </w:rPr>
        <w:t xml:space="preserve">و مال إليه المحقّق الثاني بحاشية الإرشاد </w:t>
      </w:r>
      <w:r>
        <w:rPr>
          <w:rStyle w:val="FootnoteAnchor"/>
          <w:rtl w:val="true"/>
        </w:rPr>
        <w:footnoteReference w:id="2510"/>
      </w:r>
      <w:r>
        <w:rPr>
          <w:rFonts w:ascii="Amiri" w:hAnsi="Amiri" w:eastAsia="Amiri" w:cs="Amiri"/>
          <w:color w:val="111111"/>
          <w:sz w:val="28"/>
          <w:sz w:val="28"/>
          <w:szCs w:val="28"/>
          <w:rtl w:val="true"/>
          <w:lang w:bidi="ar-SA"/>
        </w:rPr>
        <w:t>نظراً إلى تغيير الاسم، و الحكمُ يتبعه، و هو ضعيف؛ لكونه كصيرورة الحنطة دقيقاً في بقاء الموضوع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تغيير الأجزاء و انقلابها من حال إلى حال، أو هي تبدّل الصور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أنسب باللغوي </w:t>
      </w:r>
      <w:r>
        <w:rPr>
          <w:rStyle w:val="FootnoteAnchor"/>
          <w:rtl w:val="true"/>
        </w:rPr>
        <w:footnoteReference w:id="2511"/>
      </w:r>
      <w:r>
        <w:rPr>
          <w:rFonts w:ascii="Amiri" w:hAnsi="Amiri" w:eastAsia="Amiri" w:cs="Amiri"/>
          <w:color w:val="111111"/>
          <w:sz w:val="28"/>
          <w:sz w:val="28"/>
          <w:szCs w:val="28"/>
          <w:rtl w:val="true"/>
          <w:lang w:bidi="ar-SA"/>
        </w:rPr>
        <w:t>، و الثاني بالعرفي، و هي تفيد الطهارة جزما لتغيّر موضوع النجاسة في المستحيل لا لطهارة المستحال إليه؛ لعدم اطّراده أوّلاً، و أنّ أدلّة الطّهارة فيه مهملة، أو مجملة من هذه الجهة؛ إذ استحباب أكل الملح، و جواز التيمّم بالتراب لا عموم فيه ليشمل مفروض البحث، فلا جرم أن يكون الباعث على الطّهارة نفس الاستحالة سواء قلنا بأنّ الموضوع هو الصور النوعيّة أو أنّها واسطة في ثبوت الحكم و الموضوع هو الجسم الملموس الخاص؛ لأنّ ارتفاع الموضوع في باب الاستصحاب أعمّ من ذلك؛ و لذا عدّ الشرط أو السبب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مجرّد تبدّل الاسم مع بقاء الموضوع لا يكفي إلَّا أن يكون هو الموضوع أو ملازماً له أو للعلّة المحدثة، ارتفع الحكم قطعاً بقي الاسم أو ارتفع، و متى بقيا بقي الحكم و إن تبدّل الاسم، و هذا في النجس لا كلام فيه؛ و لأجله حكمنا بطهارة دم ما لا نفس له بعد انتقاله من دم ذي النّفس؛ لأنّ كونه من ذي النّفس له دخل في الموضوع</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المتنجّس فيشكل الأمر فيه، بل لا عبرة بانقلابه و تبدّل صورته، و حينئذٍ فبعد تبدّل موضوع النجس لا شكّ في ارتفاع حكم النجاسة قطعاً باستحالة أو غيرها، فمرجع </w:t>
      </w:r>
    </w:p>
    <w:p>
      <w:pPr>
        <w:pStyle w:val="BookText"/>
        <w:rPr/>
      </w:pPr>
      <w:r>
        <w:rPr>
          <w:rFonts w:ascii="Amiri" w:hAnsi="Amiri" w:eastAsia="Amiri" w:cs="Amiri"/>
          <w:color w:val="111111"/>
          <w:sz w:val="28"/>
          <w:sz w:val="28"/>
          <w:szCs w:val="28"/>
          <w:rtl w:val="true"/>
          <w:lang w:bidi="ar-SA"/>
        </w:rPr>
        <w:t xml:space="preserve">الخلاف في خلاف بعض ما تبدّلت صورته النوعيّة، و حصلت فيه الاستحالة الظاهريّة إلى حصول ارتفاع موضوع النجاسة بهذا التغيير و عدمه، و المدّعي </w:t>
      </w:r>
      <w:r>
        <w:rPr>
          <w:rStyle w:val="FootnoteAnchor"/>
          <w:rtl w:val="true"/>
        </w:rPr>
        <w:footnoteReference w:id="2512"/>
      </w:r>
      <w:r>
        <w:rPr>
          <w:rFonts w:ascii="Amiri" w:hAnsi="Amiri" w:eastAsia="Amiri" w:cs="Amiri"/>
          <w:color w:val="111111"/>
          <w:sz w:val="28"/>
          <w:sz w:val="28"/>
          <w:szCs w:val="28"/>
          <w:rtl w:val="true"/>
          <w:lang w:bidi="ar-SA"/>
        </w:rPr>
        <w:t xml:space="preserve">لبقاء النجاسة قائل بعدم الارتفاع، كما أنّ المنكر </w:t>
      </w:r>
      <w:r>
        <w:rPr>
          <w:rStyle w:val="FootnoteAnchor"/>
          <w:rtl w:val="true"/>
        </w:rPr>
        <w:footnoteReference w:id="2513"/>
      </w:r>
      <w:r>
        <w:rPr>
          <w:rFonts w:ascii="Amiri" w:hAnsi="Amiri" w:eastAsia="Amiri" w:cs="Amiri"/>
          <w:color w:val="111111"/>
          <w:sz w:val="28"/>
          <w:sz w:val="28"/>
          <w:szCs w:val="28"/>
          <w:rtl w:val="true"/>
          <w:lang w:bidi="ar-SA"/>
        </w:rPr>
        <w:t>يرى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وقع الخلاف في بعض أفراد الاستحالة و إن اتّفقوا على طهارة بعض أفرادها، 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كالميتة و العذرة تصير 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المعتبر </w:t>
      </w:r>
      <w:r>
        <w:rPr>
          <w:rStyle w:val="FootnoteAnchor"/>
          <w:rtl w:val="true"/>
        </w:rPr>
        <w:footnoteReference w:id="2514"/>
      </w:r>
      <w:r>
        <w:rPr>
          <w:rFonts w:ascii="Amiri" w:hAnsi="Amiri" w:eastAsia="Amiri" w:cs="Amiri"/>
          <w:color w:val="111111"/>
          <w:sz w:val="28"/>
          <w:sz w:val="28"/>
          <w:szCs w:val="28"/>
          <w:rtl w:val="true"/>
          <w:lang w:bidi="ar-SA"/>
        </w:rPr>
        <w:t xml:space="preserve">في طهارتهما إذا استحالا كذلك تردّدٌ، و قبله الشيخ </w:t>
      </w:r>
      <w:r>
        <w:rPr>
          <w:rStyle w:val="FootnoteAnchor"/>
          <w:rtl w:val="true"/>
        </w:rPr>
        <w:footnoteReference w:id="2515"/>
      </w:r>
      <w:r>
        <w:rPr>
          <w:rFonts w:ascii="IRNazanin" w:hAnsi="IRNazanin" w:eastAsia="IRNazanin"/>
          <w:color w:val="111111"/>
          <w:sz w:val="28"/>
          <w:sz w:val="28"/>
          <w:szCs w:val="28"/>
          <w:rtl w:val="true"/>
          <w:lang w:bidi="fa-IR"/>
        </w:rPr>
        <w:t xml:space="preserve">و بعده الفاضل </w:t>
      </w:r>
      <w:r>
        <w:rPr>
          <w:rStyle w:val="FootnoteAnchor"/>
          <w:rtl w:val="true"/>
        </w:rPr>
        <w:footnoteReference w:id="2516"/>
      </w:r>
      <w:r>
        <w:rPr>
          <w:rFonts w:ascii="Amiri" w:hAnsi="Amiri" w:eastAsia="Amiri" w:cs="Amiri"/>
          <w:color w:val="111111"/>
          <w:sz w:val="28"/>
          <w:sz w:val="28"/>
          <w:szCs w:val="28"/>
          <w:rtl w:val="true"/>
          <w:lang w:bidi="ar-SA"/>
        </w:rPr>
        <w:t xml:space="preserve">في خصوص التراب و إن رجّح الأوّل الطّهارة، و الثاني في النهاية </w:t>
      </w:r>
      <w:r>
        <w:rPr>
          <w:rStyle w:val="FootnoteAnchor"/>
          <w:rtl w:val="true"/>
        </w:rPr>
        <w:footnoteReference w:id="2517"/>
      </w:r>
      <w:r>
        <w:rPr>
          <w:rFonts w:ascii="IRNazanin" w:hAnsi="IRNazanin" w:eastAsia="IRNazanin"/>
          <w:color w:val="111111"/>
          <w:sz w:val="28"/>
          <w:sz w:val="28"/>
          <w:szCs w:val="28"/>
          <w:rtl w:val="true"/>
          <w:lang w:bidi="fa-IR"/>
        </w:rPr>
        <w:t xml:space="preserve">و المنتهى </w:t>
      </w:r>
      <w:r>
        <w:rPr>
          <w:rStyle w:val="FootnoteAnchor"/>
          <w:rtl w:val="true"/>
        </w:rPr>
        <w:footnoteReference w:id="2518"/>
      </w:r>
      <w:r>
        <w:rPr>
          <w:rFonts w:ascii="Amiri" w:hAnsi="Amiri" w:eastAsia="Amiri" w:cs="Amiri"/>
          <w:color w:val="111111"/>
          <w:sz w:val="28"/>
          <w:sz w:val="28"/>
          <w:szCs w:val="28"/>
          <w:rtl w:val="true"/>
          <w:lang w:bidi="ar-SA"/>
        </w:rPr>
        <w:t>استقربها، و جزم بطهارة الدّود في المنتهى؛ لما دلّ على طهارة ما لا نفس له، و أنها تولّدت في النجاسة لا منها، و كلامهم يشمل بإطلاقه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النطفة و العَلَقة تصير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الأربعة على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لحيوان مأكول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نحو ذلك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الخمر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بالاتّفاق مطلقاً كما هو ظاهرهما، و هو المشهور </w:t>
      </w:r>
      <w:r>
        <w:rPr>
          <w:rStyle w:val="FootnoteAnchor"/>
          <w:rtl w:val="true"/>
        </w:rPr>
        <w:footnoteReference w:id="2519"/>
      </w:r>
      <w:r>
        <w:rPr>
          <w:rFonts w:ascii="Amiri" w:hAnsi="Amiri" w:eastAsia="Amiri" w:cs="Amiri"/>
          <w:color w:val="111111"/>
          <w:sz w:val="28"/>
          <w:sz w:val="28"/>
          <w:szCs w:val="28"/>
          <w:rtl w:val="true"/>
          <w:lang w:bidi="ar-SA"/>
        </w:rPr>
        <w:t xml:space="preserve">نقلاً و تحصيلاً، أو مقيّداً بما إذا صار خَلّاً بنفسه لا بعلاج؛ إذ الثاني فيه خلاف </w:t>
      </w:r>
    </w:p>
    <w:p>
      <w:pPr>
        <w:pStyle w:val="BookText"/>
        <w:rPr/>
      </w:pPr>
      <w:r>
        <w:rPr>
          <w:rFonts w:ascii="Amiri" w:hAnsi="Amiri" w:eastAsia="Amiri" w:cs="Amiri"/>
          <w:color w:val="111111"/>
          <w:sz w:val="28"/>
          <w:sz w:val="28"/>
          <w:szCs w:val="28"/>
          <w:rtl w:val="true"/>
          <w:lang w:bidi="ar-SA"/>
        </w:rPr>
        <w:t xml:space="preserve">و تأمّل كما في الدّروس </w:t>
      </w:r>
      <w:r>
        <w:rPr>
          <w:rStyle w:val="FootnoteAnchor"/>
          <w:rtl w:val="true"/>
        </w:rPr>
        <w:footnoteReference w:id="2520"/>
      </w:r>
      <w:r>
        <w:rPr>
          <w:rFonts w:ascii="Amiri" w:hAnsi="Amiri" w:eastAsia="Amiri" w:cs="Amiri"/>
          <w:color w:val="111111"/>
          <w:sz w:val="28"/>
          <w:sz w:val="28"/>
          <w:szCs w:val="28"/>
          <w:rtl w:val="true"/>
          <w:lang w:bidi="ar-SA"/>
        </w:rPr>
        <w:t xml:space="preserve">و النهاية </w:t>
      </w:r>
      <w:r>
        <w:rPr>
          <w:rStyle w:val="FootnoteAnchor"/>
          <w:rtl w:val="true"/>
        </w:rPr>
        <w:footnoteReference w:id="2521"/>
      </w:r>
      <w:r>
        <w:rPr>
          <w:rFonts w:ascii="IRNazanin" w:hAnsi="IRNazanin" w:eastAsia="IRNazanin"/>
          <w:color w:val="111111"/>
          <w:sz w:val="28"/>
          <w:sz w:val="28"/>
          <w:szCs w:val="28"/>
          <w:rtl w:val="true"/>
          <w:lang w:bidi="fa-IR"/>
        </w:rPr>
        <w:t xml:space="preserve">و المجمع </w:t>
      </w:r>
      <w:r>
        <w:rPr>
          <w:rStyle w:val="FootnoteAnchor"/>
          <w:rtl w:val="true"/>
        </w:rPr>
        <w:footnoteReference w:id="2522"/>
      </w:r>
      <w:r>
        <w:rPr>
          <w:rFonts w:ascii="IRNazanin" w:hAnsi="IRNazanin" w:eastAsia="IRNazanin"/>
          <w:color w:val="111111"/>
          <w:sz w:val="28"/>
          <w:sz w:val="28"/>
          <w:szCs w:val="28"/>
          <w:rtl w:val="true"/>
          <w:lang w:bidi="fa-IR"/>
        </w:rPr>
        <w:t>، و الأقوى عدمه؛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بمعالجتها</w:t>
      </w:r>
      <w:r>
        <w:rPr>
          <w:rFonts w:eastAsia="IRNazanin" w:cs="IRNazanin"/>
          <w:color w:val="111111"/>
          <w:sz w:val="28"/>
          <w:szCs w:val="28"/>
          <w:rtl w:val="true"/>
          <w:lang w:bidi="fa-IR"/>
        </w:rPr>
        <w:t xml:space="preserve">» </w:t>
      </w:r>
      <w:r>
        <w:rPr>
          <w:rStyle w:val="FootnoteAnchor"/>
          <w:rtl w:val="true"/>
        </w:rPr>
        <w:footnoteReference w:id="2523"/>
      </w:r>
      <w:r>
        <w:rPr>
          <w:rFonts w:ascii="Amiri" w:hAnsi="Amiri" w:eastAsia="Amiri" w:cs="Amiri"/>
          <w:color w:val="111111"/>
          <w:sz w:val="28"/>
          <w:sz w:val="28"/>
          <w:szCs w:val="28"/>
          <w:rtl w:val="true"/>
          <w:lang w:bidi="ar-SA"/>
        </w:rPr>
        <w:t>في جواب أبي بصير عن علاج الخمر بالملح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علیه السلام في العصير يصير خمراً فيصبّ عليه الخلّ و شيء يغيّره حتّى يصير 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مصحّحة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 أفسدها و اجعلها خَلّاً</w:t>
      </w:r>
      <w:r>
        <w:rPr>
          <w:rFonts w:eastAsia="Amiri" w:cs="Amiri" w:ascii="Amiri" w:hAnsi="Amiri"/>
          <w:color w:val="111111"/>
          <w:sz w:val="28"/>
          <w:szCs w:val="28"/>
          <w:rtl w:val="true"/>
          <w:lang w:bidi="ar-SA"/>
        </w:rPr>
        <w:t xml:space="preserve">»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مقابلها عدّة أخبار ناهية عن العلاج بالخلّ </w:t>
      </w:r>
      <w:r>
        <w:rPr>
          <w:rStyle w:val="FootnoteAnchor"/>
          <w:rtl w:val="true"/>
        </w:rPr>
        <w:footnoteReference w:id="2526"/>
      </w:r>
      <w:r>
        <w:rPr>
          <w:rFonts w:ascii="Amiri" w:hAnsi="Amiri" w:eastAsia="Amiri" w:cs="Amiri"/>
          <w:color w:val="111111"/>
          <w:sz w:val="28"/>
          <w:sz w:val="28"/>
          <w:szCs w:val="28"/>
          <w:rtl w:val="true"/>
          <w:lang w:bidi="ar-SA"/>
        </w:rPr>
        <w:t xml:space="preserve">و غيره </w:t>
      </w:r>
      <w:r>
        <w:rPr>
          <w:rStyle w:val="FootnoteAnchor"/>
          <w:rtl w:val="true"/>
        </w:rPr>
        <w:footnoteReference w:id="2527"/>
      </w:r>
      <w:r>
        <w:rPr>
          <w:rFonts w:ascii="Amiri" w:hAnsi="Amiri" w:eastAsia="Amiri" w:cs="Amiri"/>
          <w:color w:val="111111"/>
          <w:sz w:val="28"/>
          <w:sz w:val="28"/>
          <w:szCs w:val="28"/>
          <w:rtl w:val="true"/>
          <w:lang w:bidi="ar-SA"/>
        </w:rPr>
        <w:t xml:space="preserve">و عن أكل ما أُفسد </w:t>
      </w:r>
      <w:r>
        <w:rPr>
          <w:rStyle w:val="FootnoteAnchor"/>
          <w:rtl w:val="true"/>
        </w:rPr>
        <w:footnoteReference w:id="2528"/>
      </w:r>
      <w:r>
        <w:rPr>
          <w:rFonts w:ascii="IRNazanin" w:hAnsi="IRNazanin" w:eastAsia="IRNazanin"/>
          <w:color w:val="111111"/>
          <w:sz w:val="28"/>
          <w:sz w:val="28"/>
          <w:szCs w:val="28"/>
          <w:rtl w:val="true"/>
          <w:lang w:bidi="fa-IR"/>
        </w:rPr>
        <w:t xml:space="preserve">، و حملوها </w:t>
      </w:r>
      <w:r>
        <w:rPr>
          <w:rStyle w:val="FootnoteAnchor"/>
          <w:rtl w:val="true"/>
        </w:rPr>
        <w:footnoteReference w:id="2529"/>
      </w:r>
      <w:r>
        <w:rPr>
          <w:rFonts w:ascii="Amiri" w:hAnsi="Amiri" w:eastAsia="Amiri" w:cs="Amiri"/>
          <w:color w:val="111111"/>
          <w:sz w:val="28"/>
          <w:sz w:val="28"/>
          <w:szCs w:val="28"/>
          <w:rtl w:val="true"/>
          <w:lang w:bidi="ar-SA"/>
        </w:rPr>
        <w:t>على الكراهة جمعاً، فهو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يلحقه بالضعف اشتراط انقلاب ما يعالج فيه إلى الخلّية كانقلابه، فلو بقي على حالته تنجّس و نجّس الجميع؛ نظراً إلى عدم ما يوجب طهارة العين الباقية؛ لعدم الانقلاب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القياس على الآنية باطل؛ لإمكان التفكيك هنا و عدمه هناك، و مالَ إليه كاشف اللّثام </w:t>
      </w:r>
      <w:r>
        <w:rPr>
          <w:rStyle w:val="FootnoteAnchor"/>
          <w:rtl w:val="true"/>
        </w:rPr>
        <w:footnoteReference w:id="2530"/>
      </w:r>
      <w:r>
        <w:rPr>
          <w:rFonts w:ascii="Amiri" w:hAnsi="Amiri" w:eastAsia="Amiri" w:cs="Amiri"/>
          <w:color w:val="111111"/>
          <w:sz w:val="28"/>
          <w:sz w:val="28"/>
          <w:szCs w:val="28"/>
          <w:rtl w:val="true"/>
          <w:lang w:bidi="ar-SA"/>
        </w:rPr>
        <w:t xml:space="preserve">و السبزواري </w:t>
      </w:r>
      <w:r>
        <w:rPr>
          <w:rStyle w:val="FootnoteAnchor"/>
          <w:rtl w:val="true"/>
        </w:rPr>
        <w:footnoteReference w:id="2531"/>
      </w:r>
      <w:r>
        <w:rPr>
          <w:rFonts w:ascii="Amiri" w:hAnsi="Amiri" w:eastAsia="Amiri" w:cs="Amiri"/>
          <w:color w:val="111111"/>
          <w:sz w:val="28"/>
          <w:sz w:val="28"/>
          <w:szCs w:val="28"/>
          <w:rtl w:val="true"/>
          <w:lang w:bidi="ar-SA"/>
        </w:rPr>
        <w:t xml:space="preserve">و المقدّس الأردبيلي </w:t>
      </w:r>
      <w:r>
        <w:rPr>
          <w:rStyle w:val="FootnoteAnchor"/>
          <w:rtl w:val="true"/>
        </w:rPr>
        <w:footnoteReference w:id="2532"/>
      </w:r>
      <w:r>
        <w:rPr>
          <w:rFonts w:ascii="Amiri" w:hAnsi="Amiri" w:eastAsia="Amiri" w:cs="Amiri"/>
          <w:color w:val="111111"/>
          <w:sz w:val="28"/>
          <w:sz w:val="28"/>
          <w:szCs w:val="28"/>
          <w:rtl w:val="true"/>
          <w:lang w:bidi="ar-SA"/>
        </w:rPr>
        <w:t xml:space="preserve">و غيرهم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الحقّ العدم؛ لقضاء بعض الأخبار </w:t>
      </w:r>
      <w:r>
        <w:rPr>
          <w:rStyle w:val="FootnoteAnchor"/>
          <w:rtl w:val="true"/>
        </w:rPr>
        <w:footnoteReference w:id="2534"/>
      </w:r>
      <w:r>
        <w:rPr>
          <w:rFonts w:ascii="Amiri" w:hAnsi="Amiri" w:eastAsia="Amiri" w:cs="Amiri"/>
          <w:color w:val="111111"/>
          <w:sz w:val="28"/>
          <w:sz w:val="28"/>
          <w:szCs w:val="28"/>
          <w:rtl w:val="true"/>
          <w:lang w:bidi="ar-SA"/>
        </w:rPr>
        <w:t xml:space="preserve">بالطّهارة، و هي و إن ضعفت سنداً لكنّها منجبرة بالشهرة و الإجماع </w:t>
      </w:r>
      <w:r>
        <w:rPr>
          <w:rStyle w:val="FootnoteAnchor"/>
          <w:rtl w:val="true"/>
        </w:rPr>
        <w:footnoteReference w:id="2535"/>
      </w:r>
      <w:r>
        <w:rPr>
          <w:rFonts w:ascii="IRNazanin" w:hAnsi="IRNazanin" w:eastAsia="IRNazanin"/>
          <w:color w:val="111111"/>
          <w:sz w:val="28"/>
          <w:sz w:val="28"/>
          <w:szCs w:val="28"/>
          <w:rtl w:val="true"/>
          <w:lang w:bidi="fa-IR"/>
        </w:rPr>
        <w:t>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شيء من الخمر في الخلّ لم يجز استعماله إلَّا أن يصير بعد ذلك الخمر خَلّاً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الإشارة إلى الخمر الملقى، ويحتمل أن يريد فيه الاستهلاك و الانقلاب، و الأوّل مشكل، و الثاني أوفق بالقواعد، أمّا لو وقع الخَلّ على الخمر و استهلكه من دون انقلاب فالظاهر النجاسة، و بالانقلاب الطهارة، و لو وضع في الخمر شيء لا لعلاج و انقلب خَلّاً مع بقاء عينه ففيه إشكال، و الشارح </w:t>
      </w:r>
      <w:r>
        <w:rPr>
          <w:rStyle w:val="FootnoteAnchor"/>
          <w:rtl w:val="true"/>
        </w:rPr>
        <w:footnoteReference w:id="2537"/>
      </w:r>
      <w:r>
        <w:rPr>
          <w:rFonts w:ascii="Amiri" w:hAnsi="Amiri" w:eastAsia="Amiri" w:cs="Amiri"/>
          <w:color w:val="111111"/>
          <w:sz w:val="28"/>
          <w:sz w:val="28"/>
          <w:szCs w:val="28"/>
          <w:rtl w:val="true"/>
          <w:lang w:bidi="ar-SA"/>
        </w:rPr>
        <w:t>أطلق طهارة الأجسام الموضوعة في الخمر، و الاقتصار على ما يعالج به من الأجسام أوفق و أَولى لولا اتّحاد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عولج أو وضع فيه نجس أو متنجّس فانقلب خَلّاً، فظاهر الفاضل </w:t>
      </w:r>
      <w:r>
        <w:rPr>
          <w:rStyle w:val="FootnoteAnchor"/>
          <w:rtl w:val="true"/>
        </w:rPr>
        <w:footnoteReference w:id="2538"/>
      </w:r>
      <w:r>
        <w:rPr>
          <w:rFonts w:ascii="Amiri" w:hAnsi="Amiri" w:eastAsia="Amiri" w:cs="Amiri"/>
          <w:color w:val="111111"/>
          <w:sz w:val="28"/>
          <w:sz w:val="28"/>
          <w:szCs w:val="28"/>
          <w:rtl w:val="true"/>
          <w:lang w:bidi="ar-SA"/>
        </w:rPr>
        <w:t xml:space="preserve">و المصنّف </w:t>
      </w:r>
      <w:r>
        <w:rPr>
          <w:rStyle w:val="FootnoteAnchor"/>
          <w:rtl w:val="true"/>
        </w:rPr>
        <w:footnoteReference w:id="2539"/>
      </w:r>
      <w:r>
        <w:rPr>
          <w:rFonts w:ascii="Amiri" w:hAnsi="Amiri" w:eastAsia="Amiri" w:cs="Amiri"/>
          <w:color w:val="111111"/>
          <w:sz w:val="28"/>
          <w:sz w:val="28"/>
          <w:szCs w:val="28"/>
          <w:rtl w:val="true"/>
          <w:lang w:bidi="ar-SA"/>
        </w:rPr>
        <w:t>عدم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النجس إذا أمكن تنجّسه ثانياً فالحكم بالنجاسة متّجه إذا منعنا إطلاق طهارة ما يعالج به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طهارة الخمر بالانقلاب فلا ينفع؛ لوروده في زوال النجاسة الخمريّة دون غيرها، و منه يظهر اشتراط عدم ملاقاة الخمر لجسم آخر نجس ممّا لم يعالج به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انقلب المتنجّس إلى الخمر ثمّ إلى الخلّ، فالظاهر إنّه لا فرق بينه و بين ما لم تتوسّط </w:t>
      </w:r>
    </w:p>
    <w:p>
      <w:pPr>
        <w:pStyle w:val="BookText"/>
        <w:rPr/>
      </w:pPr>
      <w:r>
        <w:rPr>
          <w:rFonts w:ascii="Amiri" w:hAnsi="Amiri" w:eastAsia="Amiri" w:cs="Amiri"/>
          <w:color w:val="111111"/>
          <w:sz w:val="28"/>
          <w:sz w:val="28"/>
          <w:szCs w:val="28"/>
          <w:rtl w:val="true"/>
          <w:lang w:bidi="ar-SA"/>
        </w:rPr>
        <w:t>الخمريّة فيه خلافاً لبعضهم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استحال بغير المتنجّس إلى المحال ثمّ رجع هو و المحال إلى ما استحال منه طهر، و إن أحال و لم يستحل بقي على نجاسته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معناه أنّه لو انقلب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كالدّبس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خمراً ثمّ خَلّاً طهر أيضاً، و هو محلّ تأمّل و إن وجّه بإطلاق ما دلّ على طهارة الخمر بالتخليل، لكن الظاهر انصرافه إلى الأفراد المتعارفة، و هي ما كانت خمراً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الانقلاب انقلاب الماء و البول النجسين بُخاراً بلا خلاف، أمّا لو عاد ذلك البخار إلى الماء ففي عَود حكم النجاسة وجهان، بل قولان؛ فالمنتهى </w:t>
      </w:r>
      <w:r>
        <w:rPr>
          <w:rStyle w:val="FootnoteAnchor"/>
          <w:rtl w:val="true"/>
        </w:rPr>
        <w:footnoteReference w:id="2541"/>
      </w:r>
      <w:r>
        <w:rPr>
          <w:rFonts w:ascii="Amiri" w:hAnsi="Amiri" w:eastAsia="Amiri" w:cs="Amiri"/>
          <w:color w:val="111111"/>
          <w:sz w:val="28"/>
          <w:sz w:val="28"/>
          <w:szCs w:val="28"/>
          <w:rtl w:val="true"/>
          <w:lang w:bidi="ar-SA"/>
        </w:rPr>
        <w:t xml:space="preserve">على النجاسة ، و قيل </w:t>
      </w:r>
      <w:r>
        <w:rPr>
          <w:rStyle w:val="FootnoteAnchor"/>
          <w:rtl w:val="true"/>
        </w:rPr>
        <w:footnoteReference w:id="2542"/>
      </w:r>
      <w:r>
        <w:rPr>
          <w:rFonts w:ascii="Amiri" w:hAnsi="Amiri" w:eastAsia="Amiri" w:cs="Amiri"/>
          <w:color w:val="111111"/>
          <w:sz w:val="28"/>
          <w:sz w:val="28"/>
          <w:szCs w:val="28"/>
          <w:rtl w:val="true"/>
          <w:lang w:bidi="ar-SA"/>
        </w:rPr>
        <w:t>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الأقرب النجاسة؛ لأنّ طهارة البخار لم تكن للانقلاب، بل الظاهر إنّ ذلك لجهة أنّه كالهواء لا يعدّ جسماً عرفاً، فإذا اجتمع و تقاطر كان المجتمع هو ذات البول الأوّل فيثبت له حكم النجاسة؛ لعموم أدلّة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العنبي يطهر إذا صار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غليانه و اشتداده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بنجاسته قبل ذلك</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باشر الخمر و العصير كافر أو نجس فعولج بنجس فلا يطهران بالتخليل و إن خرجا عن النجاسة العينيّة، و في طهارة غير الملاقي لهما من ظرفهما عند التخليل لو تنجّس إشكال، من إطلاق الفتوى بطهارة الإناء فيطهر، و أنّه لو لم يطهر بالتخلّل لتعرّض لحكمها الشارع؛ لعموم البلوى، و للإجماع </w:t>
      </w:r>
      <w:r>
        <w:rPr>
          <w:rStyle w:val="FootnoteAnchor"/>
          <w:rtl w:val="true"/>
        </w:rPr>
        <w:footnoteReference w:id="2543"/>
      </w:r>
      <w:r>
        <w:rPr>
          <w:rFonts w:ascii="Amiri" w:hAnsi="Amiri" w:eastAsia="Amiri" w:cs="Amiri"/>
          <w:color w:val="111111"/>
          <w:sz w:val="28"/>
          <w:sz w:val="28"/>
          <w:szCs w:val="28"/>
          <w:rtl w:val="true"/>
          <w:lang w:bidi="ar-SA"/>
        </w:rPr>
        <w:t>الفعلي على تناول الخلّ المستحيل من الخمر على الوجه المعتاد مع أنّ الغالب تنجّس أعالي الإناء و لا سيّما بالغليان، و من أنّ المتيقّن طهارة الملاقي للخلّ، و أمّا الأعالي النّجسة فلا تبعيّة لها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الجسم الطاهر الملقى فيه قبل التخليل، و الأظهر عدم طهارة بقيّة المسكرات غيرهما بالتخليل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الفاضل في النهاية بعد الحكم بطهر الخمر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خرج النبيذ عن الإسكار لم يطهر بذلك؛ للاستصحاب </w:t>
      </w:r>
      <w:r>
        <w:rPr>
          <w:rStyle w:val="FootnoteAnchor"/>
          <w:rtl w:val="true"/>
        </w:rPr>
        <w:footnoteReference w:id="25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شمول ذلك للتخليل، و كأنّ ما أطلق عليه الخمر من النّبيذ و الفقاع يلحقه حكم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لبدن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ظاهراً و باطناً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نجاسة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w:t>
      </w:r>
      <w:r>
        <w:rPr>
          <w:rStyle w:val="FootnoteAnchor"/>
          <w:rtl w:val="true"/>
        </w:rPr>
        <w:footnoteReference w:id="2545"/>
      </w:r>
      <w:r>
        <w:rPr>
          <w:rFonts w:ascii="Amiri" w:hAnsi="Amiri" w:eastAsia="Amiri" w:cs="Amiri"/>
          <w:color w:val="111111"/>
          <w:sz w:val="28"/>
          <w:sz w:val="28"/>
          <w:szCs w:val="28"/>
          <w:rtl w:val="true"/>
          <w:lang w:bidi="ar-SA"/>
        </w:rPr>
        <w:t xml:space="preserve">من قال بنجاسة الكافر، و كذا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 جزءاً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كالظفر و السّن و السَّلعة و الثالول و الرّطوبات الظاهرة كالعرق و الباطنة كالبصاق، فإنّ التبعيّة في جميع ما ذكرنا ظاهرة لا شبهة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يتّصل به حال إسلامه و باشره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المنفصلة عنه حال إسلامه و كفُرشِه و أوانيه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المتّصلة ببدنه فلا يبعد طهارتها عندنا، لكن الأكثر يطلقون النجاسة في غير المتّصل مطلقاً، فإن كان إجماعاً قبلناه، و إلَّا حكمنا بطهارة ما كان كآلات العصير من المباشر و الدّلو و الرشا؛ و الحكم في غير المرتدّ الفطري من جميع أقسام الكفّار لا إشكال فيه، و أمّا فيه فمختلف به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2546"/>
      </w:r>
      <w:r>
        <w:rPr>
          <w:rFonts w:ascii="Amiri" w:hAnsi="Amiri" w:eastAsia="Amiri" w:cs="Amiri"/>
          <w:color w:val="111111"/>
          <w:sz w:val="28"/>
          <w:sz w:val="28"/>
          <w:szCs w:val="28"/>
          <w:rtl w:val="true"/>
          <w:lang w:bidi="ar-SA"/>
        </w:rPr>
        <w:t xml:space="preserve">أصرّ على بقاء النجاسة، و عسى ما لفّقه غير وافٍ بالجزم بالحكم بعد أن قضى العقل و النقل </w:t>
      </w:r>
      <w:r>
        <w:rPr>
          <w:rStyle w:val="FootnoteAnchor"/>
          <w:rtl w:val="true"/>
        </w:rPr>
        <w:footnoteReference w:id="2547"/>
      </w:r>
      <w:r>
        <w:rPr>
          <w:rFonts w:ascii="Amiri" w:hAnsi="Amiri" w:eastAsia="Amiri" w:cs="Amiri"/>
          <w:color w:val="111111"/>
          <w:sz w:val="28"/>
          <w:sz w:val="28"/>
          <w:szCs w:val="28"/>
          <w:rtl w:val="true"/>
          <w:lang w:bidi="ar-SA"/>
        </w:rPr>
        <w:t xml:space="preserve">بقبح التكليف بما لا يطاق، و قد أجمعوا </w:t>
      </w:r>
      <w:r>
        <w:rPr>
          <w:rStyle w:val="FootnoteAnchor"/>
          <w:rtl w:val="true"/>
        </w:rPr>
        <w:footnoteReference w:id="2548"/>
      </w:r>
      <w:r>
        <w:rPr>
          <w:rFonts w:ascii="Amiri" w:hAnsi="Amiri" w:eastAsia="Amiri" w:cs="Amiri"/>
          <w:color w:val="111111"/>
          <w:sz w:val="28"/>
          <w:sz w:val="28"/>
          <w:szCs w:val="28"/>
          <w:rtl w:val="true"/>
          <w:lang w:bidi="ar-SA"/>
        </w:rPr>
        <w:t xml:space="preserve">على تكليفه بعد توبته بالفروع، و أجمعو </w:t>
      </w:r>
      <w:r>
        <w:rPr>
          <w:rStyle w:val="FootnoteAnchor"/>
          <w:rtl w:val="true"/>
        </w:rPr>
        <w:footnoteReference w:id="2549"/>
      </w:r>
      <w:r>
        <w:rPr>
          <w:rFonts w:ascii="Amiri" w:hAnsi="Amiri" w:eastAsia="Amiri" w:cs="Amiri"/>
          <w:color w:val="111111"/>
          <w:sz w:val="28"/>
          <w:sz w:val="28"/>
          <w:szCs w:val="28"/>
          <w:rtl w:val="true"/>
          <w:lang w:bidi="ar-SA"/>
        </w:rPr>
        <w:t xml:space="preserve">أيضاً على وجوب قضاء ما فاته عند توبته، و هو مع الحكم بالنجاسة لا </w:t>
      </w:r>
    </w:p>
    <w:p>
      <w:pPr>
        <w:pStyle w:val="BookText"/>
        <w:rPr/>
      </w:pPr>
      <w:r>
        <w:rPr>
          <w:rFonts w:ascii="Amiri" w:hAnsi="Amiri" w:eastAsia="Amiri" w:cs="Amiri"/>
          <w:color w:val="111111"/>
          <w:sz w:val="28"/>
          <w:sz w:val="28"/>
          <w:szCs w:val="28"/>
          <w:rtl w:val="true"/>
          <w:lang w:bidi="ar-SA"/>
        </w:rPr>
        <w:t xml:space="preserve">يلتئم، و تشكيك الفاضل </w:t>
      </w:r>
      <w:r>
        <w:rPr>
          <w:rStyle w:val="FootnoteAnchor"/>
          <w:rtl w:val="true"/>
        </w:rPr>
        <w:footnoteReference w:id="2550"/>
      </w:r>
      <w:r>
        <w:rPr>
          <w:rFonts w:ascii="Amiri" w:hAnsi="Amiri" w:eastAsia="Amiri" w:cs="Amiri"/>
          <w:color w:val="111111"/>
          <w:sz w:val="28"/>
          <w:sz w:val="28"/>
          <w:szCs w:val="28"/>
          <w:rtl w:val="true"/>
          <w:lang w:bidi="ar-SA"/>
        </w:rPr>
        <w:t>في طهارته مع تصريحه بوجوب القضاء عليه مبنيٌّ على رجوعه و حكمه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ركن إليه في الجواهر </w:t>
      </w:r>
      <w:r>
        <w:rPr>
          <w:rStyle w:val="FootnoteAnchor"/>
          <w:rtl w:val="true"/>
        </w:rPr>
        <w:footnoteReference w:id="2551"/>
      </w:r>
      <w:r>
        <w:rPr>
          <w:rFonts w:ascii="Amiri" w:hAnsi="Amiri" w:eastAsia="Amiri" w:cs="Amiri"/>
          <w:color w:val="111111"/>
          <w:sz w:val="28"/>
          <w:sz w:val="28"/>
          <w:szCs w:val="28"/>
          <w:rtl w:val="true"/>
          <w:lang w:bidi="ar-SA"/>
        </w:rPr>
        <w:t xml:space="preserve">من الاستصحاب و الإجماع المحكي على عدم قبول توبته و الخبر </w:t>
      </w:r>
      <w:r>
        <w:rPr>
          <w:rStyle w:val="FootnoteAnchor"/>
          <w:rtl w:val="true"/>
        </w:rPr>
        <w:footnoteReference w:id="2552"/>
      </w:r>
      <w:r>
        <w:rPr>
          <w:rFonts w:ascii="Amiri" w:hAnsi="Amiri" w:eastAsia="Amiri" w:cs="Amiri"/>
          <w:color w:val="111111"/>
          <w:sz w:val="28"/>
          <w:sz w:val="28"/>
          <w:szCs w:val="28"/>
          <w:rtl w:val="true"/>
          <w:lang w:bidi="ar-SA"/>
        </w:rPr>
        <w:t xml:space="preserve">في أنّه لا توبة للمرتدّ المحمول جمعاً على الفطري لا تنهض بإثبات المدّعى؛ إذ وجوب العبادة أداءً و قضاءً دليل على زوال نجاسته بالإسلام، فما أحسن حمل الشهيدين </w:t>
      </w:r>
      <w:r>
        <w:rPr>
          <w:rStyle w:val="FootnoteAnchor"/>
          <w:rtl w:val="true"/>
        </w:rPr>
        <w:footnoteReference w:id="2553"/>
      </w:r>
      <w:r>
        <w:rPr>
          <w:rFonts w:ascii="Amiri" w:hAnsi="Amiri" w:eastAsia="Amiri" w:cs="Amiri"/>
          <w:color w:val="111111"/>
          <w:sz w:val="28"/>
          <w:sz w:val="28"/>
          <w:szCs w:val="28"/>
          <w:rtl w:val="true"/>
          <w:lang w:bidi="ar-SA"/>
        </w:rPr>
        <w:t>للإجماع و الأخبار القاضية بعدم القبول بقصرهما على عدمه في سقوط القتل و عود أمواله و أزواجه إلى الحالة الأولى؛ إذ حكمها معلّق على من كفر لا على الكافر، مع أنّه لم يثبت للإسلام حقيقة شرعيّة غير كفاية الشهادتين فيه، و لو ركن لاستصحاب نجاسته لمنعناه بتبدّل الموضوع، لا أقلّ من الشك في بقائه و عدمه، و معهما لا مانع من الرّجوع لأصالة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التكاليف العامّة حتّى للكافر الأصلي، و عموم معقد الإجماع المستفيض على وجوب قضائه، ممّا يعطي طهارته، و لا يمكن أن يحمل وجوب القضاء على الفطري ممّن تقبل توبته كالمرأة مثلاً؛ لتصريح الأساطين </w:t>
      </w:r>
      <w:r>
        <w:rPr>
          <w:rStyle w:val="FootnoteAnchor"/>
          <w:rtl w:val="true"/>
        </w:rPr>
        <w:footnoteReference w:id="2554"/>
      </w:r>
      <w:r>
        <w:rPr>
          <w:rFonts w:ascii="Amiri" w:hAnsi="Amiri" w:eastAsia="Amiri" w:cs="Amiri"/>
          <w:color w:val="111111"/>
          <w:sz w:val="28"/>
          <w:sz w:val="28"/>
          <w:szCs w:val="28"/>
          <w:rtl w:val="true"/>
          <w:lang w:bidi="ar-SA"/>
        </w:rPr>
        <w:t xml:space="preserve">بالتعميم، و لعدم الإطلاع على المخالف سوى ما يظهر من نقل الذكرى </w:t>
      </w:r>
      <w:r>
        <w:rPr>
          <w:rStyle w:val="FootnoteAnchor"/>
          <w:rtl w:val="true"/>
        </w:rPr>
        <w:footnoteReference w:id="2555"/>
      </w:r>
      <w:r>
        <w:rPr>
          <w:rFonts w:ascii="Amiri" w:hAnsi="Amiri" w:eastAsia="Amiri" w:cs="Amiri"/>
          <w:color w:val="111111"/>
          <w:sz w:val="28"/>
          <w:sz w:val="28"/>
          <w:szCs w:val="28"/>
          <w:rtl w:val="true"/>
          <w:lang w:bidi="ar-SA"/>
        </w:rPr>
        <w:t>مع أنّه رحمه الله صرّح بأنّ الخلاف في من لا تُقْبَل توبته، فلولا الإجماع على تكليفه بالعبادة أداءً و قضاءً لا كتكليف الكافر الأصلي الذي هو لمحض العقاب لكان التمسّك بالأخبار و الإجماع الواردين في عدم قبول توبته كافياً في نجاسة بدنه؛ إذ هو أخصّ ممّا دلّ على وجوب الصلاة و نحوها ممّا لا تصحّ من الكافر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غير الطهارة و النجاسة من أحكام الكفر الخارجة عن الثلاثة فالظاهر أنّها لا تثبت له أيضاً؛ إذ لمّا كان المتّجه قبولها في الصلاة و الصّوم دلّ ذلك على أنّ نفي القبول إضافيّاً مختصّاً </w:t>
      </w:r>
    </w:p>
    <w:p>
      <w:pPr>
        <w:pStyle w:val="BookText"/>
        <w:rPr/>
      </w:pPr>
      <w:r>
        <w:rPr>
          <w:rFonts w:ascii="Amiri" w:hAnsi="Amiri" w:eastAsia="Amiri" w:cs="Amiri"/>
          <w:color w:val="111111"/>
          <w:sz w:val="28"/>
          <w:sz w:val="28"/>
          <w:szCs w:val="28"/>
          <w:rtl w:val="true"/>
          <w:lang w:bidi="ar-SA"/>
        </w:rPr>
        <w:t xml:space="preserve">بالثلاثة، فيرجع فيما عداها إلى عموم الدّليل الشامل للكافر و المسلم، و يدلّ على الطهارة الإجماع على أنّ الإسلام من المطهّرات، و هو يعمّ الفطري، و يقدّم على إجماعهم </w:t>
      </w:r>
      <w:r>
        <w:rPr>
          <w:rStyle w:val="FootnoteAnchor"/>
          <w:rtl w:val="true"/>
        </w:rPr>
        <w:footnoteReference w:id="2556"/>
      </w:r>
      <w:r>
        <w:rPr>
          <w:rFonts w:ascii="Amiri" w:hAnsi="Amiri" w:eastAsia="Amiri" w:cs="Amiri"/>
          <w:color w:val="111111"/>
          <w:sz w:val="28"/>
          <w:sz w:val="28"/>
          <w:szCs w:val="28"/>
          <w:rtl w:val="true"/>
          <w:lang w:bidi="ar-SA"/>
        </w:rPr>
        <w:t>على عدم قبول توبته؛ لأنّ النّسبة بينهما عمومٌ من وجه، و الأوّل أقوى و أظهر و لو بملاحظة تكليفه بالعبادة، و على فرض التكافؤ المرجع أصالة الطّهارة، و أيضاً عمومات قبول التوبة التي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يمنع من عدم قبولها، و الله سبحانه قد أثبت الإيمان بعد الارتداد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w:t>
      </w:r>
      <w:r>
        <w:rPr>
          <w:rFonts w:eastAsia="Amiri" w:cs="Amiri" w:ascii="Amiri" w:hAnsi="Amiri"/>
          <w:color w:val="111111"/>
          <w:sz w:val="28"/>
          <w:szCs w:val="28"/>
          <w:rtl w:val="true"/>
          <w:lang w:bidi="ar-SA"/>
        </w:rPr>
        <w:t xml:space="preserve">)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يطهر </w:t>
      </w:r>
      <w:r>
        <w:rPr>
          <w:rStyle w:val="FootnoteAnchor"/>
          <w:rtl w:val="true"/>
        </w:rPr>
        <w:footnoteReference w:id="2558"/>
      </w:r>
      <w:r>
        <w:rPr>
          <w:rFonts w:ascii="IRNazanin" w:hAnsi="IRNazanin" w:eastAsia="IRNazanin"/>
          <w:color w:val="111111"/>
          <w:sz w:val="28"/>
          <w:sz w:val="28"/>
          <w:szCs w:val="28"/>
          <w:rtl w:val="true"/>
          <w:lang w:bidi="fa-IR"/>
        </w:rPr>
        <w:t>العين و الأنف و الفم باطنهما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بتخفيف المضارع و رفع باطنهما بدل بعض، فلو شدّد و نصب الباطن مفعولاً لم يتّجه إسناد التطهير إلى زوال العين و لما صحّ عطفه،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كالأُذن 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الأشياء، و التمحّل له بتقدير حاصل أو خبر له غير محتاج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كان فتطهر هذه 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بزوال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المنجسة لها نجاسة كانت أو متنجّسة، و فی جعل الفرج منها إشكال، و المرجع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المصنّف رحمه الله </w:t>
      </w:r>
      <w:r>
        <w:rPr>
          <w:rStyle w:val="FootnoteAnchor"/>
          <w:rtl w:val="true"/>
        </w:rPr>
        <w:footnoteReference w:id="2559"/>
      </w:r>
      <w:r>
        <w:rPr>
          <w:rFonts w:ascii="Amiri" w:hAnsi="Amiri" w:eastAsia="Amiri" w:cs="Amiri"/>
          <w:color w:val="111111"/>
          <w:sz w:val="28"/>
          <w:sz w:val="28"/>
          <w:szCs w:val="28"/>
          <w:rtl w:val="true"/>
          <w:lang w:bidi="ar-SA"/>
        </w:rPr>
        <w:t xml:space="preserve">، و مَنْ نحا نحوه </w:t>
      </w:r>
      <w:r>
        <w:rPr>
          <w:rStyle w:val="FootnoteAnchor"/>
          <w:rtl w:val="true"/>
        </w:rPr>
        <w:footnoteReference w:id="2560"/>
      </w:r>
      <w:r>
        <w:rPr>
          <w:rFonts w:ascii="Amiri" w:hAnsi="Amiri" w:eastAsia="Amiri" w:cs="Amiri"/>
          <w:color w:val="111111"/>
          <w:sz w:val="28"/>
          <w:sz w:val="28"/>
          <w:szCs w:val="28"/>
          <w:rtl w:val="true"/>
          <w:lang w:bidi="ar-SA"/>
        </w:rPr>
        <w:t xml:space="preserve">في العبارة أنّ زوال العين مطهّر، فيقتضي أنّ الملاقاة تنجّس، و صريح غيره عدم انفعال هذه البواطن بالملاقاة و عدم تنجّس البواطن و ما يحدث فيها من الرّطوبات بالنجاسة المتكوّنة فيها أو الداخلة من خارج إليها، للأخير ظهور عدم الخلاف فيه نقله الفاضل الثاني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انصراف دليل تأثير ملاقي النجس إلى غير البواطن لو كان دليلاً لفظيّاً، فكيف و هو منحصر بالإجماع المفقود هنا، بل ادّعي وجوده على العدم، و للأوّل عموم أدلّة تأثير الملاقي بالملاقي، غايته أنّ زوال العين من المطهّرات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الأظهر الطّهارة؛ لما دلّ </w:t>
      </w:r>
      <w:r>
        <w:rPr>
          <w:rStyle w:val="FootnoteAnchor"/>
          <w:rtl w:val="true"/>
        </w:rPr>
        <w:footnoteReference w:id="2562"/>
      </w:r>
      <w:r>
        <w:rPr>
          <w:rFonts w:ascii="Amiri" w:hAnsi="Amiri" w:eastAsia="Amiri" w:cs="Amiri"/>
          <w:color w:val="111111"/>
          <w:sz w:val="28"/>
          <w:sz w:val="28"/>
          <w:szCs w:val="28"/>
          <w:rtl w:val="true"/>
          <w:lang w:bidi="ar-SA"/>
        </w:rPr>
        <w:t>على طهارة المذي و الوذي و طهارة رطوبة فرج المرأة مع مرورها على مجرى البول، و ما دلّ على طهارة بصاق شارب الخمر، و ما ورد في كيفيّة الاستنجاء، و غير ذلك؛ و عليه فالدم المتكوّن في البواطن لا يجب إخراجه في الصلاة، و لا عن المسجد، و لا تنجس به البواطن، هذا حكم نفس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فيه فقسمان نبّه عليهما الشارح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يطهر بذلك </w:t>
      </w:r>
      <w:r>
        <w:rPr>
          <w:rStyle w:val="FootnoteAnchor"/>
          <w:rtl w:val="true"/>
        </w:rPr>
        <w:footnoteReference w:id="2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زوال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الأجسام الخارجة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دخلت إليه نجسة أو تنجّست فيه؛ لفقد الدّليل على طهرها من نَصّ أو إجماع، و لعدم الحرج في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الأُستاذ رحمه الله بشرحه فصّل بين ما كان في مثل الأنف و الفم ممّا يمكن تطهيره فحكمَ بثبوت حكم النجاسة له، و بين ما كان في مثل الجوف و الدّماغ و نحوهما فحكمَ بالعدم، و نقل عن الموجز أنَّه لو وضع في جوفه در هماً نجساً أخرج للصلاة كسائر المحمول عنده </w:t>
      </w:r>
      <w:r>
        <w:rPr>
          <w:rStyle w:val="FootnoteAnchor"/>
          <w:rtl w:val="true"/>
        </w:rPr>
        <w:footnoteReference w:id="25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تفصيله رحمه الله يظهر ممّن فرّق بين شرب الخمر و إدخال الدّم النجس تحت الجلد بوجوب إخراج الثاني؛ لنجاسته دون الأوّل، و لكن الفاضل و المصنّف في التذكرة </w:t>
      </w:r>
      <w:r>
        <w:rPr>
          <w:rStyle w:val="FootnoteAnchor"/>
          <w:rtl w:val="true"/>
        </w:rPr>
        <w:footnoteReference w:id="2565"/>
      </w:r>
      <w:r>
        <w:rPr>
          <w:rFonts w:ascii="Amiri" w:hAnsi="Amiri" w:eastAsia="Amiri" w:cs="Amiri"/>
          <w:color w:val="111111"/>
          <w:sz w:val="28"/>
          <w:sz w:val="28"/>
          <w:szCs w:val="28"/>
          <w:rtl w:val="true"/>
          <w:lang w:bidi="ar-SA"/>
        </w:rPr>
        <w:t xml:space="preserve">و البيان قولاً و الذكرى و الدّروس </w:t>
      </w:r>
      <w:r>
        <w:rPr>
          <w:rStyle w:val="FootnoteAnchor"/>
          <w:rtl w:val="true"/>
        </w:rPr>
        <w:footnoteReference w:id="2566"/>
      </w:r>
      <w:r>
        <w:rPr>
          <w:rFonts w:ascii="Amiri" w:hAnsi="Amiri" w:eastAsia="Amiri" w:cs="Amiri"/>
          <w:color w:val="111111"/>
          <w:sz w:val="28"/>
          <w:sz w:val="28"/>
          <w:szCs w:val="28"/>
          <w:rtl w:val="true"/>
          <w:lang w:bidi="ar-SA"/>
        </w:rPr>
        <w:t xml:space="preserve">احتمالاً و تردّداً، على عدم الفرق؛ لأنهم أوجبوا إخراج الدّم النجس الذي أُدخل تحت الجلد، و صرّح في الحدائق </w:t>
      </w:r>
      <w:r>
        <w:rPr>
          <w:rStyle w:val="FootnoteAnchor"/>
          <w:rtl w:val="true"/>
        </w:rPr>
        <w:footnoteReference w:id="2567"/>
      </w:r>
      <w:r>
        <w:rPr>
          <w:rFonts w:ascii="Amiri" w:hAnsi="Amiri" w:eastAsia="Amiri" w:cs="Amiri"/>
          <w:color w:val="111111"/>
          <w:sz w:val="28"/>
          <w:sz w:val="28"/>
          <w:szCs w:val="28"/>
          <w:rtl w:val="true"/>
          <w:lang w:bidi="ar-SA"/>
        </w:rPr>
        <w:t>بذلك، بل ظاهره انفعال الباطن بالنجاسة الخارجيّة مطلقاً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عندي أنّ الحمل إن جاز جاز مطلقاً و إلَّا فلا، بل يحتمل قويّاً الجواز؛ إذ ما قضى بعدم تأثير النجاسة في الباطن من حيث الحمل يدلّ عليه مطلقاً، لا أقلّ من الشك في شمول أدلّة </w:t>
      </w:r>
    </w:p>
    <w:p>
      <w:pPr>
        <w:pStyle w:val="BookText"/>
        <w:rPr/>
      </w:pPr>
      <w:r>
        <w:rPr>
          <w:rFonts w:ascii="Amiri" w:hAnsi="Amiri" w:eastAsia="Amiri" w:cs="Amiri"/>
          <w:color w:val="111111"/>
          <w:sz w:val="28"/>
          <w:sz w:val="28"/>
          <w:szCs w:val="28"/>
          <w:rtl w:val="true"/>
          <w:lang w:bidi="ar-SA"/>
        </w:rPr>
        <w:t xml:space="preserve">الحمل للمفروض، فيرجع للأصل، لكن الشارح غير مشكك في بقاء نجاسة الجسم الداخل من خارج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الفم و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الرّطوبة الحادثة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تدخل 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طهره بزوال عین النجاسة کالباطن؛ و حکم ابن فهد فی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بصاق الثمل و دمع المکتحل بالنجس طاهران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ما یتخلّف فی الفَم من بقایا الطعام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المتنجّس خارجاً أو فيه فإنّما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بالمضمضة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اختاره المصنّف </w:t>
      </w:r>
      <w:r>
        <w:rPr>
          <w:rStyle w:val="FootnoteAnchor"/>
          <w:rtl w:val="true"/>
        </w:rPr>
        <w:footnoteReference w:id="2569"/>
      </w:r>
      <w:r>
        <w:rPr>
          <w:rFonts w:ascii="Amiri" w:hAnsi="Amiri" w:eastAsia="Amiri" w:cs="Amiri"/>
          <w:color w:val="111111"/>
          <w:sz w:val="28"/>
          <w:sz w:val="28"/>
          <w:szCs w:val="28"/>
          <w:rtl w:val="true"/>
          <w:lang w:bidi="ar-SA"/>
        </w:rPr>
        <w:t xml:space="preserve">من التعدّد </w:t>
      </w:r>
      <w:r>
        <w:rPr>
          <w:rStyle w:val="FootnoteAnchor"/>
          <w:rtl w:val="true"/>
        </w:rPr>
        <w:footnoteReference w:id="2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و غيره </w:t>
      </w:r>
      <w:r>
        <w:rPr>
          <w:rStyle w:val="FootnoteAnchor"/>
          <w:rtl w:val="true"/>
        </w:rPr>
        <w:footnoteReference w:id="2571"/>
      </w:r>
      <w:r>
        <w:rPr>
          <w:rFonts w:ascii="Amiri" w:hAnsi="Amiri" w:eastAsia="Amiri" w:cs="Amiri"/>
          <w:color w:val="111111"/>
          <w:sz w:val="28"/>
          <w:sz w:val="28"/>
          <w:szCs w:val="28"/>
          <w:rtl w:val="true"/>
          <w:lang w:bidi="ar-SA"/>
        </w:rPr>
        <w:t xml:space="preserve">مختاره وجوب الثلاث أو المرّة فقط في سائر أفراد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نجاسة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مرّتين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من قصر المرّتين على البول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مشكل جدّاً؛ لعدم تحقّق شروط الغسل في المضمضة؛ و لأنّ النجاسة نافذة إلى باطن الغذاء فكيف يطهّرها القليل مع عدم خروج الغسالة لو فرض العلم بوصول الماء إلى الأعماق، و لا يمكن إحرازه، و الشك كافٍ في الحكم بعدم الوصول</w:t>
      </w:r>
      <w:r>
        <w:rPr>
          <w:rFonts w:eastAsia="Amiri" w:cs="Amiri" w:ascii="Amiri" w:hAnsi="Amiri"/>
          <w:color w:val="111111"/>
          <w:sz w:val="28"/>
          <w:szCs w:val="28"/>
          <w:rtl w:val="true"/>
          <w:lang w:bidi="ar-SA"/>
        </w:rPr>
        <w:t xml:space="preserve">. </w:t>
      </w:r>
      <w:bookmarkStart w:id="188" w:name="pg9146_86325"/>
    </w:p>
    <w:p>
      <w:pPr>
        <w:pStyle w:val="Heading2"/>
        <w:numPr>
          <w:ilvl w:val="1"/>
          <w:numId w:val="1"/>
        </w:numPr>
        <w:rPr/>
      </w:pPr>
      <w:bookmarkStart w:id="189" w:name="__RefHeading___Toc3322650_2870459653"/>
      <w:bookmarkStart w:id="190" w:name="_Toc63"/>
      <w:bookmarkEnd w:id="188"/>
      <w:bookmarkEnd w:id="189"/>
      <w:r>
        <w:rPr>
          <w:rtl w:val="true"/>
        </w:rPr>
        <w:t>[</w:t>
      </w:r>
      <w:r>
        <w:rPr>
          <w:rtl w:val="true"/>
        </w:rPr>
        <w:t>فصول الطهّارة</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علم من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الاشتراط بالنيّة لا جرم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للوضوء و الغسل 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إذ النيّة شرط فيها، ثمّ هي إن اختصّت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 للحدث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المبيح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تقسيمها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Style w:val="FootnoteAnchor"/>
          <w:rtl w:val="true"/>
        </w:rPr>
        <w:footnoteReference w:id="2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تشمل ذلك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حصل رفع الحَدَث به أم لا كوضوء الحائض،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فههنا </w:t>
      </w:r>
      <w:r>
        <w:rPr>
          <w:rStyle w:val="FootnoteAnchor"/>
          <w:rtl w:val="true"/>
        </w:rPr>
        <w:footnoteReference w:id="2573"/>
      </w:r>
      <w:r>
        <w:rPr>
          <w:rFonts w:ascii="Amiri" w:hAnsi="Amiri" w:eastAsia="Amiri" w:cs="Amiri"/>
          <w:color w:val="111111"/>
          <w:sz w:val="28"/>
          <w:sz w:val="28"/>
          <w:szCs w:val="28"/>
          <w:rtl w:val="true"/>
          <w:lang w:bidi="ar-SA"/>
        </w:rPr>
        <w:t>فصول ثلاثة</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3322652_2870459653"/>
      <w:bookmarkStart w:id="192" w:name="_Toc64"/>
      <w:bookmarkEnd w:id="191"/>
      <w:r>
        <w:rPr>
          <w:rtl w:val="true"/>
        </w:rPr>
        <w:t>[</w:t>
      </w:r>
      <w:r>
        <w:rPr>
          <w:rtl w:val="true"/>
        </w:rPr>
        <w:t>الفصل</w:t>
      </w:r>
      <w:r>
        <w:rPr>
          <w:rtl w:val="true"/>
        </w:rPr>
        <w:t xml:space="preserve">] </w:t>
      </w:r>
      <w:r>
        <w:rPr>
          <w:rtl w:val="true"/>
        </w:rPr>
        <w:t>الأوّل</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اسم المصدر له اصطلاحان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وجه وزن المصدر و لم يكن بمعناه كالثوب لما يثاب به، و العطاء لما يعطى، و الكلام لما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اسماً للمصدر، لا للحَدَث الذي هو معنى المصدر، و إن دلّ عليه بالواسطة، فمنه ما كان علماً للمصدر كفجارِ علماً للفَجرَة، و حمادِ للمَحْمَدَة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كان مبدوءاً بميم زائدة لغير المفاعلة، و هو المصدر الميمي كمضرب و 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كان على وزن مصدر الثلاثي المجرّد و فعله من المزيد فيه كالوضوء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توضّأ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مصدره التوضّؤ على وزن 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يطلق عليه المصدر مجازاً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الوَضوء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الماء الذي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كالطهور لما يتطهّر به، و سيبويه </w:t>
      </w:r>
      <w:r>
        <w:rPr>
          <w:rStyle w:val="FootnoteAnchor"/>
          <w:rtl w:val="true"/>
        </w:rPr>
        <w:footnoteReference w:id="2574"/>
      </w:r>
      <w:r>
        <w:rPr>
          <w:rFonts w:ascii="Amiri" w:hAnsi="Amiri" w:eastAsia="Amiri" w:cs="Amiri"/>
          <w:color w:val="111111"/>
          <w:sz w:val="28"/>
          <w:sz w:val="28"/>
          <w:szCs w:val="28"/>
          <w:rtl w:val="true"/>
          <w:lang w:bidi="ar-SA"/>
        </w:rPr>
        <w:t xml:space="preserve">جعله كالمضموم اسم مصدر بمعنى التوضّؤ كما فعل في الطهور، و الوضوء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لفظه أو ذاته مأخوذ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المفتوح؛ لاتّحاد أصلهما، أو المراد بأصله التوضّؤ الذي جعل الوضوء اِسماً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النظافة و النضارَة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وضيئ أي </w:t>
      </w:r>
      <w:bookmarkStart w:id="193" w:name="pg9146_86326"/>
    </w:p>
    <w:p>
      <w:pPr>
        <w:pStyle w:val="BookText"/>
        <w:rPr/>
      </w:pPr>
      <w:bookmarkEnd w:id="193"/>
      <w:r>
        <w:rPr>
          <w:rFonts w:ascii="Amiri" w:hAnsi="Amiri" w:eastAsia="Amiri" w:cs="Amiri"/>
          <w:color w:val="111111"/>
          <w:sz w:val="28"/>
          <w:sz w:val="28"/>
          <w:szCs w:val="28"/>
          <w:rtl w:val="true"/>
          <w:lang w:bidi="ar-SA"/>
        </w:rPr>
        <w:t xml:space="preserve">حسن الوجه، و سُمّيَ بذلك لما فيه من التنظيف الظاهري و الباطني، و هو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النجاسات المعنويّة التي هي الأحداث، و النصّ </w:t>
      </w:r>
      <w:r>
        <w:rPr>
          <w:rStyle w:val="FootnoteAnchor"/>
          <w:rtl w:val="true"/>
        </w:rPr>
        <w:footnoteReference w:id="2575"/>
      </w:r>
      <w:r>
        <w:rPr>
          <w:rFonts w:ascii="Amiri" w:hAnsi="Amiri" w:eastAsia="Amiri" w:cs="Amiri"/>
          <w:color w:val="111111"/>
          <w:sz w:val="28"/>
          <w:sz w:val="28"/>
          <w:szCs w:val="28"/>
          <w:rtl w:val="true"/>
          <w:lang w:bidi="ar-SA"/>
        </w:rPr>
        <w:t>نطقَ بذلك</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3322654_2870459653"/>
      <w:bookmarkStart w:id="195" w:name="_Toc65"/>
      <w:bookmarkEnd w:id="194"/>
      <w:r>
        <w:rPr>
          <w:rtl w:val="true"/>
        </w:rPr>
        <w:t>[</w:t>
      </w:r>
      <w:r>
        <w:rPr>
          <w:rtl w:val="true"/>
        </w:rPr>
        <w:t>موجبات الوضوء</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عرفيّها معروف بشرط خروجها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المَوضِع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فلو شكّ في الخروج مطلقاً، أو من المعتاد، أو في نوع الخارج، بني على الصّحة، كما لا فرق في موجبه بين خروجه في الأثناء أو بعد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تقييد الرّيح بما يُسْمَع و يُشَمّ كما ورد في خبر زرارة </w:t>
      </w:r>
      <w:r>
        <w:rPr>
          <w:rStyle w:val="FootnoteAnchor"/>
          <w:rtl w:val="true"/>
        </w:rPr>
        <w:footnoteReference w:id="2576"/>
      </w:r>
      <w:r>
        <w:rPr>
          <w:rFonts w:ascii="Amiri" w:hAnsi="Amiri" w:eastAsia="Amiri" w:cs="Amiri"/>
          <w:color w:val="111111"/>
          <w:sz w:val="28"/>
          <w:sz w:val="28"/>
          <w:szCs w:val="28"/>
          <w:rtl w:val="true"/>
          <w:lang w:bidi="ar-SA"/>
        </w:rPr>
        <w:t xml:space="preserve">المقيّد لغيره من المطلقات، و من الناس </w:t>
      </w:r>
      <w:r>
        <w:rPr>
          <w:rStyle w:val="FootnoteAnchor"/>
          <w:rtl w:val="true"/>
        </w:rPr>
        <w:footnoteReference w:id="2577"/>
      </w:r>
      <w:r>
        <w:rPr>
          <w:rFonts w:ascii="Amiri" w:hAnsi="Amiri" w:eastAsia="Amiri" w:cs="Amiri"/>
          <w:color w:val="111111"/>
          <w:sz w:val="28"/>
          <w:sz w:val="28"/>
          <w:szCs w:val="28"/>
          <w:rtl w:val="true"/>
          <w:lang w:bidi="ar-SA"/>
        </w:rPr>
        <w:t>من أطلق النقض فيه، و الصحيح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الاعتياد بتكرّر الخروج، و الطبيعي معتاد لكافّة النّاس فلا يشترط فيه التكرّر، بل المرّة منه تكفي في النقض، فلو خرجت الثلاثة من الطبيعي وجبَ الوضوء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انسداده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فالأوّل يجب له الوضوء بلا خلاف؛ لأنّ النّوع الإنساني لا بدّ له في العادة من مَنْفَذ تخرج منه الفضلات التي تدفعها الطّبيعة، فمتى انسدّ قام ما انفتح مقامه سواء انفتح فوق المعدة أو تحتها، فلو اعتاد أن يقيئ الغائط وجبَ الوضوء به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الموجب على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دون السّبب و الناقض كما في غيره </w:t>
      </w:r>
      <w:r>
        <w:rPr>
          <w:rStyle w:val="FootnoteAnchor"/>
          <w:rtl w:val="true"/>
        </w:rPr>
        <w:footnoteReference w:id="2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إيجابها الوضوء عند التكليف بما هو 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الصلاتين و غيرهما، فهي موجبة بالشرط المذكور فسقط توهّم أنّ الموجب إمّا بمعنى المقتضي للوضوء أو لوجوبه، و أنّ مقتضى الشيء لا ينفكّ عنه، و لا يجب الوضوء بخروج أحد الثلاثة في الصّبي و المجنون، و إذا وجب المشروط به فإنّها بذاتها ليست موجبة، و إنّما يثبت لها ذلك إذا تحقّق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يطلق عليها </w:t>
      </w:r>
    </w:p>
    <w:p>
      <w:pPr>
        <w:pStyle w:val="BookText"/>
        <w:rPr/>
      </w:pPr>
      <w:r>
        <w:rPr>
          <w:rFonts w:ascii="Amiri" w:hAnsi="Amiri" w:eastAsia="Amiri" w:cs="Amiri"/>
          <w:color w:val="111111"/>
          <w:sz w:val="28"/>
          <w:sz w:val="28"/>
          <w:szCs w:val="28"/>
          <w:rtl w:val="true"/>
          <w:lang w:bidi="ar-SA"/>
        </w:rPr>
        <w:t>الناقض أيضاً باعتبار 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لتطهير المتوضّي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وجودي ظاهر منضبط يكون معرّفاً لحكم من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بالموجب سبب الوجوب النقلي لا فاعله؛ إذ هو الشارع بالوجوب شرعييه دون لغوييه وهو الثبوت في الشريعة و لو على جهة الاستحباب فإنّه يرادف السبب، و عليه فيجتمع السّبب معهما في الحَدَث في وقت وجوب مشروطه، و ينفرد عنهما في الحَدَث بعد الحَدَث، فإنّه سبب ناقض، و في الحَدَث قبل وجوب مشروطه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بينهما عموماً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لاجتماعهما في الحَدَث المسبوق بالوضوء بعد وجوبه و انفراد الناقض فيه قبل اشتغال ذمّة المكلّف بواجب مشروط به و الموجب في الوضوء حين الاشتغال لا عن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التعبير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أعمّ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الموجب، و لعلّه اصطلاحٌ منه؛ إذ الشأنيّة في الموجب و السبب سواء، أو تعتبر الفعليّة في كليهما فيترادفان، بل لا معنى لاقتضاء الحَدَث فعل الوضوء إلَّا أن يراد بالاقتضاء معنى الطلب فيؤول إلى تسببه</w:t>
      </w:r>
    </w:p>
    <w:p>
      <w:pPr>
        <w:pStyle w:val="BookText"/>
        <w:rPr/>
      </w:pPr>
      <w:r>
        <w:rPr>
          <w:rFonts w:ascii="IRNazanin" w:hAnsi="IRNazanin" w:eastAsia="IRNazanin"/>
          <w:color w:val="111111"/>
          <w:sz w:val="28"/>
          <w:sz w:val="28"/>
          <w:szCs w:val="28"/>
          <w:rtl w:val="true"/>
          <w:lang w:bidi="fa-IR"/>
        </w:rPr>
        <w:t>لوجوبه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نواقض الوضوء ما ليس بسبب له كالجنابة، و وجود الماء ناقض للتيمّم و ليس سبباً له، و يستفاد من العبارة أنّه لا يجب الوضوء على من لم يحصل الحَدَث منه؛ لأنّه أمر وجودي، و الطهارة عدمه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أيضاً وجوديّة طارئة، فلا تُباح الصلاة للمكلّف إلَّا بوجودها، و هو ظاهر الآية </w:t>
      </w:r>
      <w:r>
        <w:rPr>
          <w:rStyle w:val="FootnoteAnchor"/>
          <w:rtl w:val="true"/>
        </w:rPr>
        <w:footnoteReference w:id="2579"/>
      </w:r>
      <w:r>
        <w:rPr>
          <w:rFonts w:ascii="Amiri" w:hAnsi="Amiri" w:eastAsia="Amiri" w:cs="Amiri"/>
          <w:color w:val="111111"/>
          <w:sz w:val="28"/>
          <w:sz w:val="28"/>
          <w:szCs w:val="28"/>
          <w:rtl w:val="true"/>
          <w:lang w:bidi="ar-SA"/>
        </w:rPr>
        <w:t xml:space="preserve">و الرّواية </w:t>
      </w:r>
      <w:r>
        <w:rPr>
          <w:rStyle w:val="FootnoteAnchor"/>
          <w:rtl w:val="true"/>
        </w:rPr>
        <w:footnoteReference w:id="2580"/>
      </w:r>
      <w:r>
        <w:rPr>
          <w:rFonts w:ascii="Amiri" w:hAnsi="Amiri" w:eastAsia="Amiri" w:cs="Amiri"/>
          <w:color w:val="111111"/>
          <w:sz w:val="28"/>
          <w:sz w:val="28"/>
          <w:szCs w:val="28"/>
          <w:rtl w:val="true"/>
          <w:lang w:bidi="ar-SA"/>
        </w:rPr>
        <w:t xml:space="preserve">، و حكمهم بأنّ الشاك في المتأخِّر من الحَدَث و الطهارة تجب الطهارة عليه دون الشّاك في المتأخِّر منها و الخَبَث، فلولا إنّها وصفٌ وجودي لكانا سَواء في الحكم و البناء على أصالة الطّهارة، و عليه يجوز الدخول فيما كان الحَدَث مانعاً منه دون ما كانت الطهارة شرطاً فيه، و هو جيّد؛ إذ المفهوم من الأدلّة أنّ الصلاة مع فقد الوضوء غير مطلوبة </w:t>
      </w:r>
    </w:p>
    <w:p>
      <w:pPr>
        <w:pStyle w:val="BookText"/>
        <w:rPr/>
      </w:pPr>
      <w:r>
        <w:rPr>
          <w:rFonts w:ascii="Amiri" w:hAnsi="Amiri" w:eastAsia="Amiri" w:cs="Amiri"/>
          <w:color w:val="111111"/>
          <w:sz w:val="28"/>
          <w:sz w:val="28"/>
          <w:szCs w:val="28"/>
          <w:rtl w:val="true"/>
          <w:lang w:bidi="ar-SA"/>
        </w:rPr>
        <w:t>كهي بدون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2581"/>
      </w:r>
      <w:r>
        <w:rPr>
          <w:rFonts w:ascii="Amiri" w:hAnsi="Amiri" w:eastAsia="Amiri" w:cs="Amiri"/>
          <w:color w:val="111111"/>
          <w:sz w:val="28"/>
          <w:sz w:val="28"/>
          <w:szCs w:val="28"/>
          <w:rtl w:val="true"/>
          <w:lang w:bidi="ar-SA"/>
        </w:rPr>
        <w:t>، فإنّه مساوق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2582"/>
      </w:r>
      <w:r>
        <w:rPr>
          <w:rFonts w:ascii="Amiri" w:hAnsi="Amiri" w:eastAsia="Amiri" w:cs="Amiri"/>
          <w:color w:val="111111"/>
          <w:sz w:val="28"/>
          <w:sz w:val="28"/>
          <w:szCs w:val="28"/>
          <w:rtl w:val="true"/>
          <w:lang w:bidi="ar-SA"/>
        </w:rPr>
        <w:t>، من غير فرق، فكأنّه من مقوّماتها، و هو مساوٍ للنية، و ليس المقصود من تشريعه رفع الحَدَث فقط من غير مدخليّة له فيها، و لا ينافيه الاكتفاء بنيّة رفع الحَدَث عن نيّة الاستباحة؛ لأنّ الاستباحة لازمة لوجوده، فلو رفع الحَدَث بغيره لا تصحّ الصلاة مع التمكّن منه كما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الناقض يقضي بكون المنقوض وجوديّاً؛ لشمول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Style w:val="FootnoteAnchor"/>
          <w:rtl w:val="true"/>
        </w:rPr>
        <w:footnoteReference w:id="2583"/>
      </w:r>
      <w:r>
        <w:rPr>
          <w:rFonts w:ascii="Amiri" w:hAnsi="Amiri" w:eastAsia="Amiri" w:cs="Amiri"/>
          <w:color w:val="111111"/>
          <w:sz w:val="28"/>
          <w:sz w:val="28"/>
          <w:szCs w:val="28"/>
          <w:rtl w:val="true"/>
          <w:lang w:bidi="ar-SA"/>
        </w:rPr>
        <w:t xml:space="preserve">للأُمور الوجوديّة و العدميّة، و نعتمد على الآية </w:t>
      </w:r>
      <w:r>
        <w:rPr>
          <w:rStyle w:val="FootnoteAnchor"/>
          <w:rtl w:val="true"/>
        </w:rPr>
        <w:footnoteReference w:id="2584"/>
      </w:r>
      <w:r>
        <w:rPr>
          <w:rFonts w:ascii="Amiri" w:hAnsi="Amiri" w:eastAsia="Amiri" w:cs="Amiri"/>
          <w:color w:val="111111"/>
          <w:sz w:val="28"/>
          <w:sz w:val="28"/>
          <w:szCs w:val="28"/>
          <w:rtl w:val="true"/>
          <w:lang w:bidi="ar-SA"/>
        </w:rPr>
        <w:t>لتفسيرها بالقيام من النّوم، و لاستناد التيمّم في غيرها إلى المجيء من الغائط، و هو بدل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ظاهرة في المدّعى؛ لأنّ وجوب الطهور عند دخول الوقت غير صريح، بل و لا ظاهر في المُحْدِث فقط، فدعوى الظهور مقلوبة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تالي الأدلّة فليس بشيء، بل هو لجهة أنّ الحَدَث مانع فلا بدّ من إحراز العلم بعدمه و لو بالأصل، و هو غير جارٍ في المثال؛ لتعارض الأصلين فيه من أصالة عدم سبق الحَدَث على الوضوء و الوضوء على الحَدَث، و يؤيّده حكمهم بوجوب الغُسل إذا لم يعلم المكلّف سبقه على الجنابة، و لا شكّ في عدم وجوبه على من لم يحصل منه موجبه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موجبه مضافاً إلى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كما في بعض النصوص </w:t>
      </w:r>
      <w:r>
        <w:rPr>
          <w:rStyle w:val="FootnoteAnchor"/>
          <w:rtl w:val="true"/>
        </w:rPr>
        <w:footnoteReference w:id="2585"/>
      </w:r>
      <w:r>
        <w:rPr>
          <w:rFonts w:ascii="Amiri" w:hAnsi="Amiri" w:eastAsia="Amiri" w:cs="Amiri"/>
          <w:color w:val="111111"/>
          <w:sz w:val="28"/>
          <w:sz w:val="28"/>
          <w:szCs w:val="28"/>
          <w:rtl w:val="true"/>
          <w:lang w:bidi="ar-SA"/>
        </w:rPr>
        <w:t xml:space="preserve">، و تقيّده بالنّوم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غَلَبَة مستهلكة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السّمع و 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على مطلق 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بغيره </w:t>
      </w:r>
      <w:r>
        <w:rPr>
          <w:rStyle w:val="FootnoteAnchor"/>
          <w:rtl w:val="true"/>
        </w:rPr>
        <w:footnoteReference w:id="2586"/>
      </w:r>
    </w:p>
    <w:p>
      <w:pPr>
        <w:pStyle w:val="BookText"/>
        <w:rPr/>
      </w:pPr>
      <w:r>
        <w:rPr>
          <w:rFonts w:ascii="Amiri" w:hAnsi="Amiri" w:eastAsia="Amiri" w:cs="Amiri"/>
          <w:color w:val="111111"/>
          <w:sz w:val="28"/>
          <w:sz w:val="28"/>
          <w:szCs w:val="28"/>
          <w:rtl w:val="true"/>
          <w:lang w:bidi="ar-SA"/>
        </w:rPr>
        <w:t xml:space="preserve">لا يُراد به تقسيمه، فإنّ غيره لا يسمّى نوماً و إن أطلق عليه، و هو ناقض مطلقاً خلافاً لظاهر الصّدوق في من نام قاعداً بدون انفراج الرواية الحضرمي </w:t>
      </w:r>
      <w:r>
        <w:rPr>
          <w:rStyle w:val="FootnoteAnchor"/>
          <w:rtl w:val="true"/>
        </w:rPr>
        <w:footnoteReference w:id="2587"/>
      </w:r>
      <w:r>
        <w:rPr>
          <w:rFonts w:ascii="IRNazanin" w:hAnsi="IRNazanin" w:eastAsia="IRNazanin"/>
          <w:color w:val="111111"/>
          <w:sz w:val="28"/>
          <w:sz w:val="28"/>
          <w:szCs w:val="28"/>
          <w:rtl w:val="true"/>
          <w:lang w:bidi="fa-IR"/>
        </w:rPr>
        <w:t xml:space="preserve">و إرساله عن أبي الحسن علیه السلام </w:t>
      </w:r>
      <w:r>
        <w:rPr>
          <w:rStyle w:val="FootnoteAnchor"/>
          <w:rtl w:val="true"/>
        </w:rPr>
        <w:footnoteReference w:id="2588"/>
      </w:r>
      <w:r>
        <w:rPr>
          <w:rFonts w:ascii="Amiri" w:hAnsi="Amiri" w:eastAsia="Amiri" w:cs="Amiri"/>
          <w:color w:val="111111"/>
          <w:sz w:val="28"/>
          <w:sz w:val="28"/>
          <w:szCs w:val="28"/>
          <w:rtl w:val="true"/>
          <w:lang w:bidi="ar-SA"/>
        </w:rPr>
        <w:t xml:space="preserve">، و رواية ابن حمران </w:t>
      </w:r>
      <w:r>
        <w:rPr>
          <w:rStyle w:val="FootnoteAnchor"/>
          <w:rtl w:val="true"/>
        </w:rPr>
        <w:footnoteReference w:id="2589"/>
      </w:r>
      <w:r>
        <w:rPr>
          <w:rFonts w:ascii="IRNazanin" w:hAnsi="IRNazanin" w:eastAsia="IRNazanin"/>
          <w:color w:val="111111"/>
          <w:sz w:val="28"/>
          <w:sz w:val="28"/>
          <w:szCs w:val="28"/>
          <w:rtl w:val="true"/>
          <w:lang w:bidi="fa-IR"/>
        </w:rPr>
        <w:t xml:space="preserve">و عبد الله بن سنان </w:t>
      </w:r>
      <w:r>
        <w:rPr>
          <w:rStyle w:val="FootnoteAnchor"/>
          <w:rtl w:val="true"/>
        </w:rPr>
        <w:footnoteReference w:id="2590"/>
      </w:r>
      <w:r>
        <w:rPr>
          <w:rFonts w:ascii="Amiri" w:hAnsi="Amiri" w:eastAsia="Amiri" w:cs="Amiri"/>
          <w:color w:val="111111"/>
          <w:sz w:val="28"/>
          <w:sz w:val="28"/>
          <w:szCs w:val="28"/>
          <w:rtl w:val="true"/>
          <w:lang w:bidi="ar-SA"/>
        </w:rPr>
        <w:t xml:space="preserve">، فإنّ ظاهرها عدم لزوم الوضوء على النائم قاعداً، و هي معارضة بالأقوى ممّا صرّح فيها بالتّعميم </w:t>
      </w:r>
      <w:r>
        <w:rPr>
          <w:rStyle w:val="FootnoteAnchor"/>
          <w:rtl w:val="true"/>
        </w:rPr>
        <w:footnoteReference w:id="2591"/>
      </w:r>
      <w:r>
        <w:rPr>
          <w:rFonts w:ascii="Amiri" w:hAnsi="Amiri" w:eastAsia="Amiri" w:cs="Amiri"/>
          <w:color w:val="111111"/>
          <w:sz w:val="28"/>
          <w:sz w:val="28"/>
          <w:szCs w:val="28"/>
          <w:rtl w:val="true"/>
          <w:lang w:bidi="ar-SA"/>
        </w:rPr>
        <w:t xml:space="preserve">، أو ما ورد في خصوص </w:t>
      </w:r>
      <w:r>
        <w:rPr>
          <w:rStyle w:val="FootnoteAnchor"/>
          <w:rtl w:val="true"/>
        </w:rPr>
        <w:footnoteReference w:id="2592"/>
      </w:r>
      <w:r>
        <w:rPr>
          <w:rFonts w:ascii="Amiri" w:hAnsi="Amiri" w:eastAsia="Amiri" w:cs="Amiri"/>
          <w:color w:val="111111"/>
          <w:sz w:val="28"/>
          <w:sz w:val="28"/>
          <w:szCs w:val="28"/>
          <w:rtl w:val="true"/>
          <w:lang w:bidi="ar-SA"/>
        </w:rPr>
        <w:t xml:space="preserve">نقض النوم حالة القعود فينبغي حملها على التقيّة أو تأويلها على إرادة غير الغالب على السمع، مع أنّه لم يثبت عمل الصّدوق بها و لا غيره و إن رواها، و خلافاً لظاهر عليّ بن بابويه </w:t>
      </w:r>
      <w:r>
        <w:rPr>
          <w:rStyle w:val="FootnoteAnchor"/>
          <w:rtl w:val="true"/>
        </w:rPr>
        <w:footnoteReference w:id="2593"/>
      </w:r>
      <w:r>
        <w:rPr>
          <w:rFonts w:ascii="Amiri" w:hAnsi="Amiri" w:eastAsia="Amiri" w:cs="Amiri"/>
          <w:color w:val="111111"/>
          <w:sz w:val="28"/>
          <w:sz w:val="28"/>
          <w:szCs w:val="28"/>
          <w:rtl w:val="true"/>
          <w:lang w:bidi="ar-SA"/>
        </w:rPr>
        <w:t xml:space="preserve">في عدم نقضه مطلقاً استناداً إلى ما حصر نقض الوضوء في غير النّوم </w:t>
      </w:r>
      <w:r>
        <w:rPr>
          <w:rStyle w:val="FootnoteAnchor"/>
          <w:rtl w:val="true"/>
        </w:rPr>
        <w:footnoteReference w:id="2594"/>
      </w:r>
      <w:r>
        <w:rPr>
          <w:rFonts w:ascii="Amiri" w:hAnsi="Amiri" w:eastAsia="Amiri" w:cs="Amiri"/>
          <w:color w:val="111111"/>
          <w:sz w:val="28"/>
          <w:sz w:val="28"/>
          <w:szCs w:val="28"/>
          <w:rtl w:val="true"/>
          <w:lang w:bidi="ar-SA"/>
        </w:rPr>
        <w:t xml:space="preserve">من النصوص كصحيحة زرارة </w:t>
      </w:r>
      <w:r>
        <w:rPr>
          <w:rStyle w:val="FootnoteAnchor"/>
          <w:rtl w:val="true"/>
        </w:rPr>
        <w:footnoteReference w:id="2595"/>
      </w:r>
      <w:r>
        <w:rPr>
          <w:rFonts w:ascii="IRNazanin" w:hAnsi="IRNazanin" w:eastAsia="IRNazanin"/>
          <w:color w:val="111111"/>
          <w:sz w:val="28"/>
          <w:sz w:val="28"/>
          <w:szCs w:val="28"/>
          <w:rtl w:val="true"/>
          <w:lang w:bidi="fa-IR"/>
        </w:rPr>
        <w:t xml:space="preserve">و سالم </w:t>
      </w:r>
      <w:r>
        <w:rPr>
          <w:rStyle w:val="FootnoteAnchor"/>
          <w:rtl w:val="true"/>
        </w:rPr>
        <w:footnoteReference w:id="2596"/>
      </w:r>
      <w:r>
        <w:rPr>
          <w:rFonts w:ascii="Amiri" w:hAnsi="Amiri" w:eastAsia="Amiri" w:cs="Amiri"/>
          <w:color w:val="111111"/>
          <w:sz w:val="28"/>
          <w:sz w:val="28"/>
          <w:szCs w:val="28"/>
          <w:rtl w:val="true"/>
          <w:lang w:bidi="ar-SA"/>
        </w:rPr>
        <w:t xml:space="preserve">، و رواية زكريّا بن آدم </w:t>
      </w:r>
      <w:r>
        <w:rPr>
          <w:rStyle w:val="FootnoteAnchor"/>
          <w:rtl w:val="true"/>
        </w:rPr>
        <w:footnoteReference w:id="2597"/>
      </w:r>
      <w:r>
        <w:rPr>
          <w:rFonts w:ascii="Amiri" w:hAnsi="Amiri" w:eastAsia="Amiri" w:cs="Amiri"/>
          <w:color w:val="111111"/>
          <w:sz w:val="28"/>
          <w:sz w:val="28"/>
          <w:szCs w:val="28"/>
          <w:rtl w:val="true"/>
          <w:lang w:bidi="ar-SA"/>
        </w:rPr>
        <w:t>، فإنّ الحصر إضافي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فلا ريب في ناقضيّة النوم الذي يبطل به إدراك الحواس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الغلبة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 الغلبة على سائرها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في بعض النّصوص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بالذِّكر؛ إذ لا تبقى مع فقده حاسّة و تبقى مع غيره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البصر فهو أضعف من كثير منها، فلا وجه 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و لا لتأخيره عن السّمع؛ لغنائه عنه من غير عكس، و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حاليّة سلمت العبارة من الزَّيْغ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جنون و سُكر و 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خرف و وجَع و شدّة مرض و ما يعرض لبعض أهل الرياضات، و كأنّ نقض المزيل كذلك عليه الاتّفاق، بل الإجماع، و لولاه لأمكنَت المناقشة في دليله؛ لأنه استنباط لا يعوّل عليه في الحكم الشرعي، و لأنّ خبر ابن خلّاد </w:t>
      </w:r>
      <w:r>
        <w:rPr>
          <w:rStyle w:val="FootnoteAnchor"/>
          <w:rtl w:val="true"/>
        </w:rPr>
        <w:footnoteReference w:id="2598"/>
      </w:r>
      <w:r>
        <w:rPr>
          <w:rFonts w:ascii="Amiri" w:hAnsi="Amiri" w:eastAsia="Amiri" w:cs="Amiri"/>
          <w:color w:val="111111"/>
          <w:sz w:val="28"/>
          <w:sz w:val="28"/>
          <w:szCs w:val="28"/>
          <w:rtl w:val="true"/>
          <w:lang w:bidi="ar-SA"/>
        </w:rPr>
        <w:t>يفهم منه أنّ خفاء الصّوت من جهة الإغفاء و النّوم، لا أنّه بنفسه علّة للوضوء في الرجل المسؤول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للمكلّف مطلقاً صحَّ الاستدلال به، و هو منافٍ للأسلوب اللّفظي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توجبه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هي الدّم المعهود الذي لا يثقب الکُرسُف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 يأتي تفصيله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كلّ أقسامها يوجب الوضوء في الجملة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المقيّد </w:t>
      </w:r>
      <w:r>
        <w:rPr>
          <w:rStyle w:val="FootnoteAnchor"/>
          <w:rtl w:val="true"/>
        </w:rPr>
        <w:footnoteReference w:id="2599"/>
      </w:r>
      <w:r>
        <w:rPr>
          <w:rFonts w:ascii="Amiri" w:hAnsi="Amiri" w:eastAsia="Amiri" w:cs="Amiri"/>
          <w:color w:val="111111"/>
          <w:sz w:val="28"/>
          <w:sz w:val="28"/>
          <w:szCs w:val="28"/>
          <w:rtl w:val="true"/>
          <w:lang w:bidi="ar-SA"/>
        </w:rPr>
        <w:t xml:space="preserve">لها بالقليلة أراد وجوبه بلا غسل، فإنّ المتوسّطة و الكثيرة و إن أوجبت الوضوء فقط في الصبح و العصر، لكنّها توجب الغسل أيضاً دون القليلة، و لكلّ وجه؛ و هما أرادا القسم الموجب منها مطلقاً، و لم يعدّها الشيخ </w:t>
      </w:r>
      <w:r>
        <w:rPr>
          <w:rStyle w:val="FootnoteAnchor"/>
          <w:rtl w:val="true"/>
        </w:rPr>
        <w:footnoteReference w:id="2600"/>
      </w:r>
      <w:r>
        <w:rPr>
          <w:rFonts w:ascii="Amiri" w:hAnsi="Amiri" w:eastAsia="Amiri" w:cs="Amiri"/>
          <w:color w:val="111111"/>
          <w:sz w:val="28"/>
          <w:sz w:val="28"/>
          <w:szCs w:val="28"/>
          <w:rtl w:val="true"/>
          <w:lang w:bidi="ar-SA"/>
        </w:rPr>
        <w:t xml:space="preserve">و السيّد </w:t>
      </w:r>
      <w:r>
        <w:rPr>
          <w:rStyle w:val="FootnoteAnchor"/>
          <w:rtl w:val="true"/>
        </w:rPr>
        <w:footnoteReference w:id="2601"/>
      </w:r>
      <w:r>
        <w:rPr>
          <w:rFonts w:ascii="IRNazanin" w:hAnsi="IRNazanin" w:eastAsia="IRNazanin"/>
          <w:color w:val="111111"/>
          <w:sz w:val="28"/>
          <w:sz w:val="28"/>
          <w:szCs w:val="28"/>
          <w:rtl w:val="true"/>
          <w:lang w:bidi="fa-IR"/>
        </w:rPr>
        <w:t>من النواقض مطلقاً</w:t>
      </w:r>
      <w:r>
        <w:rPr>
          <w:rFonts w:eastAsia="IRNazanin" w:cs="IRNazanin"/>
          <w:color w:val="111111"/>
          <w:sz w:val="28"/>
          <w:szCs w:val="28"/>
          <w:rtl w:val="true"/>
          <w:lang w:bidi="fa-IR"/>
        </w:rPr>
        <w:t xml:space="preserve">. </w:t>
      </w:r>
      <w:bookmarkStart w:id="196" w:name="pg9146_86331"/>
    </w:p>
    <w:p>
      <w:pPr>
        <w:pStyle w:val="Heading2"/>
        <w:numPr>
          <w:ilvl w:val="1"/>
          <w:numId w:val="1"/>
        </w:numPr>
        <w:rPr/>
      </w:pPr>
      <w:bookmarkStart w:id="197" w:name="__RefHeading___Toc3322656_2870459653"/>
      <w:bookmarkStart w:id="198" w:name="_Toc66"/>
      <w:bookmarkEnd w:id="196"/>
      <w:bookmarkEnd w:id="197"/>
      <w:r>
        <w:rPr>
          <w:rtl w:val="true"/>
        </w:rPr>
        <w:t>[</w:t>
      </w:r>
      <w:r>
        <w:rPr>
          <w:rtl w:val="true"/>
        </w:rPr>
        <w:t>واجبات الوضوء</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 و هو الذي يلزم تحقّقه في تحقّق الوضوء مطلقاً،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وجوبها فيه إجماعي </w:t>
      </w:r>
      <w:r>
        <w:rPr>
          <w:rStyle w:val="FootnoteAnchor"/>
          <w:rtl w:val="true"/>
        </w:rPr>
        <w:footnoteReference w:id="2602"/>
      </w:r>
      <w:r>
        <w:rPr>
          <w:rFonts w:ascii="Amiri" w:hAnsi="Amiri" w:eastAsia="Amiri" w:cs="Amiri"/>
          <w:color w:val="111111"/>
          <w:sz w:val="28"/>
          <w:sz w:val="28"/>
          <w:szCs w:val="28"/>
          <w:rtl w:val="true"/>
          <w:lang w:bidi="ar-SA"/>
        </w:rPr>
        <w:t xml:space="preserve">لا شبهة فيه، و استند غير واحد إلى الأصل في وجوبها؛ لأنّ الأصل في كلّ واجب أن يكون تعبّدياً، مستدلّاً عليه بآيتي الإطاعة </w:t>
      </w:r>
      <w:r>
        <w:rPr>
          <w:rStyle w:val="FootnoteAnchor"/>
          <w:rtl w:val="true"/>
        </w:rPr>
        <w:footnoteReference w:id="2603"/>
      </w:r>
      <w:r>
        <w:rPr>
          <w:rFonts w:ascii="IRNazanin" w:hAnsi="IRNazanin" w:eastAsia="IRNazanin"/>
          <w:color w:val="111111"/>
          <w:sz w:val="28"/>
          <w:sz w:val="28"/>
          <w:szCs w:val="28"/>
          <w:rtl w:val="true"/>
          <w:lang w:bidi="fa-IR"/>
        </w:rPr>
        <w:t xml:space="preserve">و الإخلاص </w:t>
      </w:r>
      <w:r>
        <w:rPr>
          <w:rStyle w:val="FootnoteAnchor"/>
          <w:rtl w:val="true"/>
        </w:rPr>
        <w:footnoteReference w:id="2604"/>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Style w:val="FootnoteAnchor"/>
          <w:rtl w:val="true"/>
        </w:rPr>
        <w:footnoteReference w:id="260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 xml:space="preserve">» </w:t>
      </w:r>
      <w:r>
        <w:rPr>
          <w:rStyle w:val="FootnoteAnchor"/>
          <w:rtl w:val="true"/>
        </w:rPr>
        <w:footnoteReference w:id="26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لا يثبت الأصل المزبور؛ لأنّ الإطاعة مطلوبة الله تعالى في أوامره حسب ما أمر؛ إنْ توصّليّاً فتوصّلي أو تعبّدياً فتعبّدي، إذ معناه الانقياد لأوامره بعد معلوميّة كيفيّة الأمر، و أين هو من أدائها إلى اعتبار نيّة التقرّب في كلّ أمر؛ لحصول الإطاعة قطعاً في نفس وجود المأمور به، و لا تبقى للمولى حجّة بعد إيجاد ما أمر به سواء كان بنيّة التقرّب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 الإخلاص فما كانت لتدلّ على انحصار المأمور به في العبادة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كلّ واجب أن يكون عبادة، بل هي تقضي أنّ العبادة لم يأمر بها إلَّا على جهة الإخلاص</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هذا الفعل عبادة فموقوف على دليله، و كأنّها ظاهرة في التوحيد و نفي الشرك، و إلّا لزم تخصيص العام بأكثر من الباقي، و على ذلك أكثر المفسِّرين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الأخبار فابقاؤها على ظاهرها ممتنع كحملها على نفي الصحّة، فلا جرم أن يكون المراد منها أنّ الفعل غير المقصود وقوعه من الفاعل لا يعدّ من الأعمال؛ لصدوره بلا قصد و إن اكتفى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دلّت على عدم اكتفاء المولى بحصول المأمور به من غير قصد التقرّب لاتّجه بها أصالة التعبّد به، و لا كذلك؛ إذ المكلّف لو أوجد ما أمر به بأيّ عنوان يكون يتبعه حصول العنوان المراد للشارع و إن لم يكتب له أو عليه، فمعنى النبويّين أنّ الجزاء موقوف على النيّة في العمل المأمور به، لا أنّ العمل فاسد غير مراد كما هو المدّعى، و حينئذٍ لا شبهة في البناء على التوصّليّة في مقام الشكّ حتّى يثبت من دليل خارج اعتبار النيّة فيه، و تمامه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Style w:val="FootnoteAnchor"/>
          <w:rtl w:val="true"/>
        </w:rPr>
        <w:footnoteReference w:id="2609"/>
      </w:r>
      <w:r>
        <w:rPr>
          <w:rFonts w:ascii="Amiri" w:hAnsi="Amiri" w:eastAsia="Amiri" w:cs="Amiri"/>
          <w:color w:val="111111"/>
          <w:sz w:val="28"/>
          <w:sz w:val="28"/>
          <w:szCs w:val="28"/>
          <w:rtl w:val="true"/>
          <w:lang w:bidi="ar-SA"/>
        </w:rPr>
        <w:t xml:space="preserve">و عرفاً و شرعاً إرادة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و غيره، و هي مقارنة للمراد تارةً و منفصلة عنه أُخرى، و مقتضى تحديد الفقهاء لها كما في الإيضاح </w:t>
      </w:r>
      <w:r>
        <w:rPr>
          <w:rStyle w:val="FootnoteAnchor"/>
          <w:rtl w:val="true"/>
        </w:rPr>
        <w:footnoteReference w:id="2610"/>
      </w:r>
      <w:r>
        <w:rPr>
          <w:rFonts w:ascii="Amiri" w:hAnsi="Amiri" w:eastAsia="Amiri" w:cs="Amiri"/>
          <w:color w:val="111111"/>
          <w:sz w:val="28"/>
          <w:sz w:val="28"/>
          <w:szCs w:val="28"/>
          <w:rtl w:val="true"/>
          <w:lang w:bidi="ar-SA"/>
        </w:rPr>
        <w:t xml:space="preserve">بأنّها إرادة إيجاد الفعل المطلوب شرعاً على وجه يقتضي شمولها للإرادة التي لم تقارن العمل، و جماعة منهم المصنّف في الذكرى </w:t>
      </w:r>
      <w:r>
        <w:rPr>
          <w:rStyle w:val="FootnoteAnchor"/>
          <w:rtl w:val="true"/>
        </w:rPr>
        <w:footnoteReference w:id="2611"/>
      </w:r>
      <w:r>
        <w:rPr>
          <w:rFonts w:ascii="Amiri" w:hAnsi="Amiri" w:eastAsia="Amiri" w:cs="Amiri"/>
          <w:color w:val="111111"/>
          <w:sz w:val="28"/>
          <w:sz w:val="28"/>
          <w:szCs w:val="28"/>
          <w:rtl w:val="true"/>
          <w:lang w:bidi="ar-SA"/>
        </w:rPr>
        <w:t xml:space="preserve">جزموا بأنّ الإرادة المتقدِّمة عزم لا نيَّة، و خصّصوا النّية بالمقارنة لأوّل جزء من العمل، و فرّقوا بينها و بين العزم أنّه مسبوق بالتّردد دونها كما رآه المتكلّمون </w:t>
      </w:r>
      <w:r>
        <w:rPr>
          <w:rStyle w:val="FootnoteAnchor"/>
          <w:rtl w:val="true"/>
        </w:rPr>
        <w:footnoteReference w:id="2612"/>
      </w:r>
      <w:r>
        <w:rPr>
          <w:rFonts w:ascii="IRNazanin" w:hAnsi="IRNazanin" w:eastAsia="IRNazanin"/>
          <w:color w:val="111111"/>
          <w:sz w:val="28"/>
          <w:sz w:val="28"/>
          <w:szCs w:val="28"/>
          <w:rtl w:val="true"/>
          <w:lang w:bidi="fa-IR"/>
        </w:rPr>
        <w:t>، و هو الأوفق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هي الإرادة التفصيليّة التي تعد فعلاً للقلب التي تجب في أوّل العمل كما هو ظاهر المشهور </w:t>
      </w:r>
      <w:r>
        <w:rPr>
          <w:rStyle w:val="FootnoteAnchor"/>
          <w:rtl w:val="true"/>
        </w:rPr>
        <w:footnoteReference w:id="2613"/>
      </w:r>
      <w:r>
        <w:rPr>
          <w:rFonts w:ascii="Amiri" w:hAnsi="Amiri" w:eastAsia="Amiri" w:cs="Amiri"/>
          <w:color w:val="111111"/>
          <w:sz w:val="28"/>
          <w:sz w:val="28"/>
          <w:szCs w:val="28"/>
          <w:rtl w:val="true"/>
          <w:lang w:bidi="ar-SA"/>
        </w:rPr>
        <w:t xml:space="preserve">، أو هي الأمر المركوز في الذّهن إلى تمام العمل الذي يعبّر المتأخّرون </w:t>
      </w:r>
      <w:r>
        <w:rPr>
          <w:rStyle w:val="FootnoteAnchor"/>
          <w:rtl w:val="true"/>
        </w:rPr>
        <w:footnoteReference w:id="2614"/>
      </w:r>
      <w:r>
        <w:rPr>
          <w:rFonts w:ascii="Amiri" w:hAnsi="Amiri" w:eastAsia="Amiri" w:cs="Amiri"/>
          <w:color w:val="111111"/>
          <w:sz w:val="28"/>
          <w:sz w:val="28"/>
          <w:szCs w:val="28"/>
          <w:rtl w:val="true"/>
          <w:lang w:bidi="ar-SA"/>
        </w:rPr>
        <w:t>عنه بالدّاعي و يطلقون عليها النيّة كما عليه أكثر من تأخّر؟ خلاف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العبادة شرعاً على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عقلاً، فإنّ الزائد منفيّ بالأصل، فمتى صدقت الإطاعة في العمل صحَّ ذلك العمل، و لازمه استمرار النيّة في العمل المركّب من الأجزاء في كلّ أجزائه؛ إذ معه تحصل الإطاعة المرادة للآمر، فلو خلا بعض الأجزاء عنها لم تحصل الإطاعة المطلوبة فيه، و به تشهد جميع أخبار النيّة في العمل كالمتقدّمات لعدّ الجزء عملاً قطعاً، و 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تتساوى نيّة الأجزاء من غير فرق بين أوّلها و أوسطها و آخرها؛ إذ كلّ جزء منها فعل اختياري للمكلّف، لكن حيث يتعذّر ذلك يكفي استمرارها الحكمي الآتي بيانه، و لا تخرج بقيّة الأجزاء عن أنّها أفعال اختياريّة؛ لأنّ الفعل الاختياري لا بدّ و أنْ يسبقه إرادة متّصلة به، باعثة عليه، منبعثة عن تصوّره، فهي في أوّل أجزاء العمل تامّة المرافق، و في الباقي يكتفى بما هو مركوز في الذّهن من الإرادة المتّصلة التي تستمرّ الحركة باستمرارها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فإن كان رأي المتقدّمين من كفاية النيّة في أوّل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ذهل عنها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بقيّة أجزاء العمل الواحد خالٍ عنها بحيث لا يعدّ من الأفعال الاختياريّة فالحقّ مع المتأخِّرين، و إن أراد المتأخّرون بوجوب استمرارها تفصيلاً بحيث يتساوى أوّل العمل مع آخره و إن لم يخرج الفعل عن كونه اختياراً مع الذّهول مع النّية فهو ممنوع عليهم؛ لتعذّره أو تعشره، و الحصول الإطاعة المطلوبة منه؛ إذ لو سُئِلَ المكلّف في أثناء العمل ما تفعل؟ لقال</w:t>
      </w:r>
    </w:p>
    <w:p>
      <w:pPr>
        <w:pStyle w:val="BookText"/>
        <w:rPr/>
      </w:pPr>
      <w:r>
        <w:rPr>
          <w:rFonts w:ascii="Amiri" w:hAnsi="Amiri" w:eastAsia="Amiri" w:cs="Amiri"/>
          <w:color w:val="111111"/>
          <w:sz w:val="28"/>
          <w:sz w:val="28"/>
          <w:szCs w:val="28"/>
          <w:rtl w:val="true"/>
          <w:lang w:bidi="ar-SA"/>
        </w:rPr>
        <w:t>بالمنويّ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الغرائب في الجواهر قوله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يكتفى بوجوده و إن غاب عن الذّهن حال الفعل كما يظهر من بعضهم ممّا يقطع بفساده، و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حينئذٍ يكتفى بقيام الدّاعي في المكلّف، لكن لا بدّ من حصول الإرادة للفعل حين التّعقل و إن غفل عن الدّاعي له في ذلك الوقت، لكن بحيث لو سُئِل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الفعل لذلك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هذا هو الأولى مع أنّه لا فرق بين ما جعله الأولى و بين ما قطع بفساده، ثمّ ما فرّق به أوّلاً من أنّ القائل بالإخطار يعتبر العلم بالحضور وقت الفعل، و القائل بالدّاعي </w:t>
      </w:r>
    </w:p>
    <w:p>
      <w:pPr>
        <w:pStyle w:val="BookText"/>
        <w:rPr/>
      </w:pPr>
      <w:r>
        <w:rPr>
          <w:rFonts w:ascii="IRNazanin" w:hAnsi="IRNazanin" w:eastAsia="IRNazanin"/>
          <w:color w:val="111111"/>
          <w:sz w:val="28"/>
          <w:sz w:val="28"/>
          <w:szCs w:val="28"/>
          <w:rtl w:val="true"/>
          <w:lang w:bidi="fa-IR"/>
        </w:rPr>
        <w:t xml:space="preserve">يعتبر نفس الحضور بلا علم به ممّا لم نعثر عليه منهم، كما أنّ التفرقة بين غيبة الداعي عن الفعل و بين غيبة نفس الفعل لم نقف عليه في كلمات من قال إنّها الدّاعي، بل لا نعرف من القائلین به سوی ما جزم بفساده، و بأيّ معنى أُخذت يجب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لغسل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الآتي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جزء من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فالمقارنة تلزم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غسل غير الجزء الأعلى من باقي أجزاء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يسمّى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الوضوء به و إن انضمت إليه بقيّة الأجزاء بخلاف الأعلى مع الانضمام، و هو مراد المصنّف و إن أطلق غسل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أفعال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أفعاله، و حينئذٍ لا يجوز تأخّرها عن أوّل أجزاء الوضوء قطعاً قولاً واحداً، و لا يلتفت لمقالة ابن الجنيد </w:t>
      </w:r>
      <w:r>
        <w:rPr>
          <w:rStyle w:val="FootnoteAnchor"/>
          <w:rtl w:val="true"/>
        </w:rPr>
        <w:footnoteReference w:id="2616"/>
      </w:r>
      <w:r>
        <w:rPr>
          <w:rFonts w:ascii="Amiri" w:hAnsi="Amiri" w:eastAsia="Amiri" w:cs="Amiri"/>
          <w:color w:val="111111"/>
          <w:sz w:val="28"/>
          <w:sz w:val="28"/>
          <w:szCs w:val="28"/>
          <w:rtl w:val="true"/>
          <w:lang w:bidi="ar-SA"/>
        </w:rPr>
        <w:t>في أنّها تجزي في أثناء العمل كالصّوم، فإنّه قياس، مع أنّ ماهيّة الصّوم واحدة، و الطهارة متعدّدة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تقدّمها عليه فاستحبّه الشيخ </w:t>
      </w:r>
      <w:r>
        <w:rPr>
          <w:rStyle w:val="FootnoteAnchor"/>
          <w:rtl w:val="true"/>
        </w:rPr>
        <w:footnoteReference w:id="2617"/>
      </w:r>
      <w:r>
        <w:rPr>
          <w:rFonts w:ascii="Amiri" w:hAnsi="Amiri" w:eastAsia="Amiri" w:cs="Amiri"/>
          <w:color w:val="111111"/>
          <w:sz w:val="28"/>
          <w:sz w:val="28"/>
          <w:szCs w:val="28"/>
          <w:rtl w:val="true"/>
          <w:lang w:bidi="ar-SA"/>
        </w:rPr>
        <w:t xml:space="preserve">و غيره </w:t>
      </w:r>
      <w:r>
        <w:rPr>
          <w:rStyle w:val="FootnoteAnchor"/>
          <w:rtl w:val="true"/>
        </w:rPr>
        <w:footnoteReference w:id="2618"/>
      </w:r>
      <w:r>
        <w:rPr>
          <w:rFonts w:ascii="Amiri" w:hAnsi="Amiri" w:eastAsia="Amiri" w:cs="Amiri"/>
          <w:color w:val="111111"/>
          <w:sz w:val="28"/>
          <w:sz w:val="28"/>
          <w:szCs w:val="28"/>
          <w:rtl w:val="true"/>
          <w:lang w:bidi="ar-SA"/>
        </w:rPr>
        <w:t xml:space="preserve">عند غسل اليدين الذي هو من أفعال الوضوء المندوبة، و بالأولى عند المضمضة و الاستنشاق، و هو إن أشكل من جهة أنّ ناوي الوجوب كيف يقارنه بما ليس بواجب، إلَّا أنّه سارٍ أيضاً في المندوب المتخلّل في أثناء الوضوء مثل تكرّر الغسل، غايته أوليّة هذا المندوب، و هي لا تضرّ قطعاً، و بروضه </w:t>
      </w:r>
      <w:r>
        <w:rPr>
          <w:rStyle w:val="FootnoteAnchor"/>
          <w:rtl w:val="true"/>
        </w:rPr>
        <w:footnoteReference w:id="2619"/>
      </w:r>
      <w:r>
        <w:rPr>
          <w:rFonts w:ascii="Amiri" w:hAnsi="Amiri" w:eastAsia="Amiri" w:cs="Amiri"/>
          <w:color w:val="111111"/>
          <w:sz w:val="28"/>
          <w:sz w:val="28"/>
          <w:szCs w:val="28"/>
          <w:rtl w:val="true"/>
          <w:lang w:bidi="ar-SA"/>
        </w:rPr>
        <w:t>كفاية نيّة الوجوب في الفرد المشتمل على الأجزاء المستحبّة، و هو مشكل لا يناسب اعتبار قصد الوجه في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فالمناسب على المذهب المشهور أن يقارن بنيّة الوجوب و الندب للواجب و المندوب، و ينوي السابق منهما على وجهه، و لا مانع من اجتماع النّيتين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مستند كون غسل اليدين من أجزاء الوضوء المستحبّة، فإنّه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غاية مفاد بعض الأخبار </w:t>
      </w:r>
      <w:r>
        <w:rPr>
          <w:rStyle w:val="FootnoteAnchor"/>
          <w:rtl w:val="true"/>
        </w:rPr>
        <w:footnoteReference w:id="2620"/>
      </w:r>
      <w:r>
        <w:rPr>
          <w:rFonts w:ascii="Amiri" w:hAnsi="Amiri" w:eastAsia="Amiri" w:cs="Amiri"/>
          <w:color w:val="111111"/>
          <w:sz w:val="28"/>
          <w:sz w:val="28"/>
          <w:szCs w:val="28"/>
          <w:rtl w:val="true"/>
          <w:lang w:bidi="ar-SA"/>
        </w:rPr>
        <w:t xml:space="preserve">أنّه مستحب تعبّدي نفسيّ؛ لوقوع الوضوء على الوجه الكامل، فهو أمر خارجي يوجب كمال أثر أفعال الوضوء بعده مثل التسمية و السّواك المجمع </w:t>
      </w:r>
      <w:r>
        <w:rPr>
          <w:rStyle w:val="FootnoteAnchor"/>
          <w:rtl w:val="true"/>
        </w:rPr>
        <w:footnoteReference w:id="2621"/>
      </w:r>
      <w:r>
        <w:rPr>
          <w:rFonts w:ascii="IRNazanin" w:hAnsi="IRNazanin" w:eastAsia="IRNazanin"/>
          <w:color w:val="111111"/>
          <w:sz w:val="28"/>
          <w:sz w:val="28"/>
          <w:szCs w:val="28"/>
          <w:rtl w:val="true"/>
          <w:lang w:bidi="fa-IR"/>
        </w:rPr>
        <w:t>على عدم الاكتفاء بالنّية المقارنة لهما، مع احتمال أنّ الأصل في وضوء رسول صلّی الله علیه و آله شرّع لرفع النجاسة المتوهّمة، فهو علّة الحكم لا حكمته كي يكون الاستحباب فيه غيريّاً نظير الغسلات، فالأولى تأخير النيّة إلى غسل الوجه و إن صحّ عندنا مقارنتها للمضمضة و الاستنشاق، فإنّهما من أجزائه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يجب استدامة حكمها إلى عند الفراغ في كلّ أجزاء الوضوء اتّفاقاً </w:t>
      </w:r>
      <w:r>
        <w:rPr>
          <w:rStyle w:val="FootnoteAnchor"/>
          <w:rtl w:val="true"/>
        </w:rPr>
        <w:footnoteReference w:id="2622"/>
      </w:r>
      <w:r>
        <w:rPr>
          <w:rFonts w:ascii="Amiri" w:hAnsi="Amiri" w:eastAsia="Amiri" w:cs="Amiri"/>
          <w:color w:val="111111"/>
          <w:sz w:val="28"/>
          <w:sz w:val="28"/>
          <w:szCs w:val="28"/>
          <w:rtl w:val="true"/>
          <w:lang w:bidi="ar-SA"/>
        </w:rPr>
        <w:t>، و لا يقدح انقطاعها في الأثناء مع عدم الاشتغال بفعل آخر؛ أمّا الأوّل فيقضي به أدلّة اعتبارها في العبادة كي لا يخلو عنها جزء منها، و أمّا الثاني فلتعذّرها أو تعسّرها، فلا بدّ من الرّجوع إلى الاستدامة الحكميّة حتّى مع إمكان الفعليّة؛ إذ مراعاتها بقدر الإمكان أيضاً عُسر بيّن، فمتى لم ينتقل الناوي منها إلى نيّة أخرى بحيث إنّه كلّما توجّه ذهنه إلى الفعل المنوي حين اشتغاله به تجدّد له قصد تفصيلي إليه و عزم على الإيتان به صحّ العمل المنوي، فالفرق بين نيّة الابتداء و الأثناء أنّ الأُولى مشتملة على قيود الفعل و الغاية تفصيلاً، و الثانية إجمالاً؛ و لذا تجامع عدم الشعور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ممّا ذكرنا سقوط الكلام في المقارنة و الاستدامة على الدّاعي دون الإخطار وفاقاً لجملة من المحقّقين </w:t>
      </w:r>
      <w:r>
        <w:rPr>
          <w:rStyle w:val="FootnoteAnchor"/>
          <w:rtl w:val="true"/>
        </w:rPr>
        <w:footnoteReference w:id="2623"/>
      </w:r>
      <w:r>
        <w:rPr>
          <w:rFonts w:ascii="IRNazanin" w:hAnsi="IRNazanin" w:eastAsia="IRNazanin"/>
          <w:color w:val="111111"/>
          <w:sz w:val="28"/>
          <w:sz w:val="28"/>
          <w:szCs w:val="28"/>
          <w:rtl w:val="true"/>
          <w:lang w:bidi="fa-IR"/>
        </w:rPr>
        <w:t xml:space="preserve">، خلافاً للجواهر </w:t>
      </w:r>
      <w:r>
        <w:rPr>
          <w:rStyle w:val="FootnoteAnchor"/>
          <w:rtl w:val="true"/>
        </w:rPr>
        <w:footnoteReference w:id="2624"/>
      </w:r>
      <w:r>
        <w:rPr>
          <w:rFonts w:ascii="Amiri" w:hAnsi="Amiri" w:eastAsia="Amiri" w:cs="Amiri"/>
          <w:color w:val="111111"/>
          <w:sz w:val="28"/>
          <w:sz w:val="28"/>
          <w:szCs w:val="28"/>
          <w:rtl w:val="true"/>
          <w:lang w:bidi="ar-SA"/>
        </w:rPr>
        <w:t xml:space="preserve">لجعله مناط الفرق هو العلم فالحضور في الابتداء </w:t>
      </w:r>
      <w:bookmarkStart w:id="199" w:name="pg9146_86336"/>
    </w:p>
    <w:p>
      <w:pPr>
        <w:pStyle w:val="BookText"/>
        <w:rPr/>
      </w:pPr>
      <w:bookmarkEnd w:id="199"/>
      <w:r>
        <w:rPr>
          <w:rFonts w:ascii="Amiri" w:hAnsi="Amiri" w:eastAsia="Amiri" w:cs="Amiri"/>
          <w:color w:val="111111"/>
          <w:sz w:val="28"/>
          <w:sz w:val="28"/>
          <w:szCs w:val="28"/>
          <w:rtl w:val="true"/>
          <w:lang w:bidi="ar-SA"/>
        </w:rPr>
        <w:t>من دون علم به معتبر على القول بأنّ النيّة الدّاعي و إن ذهل في الأثناء، و على الإخطار يعتبر العلم مضافاً إلى الحضور و عدم الذهول في الأثناء، و أنّ الغفلة في الابتداء مخلّة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الدّاعي يرون أنّ الإرادة المسبوقة بتصوّر الفعل و غايته المقرونة بأوّل جزء من الحركات المعدودة في العادة فعلاً النيّة عندهم؛ إذ لا يتوقّف صدور الأفعال الاختياريّة عندهم على أكثر من ذلك، فلا يقدح الغفلة و الذهول عن الفعل و الداعي حين الشروع و بعده، و حينئذٍ فالسقوط بيّن، و لا كذلك الإخطار؛ لالتزامهم وجوب الإرادة التفصيليّة لأوّل الفعل المأمور به، و لا يجوز عندهم الغفلة عنده و إن قارنته بعض مقدّماته المعدودة معه فعلاً واحداً، نعم هم يكتفون بعد ذلك بالإرادة الإجماليّة المنفكّة عن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فالاستدامة هنا تخالف الاستدامة في الصلاة، فلو نوى الانقطاع في جزء من أجزاء الزّمان الخالي عن بعض أفعال الوضوء لا يبطل الوضوء قطعاً و إن احتمله البعض </w:t>
      </w:r>
      <w:r>
        <w:rPr>
          <w:rStyle w:val="FootnoteAnchor"/>
          <w:rtl w:val="true"/>
        </w:rPr>
        <w:footnoteReference w:id="2625"/>
      </w:r>
      <w:r>
        <w:rPr>
          <w:rFonts w:ascii="Amiri" w:hAnsi="Amiri" w:eastAsia="Amiri" w:cs="Amiri"/>
          <w:color w:val="111111"/>
          <w:sz w:val="28"/>
          <w:sz w:val="28"/>
          <w:szCs w:val="28"/>
          <w:rtl w:val="true"/>
          <w:lang w:bidi="ar-SA"/>
        </w:rPr>
        <w:t>قياساً على الأكوان المتخلّلة بين أجزاء الصلاة التي يعتبر فيها ما يعتبر في الصلاة من الطهارة و السّتر و نحوه، و تمامه في محلّه</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3322658_2870459653"/>
      <w:bookmarkStart w:id="201" w:name="_Toc67"/>
      <w:bookmarkEnd w:id="200"/>
      <w:r>
        <w:rPr>
          <w:rtl w:val="true"/>
        </w:rPr>
        <w:t>[</w:t>
      </w:r>
      <w:r>
        <w:rPr>
          <w:rtl w:val="true"/>
        </w:rPr>
        <w:t>أجزاء النّية</w:t>
      </w:r>
      <w:r>
        <w:rPr>
          <w:rtl w:val="true"/>
        </w:rPr>
        <w:t>]</w:t>
      </w:r>
      <w:bookmarkEnd w:id="201"/>
    </w:p>
    <w:p>
      <w:pPr>
        <w:pStyle w:val="Heading2"/>
        <w:numPr>
          <w:ilvl w:val="1"/>
          <w:numId w:val="1"/>
        </w:numPr>
        <w:rPr/>
      </w:pPr>
      <w:bookmarkStart w:id="202" w:name="__RefHeading___Toc3322660_2870459653"/>
      <w:bookmarkStart w:id="203" w:name="_Toc68"/>
      <w:bookmarkEnd w:id="202"/>
      <w:r>
        <w:rPr>
          <w:rtl w:val="true"/>
        </w:rPr>
        <w:t>[</w:t>
      </w:r>
      <w:r>
        <w:rPr>
          <w:rtl w:val="true"/>
        </w:rPr>
        <w:t>الأوّل</w:t>
      </w:r>
      <w:r>
        <w:rPr>
          <w:rtl w:val="true"/>
        </w:rPr>
        <w:t xml:space="preserve">: </w:t>
      </w:r>
      <w:r>
        <w:rPr>
          <w:rtl w:val="true"/>
        </w:rPr>
        <w:t>قصد الوجوب</w:t>
      </w:r>
      <w:r>
        <w:rPr>
          <w:rtl w:val="true"/>
        </w:rPr>
        <w:t>]</w:t>
      </w:r>
      <w:bookmarkEnd w:id="20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يلزم أن تكون في ظاهر كلام المصنّف هنا و بغيره </w:t>
      </w:r>
      <w:r>
        <w:rPr>
          <w:rStyle w:val="FootnoteAnchor"/>
          <w:rtl w:val="true"/>
        </w:rPr>
        <w:footnoteReference w:id="2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غاية كالقربة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غير نذره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عبادة واجبة مشروطة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نفسيّاً كان أو غيريّاً،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خارج عن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w:t>
      </w:r>
      <w:r>
        <w:rPr>
          <w:rFonts w:eastAsia="Amiri" w:cs="Amiri" w:ascii="Amiri" w:hAnsi="Amiri"/>
          <w:color w:val="111111"/>
          <w:sz w:val="28"/>
          <w:szCs w:val="28"/>
          <w:rtl w:val="true"/>
          <w:lang w:bidi="ar-SA"/>
        </w:rPr>
        <w:t xml:space="preserve">) </w:t>
      </w:r>
      <w:r>
        <w:rPr>
          <w:rStyle w:val="FootnoteAnchor"/>
          <w:rtl w:val="true"/>
        </w:rPr>
        <w:footnoteReference w:id="2627"/>
      </w:r>
      <w:r>
        <w:rPr>
          <w:rFonts w:ascii="Amiri" w:hAnsi="Amiri" w:eastAsia="Amiri" w:cs="Amiri"/>
          <w:color w:val="111111"/>
          <w:sz w:val="28"/>
          <w:sz w:val="28"/>
          <w:szCs w:val="28"/>
          <w:rtl w:val="true"/>
          <w:lang w:bidi="ar-SA"/>
        </w:rPr>
        <w:t xml:space="preserve">، فإن فرض كلامه في الواجب منه، و نقل الشارح الشهرة على ملاحظة الوجوب و الندب غاية </w:t>
      </w:r>
      <w:bookmarkStart w:id="204" w:name="pg9146_86337"/>
    </w:p>
    <w:p>
      <w:pPr>
        <w:pStyle w:val="BookText"/>
        <w:rPr/>
      </w:pPr>
      <w:bookmarkEnd w:id="204"/>
      <w:r>
        <w:rPr>
          <w:rFonts w:ascii="Amiri" w:hAnsi="Amiri" w:eastAsia="Amiri" w:cs="Amiri"/>
          <w:color w:val="111111"/>
          <w:sz w:val="28"/>
          <w:sz w:val="28"/>
          <w:szCs w:val="28"/>
          <w:rtl w:val="true"/>
          <w:lang w:bidi="ar-SA"/>
        </w:rPr>
        <w:t xml:space="preserve">في روضه </w:t>
      </w:r>
      <w:r>
        <w:rPr>
          <w:rStyle w:val="FootnoteAnchor"/>
          <w:rtl w:val="true"/>
        </w:rPr>
        <w:footnoteReference w:id="2628"/>
      </w:r>
      <w:r>
        <w:rPr>
          <w:rFonts w:ascii="Amiri" w:hAnsi="Amiri" w:eastAsia="Amiri" w:cs="Amiri"/>
          <w:color w:val="111111"/>
          <w:sz w:val="28"/>
          <w:sz w:val="28"/>
          <w:szCs w:val="28"/>
          <w:rtl w:val="true"/>
          <w:lang w:bidi="ar-SA"/>
        </w:rPr>
        <w:t xml:space="preserve">و بصلاته، و هو صريح الفاضل </w:t>
      </w:r>
      <w:r>
        <w:rPr>
          <w:rStyle w:val="FootnoteAnchor"/>
          <w:rtl w:val="true"/>
        </w:rPr>
        <w:footnoteReference w:id="2629"/>
      </w:r>
      <w:r>
        <w:rPr>
          <w:rFonts w:ascii="Amiri" w:hAnsi="Amiri" w:eastAsia="Amiri" w:cs="Amiri"/>
          <w:color w:val="111111"/>
          <w:sz w:val="28"/>
          <w:sz w:val="28"/>
          <w:szCs w:val="28"/>
          <w:rtl w:val="true"/>
          <w:lang w:bidi="ar-SA"/>
        </w:rPr>
        <w:t xml:space="preserve">، و يظهر من الحلّي </w:t>
      </w:r>
      <w:r>
        <w:rPr>
          <w:rStyle w:val="FootnoteAnchor"/>
          <w:rtl w:val="true"/>
        </w:rPr>
        <w:footnoteReference w:id="2630"/>
      </w:r>
      <w:r>
        <w:rPr>
          <w:rFonts w:ascii="Amiri" w:hAnsi="Amiri" w:eastAsia="Amiri" w:cs="Amiri"/>
          <w:color w:val="111111"/>
          <w:sz w:val="28"/>
          <w:sz w:val="28"/>
          <w:szCs w:val="28"/>
          <w:rtl w:val="true"/>
          <w:lang w:bidi="ar-SA"/>
        </w:rPr>
        <w:t xml:space="preserve">و غيره </w:t>
      </w:r>
      <w:r>
        <w:rPr>
          <w:rStyle w:val="FootnoteAnchor"/>
          <w:rtl w:val="true"/>
        </w:rPr>
        <w:footnoteReference w:id="2631"/>
      </w:r>
      <w:r>
        <w:rPr>
          <w:rFonts w:ascii="Amiri" w:hAnsi="Amiri" w:eastAsia="Amiri" w:cs="Amiri"/>
          <w:color w:val="111111"/>
          <w:sz w:val="28"/>
          <w:sz w:val="28"/>
          <w:szCs w:val="28"/>
          <w:rtl w:val="true"/>
          <w:lang w:bidi="ar-SA"/>
        </w:rPr>
        <w:t>اعتبار أخذهما وصفاً مميّزاً و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أوجبهما غايةً إن أراد بهما الشّرعيين رجع كلامه إلى أنّ غاية الوضوء موافقة إرادة الله تعالى، و هذا عين القربة، فهي مغنية عنهما و هما مُغنيان عنها، و إن أراد بهما العقليين الثابتين للأفعال مع قطع النظر عن أمر الشارع كما صرّح به الشيخ رحمه الله في الشرائع من أنّ الشيء لا يجب بإيجاب موجب، و إنّما يجب بصفة هو عليها تقتضي وجوب ذلك الشيء </w:t>
      </w:r>
      <w:r>
        <w:rPr>
          <w:rStyle w:val="FootnoteAnchor"/>
          <w:rtl w:val="true"/>
        </w:rPr>
        <w:footnoteReference w:id="26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دليل عليه أبداً و إن كان إيجابه شرعاً لمصلحته الذاتيّة، و كونه كذلك لا يوجب جعله غاية؛ إذ ليس على المكلّف شيء بعد تصوّره الفعل المأمور به بجميع قيوده الداخلة في تعلّق الأمر به، و ليس منها كونه مشتملاً على مصلحة تقتضي إيجابه، بل ظاهر من اعتبر الوجوب و الندب غايةً أراد بهما الشرعيّين</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3322662_2870459653"/>
      <w:bookmarkStart w:id="206" w:name="_Toc69"/>
      <w:bookmarkEnd w:id="205"/>
      <w:r>
        <w:rPr>
          <w:rtl w:val="true"/>
        </w:rPr>
        <w:t>[</w:t>
      </w:r>
      <w:r>
        <w:rPr>
          <w:rtl w:val="true"/>
        </w:rPr>
        <w:t>الثاني</w:t>
      </w:r>
      <w:r>
        <w:rPr>
          <w:rtl w:val="true"/>
        </w:rPr>
        <w:t xml:space="preserve">: </w:t>
      </w:r>
      <w:r>
        <w:rPr>
          <w:rtl w:val="true"/>
        </w:rPr>
        <w:t>التّقرب</w:t>
      </w:r>
      <w:r>
        <w:rPr>
          <w:rtl w:val="true"/>
        </w:rPr>
        <w:t>]</w:t>
      </w:r>
      <w:bookmarkEnd w:id="20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و حصول التقرّب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يقصد فعله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لا لغيره سواء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لأمره أو موافقة لطاعته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بهما يحصل القُرب المعنوي و الامتثال و الموافقة؛ لأنه أهلٌ للعبادة، فلا داعي له على الفعل إلَّا القيام بما يستحقّه المطاع من حيث ذاته لا لجهة أُخرى؛ و دونه أن يقصد بالإطاعة أداء ما يستحقّه الله تعالى عليه من الشكر و إن لم تصل فائدة إليه؛ و دونه من يريد بهذا الشكر مزيد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للرفعة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مزيد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بواسطته</w:t>
      </w:r>
      <w:r>
        <w:rPr>
          <w:rFonts w:eastAsia="Amiri" w:cs="Amiri" w:ascii="Amiri" w:hAnsi="Amiri"/>
          <w:color w:val="111111"/>
          <w:sz w:val="28"/>
          <w:szCs w:val="28"/>
          <w:rtl w:val="true"/>
          <w:lang w:bidi="ar-SA"/>
        </w:rPr>
        <w:t xml:space="preserve">). </w:t>
      </w:r>
      <w:bookmarkStart w:id="207" w:name="pg9146_86338"/>
    </w:p>
    <w:p>
      <w:pPr>
        <w:pStyle w:val="BookText"/>
        <w:rPr/>
      </w:pPr>
      <w:bookmarkEnd w:id="207"/>
      <w:r>
        <w:rPr>
          <w:rFonts w:ascii="Amiri" w:hAnsi="Amiri" w:eastAsia="Amiri" w:cs="Amiri"/>
          <w:color w:val="111111"/>
          <w:sz w:val="28"/>
          <w:sz w:val="28"/>
          <w:szCs w:val="28"/>
          <w:rtl w:val="true"/>
          <w:lang w:bidi="ar-SA"/>
        </w:rPr>
        <w:t xml:space="preserve">و هذا أوّل مراتب من يطلب بإطاعته العوض، و إطلاق التقرّب على من حصل منه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للقرب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بالقرب المكاني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يتصوّر قُرب من الله تعالى حقيقةً، فلا بدَّ من ارتكاب المجاز فيه؛ لعدم صدق القرب حقيقةً على غير المكاني و دون ذلك كلّه يطلب بالعمل ما بذل الله عليه؛ و دونه من يطلب به نفس دخول الجنّة الموجب للبُعد من النار، فيكون التقرّب غير مقصود لذاته، بل لأجل الملّاذ النفسانيّة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قيل بفساد العمل معها لكنّه ضعيف و إن صدر من الفاضل </w:t>
      </w:r>
      <w:r>
        <w:rPr>
          <w:rStyle w:val="FootnoteAnchor"/>
          <w:rtl w:val="true"/>
        </w:rPr>
        <w:footnoteReference w:id="2633"/>
      </w:r>
      <w:r>
        <w:rPr>
          <w:rFonts w:ascii="Amiri" w:hAnsi="Amiri" w:eastAsia="Amiri" w:cs="Amiri"/>
          <w:color w:val="111111"/>
          <w:sz w:val="28"/>
          <w:sz w:val="28"/>
          <w:szCs w:val="28"/>
          <w:rtl w:val="true"/>
          <w:lang w:bidi="ar-SA"/>
        </w:rPr>
        <w:t>فإنّ من يطيع لرجاء الثواب أو لخوف العقاب يحصل له التقرّب إلى مولاه لسبب خوفه منه و رجائه له، و تحصل له الإطاعة كما في سائر الموالي مع عبيدهم، و متى صدقت الإطاعة صحّ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طلب العامل العوض بإزاء العمل كالأجير لم يصحّ عمله جزماً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قصده بفعله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امتثال الأمر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تعالى غاية كلّ 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فيجعل غاية للفعل، بطل عمله جزماً، و تصحيح الشارح لعمل الثاني كأنّه بالنظر إلى عوده لأحد المتقدّمات، و الذي أوهمه مقالة الحكماء </w:t>
      </w:r>
      <w:r>
        <w:rPr>
          <w:rStyle w:val="FootnoteAnchor"/>
          <w:rtl w:val="true"/>
        </w:rPr>
        <w:footnoteReference w:id="2634"/>
      </w:r>
      <w:r>
        <w:rPr>
          <w:rFonts w:ascii="Amiri" w:hAnsi="Amiri" w:eastAsia="Amiri" w:cs="Amiri"/>
          <w:color w:val="111111"/>
          <w:sz w:val="28"/>
          <w:sz w:val="28"/>
          <w:szCs w:val="28"/>
          <w:rtl w:val="true"/>
          <w:lang w:bidi="ar-SA"/>
        </w:rPr>
        <w:t xml:space="preserve">من أنّه تعالى غاية الغايات و غاية كلّ مقصد، و مرادهم بالغاية ما يكون سبباً لفاعليّة الفاعل، فإنّ فاعليّة كلّ فاعل تنتهي إليه كسببيّة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المعتبرة في العبادة لا يكفي فيها مجرّد ذلك</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3322664_2870459653"/>
      <w:bookmarkStart w:id="209" w:name="_Toc70"/>
      <w:bookmarkEnd w:id="208"/>
      <w:r>
        <w:rPr>
          <w:rtl w:val="true"/>
        </w:rPr>
        <w:t>[</w:t>
      </w:r>
      <w:r>
        <w:rPr>
          <w:rtl w:val="true"/>
        </w:rPr>
        <w:t>الثّالث</w:t>
      </w:r>
      <w:r>
        <w:rPr>
          <w:rtl w:val="true"/>
        </w:rPr>
        <w:t xml:space="preserve">: </w:t>
      </w:r>
      <w:r>
        <w:rPr>
          <w:rtl w:val="true"/>
        </w:rPr>
        <w:t>الاستباحة</w:t>
      </w:r>
      <w:r>
        <w:rPr>
          <w:rtl w:val="true"/>
        </w:rPr>
        <w:t>]</w:t>
      </w:r>
      <w:bookmarkEnd w:id="20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أفعال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دائم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رفع حكم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المنع من الصلاة معه في غير الضرورة المبيحة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فالحدث إذا وقع لا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نفس الأسباب الموجب للوضوء و الغسل، فإنّ رفعها بعد حصولها غير معقول، و أمّا لو أخذناه بما فسّره به سابقاً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المترتّب عليها المسمّى بالنجاسة المعنويّة، فرفعه بهذا المعنى ممكن، و كأنّه أشار لمذهب المصنّف في الحدث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شبهة في إجزاء النّية المشتملة على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من </w:t>
      </w:r>
      <w:r>
        <w:rPr>
          <w:rStyle w:val="FootnoteAnchor"/>
          <w:rtl w:val="true"/>
        </w:rPr>
        <w:footnoteReference w:id="2635"/>
      </w:r>
      <w:r>
        <w:rPr>
          <w:rFonts w:ascii="Amiri" w:hAnsi="Amiri" w:eastAsia="Amiri" w:cs="Amiri"/>
          <w:color w:val="111111"/>
          <w:sz w:val="28"/>
          <w:sz w:val="28"/>
          <w:szCs w:val="28"/>
          <w:rtl w:val="true"/>
          <w:lang w:bidi="ar-SA"/>
        </w:rPr>
        <w:t xml:space="preserve">يوجب الجمع بين الرفع و الاستباحة و بين الوجوب الوضعي و الغائي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القربة نظرٌ؛ لعدم نهوض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الوجوب و النّدب فقد سبق بيانهما، و أمّا الاستباحة و الرّفع فأوضح؛ لأنهما أثران مترتّبان على إيقاع الوضوء بقيوده، فهما من أحكام امتثال الأمر بالوضوء لا من الوجوه التي يقع الوضوء عليها حتّى يجب أخذه قيداً للفعل ليقع الفعل المقيّد به قربةً إلى الله تعالى؛ إذ الوضوء الجامع لشروطه رافع و مبيح، و لو كان الوضوء الرافع و المبيح هو الذي يجب لسقط اشتراط القربة فيه، بل يكون مساوقاً للخبث يرتفع بأيّ نيّة تكون، و برفعه 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إزالة النجاسة الحكميّة مبيحة للصلاة و رافعة للحدث، و هي لا تحصل إلَّا بهذه الأفعال المشتملة على القربة، فتكون مقدّمةً لها و سبباً فيها، و بحصولها يحصل المسبّب، و حينئذٍ كيف تكون من الأفعال المندوبة في الوضوء؛ إذ لو كانت من أفعاله لأغنت عن نيّة القربة مثل رفع الخَبَث على بعض الأفعال الخالية عن القربة من جهة حصول المراد بوجودها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فاتّضح أنّ الفعل المأمور به على جهة التعبّد لم يؤخذ فيه رفع الحَدَث،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 الصلاة</w:t>
      </w:r>
      <w:r>
        <w:rPr>
          <w:rFonts w:eastAsia="IRNazanin" w:cs="IRNazanin"/>
          <w:color w:val="111111"/>
          <w:sz w:val="28"/>
          <w:szCs w:val="28"/>
          <w:rtl w:val="true"/>
          <w:lang w:bidi="fa-IR"/>
        </w:rPr>
        <w:t xml:space="preserve">» </w:t>
      </w:r>
      <w:r>
        <w:rPr>
          <w:rStyle w:val="FootnoteAnchor"/>
          <w:rtl w:val="true"/>
        </w:rPr>
        <w:footnoteReference w:id="2636"/>
      </w:r>
      <w:r>
        <w:rPr>
          <w:rFonts w:ascii="Amiri" w:hAnsi="Amiri" w:eastAsia="Amiri" w:cs="Amiri"/>
          <w:color w:val="111111"/>
          <w:sz w:val="28"/>
          <w:sz w:val="28"/>
          <w:szCs w:val="28"/>
          <w:rtl w:val="true"/>
          <w:lang w:bidi="ar-SA"/>
        </w:rPr>
        <w:t>، لم يؤمر به على جهة العبادة؛ لعوده إلى لزوم حصول التطهير في الخارج، فهو من الواجب التّوصلي الذي بمجرّد حصوله و لو مع السّهو و النسيان يرتفع الأمر به، و واضح أنّ المأمور به بالأمر التعبّدي ليس إلَّا الأفعال التي تكون سبباً لحصول التطهير بعد إتيانها، فالأمر بالتطهير لم يقصد به إلَّا وجوده في الخارج بأيّ نحوِ يكون، و أين هذا من لزوم قصده في تلك الأفعال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على هذا الفرض أنّ الوضوء الصلاتي واجب بالأمر المقدّميّ فلا يجب إلَّا بوجوب ذيه، و مقدّميته موقوفة على رفعه الحَدَث الموقوف على الأمر به عبادة فيدور، فلا </w:t>
      </w:r>
    </w:p>
    <w:p>
      <w:pPr>
        <w:pStyle w:val="BookText"/>
        <w:rPr/>
      </w:pPr>
      <w:r>
        <w:rPr>
          <w:rFonts w:ascii="Amiri" w:hAnsi="Amiri" w:eastAsia="Amiri" w:cs="Amiri"/>
          <w:color w:val="111111"/>
          <w:sz w:val="28"/>
          <w:sz w:val="28"/>
          <w:szCs w:val="28"/>
          <w:rtl w:val="true"/>
          <w:lang w:bidi="ar-SA"/>
        </w:rPr>
        <w:t>مَحيص إلَّا بالتزام أمر آخر غير أمره الغيري يحقّق أنّه مقدّمة ليجب من حيث المقدّمية أو التزام لحاظ الرّفع في الوضوء قبل الأمر الغيري، فيصير سبباً للأمر الغيري، و الأوّل خلاف فرض كونه واجباً بالوجوب الغيري، و الثاني مستلزم للغويّة القربة و عدم اعتبارها؛ لعدم توقّف الرّفع عليها، بل عاد رفع الحَدَث من لوازم الفعل كرفع الخَبَث اقترن بالقربة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يتخلّص بعدم توقّف كونه عبادة على الأمر الغيري بالوضوء، بمعنى أنّ كونه عبادة لا يقتضيه أمره المقدّمي، بل الأمر المقدّمي يوجب إيجاده مع نصب القرينة على إيجاده على وجه العبادة، بناءً على أنّ قصد التعبّد في الأوامر إنّما فهم من الخارج لا من نفس الأمر،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قاطع يصلح لاعتبار ما عدا القربة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القربى فلا شبهة في اعتبارها في كلّ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بها الدّليل؛ لأصالة التوصّليّة في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تميّز </w:t>
      </w:r>
      <w:r>
        <w:rPr>
          <w:rStyle w:val="FootnoteAnchor"/>
          <w:rtl w:val="true"/>
        </w:rPr>
        <w:footnoteReference w:id="2637"/>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المتميّزة بنيّة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يكون الفعل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عبادتين أو أكثر، فإنّه يجب جزماً نيّة إيقاع الفعل المأمور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تشخيصه عمّا عداه بمشخّصاته، ليحصل الغرض من الأمر به؛ إذ لو لم يشخّصه في نفسه كان المتصوّر غير مأمور به، فلا يفيد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أن يكون القيد المشخّص للفعل المأمور به محقّقاً لنفس الموضوع و مقوّماً له كصلاة النيابة إذا نويت، و كنيّة التأديب في ضرب اليتيم؛ إذ الموضوع حقيقةً هي النيابة عن الغير و التأديب، فلو لم يقصدا لم يأتِ الفاعل بالمأمور به، أو يكون مميّزاً له عن فرد آخر كغسل الجمعة و الجنابة، و نيّة الظهريّة عن العصريّة في الصلاة، و غيرها ممّا يكون المميّز مأخوذاً قيداً للعنوان في الأدلّة الشرعيّة أو غير مأخوذ، فإنّ الظاهر لزوم تعيين الفعل المنويّ مطلقاً لتحصل الإطاعة العرفيّة، و في المشخّص كأنّه لا خلاف فيه، و أمّا المميّز فالظاهر اعتباره سواء اتّحد مع المأمور به فعل آخر مأمور به كصلاة الظهر و المنذورة، أو لم يتّحد؛ إذ لو وقع الأوّل بلا قيده لم يكن امتثالاً لأحد من الأمرين بلا شبهة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الثاني فهو و إن لم يشارکه مأمور به آخر متّحد معه، لكن كأنَّ القصد إلى مطلق الصلاة المقولة على أفراد عديدة لا يعيّن الواجب منها على المكلّف؛ لعدم وضعها للواجب مطابقة، فليس المحوج إلى المميّز هو الاشتراك حتّى يستغنى عنه في هذا الفرد، بل المحوج إليه لزوم تصوّر المأمور به على الكيفيّة التي بها صار مراداً للآمر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ميّز المكلّف ما أمر به بنيّته بغير القيد الشرعي صحّ عمله، و لا يلزمه تعيّنه بشرعي القيد؛ لحصول الغرض و هو التمييز، و منه يظهر أنّ التمييز بين العبادات التي لم تقيّد بمميّز شرعي لو اشتركت قد يحصل بالوجوب النّدب و قد يحصل بغيرهما، فالواجب المميّز الأعمّ، و لو تعدّد تخيّر، و لو انحصر وجب ما انحصر فيه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الشارح يرى أنّ الاشتراك هو المحوج إلى التمييز بين فردي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اشتراك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الوجوب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ليجب تعيّنه بنيّة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العبادة الواجبة المشروطة به لا يكون إلّا واجباً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 ينتفي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الوجوب الأصلي فلا يكون إلّا مندوباً، و كذا الكلام في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الوجوب و الندب في التمييز و إيجاب نيّة أحدهما مع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نيّة النّدب في الوضوء لو وجب ما 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فقد قال غير واحد </w:t>
      </w:r>
      <w:r>
        <w:rPr>
          <w:rStyle w:val="FootnoteAnchor"/>
          <w:rtl w:val="true"/>
        </w:rPr>
        <w:footnoteReference w:id="2638"/>
      </w:r>
      <w:r>
        <w:rPr>
          <w:rFonts w:ascii="Amiri" w:hAnsi="Amiri" w:eastAsia="Amiri" w:cs="Amiri"/>
          <w:color w:val="111111"/>
          <w:sz w:val="28"/>
          <w:sz w:val="28"/>
          <w:szCs w:val="28"/>
          <w:rtl w:val="true"/>
          <w:lang w:bidi="ar-SA"/>
        </w:rPr>
        <w:t xml:space="preserve">بوجوب نيّة أحدهما لو انحصر المشخّص للفعل المأمور به به، و ظاهر الفاضلين </w:t>
      </w:r>
      <w:r>
        <w:rPr>
          <w:rStyle w:val="FootnoteAnchor"/>
          <w:rtl w:val="true"/>
        </w:rPr>
        <w:footnoteReference w:id="2639"/>
      </w:r>
      <w:r>
        <w:rPr>
          <w:rFonts w:ascii="Amiri" w:hAnsi="Amiri" w:eastAsia="Amiri" w:cs="Amiri"/>
          <w:color w:val="111111"/>
          <w:sz w:val="28"/>
          <w:sz w:val="28"/>
          <w:szCs w:val="28"/>
          <w:rtl w:val="true"/>
          <w:lang w:bidi="ar-SA"/>
        </w:rPr>
        <w:t>عدم الخلاف فيه؛ إذ اختلاف الأفراد في الوجوب و الندب لا يكون إلّا لخصوصيّة موجودة في أحدهما مفقودة في الآخر، فإذا اشتركت صلاة الظّهر بين المندوبة مثل المعادة جماعة و صلاة الصبح، و بين الواجبة فالموضوع للوجوب هو صلاة الظهر مع تلك الخصوصيّة، و حيث لم تعلم للمكلّف تفصيلاً، و كان وصف الوجوب معرّفاً لها و كاشفاً عنها، وجبَ القصد إلى الفعل المتّصف بالوجوب</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غاية ما يثبت بهذا الوجه هو وجوب القصد إلى العنوان المذكور في الخطاب بوصف </w:t>
      </w:r>
    </w:p>
    <w:p>
      <w:pPr>
        <w:pStyle w:val="BookText"/>
        <w:rPr/>
      </w:pPr>
      <w:r>
        <w:rPr>
          <w:rFonts w:ascii="Amiri" w:hAnsi="Amiri" w:eastAsia="Amiri" w:cs="Amiri"/>
          <w:color w:val="111111"/>
          <w:sz w:val="28"/>
          <w:sz w:val="28"/>
          <w:szCs w:val="28"/>
          <w:rtl w:val="true"/>
          <w:lang w:bidi="ar-SA"/>
        </w:rPr>
        <w:t>أنّه مطلوب و واجب بطلب شخصي، ليكون قصد هذا الوصف المعرّف للخصوصيّات المأخوذة في فعله المميّزة له عن الفرد المستحبّ بمنزلة قصدها، و هو لا يتمّ، فإنّ اشتغال الذّمة في زمان واحد بفعلين مختلفين في نظر الآمر متّحدين في جميع الخصوصيّات غير صحيح؛ لأنهما إن كانا مأموراً بهما على جهة الوجوب و أمكنَ ترتبهما ترتّبا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وصُم يوماً كان المآل إلى الأمر بصوم يومين، و إن كان أحدهما واجباً و الآخر مندوباً اختصّ الأوّل بالوجوب، فلا اشتراك ليجب التّمييز، و إليه يشير اتّفاقهم </w:t>
      </w:r>
      <w:r>
        <w:rPr>
          <w:rStyle w:val="FootnoteAnchor"/>
          <w:rtl w:val="true"/>
        </w:rPr>
        <w:footnoteReference w:id="2640"/>
      </w:r>
      <w:r>
        <w:rPr>
          <w:rFonts w:ascii="Amiri" w:hAnsi="Amiri" w:eastAsia="Amiri" w:cs="Amiri"/>
          <w:color w:val="111111"/>
          <w:sz w:val="28"/>
          <w:sz w:val="28"/>
          <w:szCs w:val="28"/>
          <w:rtl w:val="true"/>
          <w:lang w:bidi="ar-SA"/>
        </w:rPr>
        <w:t>على صحّة نيّة القُربة في صوم رمضان، فما هو إلّا لكفاية كون المأمور به مطلوباً و راجحاً، فيكفي حينئذٍ توصيفه بالطلب الشخصي الموجود لا وجوب استحضار وصف الوجوب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فلو نوى الوجوب في المندوب و بالعكس جهلاً صحّ عمله؛ لأنه أتى بالفعل المطلوب للمولى بالطلب الثابت له واقعاً و إن أخطأ في الكيفيّة، و كذلك لو نوى الندب في الواجب أو الوجوب في المندوب مع الشكّ في دخول الوقت و خروجه لأجل الاستصحاب، فبانَ الخلاف، فإنّه أَوْلى بالصحّة؛ لوجود الأمر الظاهري الشرعي، لكن حكم الفاضل </w:t>
      </w:r>
      <w:r>
        <w:rPr>
          <w:rStyle w:val="FootnoteAnchor"/>
          <w:rtl w:val="true"/>
        </w:rPr>
        <w:footnoteReference w:id="2641"/>
      </w:r>
      <w:r>
        <w:rPr>
          <w:rFonts w:ascii="Amiri" w:hAnsi="Amiri" w:eastAsia="Amiri" w:cs="Amiri"/>
          <w:color w:val="111111"/>
          <w:sz w:val="28"/>
          <w:sz w:val="28"/>
          <w:szCs w:val="28"/>
          <w:rtl w:val="true"/>
          <w:lang w:bidi="ar-SA"/>
        </w:rPr>
        <w:t>بالصّحة؛ إذ لم يمكنه الظّن و إلّا فالإعادة و بالعمل على الظّن إذا تعذّر العلم عليه، فإن لم يستعلم و عمل بالظّن أعاد، و هو مبنيٌّ على عدم منافاة الإعادة للعمل بالاستصحاب و عدم التعويل على الظنّ حيث يمكن العلم، و هما وجيهان عندنا خصو صاً الثاني، و يتّجه البطلان في تعمّد نيّة الخلاف لكونه من التّشريع</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الثانية فقد جوّز بعض </w:t>
      </w:r>
      <w:r>
        <w:rPr>
          <w:rStyle w:val="FootnoteAnchor"/>
          <w:rtl w:val="true"/>
        </w:rPr>
        <w:footnoteReference w:id="2642"/>
      </w:r>
      <w:r>
        <w:rPr>
          <w:rFonts w:ascii="Amiri" w:hAnsi="Amiri" w:eastAsia="Amiri" w:cs="Amiri"/>
          <w:color w:val="111111"/>
          <w:sz w:val="28"/>
          <w:sz w:val="28"/>
          <w:szCs w:val="28"/>
          <w:rtl w:val="true"/>
          <w:lang w:bidi="ar-SA"/>
        </w:rPr>
        <w:t xml:space="preserve">المتأخِّرين نيّة النّدب في الوضوء مطلقاً، و الأكثر لا يصحّحونه في وقت الواجب المشروط به، بل لا بدّ من نيّة الوجوب، و يشكل لو نوى الغاية المستحبّة سواء كان الوجوب على جهة التوصيف أو كان غاية؛ إذ الدّاعي هو جهة الندب </w:t>
      </w:r>
    </w:p>
    <w:p>
      <w:pPr>
        <w:pStyle w:val="BookText"/>
        <w:rPr/>
      </w:pPr>
      <w:r>
        <w:rPr>
          <w:rFonts w:ascii="Amiri" w:hAnsi="Amiri" w:eastAsia="Amiri" w:cs="Amiri"/>
          <w:color w:val="111111"/>
          <w:sz w:val="28"/>
          <w:sz w:val="28"/>
          <w:szCs w:val="28"/>
          <w:rtl w:val="true"/>
          <w:lang w:bidi="ar-SA"/>
        </w:rPr>
        <w:t>و الإتيان به لوجوبه خلاف مقصود العامل، و كذا قصد إتيان الوضوء الموصوف بالوجوب لأجل غاية لا يوقعها، و لعلّهم لا يصحّحونه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حيث بنينا على عدم جواز نيّة الوجوب إلّا عند إرادة الواجب لا جرم إنّه يجوز عندنا نيّة ندب الوضوء و إن وجب لوجوب ذيه؛ لأنّ ملاحظة جهة الطلب حاصلة فيه، و هي تكفي في الصّحة، فيكون له حكم المندوب و إن كان واجباً لانطباقه على ما أمر به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يأبى العرف و لا العقل استحقاق الثواب بهذه الملاحظة فليس هو من باب إسقاط الواجب بالمستحبّ لأنّ ذلك نوع اجتماعهما فيه و المفروض وحدة حقيقة الوضوء فإنّ مندوبه لو رفع الحَدَث لا يجوز الإتيان بواجبه و متى اتّحدت حقيقته تعذّر اجتماعهما فيه و هو مبنى حصر الشارح له بالوجوب عند وجوب ذيه و لا وقع للردّ عليه بأنّه في كلّ وقت مستحبّ لأنّ هذا المستحب إن عرضت له حالة الوجوب فهو المطلوب و إن كان الواجب غيره فينفي إنّه يجوز الإتيان بهما و هو ممنوع بعد ارتفاع الحَدَث بالمندوب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المندوب الذي لا يرفع الحَدَث يجوز التكرار، بل يجب لما وجب له؛ لتغاير الوضوئين كما أنّه لا يحسن التفصّي عنه بأنّ ذلك على رأي </w:t>
      </w:r>
      <w:r>
        <w:rPr>
          <w:rStyle w:val="FootnoteAnchor"/>
          <w:rtl w:val="true"/>
        </w:rPr>
        <w:footnoteReference w:id="2643"/>
      </w:r>
      <w:r>
        <w:rPr>
          <w:rFonts w:ascii="Amiri" w:hAnsi="Amiri" w:eastAsia="Amiri" w:cs="Amiri"/>
          <w:color w:val="111111"/>
          <w:sz w:val="28"/>
          <w:sz w:val="28"/>
          <w:szCs w:val="28"/>
          <w:rtl w:val="true"/>
          <w:lang w:bidi="ar-SA"/>
        </w:rPr>
        <w:t>من لا يصحّح الإتيان بالمندوب في وقت الواجب كالمتنفّل وقت الفريضة؛ لأنه خلاف مذهبه،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الوضوء له حكم المندوب و إن وجب فيصحّ لملاحظة جهة الطلب فيه كما غبر، و عند إرادة الواجب ينوي الوجوب، فإن عمل ما وجب لأجله فيها و إن عدل عنه أو صدّه عن فعل ذي المقدّمة صادٌّ فقد قيل </w:t>
      </w:r>
      <w:r>
        <w:rPr>
          <w:rStyle w:val="FootnoteAnchor"/>
          <w:rtl w:val="true"/>
        </w:rPr>
        <w:footnoteReference w:id="2644"/>
      </w:r>
      <w:r>
        <w:rPr>
          <w:rFonts w:ascii="Amiri" w:hAnsi="Amiri" w:eastAsia="Amiri" w:cs="Amiri"/>
          <w:color w:val="111111"/>
          <w:sz w:val="28"/>
          <w:sz w:val="28"/>
          <w:szCs w:val="28"/>
          <w:rtl w:val="true"/>
          <w:lang w:bidi="ar-SA"/>
        </w:rPr>
        <w:t xml:space="preserve">ببطلان الوضوء و عدم اتّصاف المقدّمة بالوجوب، و لعلّ نظر الأوّل إلى أنّ الوضوء جزء من الصلاة لما دلّ </w:t>
      </w:r>
      <w:r>
        <w:rPr>
          <w:rStyle w:val="FootnoteAnchor"/>
          <w:rtl w:val="true"/>
        </w:rPr>
        <w:footnoteReference w:id="2645"/>
      </w:r>
      <w:r>
        <w:rPr>
          <w:rFonts w:ascii="Amiri" w:hAnsi="Amiri" w:eastAsia="Amiri" w:cs="Amiri"/>
          <w:color w:val="111111"/>
          <w:sz w:val="28"/>
          <w:sz w:val="28"/>
          <w:szCs w:val="28"/>
          <w:rtl w:val="true"/>
          <w:lang w:bidi="ar-SA"/>
        </w:rPr>
        <w:t>أنّه ثُلث الصلاة، فإذا لم تلحق باقي أجزائه بطل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أنّ وجوب المقدّمة مراعى حتّى يتحقّق ذوها في الخارج، مثل اتّصاف لوازم </w:t>
      </w:r>
    </w:p>
    <w:p>
      <w:pPr>
        <w:pStyle w:val="BookText"/>
        <w:rPr/>
      </w:pPr>
      <w:r>
        <w:rPr>
          <w:rFonts w:ascii="Amiri" w:hAnsi="Amiri" w:eastAsia="Amiri" w:cs="Amiri"/>
          <w:color w:val="111111"/>
          <w:sz w:val="28"/>
          <w:sz w:val="28"/>
          <w:szCs w:val="28"/>
          <w:rtl w:val="true"/>
          <w:lang w:bidi="ar-SA"/>
        </w:rPr>
        <w:t xml:space="preserve">الوجوب به أنّها متى لوحظت مجرّدة عنه لم تكن مطلوبة له، و كلاهما مزيّف بأصالة عدم اشتراط الصحّة بتعقّب المشروط و بحصول الشهرة المحققة على عدم اشتراطه؛ إذ جمع الوضوء سائر الشرائط غيره، و بأنّ وجوب المقدّمة لمعنى موجود فيها بالفعل غير معلّق على حصول ذيها، بل غاية ما ثبت هو توقّف الواجب عليها وجوداً و عدماً، و تمامه في الأُصول، و لا أظنّ أنّ أحداً يلتزم ببطلان غايات الوضوء التي عملت قبل الغاية المنويّة لو لم تعمّل، بل ظاهرهم </w:t>
      </w:r>
      <w:r>
        <w:rPr>
          <w:rStyle w:val="FootnoteAnchor"/>
          <w:rtl w:val="true"/>
        </w:rPr>
        <w:footnoteReference w:id="2646"/>
      </w:r>
      <w:r>
        <w:rPr>
          <w:rFonts w:ascii="Amiri" w:hAnsi="Amiri" w:eastAsia="Amiri" w:cs="Amiri"/>
          <w:color w:val="111111"/>
          <w:sz w:val="28"/>
          <w:sz w:val="28"/>
          <w:szCs w:val="28"/>
          <w:rtl w:val="true"/>
          <w:lang w:bidi="ar-SA"/>
        </w:rPr>
        <w:t>أنّ الوضوء متى جمع الشرائط ارتفع به الحَدَث و استُبيحَت به كلّ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اشتراط نيّة رفع الحَدَث فيه لا يستباح بما لا يمكن نيّته فيه بشيء من الغايات المتوقّفة على الطّهارة، كالوضوء المجامع للأكبر، مثل وضوء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تختصّ نيّته فيما يشترط فيه الطّهارة أو مطلقاً فيشمل الوضوء لغير ما يتوقّف على الطّهارة نحو التلاوة و دخول المساجد، فلا تترتّب غايتها بدون نيّة الرّفع عند معتبره، خلاف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تلقّيناه من شيخ أساتيدنا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أنّ الوضوء بأقسامه مطلقاً رافع للحدَث و مُبيح للصلاة سواء كان لغاية لا يجب 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المساجد و ما بحكمها، و كقراءة الفرقان، و كلّ عمل توقّف فضله على ارتفاع الحَدَث، أو كانت غايته ارتفاع الحَدَث فقط و الكون على الطّهارة، أو كان لا لغاية مثل الوضوء عقيب التقبيل و المذي، أو كان منوياً به التجديد، أو أتى به احتياطاً فانكشف سبق الحَدَث فيهما، أو مأتياً به باعتقاد الحيض فيبين عدمه و سبق الحَدَث الأصغر، فإنّ هذه الوضوءات بعد ثبوت مشروعيّتها لا مانع من صحّتها في نفسها و استباحة جميع غايات الوضوء في كلّ فرد من أقسامها؛ لأنّ رفع الحَدَث من قبيل الخاصّيّة للوضوء بشرائطه، و هو المنشأ للأمر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ماهيّة الوضوء التي لا يفارقها رفع الحَدَث أمر بها لا أنّ الرافع هو الوضوء بضميمة أنّه مأتي به للصلاة، و إلّا لأشكلَ الأمر في أُمور تُعرَف بالتأمّل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أمر بالوضوء و بدئ به ليكون العبد طاهراً إذا قام بين يَدي </w:t>
      </w:r>
    </w:p>
    <w:p>
      <w:pPr>
        <w:pStyle w:val="BookText"/>
        <w:rPr/>
      </w:pP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بعض الأخبار التي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ظهوراً بيِّناً بالمعنى الأعمّ، ففي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توضّأت فإياك أن تحدث وضوءاً حتّى تستيقن أنّك أحدثت</w:t>
      </w:r>
      <w:r>
        <w:rPr>
          <w:rFonts w:eastAsia="Amiri" w:cs="Amiri" w:ascii="Amiri" w:hAnsi="Amiri"/>
          <w:color w:val="111111"/>
          <w:sz w:val="28"/>
          <w:szCs w:val="28"/>
          <w:rtl w:val="true"/>
          <w:lang w:bidi="ar-SA"/>
        </w:rPr>
        <w:t xml:space="preserve">»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ينقض الوضوء إلّا حدث</w:t>
      </w:r>
      <w:r>
        <w:rPr>
          <w:rFonts w:eastAsia="IRNazanin" w:cs="IRNazanin"/>
          <w:color w:val="111111"/>
          <w:sz w:val="28"/>
          <w:szCs w:val="28"/>
          <w:rtl w:val="true"/>
          <w:lang w:bidi="fa-IR"/>
        </w:rPr>
        <w:t xml:space="preserve">» </w:t>
      </w:r>
      <w:r>
        <w:rPr>
          <w:rStyle w:val="FootnoteAnchor"/>
          <w:rtl w:val="true"/>
        </w:rPr>
        <w:footnoteReference w:id="2649"/>
      </w:r>
      <w:r>
        <w:rPr>
          <w:rFonts w:ascii="Amiri" w:hAnsi="Amiri" w:eastAsia="Amiri" w:cs="Amiri"/>
          <w:color w:val="111111"/>
          <w:sz w:val="28"/>
          <w:sz w:val="28"/>
          <w:szCs w:val="28"/>
          <w:rtl w:val="true"/>
          <w:lang w:bidi="ar-SA"/>
        </w:rPr>
        <w:t xml:space="preserve">، و غيرهما </w:t>
      </w:r>
      <w:r>
        <w:rPr>
          <w:rStyle w:val="FootnoteAnchor"/>
          <w:rtl w:val="true"/>
        </w:rPr>
        <w:footnoteReference w:id="2650"/>
      </w:r>
      <w:r>
        <w:rPr>
          <w:rFonts w:ascii="Amiri" w:hAnsi="Amiri" w:eastAsia="Amiri" w:cs="Amiri"/>
          <w:color w:val="111111"/>
          <w:sz w:val="28"/>
          <w:sz w:val="28"/>
          <w:szCs w:val="28"/>
          <w:rtl w:val="true"/>
          <w:lang w:bidi="ar-SA"/>
        </w:rPr>
        <w:t>فإنّهما دلّا على النّهي عن الوضوء الرافع بالقصد إذا تعقّب وضوءاً رافعاً من دون تفصيل بين أقسام الوضوء، و على أنّ الحَدَث ناقض مطلقاً، فيقضي أنّ الوضوء رافع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فقد خالف في ذلك جماعة من أصحابنا ممّن يرى عدم كفاية القربة في الوضوء، إذ مَن يرى كفايتها و اعتبارها في كلّ أقسامه يلزمه القول برافعيّة الحَدَثَ لجميع الأقسام، فإنّ الشيخ </w:t>
      </w:r>
      <w:r>
        <w:rPr>
          <w:rStyle w:val="FootnoteAnchor"/>
          <w:rtl w:val="true"/>
        </w:rPr>
        <w:footnoteReference w:id="2651"/>
      </w:r>
      <w:r>
        <w:rPr>
          <w:rFonts w:ascii="Amiri" w:hAnsi="Amiri" w:eastAsia="Amiri" w:cs="Amiri"/>
          <w:color w:val="111111"/>
          <w:sz w:val="28"/>
          <w:sz w:val="28"/>
          <w:szCs w:val="28"/>
          <w:rtl w:val="true"/>
          <w:lang w:bidi="ar-SA"/>
        </w:rPr>
        <w:t xml:space="preserve">و الحلّي </w:t>
      </w:r>
      <w:r>
        <w:rPr>
          <w:rStyle w:val="FootnoteAnchor"/>
          <w:rtl w:val="true"/>
        </w:rPr>
        <w:footnoteReference w:id="2652"/>
      </w:r>
      <w:r>
        <w:rPr>
          <w:rFonts w:ascii="Amiri" w:hAnsi="Amiri" w:eastAsia="Amiri" w:cs="Amiri"/>
          <w:color w:val="111111"/>
          <w:sz w:val="28"/>
          <w:sz w:val="28"/>
          <w:szCs w:val="28"/>
          <w:rtl w:val="true"/>
          <w:lang w:bidi="ar-SA"/>
        </w:rPr>
        <w:t xml:space="preserve">فرّعا عدم ارتفاع الحَدَث على هذه الوضوءات من جهة اعتبار الاستباحة و الرّفع في الموضوع، و الفخر </w:t>
      </w:r>
      <w:r>
        <w:rPr>
          <w:rStyle w:val="FootnoteAnchor"/>
          <w:rtl w:val="true"/>
        </w:rPr>
        <w:footnoteReference w:id="2653"/>
      </w:r>
      <w:r>
        <w:rPr>
          <w:rFonts w:ascii="Amiri" w:hAnsi="Amiri" w:eastAsia="Amiri" w:cs="Amiri"/>
          <w:color w:val="111111"/>
          <w:sz w:val="28"/>
          <w:sz w:val="28"/>
          <w:szCs w:val="28"/>
          <w:rtl w:val="true"/>
          <w:lang w:bidi="ar-SA"/>
        </w:rPr>
        <w:t xml:space="preserve">و المحقّق </w:t>
      </w:r>
      <w:r>
        <w:rPr>
          <w:rStyle w:val="FootnoteAnchor"/>
          <w:rtl w:val="true"/>
        </w:rPr>
        <w:footnoteReference w:id="2654"/>
      </w:r>
      <w:r>
        <w:rPr>
          <w:rFonts w:ascii="Amiri" w:hAnsi="Amiri" w:eastAsia="Amiri" w:cs="Amiri"/>
          <w:color w:val="111111"/>
          <w:sz w:val="28"/>
          <w:sz w:val="28"/>
          <w:szCs w:val="28"/>
          <w:rtl w:val="true"/>
          <w:lang w:bidi="ar-SA"/>
        </w:rPr>
        <w:t>نفيا الإشكال في صحّتها بناءً على كفاية القُربة، فينجم من هذين ما يروق في العين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نقله سيّد المدارك </w:t>
      </w:r>
      <w:r>
        <w:rPr>
          <w:rStyle w:val="FootnoteAnchor"/>
          <w:rtl w:val="true"/>
        </w:rPr>
        <w:footnoteReference w:id="2655"/>
      </w:r>
      <w:r>
        <w:rPr>
          <w:rFonts w:ascii="Amiri" w:hAnsi="Amiri" w:eastAsia="Amiri" w:cs="Amiri"/>
          <w:color w:val="111111"/>
          <w:sz w:val="28"/>
          <w:sz w:val="28"/>
          <w:szCs w:val="28"/>
          <w:rtl w:val="true"/>
          <w:lang w:bidi="ar-SA"/>
        </w:rPr>
        <w:t xml:space="preserve">من نسبة القول المختار إلى المعروف بين الأصحاب المحكي </w:t>
      </w:r>
      <w:bookmarkStart w:id="210" w:name="pg9146_86346"/>
    </w:p>
    <w:p>
      <w:pPr>
        <w:pStyle w:val="BookText"/>
        <w:rPr/>
      </w:pPr>
      <w:bookmarkEnd w:id="210"/>
      <w:r>
        <w:rPr>
          <w:rFonts w:ascii="Amiri" w:hAnsi="Amiri" w:eastAsia="Amiri" w:cs="Amiri"/>
          <w:color w:val="111111"/>
          <w:sz w:val="28"/>
          <w:sz w:val="28"/>
          <w:szCs w:val="28"/>
          <w:rtl w:val="true"/>
          <w:lang w:bidi="ar-SA"/>
        </w:rPr>
        <w:t xml:space="preserve">الإجماع عليه من بعضهم، فالظاهر أنّ كثيراً منهم على خلاف ما استظهره رحمه الله </w:t>
      </w:r>
      <w:r>
        <w:rPr>
          <w:rStyle w:val="FootnoteAnchor"/>
          <w:rtl w:val="true"/>
        </w:rPr>
        <w:footnoteReference w:id="2656"/>
      </w:r>
      <w:r>
        <w:rPr>
          <w:rFonts w:ascii="Amiri" w:hAnsi="Amiri" w:eastAsia="Amiri" w:cs="Amiri"/>
          <w:color w:val="111111"/>
          <w:sz w:val="28"/>
          <w:sz w:val="28"/>
          <w:szCs w:val="28"/>
          <w:rtl w:val="true"/>
          <w:lang w:bidi="ar-SA"/>
        </w:rPr>
        <w:t>و إن كان هو الأقوى في النّظر، فليحمل كلامه على الإجماع ممّن يرى كفاية القربة؛ لوجود المخالف المعتدّ به في الوضوءات المندوبة مطلقاً، بل أفرط بعضهم فرأى عدم كفاية وضوء النافلة في الدخول في الصلاة، و المسألة محتاجة إلى التتبّع و التأمّل</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3322666_2870459653"/>
      <w:bookmarkStart w:id="212" w:name="_Toc71"/>
      <w:bookmarkEnd w:id="211"/>
      <w:r>
        <w:rPr>
          <w:rtl w:val="true"/>
        </w:rPr>
        <w:t>[</w:t>
      </w:r>
      <w:r>
        <w:rPr>
          <w:rtl w:val="true"/>
        </w:rPr>
        <w:t>الواجب الثّاني</w:t>
      </w:r>
      <w:r>
        <w:rPr>
          <w:rtl w:val="true"/>
        </w:rPr>
        <w:t xml:space="preserve">: </w:t>
      </w:r>
      <w:r>
        <w:rPr>
          <w:rtl w:val="true"/>
        </w:rPr>
        <w:t>جري الماء</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واجباته وجوباً شرطيّاً أو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ينتقل كلّ جزء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انتقالاً عرضيّاً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محلّه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التي يلزم جري الماء عليها، و اعتباره من حيث تحقّق الغسل الواجب فيه مذكور في بعض الأخبار </w:t>
      </w:r>
      <w:r>
        <w:rPr>
          <w:rStyle w:val="FootnoteAnchor"/>
          <w:rtl w:val="true"/>
        </w:rPr>
        <w:footnoteReference w:id="2657"/>
      </w:r>
      <w:r>
        <w:rPr>
          <w:rFonts w:ascii="Amiri" w:hAnsi="Amiri" w:eastAsia="Amiri" w:cs="Amiri"/>
          <w:color w:val="111111"/>
          <w:sz w:val="28"/>
          <w:sz w:val="28"/>
          <w:szCs w:val="28"/>
          <w:rtl w:val="true"/>
          <w:lang w:bidi="ar-SA"/>
        </w:rPr>
        <w:t>و معروف بين الأصحاب، لكن الظاهر أنّهم لا يوجبون فيه إلّا إيصال الماء إلى جميع العضو اللازم غسله، لا إزالة الوسخ عنه بالماء المنفصل منه، و به يفترق عن الغسل المعتبر في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بعض العبارات كالفاضلين </w:t>
      </w:r>
      <w:r>
        <w:rPr>
          <w:rStyle w:val="FootnoteAnchor"/>
          <w:rtl w:val="true"/>
        </w:rPr>
        <w:footnoteReference w:id="2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لحوقاً لبعض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للغسل هنا بالدّهن، و الشيخان و الصدوق رحمهم الله في الفقيه </w:t>
      </w:r>
      <w:r>
        <w:rPr>
          <w:rStyle w:val="FootnoteAnchor"/>
          <w:rtl w:val="true"/>
        </w:rPr>
        <w:footnoteReference w:id="2659"/>
      </w:r>
      <w:r>
        <w:rPr>
          <w:rFonts w:ascii="Amiri" w:hAnsi="Amiri" w:eastAsia="Amiri" w:cs="Amiri"/>
          <w:color w:val="111111"/>
          <w:sz w:val="28"/>
          <w:sz w:val="28"/>
          <w:szCs w:val="28"/>
          <w:rtl w:val="true"/>
          <w:lang w:bidi="ar-SA"/>
        </w:rPr>
        <w:t xml:space="preserve">، و النهاية </w:t>
      </w:r>
      <w:r>
        <w:rPr>
          <w:rStyle w:val="FootnoteAnchor"/>
          <w:rtl w:val="true"/>
        </w:rPr>
        <w:footnoteReference w:id="2660"/>
      </w:r>
      <w:r>
        <w:rPr>
          <w:rFonts w:ascii="Amiri" w:hAnsi="Amiri" w:eastAsia="Amiri" w:cs="Amiri"/>
          <w:color w:val="111111"/>
          <w:sz w:val="28"/>
          <w:sz w:val="28"/>
          <w:szCs w:val="28"/>
          <w:rtl w:val="true"/>
          <w:lang w:bidi="ar-SA"/>
        </w:rPr>
        <w:t xml:space="preserve">قيدا الاجتزاء بمثل الدّهن بحال الضّرورة، و بعضُ </w:t>
      </w:r>
      <w:r>
        <w:rPr>
          <w:rStyle w:val="FootnoteAnchor"/>
          <w:rtl w:val="true"/>
        </w:rPr>
        <w:footnoteReference w:id="2661"/>
      </w:r>
      <w:r>
        <w:rPr>
          <w:rFonts w:ascii="Amiri" w:hAnsi="Amiri" w:eastAsia="Amiri" w:cs="Amiri"/>
          <w:color w:val="111111"/>
          <w:sz w:val="28"/>
          <w:sz w:val="28"/>
          <w:szCs w:val="28"/>
          <w:rtl w:val="true"/>
          <w:lang w:bidi="ar-SA"/>
        </w:rPr>
        <w:t>أطلق الاجتزاء به غير مشبّه و لا مقيّد، فإنّ كان مرادهم بالدّهن هو الاجتزاء بقليل الماء أو بمجرّد الإمساس للعضو دون الانفصال أمكن الجمع؛ لعدم منافاة هذا المعنى للجريان المراد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به الأعمّ من كونه على وجه التمسّح أو الإجراء المومئ التقييد بحال الضّرورة، رددناهم بأنّ فهم ذلك من النّصوص غيرُ مرضيّ بعد اعتبار الجريان في غيرها </w:t>
      </w:r>
    </w:p>
    <w:p>
      <w:pPr>
        <w:pStyle w:val="BookText"/>
        <w:rPr/>
      </w:pPr>
      <w:r>
        <w:rPr>
          <w:rFonts w:ascii="Amiri" w:hAnsi="Amiri" w:eastAsia="Amiri" w:cs="Amiri"/>
          <w:color w:val="111111"/>
          <w:sz w:val="28"/>
          <w:sz w:val="28"/>
          <w:szCs w:val="28"/>
          <w:rtl w:val="true"/>
          <w:lang w:bidi="ar-SA"/>
        </w:rPr>
        <w:t xml:space="preserve">و إمكان اشتراطه بها، فلا داعي إلى رفع اليد عن أدلّة الغسل الظاهر منها الجريان و التعسّف و التأويل لها بحملها على بيان الفرد الغالب من فَرْدَي الواجب، بل هذا الحمل لا يَسري في جميعها، فلا بدّ من طرح ما هو نصّ في اعتبار الجريان مثل حسنة زرارة </w:t>
      </w:r>
      <w:r>
        <w:rPr>
          <w:rStyle w:val="FootnoteAnchor"/>
          <w:rtl w:val="true"/>
        </w:rPr>
        <w:footnoteReference w:id="2662"/>
      </w:r>
      <w:r>
        <w:rPr>
          <w:rFonts w:ascii="Amiri" w:hAnsi="Amiri" w:eastAsia="Amiri" w:cs="Amiri"/>
          <w:color w:val="111111"/>
          <w:sz w:val="28"/>
          <w:sz w:val="28"/>
          <w:szCs w:val="28"/>
          <w:rtl w:val="true"/>
          <w:lang w:bidi="ar-SA"/>
        </w:rPr>
        <w:t xml:space="preserve">و صحيحة ابن مسلم </w:t>
      </w:r>
      <w:r>
        <w:rPr>
          <w:rStyle w:val="FootnoteAnchor"/>
          <w:rtl w:val="true"/>
        </w:rPr>
        <w:footnoteReference w:id="2663"/>
      </w:r>
      <w:r>
        <w:rPr>
          <w:rFonts w:ascii="Amiri" w:hAnsi="Amiri" w:eastAsia="Amiri" w:cs="Amiri"/>
          <w:color w:val="111111"/>
          <w:sz w:val="28"/>
          <w:sz w:val="28"/>
          <w:szCs w:val="28"/>
          <w:rtl w:val="true"/>
          <w:lang w:bidi="ar-SA"/>
        </w:rPr>
        <w:t xml:space="preserve">، فالأحرى حمل أخبار الدّهن على ما يجري كما صنعه عَلَم الهُدى </w:t>
      </w:r>
      <w:r>
        <w:rPr>
          <w:rStyle w:val="FootnoteAnchor"/>
          <w:rtl w:val="true"/>
        </w:rPr>
        <w:footnoteReference w:id="2664"/>
      </w:r>
      <w:r>
        <w:rPr>
          <w:rFonts w:ascii="Amiri" w:hAnsi="Amiri" w:eastAsia="Amiri" w:cs="Amiri"/>
          <w:color w:val="111111"/>
          <w:sz w:val="28"/>
          <w:sz w:val="28"/>
          <w:szCs w:val="28"/>
          <w:rtl w:val="true"/>
          <w:lang w:bidi="ar-SA"/>
        </w:rPr>
        <w:t>، و لو أنّ ذلك من الفرد الخفي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للغسل في العرف معنى لا يصدق على مثل الدّهن و إن تحقّق به الجريان، فيعتبر فيه انفصال الماء عن المحلّ المغسول، تحصلُ المعارضة بين الأخبار و النظر إلى المرجّحات الخارجيّة و الداخليّة، و لا ريب أنّها معنا، بل لا ريب في شمول الغسل وَضعاً لمثل الدّهن المفروض، فيكون منشأ التردّد في شموله له و عدمه التردّد بين التبادر الوضعي و الإطلاقي، فيعمل فيه بموجبه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الجري المعتبر 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أو بمُعِين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كاليَد، و ما في الوضوءات البيانيّة من إمرار اليد في الغسل لعلّه للعادة في استيعاب الماء القليل للعضو، و لو استفيد منها الوجوب لا تعارض إطلاق ما دلّ على كفاية الوصول و الجريان و الإصابة، و عليه فيكفي غمس العضو في الماء إلّا غمس ما يمسح به، فالأحوط تركه؛ لأنّ المسح شرع باليد المغسولة، و هذه مغموسة</w:t>
      </w:r>
      <w:r>
        <w:rPr>
          <w:rFonts w:eastAsia="Amiri" w:cs="Amiri" w:ascii="Amiri" w:hAnsi="Amiri"/>
          <w:color w:val="111111"/>
          <w:sz w:val="28"/>
          <w:szCs w:val="28"/>
          <w:rtl w:val="true"/>
          <w:lang w:bidi="ar-SA"/>
        </w:rPr>
        <w:t xml:space="preserve">. </w:t>
      </w:r>
      <w:bookmarkStart w:id="213" w:name="pg9146_86348"/>
    </w:p>
    <w:p>
      <w:pPr>
        <w:pStyle w:val="Heading2"/>
        <w:numPr>
          <w:ilvl w:val="1"/>
          <w:numId w:val="1"/>
        </w:numPr>
        <w:rPr/>
      </w:pPr>
      <w:bookmarkStart w:id="214" w:name="__RefHeading___Toc3322668_2870459653"/>
      <w:bookmarkStart w:id="215" w:name="_Toc72"/>
      <w:bookmarkEnd w:id="213"/>
      <w:bookmarkEnd w:id="214"/>
      <w:r>
        <w:rPr>
          <w:rtl w:val="true"/>
        </w:rPr>
        <w:t>[</w:t>
      </w:r>
      <w:r>
        <w:rPr>
          <w:rtl w:val="true"/>
        </w:rPr>
        <w:t>أفعال الوضوء</w:t>
      </w:r>
      <w:r>
        <w:rPr>
          <w:rtl w:val="true"/>
        </w:rPr>
        <w:t>]</w:t>
      </w:r>
      <w:bookmarkEnd w:id="215"/>
    </w:p>
    <w:p>
      <w:pPr>
        <w:pStyle w:val="Heading2"/>
        <w:numPr>
          <w:ilvl w:val="1"/>
          <w:numId w:val="1"/>
        </w:numPr>
        <w:rPr/>
      </w:pPr>
      <w:bookmarkStart w:id="216" w:name="__RefHeading___Toc3322670_2870459653"/>
      <w:bookmarkStart w:id="217" w:name="_Toc73"/>
      <w:bookmarkEnd w:id="216"/>
      <w:r>
        <w:rPr>
          <w:rtl w:val="true"/>
        </w:rPr>
        <w:t>[</w:t>
      </w:r>
      <w:r>
        <w:rPr>
          <w:rtl w:val="true"/>
        </w:rPr>
        <w:t>الأوّل</w:t>
      </w:r>
      <w:r>
        <w:rPr>
          <w:rtl w:val="true"/>
        </w:rPr>
        <w:t xml:space="preserve">: </w:t>
      </w:r>
      <w:r>
        <w:rPr>
          <w:rtl w:val="true"/>
        </w:rPr>
        <w:t>غسل الوجه</w:t>
      </w:r>
      <w:r>
        <w:rPr>
          <w:rtl w:val="true"/>
        </w:rPr>
        <w:t>]</w:t>
      </w:r>
      <w:bookmarkEnd w:id="217"/>
    </w:p>
    <w:p>
      <w:pPr>
        <w:pStyle w:val="BookText"/>
        <w:rPr/>
      </w:pPr>
      <w:r>
        <w:rPr>
          <w:rFonts w:ascii="Amiri" w:hAnsi="Amiri" w:eastAsia="Amiri" w:cs="Amiri"/>
          <w:color w:val="111111"/>
          <w:sz w:val="28"/>
          <w:sz w:val="28"/>
          <w:szCs w:val="28"/>
          <w:rtl w:val="true"/>
          <w:lang w:bidi="ar-SA"/>
        </w:rPr>
        <w:t xml:space="preserve">و الجري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دار عليه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يقع بينهما إذا انفرجا، فلو وضع طرفاهما منضمين وسط الناصية ثمّ يفترقا و يجري الإبهام من اليمين و الوسطى من اليسار إلى أن يجتمعا ثانياً في آخر الذّقن فهو عرض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القصاص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مثلّث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 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منتهى مَنْبَت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الذّقن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بالذال المعجمة و القاف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مَجْمَع اللحيين الذي ينحدر منه الشعر و يسترسل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الحدّ هو الجاري في لسان الأصحاب </w:t>
      </w:r>
      <w:r>
        <w:rPr>
          <w:rStyle w:val="FootnoteAnchor"/>
          <w:rtl w:val="true"/>
        </w:rPr>
        <w:footnoteReference w:id="2665"/>
      </w:r>
      <w:r>
        <w:rPr>
          <w:rFonts w:ascii="IRNazanin" w:hAnsi="IRNazanin" w:eastAsia="IRNazanin"/>
          <w:color w:val="111111"/>
          <w:sz w:val="28"/>
          <w:sz w:val="28"/>
          <w:szCs w:val="28"/>
          <w:rtl w:val="true"/>
          <w:lang w:bidi="fa-IR"/>
        </w:rPr>
        <w:t>، المتلقّى يَداً بيَد من الشارع، المنفيّ فيه الخلاف، المشتمل عليه صحيح زرارة عن أبي جعفر علیه السلام، 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دارت عليه الإبهام و الوسطى من قصاص الشعر إلى الذقن و ما جَرَت عليه الاصبعان مستديراً فهو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الصدغ من الوجه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للخطّ الطويل الفاصل بين الوجه و غيره، فهو في قوّة التأكّد، و شرط أن يكون الغاسل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مراعياً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و العرض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مستوي من البشر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الوجه و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اليمنى فحسب؛ لانصراف المطلق إلى المتعارف الغالب على الخصوص ما وقع ضابطاً و ميزاناً، و الرجوع إلى المستوي في الطّول باعتبار القصاص فقط و في الوجه فقط، فالأغمّ و الأنزع يرجعان إليه، فلا عِبرة بالاستواء طولاً أو شكلاً؛ لوجوب الغسل و إن تجاوز الغاسلُ المستويَ في طول الوجه أو فارقه بالشكل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بالعرض فيعتبر الاستواء في مجموع الوجه و اليدين، بمعنى اعتبار نسبة يَد المستوي إلى وجهه فمن كانت يده و وجهه مثل يد المستوي بالنّسبة إلى وجهه و إن تجاوز عنه </w:t>
      </w:r>
    </w:p>
    <w:p>
      <w:pPr>
        <w:pStyle w:val="BookText"/>
        <w:rPr/>
      </w:pPr>
      <w:r>
        <w:rPr>
          <w:rFonts w:ascii="Amiri" w:hAnsi="Amiri" w:eastAsia="Amiri" w:cs="Amiri"/>
          <w:color w:val="111111"/>
          <w:sz w:val="28"/>
          <w:sz w:val="28"/>
          <w:szCs w:val="28"/>
          <w:rtl w:val="true"/>
          <w:lang w:bidi="ar-SA"/>
        </w:rPr>
        <w:t>أو قصر بالطول و العرض يلزمه ما يلزم المستوي، و لو راعى المستوي لم يؤدِّ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زادت يده على المتعارف أو نقصت عنه مع بقاء وجهه عليه راعاه و لم يغسل الزائد و أتمّ الناقص وجوباً، و حينئذٍ فلو أطلق الشارح الاستواء كان أَولى؛ لأنّ استواء اليدين منفرداً لا يعتبر في شيء من الطول و العرض، فيحتمل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يسلم أيضاً من الإشكال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يدخل بالحَدّ </w:t>
      </w:r>
      <w:r>
        <w:rPr>
          <w:rStyle w:val="FootnoteAnchor"/>
          <w:rtl w:val="true"/>
        </w:rPr>
        <w:footnoteReference w:id="2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التحذيف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دون القصاص و يشتمل عليها الإصبعان،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ينبت عليه الشعر الخفيف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w:t>
      </w:r>
      <w:r>
        <w:rPr>
          <w:rStyle w:val="FootnoteAnchor"/>
          <w:rtl w:val="true"/>
        </w:rPr>
        <w:footnoteReference w:id="2668"/>
      </w:r>
      <w:r>
        <w:rPr>
          <w:rFonts w:ascii="Amiri" w:hAnsi="Amiri" w:eastAsia="Amiri" w:cs="Amiri"/>
          <w:color w:val="111111"/>
          <w:sz w:val="28"/>
          <w:sz w:val="28"/>
          <w:szCs w:val="28"/>
          <w:rtl w:val="true"/>
          <w:lang w:bidi="ar-SA"/>
        </w:rPr>
        <w:t>بين منتهى العذار و النزعة المتّصل بشعر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وضع طرف خيط على رأس الأُذن و طرفه الثاني على زاوية أعلى الجبين تقع مواضعها في جانب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نفى الفاضل في المنتهى و التذكرة و ابن فهد </w:t>
      </w:r>
      <w:r>
        <w:rPr>
          <w:rStyle w:val="FootnoteAnchor"/>
          <w:rtl w:val="true"/>
        </w:rPr>
        <w:footnoteReference w:id="2669"/>
      </w:r>
      <w:r>
        <w:rPr>
          <w:rFonts w:ascii="Amiri" w:hAnsi="Amiri" w:eastAsia="Amiri" w:cs="Amiri"/>
          <w:color w:val="111111"/>
          <w:sz w:val="28"/>
          <w:sz w:val="28"/>
          <w:szCs w:val="28"/>
          <w:rtl w:val="true"/>
          <w:lang w:bidi="ar-SA"/>
        </w:rPr>
        <w:t>بموجزه وجوب غسلها؛ ففي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التحذيف، و هو الشعر الدّاخل في الوجه ما بين انتهاء العذار و النزعة؛ لأنّ التكليف بهذه شرعيّ، و لا شرع يدلّ على التكليف بها، فلا تكليف </w:t>
      </w:r>
      <w:r>
        <w:rPr>
          <w:rStyle w:val="FootnoteAnchor"/>
          <w:rtl w:val="true"/>
        </w:rPr>
        <w:footnoteReference w:id="2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 من الوجه مع إنكاره الدّليل عليه تهافتٌ، لكن في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الوجه؛ لنبات الشعر عليه، فهو من الرأس </w:t>
      </w:r>
      <w:r>
        <w:rPr>
          <w:rStyle w:val="FootnoteAnchor"/>
          <w:rtl w:val="true"/>
        </w:rPr>
        <w:footnoteReference w:id="2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ما عليه الشارح </w:t>
      </w:r>
      <w:r>
        <w:rPr>
          <w:rStyle w:val="FootnoteAnchor"/>
          <w:rtl w:val="true"/>
        </w:rPr>
        <w:footnoteReference w:id="2672"/>
      </w:r>
      <w:r>
        <w:rPr>
          <w:rFonts w:ascii="Amiri" w:hAnsi="Amiri" w:eastAsia="Amiri" w:cs="Amiri"/>
          <w:color w:val="111111"/>
          <w:sz w:val="28"/>
          <w:sz w:val="28"/>
          <w:szCs w:val="28"/>
          <w:rtl w:val="true"/>
          <w:lang w:bidi="ar-SA"/>
        </w:rPr>
        <w:t xml:space="preserve">من الدخول؛ إذ الرأس مائل إلى التدوير، و عند ابتدائه في التّسطيح الذي هو من عند الجبهة يكون مبدأ الوجه طولاً و عرضاً، و لا بدّ أن يدخل كلّ ما دخل تحت الإصبعين ممّا اشتملتا أو دارتا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العذار و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w:t>
      </w:r>
    </w:p>
    <w:p>
      <w:pPr>
        <w:pStyle w:val="BookText"/>
        <w:rPr/>
      </w:pPr>
      <w:r>
        <w:rPr>
          <w:rFonts w:ascii="IRNazanin" w:hAnsi="IRNazanin" w:eastAsia="IRNazanin"/>
          <w:color w:val="111111"/>
          <w:sz w:val="28"/>
          <w:sz w:val="28"/>
          <w:szCs w:val="28"/>
          <w:rtl w:val="true"/>
          <w:lang w:bidi="fa-IR"/>
        </w:rPr>
        <w:t xml:space="preserve">لمن </w:t>
      </w:r>
      <w:r>
        <w:rPr>
          <w:rStyle w:val="FootnoteAnchor"/>
          <w:rtl w:val="true"/>
        </w:rPr>
        <w:footnoteReference w:id="2673"/>
      </w:r>
      <w:r>
        <w:rPr>
          <w:rFonts w:ascii="IRNazanin" w:hAnsi="IRNazanin" w:eastAsia="IRNazanin"/>
          <w:color w:val="111111"/>
          <w:sz w:val="28"/>
          <w:sz w:val="28"/>
          <w:szCs w:val="28"/>
          <w:rtl w:val="true"/>
          <w:lang w:bidi="fa-IR"/>
        </w:rPr>
        <w:t>أدخلهما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الحدائق </w:t>
      </w:r>
      <w:r>
        <w:rPr>
          <w:rStyle w:val="FootnoteAnchor"/>
          <w:rtl w:val="true"/>
        </w:rPr>
        <w:footnoteReference w:id="2674"/>
      </w:r>
      <w:r>
        <w:rPr>
          <w:rFonts w:ascii="IRNazanin" w:hAnsi="IRNazanin" w:eastAsia="IRNazanin"/>
          <w:color w:val="111111"/>
          <w:sz w:val="28"/>
          <w:sz w:val="28"/>
          <w:szCs w:val="28"/>
          <w:rtl w:val="true"/>
          <w:lang w:bidi="fa-IR"/>
        </w:rPr>
        <w:t xml:space="preserve">المشهور خروج الأوّل، و المنتهى </w:t>
      </w:r>
      <w:r>
        <w:rPr>
          <w:rStyle w:val="FootnoteAnchor"/>
          <w:rtl w:val="true"/>
        </w:rPr>
        <w:footnoteReference w:id="2675"/>
      </w:r>
      <w:r>
        <w:rPr>
          <w:rFonts w:ascii="Amiri" w:hAnsi="Amiri" w:eastAsia="Amiri" w:cs="Amiri"/>
          <w:color w:val="111111"/>
          <w:sz w:val="28"/>
          <w:sz w:val="28"/>
          <w:szCs w:val="28"/>
          <w:rtl w:val="true"/>
          <w:lang w:bidi="ar-SA"/>
        </w:rPr>
        <w:t xml:space="preserve">صرّح بخروجهما، و صريح المبسوط و الخلاف </w:t>
      </w:r>
      <w:r>
        <w:rPr>
          <w:rStyle w:val="FootnoteAnchor"/>
          <w:rtl w:val="true"/>
        </w:rPr>
        <w:footnoteReference w:id="2676"/>
      </w:r>
      <w:r>
        <w:rPr>
          <w:rFonts w:ascii="IRNazanin" w:hAnsi="IRNazanin" w:eastAsia="IRNazanin"/>
          <w:color w:val="111111"/>
          <w:sz w:val="28"/>
          <w:sz w:val="28"/>
          <w:szCs w:val="28"/>
          <w:rtl w:val="true"/>
          <w:lang w:bidi="fa-IR"/>
        </w:rPr>
        <w:t xml:space="preserve">و المرتضى </w:t>
      </w:r>
      <w:r>
        <w:rPr>
          <w:rStyle w:val="FootnoteAnchor"/>
          <w:rtl w:val="true"/>
        </w:rPr>
        <w:footnoteReference w:id="2677"/>
      </w:r>
      <w:r>
        <w:rPr>
          <w:rFonts w:ascii="Amiri" w:hAnsi="Amiri" w:eastAsia="Amiri" w:cs="Amiri"/>
          <w:color w:val="111111"/>
          <w:sz w:val="28"/>
          <w:sz w:val="28"/>
          <w:szCs w:val="28"/>
          <w:rtl w:val="true"/>
          <w:lang w:bidi="ar-SA"/>
        </w:rPr>
        <w:t xml:space="preserve">و الإسكافي </w:t>
      </w:r>
      <w:r>
        <w:rPr>
          <w:rStyle w:val="FootnoteAnchor"/>
          <w:rtl w:val="true"/>
        </w:rPr>
        <w:footnoteReference w:id="2678"/>
      </w:r>
      <w:r>
        <w:rPr>
          <w:rFonts w:ascii="Amiri" w:hAnsi="Amiri" w:eastAsia="Amiri" w:cs="Amiri"/>
          <w:color w:val="111111"/>
          <w:sz w:val="28"/>
          <w:sz w:val="28"/>
          <w:szCs w:val="28"/>
          <w:rtl w:val="true"/>
          <w:lang w:bidi="ar-SA"/>
        </w:rPr>
        <w:t>الدخول، و على التّحديد المزبور يدخل بعض العذار و أكثر العارض؛ إذ الأوّل هو الشعر النابت على العظم الناتئ، الذي هو سَمت الصماخ، المتّصل أعلاه بالصّدغ و أسفله بالعارض، و الثاني هو الشعر المنحطّ عن القدر المحاذي للأُذن إلى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أيضاً بما تحت العذار </w:t>
      </w:r>
      <w:r>
        <w:rPr>
          <w:rStyle w:val="FootnoteAnchor"/>
          <w:rtl w:val="true"/>
        </w:rPr>
        <w:footnoteReference w:id="2679"/>
      </w:r>
      <w:r>
        <w:rPr>
          <w:rFonts w:ascii="Amiri" w:hAnsi="Amiri" w:eastAsia="Amiri" w:cs="Amiri"/>
          <w:color w:val="111111"/>
          <w:sz w:val="28"/>
          <w:sz w:val="28"/>
          <w:szCs w:val="28"/>
          <w:rtl w:val="true"/>
          <w:lang w:bidi="ar-SA"/>
        </w:rPr>
        <w:t xml:space="preserve">من غير ذكر الانتهاء، و في صدق العارض على ما قارب لذّقن تأمّل، و أدخل بعض </w:t>
      </w:r>
      <w:r>
        <w:rPr>
          <w:rStyle w:val="FootnoteAnchor"/>
          <w:rtl w:val="true"/>
        </w:rPr>
        <w:footnoteReference w:id="2680"/>
      </w:r>
      <w:r>
        <w:rPr>
          <w:rFonts w:ascii="Amiri" w:hAnsi="Amiri" w:eastAsia="Amiri" w:cs="Amiri"/>
          <w:color w:val="111111"/>
          <w:sz w:val="28"/>
          <w:sz w:val="28"/>
          <w:szCs w:val="28"/>
          <w:rtl w:val="true"/>
          <w:lang w:bidi="ar-SA"/>
        </w:rPr>
        <w:t xml:space="preserve">في الأوّل البياض المتّصل بالأُذن و بعض </w:t>
      </w:r>
      <w:r>
        <w:rPr>
          <w:rStyle w:val="FootnoteAnchor"/>
          <w:rtl w:val="true"/>
        </w:rPr>
        <w:footnoteReference w:id="2681"/>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أن يراعى الحدّ المرقوم في الدّاخل و الخارج منهما، كما هو الشأن في كلّ ضابط معتبر، فإنّه لمكان نتوء الأنف لا تحيط الإصبعان به جزماً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النَّزَعَتان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البياضان المكتنفان للناصية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المتصاعدان في جانبي الرأس، و لا الصدغان؛ للنص </w:t>
      </w:r>
      <w:r>
        <w:rPr>
          <w:rStyle w:val="FootnoteAnchor"/>
          <w:rtl w:val="true"/>
        </w:rPr>
        <w:footnoteReference w:id="2682"/>
      </w:r>
      <w:r>
        <w:rPr>
          <w:rFonts w:ascii="Amiri" w:hAnsi="Amiri" w:eastAsia="Amiri" w:cs="Amiri"/>
          <w:color w:val="111111"/>
          <w:sz w:val="28"/>
          <w:sz w:val="28"/>
          <w:szCs w:val="28"/>
          <w:rtl w:val="true"/>
          <w:lang w:bidi="ar-SA"/>
        </w:rPr>
        <w:t xml:space="preserve">، و لعدم دخولها في الحَدّ المشهور </w:t>
      </w:r>
      <w:r>
        <w:rPr>
          <w:rStyle w:val="FootnoteAnchor"/>
          <w:rtl w:val="true"/>
        </w:rPr>
        <w:footnoteReference w:id="2683"/>
      </w:r>
      <w:r>
        <w:rPr>
          <w:rFonts w:ascii="Amiri" w:hAnsi="Amiri" w:eastAsia="Amiri" w:cs="Amiri"/>
          <w:color w:val="111111"/>
          <w:sz w:val="28"/>
          <w:sz w:val="28"/>
          <w:szCs w:val="28"/>
          <w:rtl w:val="true"/>
          <w:lang w:bidi="ar-SA"/>
        </w:rPr>
        <w:t xml:space="preserve">، لكن شيخنا البهائي رحمه الله </w:t>
      </w:r>
      <w:r>
        <w:rPr>
          <w:rStyle w:val="FootnoteAnchor"/>
          <w:rtl w:val="true"/>
        </w:rPr>
        <w:footnoteReference w:id="2684"/>
      </w:r>
      <w:r>
        <w:rPr>
          <w:rFonts w:ascii="IRNazanin" w:hAnsi="IRNazanin" w:eastAsia="IRNazanin"/>
          <w:color w:val="111111"/>
          <w:sz w:val="28"/>
          <w:sz w:val="28"/>
          <w:szCs w:val="28"/>
          <w:rtl w:val="true"/>
          <w:lang w:bidi="fa-IR"/>
        </w:rPr>
        <w:t xml:space="preserve">ضرب </w:t>
      </w:r>
    </w:p>
    <w:p>
      <w:pPr>
        <w:pStyle w:val="BookText"/>
        <w:rPr/>
      </w:pPr>
      <w:r>
        <w:rPr>
          <w:rFonts w:ascii="Amiri" w:hAnsi="Amiri" w:eastAsia="Amiri" w:cs="Amiri"/>
          <w:color w:val="111111"/>
          <w:sz w:val="28"/>
          <w:sz w:val="28"/>
          <w:szCs w:val="28"/>
          <w:rtl w:val="true"/>
          <w:lang w:bidi="ar-SA"/>
        </w:rPr>
        <w:t xml:space="preserve">صَفْحاً عن تحديد المشهور مُورِداً بدخول النَّزَعتين و الصدغين فيه بأربعينه، و ردّه شيخنا </w:t>
      </w:r>
      <w:r>
        <w:rPr>
          <w:rStyle w:val="FootnoteAnchor"/>
          <w:rtl w:val="true"/>
        </w:rPr>
        <w:footnoteReference w:id="2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Style w:val="FootnoteAnchor"/>
          <w:rtl w:val="true"/>
        </w:rPr>
        <w:footnoteReference w:id="2686"/>
      </w:r>
      <w:r>
        <w:rPr>
          <w:rFonts w:ascii="Amiri" w:hAnsi="Amiri" w:eastAsia="Amiri" w:cs="Amiri"/>
          <w:color w:val="111111"/>
          <w:sz w:val="28"/>
          <w:sz w:val="28"/>
          <w:szCs w:val="28"/>
          <w:rtl w:val="true"/>
          <w:lang w:bidi="ar-SA"/>
        </w:rPr>
        <w:t>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غسل ما استرسل من اللحيّة؛ لخروجه عن حَدّ الجبهة المحدّد بالذّقن بلا خلاف، و استحبّه بعض </w:t>
      </w:r>
      <w:r>
        <w:rPr>
          <w:rStyle w:val="FootnoteAnchor"/>
          <w:rtl w:val="true"/>
        </w:rPr>
        <w:footnoteReference w:id="2687"/>
      </w:r>
      <w:r>
        <w:rPr>
          <w:rFonts w:ascii="Amiri" w:hAnsi="Amiri" w:eastAsia="Amiri" w:cs="Amiri"/>
          <w:color w:val="111111"/>
          <w:sz w:val="28"/>
          <w:sz w:val="28"/>
          <w:szCs w:val="28"/>
          <w:rtl w:val="true"/>
          <w:lang w:bidi="ar-SA"/>
        </w:rPr>
        <w:t>تسامحاً، و عليه لا يجوز المسح بمائها؛ لأنه ليس بماء وضوء يمسح به، و كون الوضوء معه أفضل ممّا فقده لجهة اشتماله على هذا الفعل لا من جهة تركّبه منه و من غيره، فهو قيد لا جزء، و التقييد داخل و القيد 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عنده هنا و بغيره </w:t>
      </w:r>
      <w:r>
        <w:rPr>
          <w:rStyle w:val="FootnoteAnchor"/>
          <w:rtl w:val="true"/>
        </w:rPr>
        <w:footnoteReference w:id="2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تخليل خفيف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إيصال الماء خلاله،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الشارح </w:t>
      </w:r>
      <w:r>
        <w:rPr>
          <w:rStyle w:val="FootnoteAnchor"/>
          <w:rtl w:val="true"/>
        </w:rPr>
        <w:footnoteReference w:id="2689"/>
      </w:r>
      <w:r>
        <w:rPr>
          <w:rFonts w:ascii="Amiri" w:hAnsi="Amiri" w:eastAsia="Amiri" w:cs="Amiri"/>
          <w:color w:val="111111"/>
          <w:sz w:val="28"/>
          <w:sz w:val="28"/>
          <w:szCs w:val="28"/>
          <w:rtl w:val="true"/>
          <w:lang w:bidi="ar-SA"/>
        </w:rPr>
        <w:t xml:space="preserve">تبعاً لغيره </w:t>
      </w:r>
      <w:r>
        <w:rPr>
          <w:rStyle w:val="FootnoteAnchor"/>
          <w:rtl w:val="true"/>
        </w:rPr>
        <w:footnoteReference w:id="2690"/>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تُرى البشرة من خلاله في مجلس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تخليله،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من خلاله البشرة، تبع المصنّف </w:t>
      </w:r>
      <w:r>
        <w:rPr>
          <w:rStyle w:val="FootnoteAnchor"/>
          <w:rtl w:val="true"/>
        </w:rPr>
        <w:footnoteReference w:id="2691"/>
      </w:r>
      <w:r>
        <w:rPr>
          <w:rFonts w:ascii="Amiri" w:hAnsi="Amiri" w:eastAsia="Amiri" w:cs="Amiri"/>
          <w:color w:val="111111"/>
          <w:sz w:val="28"/>
          <w:sz w:val="28"/>
          <w:szCs w:val="28"/>
          <w:rtl w:val="true"/>
          <w:lang w:bidi="ar-SA"/>
        </w:rPr>
        <w:t xml:space="preserve">في ذلك ابن الجُنيد </w:t>
      </w:r>
      <w:r>
        <w:rPr>
          <w:rStyle w:val="FootnoteAnchor"/>
          <w:rtl w:val="true"/>
        </w:rPr>
        <w:footnoteReference w:id="26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عقيل </w:t>
      </w:r>
      <w:r>
        <w:rPr>
          <w:rStyle w:val="FootnoteAnchor"/>
          <w:rtl w:val="true"/>
        </w:rPr>
        <w:footnoteReference w:id="2693"/>
      </w:r>
      <w:r>
        <w:rPr>
          <w:rFonts w:ascii="Amiri" w:hAnsi="Amiri" w:eastAsia="Amiri" w:cs="Amiri"/>
          <w:color w:val="111111"/>
          <w:sz w:val="28"/>
          <w:sz w:val="28"/>
          <w:szCs w:val="28"/>
          <w:rtl w:val="true"/>
          <w:lang w:bidi="ar-SA"/>
        </w:rPr>
        <w:t xml:space="preserve">و ظاهر الناصريات </w:t>
      </w:r>
      <w:r>
        <w:rPr>
          <w:rStyle w:val="FootnoteAnchor"/>
          <w:rtl w:val="true"/>
        </w:rPr>
        <w:footnoteReference w:id="2694"/>
      </w:r>
      <w:r>
        <w:rPr>
          <w:rFonts w:ascii="IRNazanin" w:hAnsi="IRNazanin" w:eastAsia="IRNazanin"/>
          <w:color w:val="111111"/>
          <w:sz w:val="28"/>
          <w:sz w:val="28"/>
          <w:szCs w:val="28"/>
          <w:rtl w:val="true"/>
          <w:lang w:bidi="fa-IR"/>
        </w:rPr>
        <w:t xml:space="preserve">و الفاضل و ابنه </w:t>
      </w:r>
      <w:r>
        <w:rPr>
          <w:rStyle w:val="FootnoteAnchor"/>
          <w:rtl w:val="true"/>
        </w:rPr>
        <w:footnoteReference w:id="2695"/>
      </w:r>
      <w:r>
        <w:rPr>
          <w:rFonts w:ascii="Amiri" w:hAnsi="Amiri" w:eastAsia="Amiri" w:cs="Amiri"/>
          <w:color w:val="111111"/>
          <w:sz w:val="28"/>
          <w:sz w:val="28"/>
          <w:szCs w:val="28"/>
          <w:rtl w:val="true"/>
          <w:lang w:bidi="ar-SA"/>
        </w:rPr>
        <w:t xml:space="preserve">و غيرهم </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بتخليله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المصنّف ليس إيصال الماء إلى منابته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الماء خلاله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بين الشعرات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لغسل البشرة المستورة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لفظ الوجه بعد أنْ كان موضوعاً للعضو المخصوص يجب غسل ما صدق عليه ألبتّة إلّا أن يثبت بقاطع عدم وجوبه، و حيث قام الإجماع على قيام الشعر الكثيف الساتر في جميع أحواله مقام الوجه، و نطق به خبر زرارة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أحاط به الشعر فليس على العباد أن يغسلوه</w:t>
      </w:r>
      <w:r>
        <w:rPr>
          <w:rFonts w:eastAsia="Amiri" w:cs="Amiri" w:ascii="Amiri" w:hAnsi="Amiri"/>
          <w:color w:val="111111"/>
          <w:sz w:val="28"/>
          <w:szCs w:val="28"/>
          <w:rtl w:val="true"/>
          <w:lang w:bidi="ar-SA"/>
        </w:rPr>
        <w:t xml:space="preserve">» </w:t>
      </w:r>
      <w:r>
        <w:rPr>
          <w:rStyle w:val="FootnoteAnchor"/>
          <w:rtl w:val="true"/>
        </w:rPr>
        <w:footnoteReference w:id="2697"/>
      </w:r>
      <w:r>
        <w:rPr>
          <w:rFonts w:ascii="IRNazanin" w:hAnsi="IRNazanin" w:eastAsia="IRNazanin"/>
          <w:color w:val="111111"/>
          <w:sz w:val="28"/>
          <w:sz w:val="28"/>
          <w:szCs w:val="28"/>
          <w:rtl w:val="true"/>
          <w:lang w:bidi="fa-IR"/>
        </w:rPr>
        <w:t>، الخبر، قلنا بعدم وجوبه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الظاهرة خلاله فلا بدّ من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وجوب غسل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لا يوجب غسل المستورة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جزء آخر من البشرة ممّا جاوزها </w:t>
      </w:r>
      <w:r>
        <w:rPr>
          <w:rStyle w:val="FootnoteAnchor"/>
          <w:rtl w:val="true"/>
        </w:rPr>
        <w:footnoteReference w:id="2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المستور </w:t>
      </w:r>
      <w:r>
        <w:rPr>
          <w:rStyle w:val="FootnoteAnchor"/>
          <w:rtl w:val="true"/>
        </w:rPr>
        <w:footnoteReference w:id="2699"/>
      </w:r>
      <w:r>
        <w:rPr>
          <w:rFonts w:ascii="Amiri" w:hAnsi="Amiri" w:eastAsia="Amiri" w:cs="Amiri"/>
          <w:color w:val="111111"/>
          <w:sz w:val="28"/>
          <w:sz w:val="28"/>
          <w:szCs w:val="28"/>
          <w:rtl w:val="true"/>
          <w:lang w:bidi="ar-SA"/>
        </w:rPr>
        <w:t>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نظائر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الشارح </w:t>
      </w:r>
      <w:r>
        <w:rPr>
          <w:rStyle w:val="FootnoteAnchor"/>
          <w:rtl w:val="true"/>
        </w:rPr>
        <w:footnoteReference w:id="2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للمبسوط و الخلاف </w:t>
      </w:r>
      <w:r>
        <w:rPr>
          <w:rStyle w:val="FootnoteAnchor"/>
          <w:rtl w:val="true"/>
        </w:rPr>
        <w:footnoteReference w:id="2701"/>
      </w:r>
      <w:r>
        <w:rPr>
          <w:rFonts w:ascii="Amiri" w:hAnsi="Amiri" w:eastAsia="Amiri" w:cs="Amiri"/>
          <w:color w:val="111111"/>
          <w:sz w:val="28"/>
          <w:sz w:val="28"/>
          <w:szCs w:val="28"/>
          <w:rtl w:val="true"/>
          <w:lang w:bidi="ar-SA"/>
        </w:rPr>
        <w:t xml:space="preserve">صريحاً و ظاهراً و الفاضلين </w:t>
      </w:r>
      <w:r>
        <w:rPr>
          <w:rStyle w:val="FootnoteAnchor"/>
          <w:rtl w:val="true"/>
        </w:rPr>
        <w:footnoteReference w:id="2702"/>
      </w:r>
      <w:r>
        <w:rPr>
          <w:rFonts w:ascii="Amiri" w:hAnsi="Amiri" w:eastAsia="Amiri" w:cs="Amiri"/>
          <w:color w:val="111111"/>
          <w:sz w:val="28"/>
          <w:sz w:val="28"/>
          <w:szCs w:val="28"/>
          <w:rtl w:val="true"/>
          <w:lang w:bidi="ar-SA"/>
        </w:rPr>
        <w:t xml:space="preserve">كذلك و غيرهم </w:t>
      </w:r>
      <w:r>
        <w:rPr>
          <w:rStyle w:val="FootnoteAnchor"/>
          <w:rtl w:val="true"/>
        </w:rPr>
        <w:footnoteReference w:id="2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وجوب تخليل الشعر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خفيفاً و كثيفاً بالمعنى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وفاقاً للمصنّف في الذكرى و الدروس </w:t>
      </w:r>
      <w:r>
        <w:rPr>
          <w:rStyle w:val="FootnoteAnchor"/>
          <w:rtl w:val="true"/>
        </w:rPr>
        <w:footnoteReference w:id="2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النسبة للأوّل غير بيّنة فلاحظ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الأصحاب المجمع عليه في الخلاف و المشهور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الخلاف إن كان فيما إذا كان الشعر بملاحظة بعض الأحوال دون بعض كالخفيف الذي يستر بعض المواضع، و يمكن رؤية البشرة منه، و كان الشعر غير ملتّف بعضه ببعض، فالظاهر وجوب غسل ما تحته كالبشرة التي في خلاله ممّا لا شعر عليها أصلاً، بل حواليها و ليس عليها و هي وسطه كاللّمعة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الخلاف فيها التفَّ بعضه ببعض حتّى عاد كالثوب الحاكي الخفيف لسعة </w:t>
      </w:r>
    </w:p>
    <w:p>
      <w:pPr>
        <w:pStyle w:val="BookText"/>
        <w:rPr/>
      </w:pPr>
      <w:r>
        <w:rPr>
          <w:rFonts w:ascii="Amiri" w:hAnsi="Amiri" w:eastAsia="Amiri" w:cs="Amiri"/>
          <w:color w:val="111111"/>
          <w:sz w:val="28"/>
          <w:sz w:val="28"/>
          <w:szCs w:val="28"/>
          <w:rtl w:val="true"/>
          <w:lang w:bidi="ar-SA"/>
        </w:rPr>
        <w:t xml:space="preserve">منافذه فكذا يجب غسل ما تحته مع الظهور في مجلس التخاطب و المواجهة المتعارفة؛ لعدم صدق الإحاطة و التغطية، و لصدق الوجه عليه عرفاً، إلَّا أن يقصر الوجوب على إجراء الماء على الوجه من دون تنقير و بحث و إدخال أنملة فيه يزيد على جري الماء كما ادّعي </w:t>
      </w:r>
      <w:r>
        <w:rPr>
          <w:rStyle w:val="FootnoteAnchor"/>
          <w:rtl w:val="true"/>
        </w:rPr>
        <w:footnoteReference w:id="2705"/>
      </w:r>
      <w:r>
        <w:rPr>
          <w:rFonts w:ascii="Amiri" w:hAnsi="Amiri" w:eastAsia="Amiri" w:cs="Amiri"/>
          <w:color w:val="111111"/>
          <w:sz w:val="28"/>
          <w:sz w:val="28"/>
          <w:szCs w:val="28"/>
          <w:rtl w:val="true"/>
          <w:lang w:bidi="ar-SA"/>
        </w:rPr>
        <w:t>من استفادة ذلك من الرواية و من كلمات أصحابنا فقهائنا في وجوب غسل الوجه، لكنّه موجود بأنّ ذلك لو كان لجرى في الحائل مطلقاً، و لا يلتزمه أحد، و الإحاطة التي في الخبر تنزّل على يعسر ولوج الماء فيه كالحائل الذي يعسر إزالته؛ إبقاءً لإطلاق وجوب غسل الوجه على حياله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ستر من الشعر بالاسترسال فإنّ ستر ما تحته دائماً كشعري الشارب و العنفقة إذا كان على المعتاد فلا يبعد عدم تخليله و رفعه؛ لصدق الإحاطة فيه، قَلَّ استرساله أو كثر، أمّا لو كان مَنْبَت الشعر خارجاً عن الوجه فاسترسل عليه مطلقاً، فإمّا أن يمكن غسل الوجه بدونه أو لا، و الأوّل لا ريب في وجوب إزالته كالمتدلّي من الرأس على الوجه، و الثاني يتبع الصدق، فإنْ صدق الوجه على ما تحته تعيّن غسله، و إنْ لم يصدق بأن صدق عليهما بناءً على اعتبار المواجهة الشخصيّة في الوجه فالأظهر عدم لزوم تخليله، و عند الشك في الصّدق و عدمه و التغطية و عدمها يرجع إلى الاحتياط؛ لأنه من دوران الأمر بين المتباينين، لكن قد يدّعى بأنّ المشكوك فيه هو غَسل البشرة و عدمه بعد الفراغ من لزوم غسل الشعر على الحالين؛ لأنه من التّوابع، فيعمل بالبراءة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اللّحية و الشارب و الخدّ و العذار و الحاجب و العنفقة و الهدب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ما ينبت على الأشفار، و من الناس </w:t>
      </w:r>
      <w:r>
        <w:rPr>
          <w:rStyle w:val="FootnoteAnchor"/>
          <w:rtl w:val="true"/>
        </w:rPr>
        <w:footnoteReference w:id="2706"/>
      </w:r>
      <w:r>
        <w:rPr>
          <w:rFonts w:ascii="Amiri" w:hAnsi="Amiri" w:eastAsia="Amiri" w:cs="Amiri"/>
          <w:color w:val="111111"/>
          <w:sz w:val="28"/>
          <w:sz w:val="28"/>
          <w:szCs w:val="28"/>
          <w:rtl w:val="true"/>
          <w:lang w:bidi="ar-SA"/>
        </w:rPr>
        <w:t>من فرّق بين اللحيّة و غيرها</w:t>
      </w:r>
      <w:r>
        <w:rPr>
          <w:rFonts w:eastAsia="Amiri" w:cs="Amiri" w:ascii="Amiri" w:hAnsi="Amiri"/>
          <w:color w:val="111111"/>
          <w:sz w:val="28"/>
          <w:szCs w:val="28"/>
          <w:rtl w:val="true"/>
          <w:lang w:bidi="ar-SA"/>
        </w:rPr>
        <w:t xml:space="preserve">. </w:t>
      </w:r>
      <w:bookmarkStart w:id="218" w:name="pg9146_86354"/>
    </w:p>
    <w:p>
      <w:pPr>
        <w:pStyle w:val="Heading2"/>
        <w:numPr>
          <w:ilvl w:val="1"/>
          <w:numId w:val="1"/>
        </w:numPr>
        <w:rPr/>
      </w:pPr>
      <w:bookmarkStart w:id="219" w:name="__RefHeading___Toc3322672_2870459653"/>
      <w:bookmarkStart w:id="220" w:name="_Toc74"/>
      <w:bookmarkEnd w:id="218"/>
      <w:bookmarkEnd w:id="219"/>
      <w:r>
        <w:rPr>
          <w:rtl w:val="true"/>
        </w:rPr>
        <w:t>[</w:t>
      </w:r>
      <w:r>
        <w:rPr>
          <w:rtl w:val="true"/>
        </w:rPr>
        <w:t>الثّاني</w:t>
      </w:r>
      <w:r>
        <w:rPr>
          <w:rtl w:val="true"/>
        </w:rPr>
        <w:t xml:space="preserve">: </w:t>
      </w:r>
      <w:r>
        <w:rPr>
          <w:rtl w:val="true"/>
        </w:rPr>
        <w:t>غسل اليدين</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اليمنى من المِرفَق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 الميم و فتح الفاء أو بالعكس،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عَظمي الذراع و العضد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بروضه </w:t>
      </w:r>
      <w:r>
        <w:rPr>
          <w:rStyle w:val="FootnoteAnchor"/>
          <w:rtl w:val="true"/>
        </w:rPr>
        <w:footnoteReference w:id="2707"/>
      </w:r>
      <w:r>
        <w:rPr>
          <w:rFonts w:ascii="Amiri" w:hAnsi="Amiri" w:eastAsia="Amiri" w:cs="Amiri"/>
          <w:color w:val="111111"/>
          <w:sz w:val="28"/>
          <w:sz w:val="28"/>
          <w:szCs w:val="28"/>
          <w:rtl w:val="true"/>
          <w:lang w:bidi="ar-SA"/>
        </w:rPr>
        <w:t xml:space="preserve">العظمان المتداخلان، و يريد به المركّب من طرفَي العظمين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نفس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708"/>
      </w:r>
      <w:r>
        <w:rPr>
          <w:rFonts w:ascii="Amiri" w:hAnsi="Amiri" w:eastAsia="Amiri" w:cs="Amiri"/>
          <w:color w:val="111111"/>
          <w:sz w:val="28"/>
          <w:sz w:val="28"/>
          <w:szCs w:val="28"/>
          <w:rtl w:val="true"/>
          <w:lang w:bidi="ar-SA"/>
        </w:rPr>
        <w:t xml:space="preserve">و هو الفرقة التي بينهما؛ لتفسير اللّغويين </w:t>
      </w:r>
      <w:r>
        <w:rPr>
          <w:rStyle w:val="FootnoteAnchor"/>
          <w:rtl w:val="true"/>
        </w:rPr>
        <w:footnoteReference w:id="2709"/>
      </w:r>
      <w:r>
        <w:rPr>
          <w:rFonts w:ascii="IRNazanin" w:hAnsi="IRNazanin" w:eastAsia="IRNazanin"/>
          <w:color w:val="111111"/>
          <w:sz w:val="28"/>
          <w:sz w:val="28"/>
          <w:szCs w:val="28"/>
          <w:rtl w:val="true"/>
          <w:lang w:bidi="fa-IR"/>
        </w:rPr>
        <w:t>له بالموصل، و يُراد به الحَدّ المشترك الذي يطلق عليه الموصل و المفصل الذي لا يقوم إلّا بطرفين، و قد يطلق على السابق، فإن ثبت من إجماع و نحوه إرادة الأوّل منه فيها و إلّا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2710"/>
      </w:r>
      <w:r>
        <w:rPr>
          <w:rFonts w:ascii="Amiri" w:hAnsi="Amiri" w:eastAsia="Amiri" w:cs="Amiri"/>
          <w:color w:val="111111"/>
          <w:sz w:val="28"/>
          <w:sz w:val="28"/>
          <w:szCs w:val="28"/>
          <w:rtl w:val="true"/>
          <w:lang w:bidi="ar-SA"/>
        </w:rPr>
        <w:t xml:space="preserve">، يقضي بوجوب إحراز الظهور فلا تجري معه البراءة و لا برهان قاطع على الاقتصار على غسل الذراع، فالاحتياط مطلوب، و غسل المرفق واجب بمعنييه إجماعاً و أصالةً، كما عليه المعظم المطلقون وجوب غسله و الجازمون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و إن ظهر من الشارح </w:t>
      </w:r>
      <w:r>
        <w:rPr>
          <w:rStyle w:val="FootnoteAnchor"/>
          <w:rtl w:val="true"/>
        </w:rPr>
        <w:footnoteReference w:id="2711"/>
      </w:r>
      <w:r>
        <w:rPr>
          <w:rFonts w:ascii="Amiri" w:hAnsi="Amiri" w:eastAsia="Amiri" w:cs="Amiri"/>
          <w:color w:val="111111"/>
          <w:sz w:val="28"/>
          <w:sz w:val="28"/>
          <w:szCs w:val="28"/>
          <w:rtl w:val="true"/>
          <w:lang w:bidi="ar-SA"/>
        </w:rPr>
        <w:t xml:space="preserve">و ثاني المحقّقين </w:t>
      </w:r>
      <w:r>
        <w:rPr>
          <w:rStyle w:val="FootnoteAnchor"/>
          <w:rtl w:val="true"/>
        </w:rPr>
        <w:footnoteReference w:id="2712"/>
      </w:r>
      <w:r>
        <w:rPr>
          <w:rFonts w:ascii="Amiri" w:hAnsi="Amiri" w:eastAsia="Amiri" w:cs="Amiri"/>
          <w:color w:val="111111"/>
          <w:sz w:val="28"/>
          <w:sz w:val="28"/>
          <w:szCs w:val="28"/>
          <w:rtl w:val="true"/>
          <w:lang w:bidi="ar-SA"/>
        </w:rPr>
        <w:t xml:space="preserve">وجود الخلاف بين وجوبه الأصليّ و المقدّمي، فمن نفى وجوب غسل طرف العضد في الأقطع قال بالمقدّمية كالفاضلين و المصنّف في المعتبر </w:t>
      </w:r>
      <w:r>
        <w:rPr>
          <w:rStyle w:val="FootnoteAnchor"/>
          <w:rtl w:val="true"/>
        </w:rPr>
        <w:footnoteReference w:id="2713"/>
      </w:r>
      <w:r>
        <w:rPr>
          <w:rFonts w:ascii="IRNazanin" w:hAnsi="IRNazanin" w:eastAsia="IRNazanin"/>
          <w:color w:val="111111"/>
          <w:sz w:val="28"/>
          <w:sz w:val="28"/>
          <w:szCs w:val="28"/>
          <w:rtl w:val="true"/>
          <w:lang w:bidi="fa-IR"/>
        </w:rPr>
        <w:t xml:space="preserve">، و المنتهى </w:t>
      </w:r>
      <w:r>
        <w:rPr>
          <w:rStyle w:val="FootnoteAnchor"/>
          <w:rtl w:val="true"/>
        </w:rPr>
        <w:footnoteReference w:id="2714"/>
      </w:r>
      <w:r>
        <w:rPr>
          <w:rFonts w:ascii="Amiri" w:hAnsi="Amiri" w:eastAsia="Amiri" w:cs="Amiri"/>
          <w:color w:val="111111"/>
          <w:sz w:val="28"/>
          <w:sz w:val="28"/>
          <w:szCs w:val="28"/>
          <w:rtl w:val="true"/>
          <w:lang w:bidi="ar-SA"/>
        </w:rPr>
        <w:t xml:space="preserve">، و النفليّة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أوجبه قال بالأصالة، و هذا حسن لو لم يكن الخلاف؛ للخلاف في المرفق من جهة دخول طرف العضد فيه و عدمه لغةً في الأقطع، و حينئذٍ فالخلاف في وجوب غسل طرف العضد أصالة و عدمه بعد الفراغ من لزوم غسل المرفق، و ما في النفليّة من استحباب غسل ما </w:t>
      </w:r>
    </w:p>
    <w:p>
      <w:pPr>
        <w:pStyle w:val="BookText"/>
        <w:rPr/>
      </w:pPr>
      <w:r>
        <w:rPr>
          <w:rFonts w:ascii="Amiri" w:hAnsi="Amiri" w:eastAsia="Amiri" w:cs="Amiri"/>
          <w:color w:val="111111"/>
          <w:sz w:val="28"/>
          <w:sz w:val="28"/>
          <w:szCs w:val="28"/>
          <w:rtl w:val="true"/>
          <w:lang w:bidi="ar-SA"/>
        </w:rPr>
        <w:t>بقي من المرفق في وضوء الأقطع محمولٌ على أنّه المفصل عنده فتسامح بأن جعل أحد طرفيه المقوّم له بمنزلة الجزء؛ لأنّ المفصل هو الحدّ المشترك الذي لا يقوم إلّا بطرفين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وجوب غسل اليَد مع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 لو طال الظفر فخرج عن المعتاد من حَدٌ اليد؛ لدخوله في اليد، و ليس هو كمسترسل اللّحية الخارج عن حدّ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اليسرى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ما اشتملت عليه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اليدين من المرفق و أطراف الأصابع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زائد أو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 و في وجوب تخليله و عدمه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الذكرى </w:t>
      </w:r>
      <w:r>
        <w:rPr>
          <w:rStyle w:val="FootnoteAnchor"/>
          <w:rtl w:val="true"/>
        </w:rPr>
        <w:footnoteReference w:id="2716"/>
      </w:r>
      <w:r>
        <w:rPr>
          <w:rFonts w:ascii="IRNazanin" w:hAnsi="IRNazanin" w:eastAsia="IRNazanin"/>
          <w:color w:val="111111"/>
          <w:sz w:val="28"/>
          <w:sz w:val="28"/>
          <w:szCs w:val="28"/>
          <w:rtl w:val="true"/>
          <w:lang w:bidi="fa-IR"/>
        </w:rPr>
        <w:t>قرّب وجوب التخليل و الغسل؛ للتبعيّة و غسل اليد، و أنّ البشرة هي اليد، و بشرة الوجه المستورة بالشعر خرجت بالدليل فلا يقاس عليه،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 جلدك الماء فحسبك</w:t>
      </w:r>
      <w:r>
        <w:rPr>
          <w:rFonts w:eastAsia="IRNazanin" w:cs="IRNazanin"/>
          <w:color w:val="111111"/>
          <w:sz w:val="28"/>
          <w:szCs w:val="28"/>
          <w:rtl w:val="true"/>
          <w:lang w:bidi="fa-IR"/>
        </w:rPr>
        <w:t xml:space="preserve">» </w:t>
      </w:r>
      <w:r>
        <w:rPr>
          <w:rStyle w:val="FootnoteAnchor"/>
          <w:rtl w:val="true"/>
        </w:rPr>
        <w:footnoteReference w:id="2717"/>
      </w:r>
      <w:r>
        <w:rPr>
          <w:rFonts w:ascii="IRNazanin" w:hAnsi="IRNazanin" w:eastAsia="IRNazanin"/>
          <w:color w:val="111111"/>
          <w:sz w:val="28"/>
          <w:sz w:val="28"/>
          <w:szCs w:val="28"/>
          <w:rtl w:val="true"/>
          <w:lang w:bidi="fa-IR"/>
        </w:rPr>
        <w:t>، دليلٌ واضح عليه لا يعارضه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أحاط به الشعر فليس للعباد أن يطلبوه </w:t>
      </w:r>
      <w:r>
        <w:rPr>
          <w:rFonts w:eastAsia="IRNazanin" w:cs="IRNazanin"/>
          <w:color w:val="111111"/>
          <w:sz w:val="28"/>
          <w:szCs w:val="28"/>
          <w:rtl w:val="true"/>
          <w:lang w:bidi="fa-IR"/>
        </w:rPr>
        <w:t xml:space="preserve">» </w:t>
      </w:r>
      <w:r>
        <w:rPr>
          <w:rStyle w:val="FootnoteAnchor"/>
          <w:rtl w:val="true"/>
        </w:rPr>
        <w:footnoteReference w:id="2718"/>
      </w:r>
      <w:r>
        <w:rPr>
          <w:rFonts w:ascii="Amiri" w:hAnsi="Amiri" w:eastAsia="Amiri" w:cs="Amiri"/>
          <w:color w:val="111111"/>
          <w:sz w:val="28"/>
          <w:sz w:val="28"/>
          <w:szCs w:val="28"/>
          <w:rtl w:val="true"/>
          <w:lang w:bidi="ar-SA"/>
        </w:rPr>
        <w:t xml:space="preserve">لاختصاصه بشعر الوجه، فالموصول للعهد، و القرينة واضحة مع عدم الخلاف ظاهر </w:t>
      </w:r>
      <w:r>
        <w:rPr>
          <w:rStyle w:val="FootnoteAnchor"/>
          <w:rtl w:val="true"/>
        </w:rPr>
        <w:footnoteReference w:id="2719"/>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كلّ ما زاد في عضو الوضوء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المحدود بأن كان فوق المرفق و إن امتدّ فساوى المغسول،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بلا مرفق أو معه ثابتتين من المنكب أو من بعض العضد فلا شبهة في عدم وجوب غسله؛ إذ هو لا يدخل في اليد و لا التابع، و يلحقه أيضاً ما سامَتَ المرفق بمعنييه في الأقوى، و يتفرّع عليه أن لو انكشطت جلدة من اليد حتّى تجاوز كشطها المرفق من الطرفين ثمّ تدلّت لحق كلّ جزء حكمه في الغسل، كما لو خرجت اليد الزائدة من </w:t>
      </w:r>
      <w:bookmarkStart w:id="221" w:name="pg9146_86356"/>
    </w:p>
    <w:p>
      <w:pPr>
        <w:pStyle w:val="BookText"/>
        <w:rPr/>
      </w:pPr>
      <w:bookmarkEnd w:id="221"/>
      <w:r>
        <w:rPr>
          <w:rFonts w:ascii="Amiri" w:hAnsi="Amiri" w:eastAsia="Amiri" w:cs="Amiri"/>
          <w:color w:val="111111"/>
          <w:sz w:val="28"/>
          <w:sz w:val="28"/>
          <w:szCs w:val="28"/>
          <w:rtl w:val="true"/>
          <w:lang w:bidi="ar-SA"/>
        </w:rPr>
        <w:t>دون المرفق فتغسل للتبعية، كذا يفهم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يظهر لي دليل صالح لعدم وجوب غسل اليد الزائدة بعد مساواتها الأصليّة و لو تأخّر بروزها عنها، فإنَّ غايته انصراف الأدلّة إلى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المزبور لا يقطع معه بعدم الإرادة، و لا يتبع بعد صدق اليد حقيقةً عليها و إلّا لما بقى مطلق على إطلاقه؛ لأنّ مثل هذا الانصراف 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انصرافها للأصليّة،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الانصراف لا يوجب ظهور المطلق فيها، بحيث لو أراد المطلق الأعمّ يلزمه نصب القرينة، بل أقصاه أنّه في الأصليّة بمنزلة مشهور المجاز فيتوقّف في الشمول و عدمه، و ينجم الاحتياط للشكّ في الجزئيّة، و تقطع البراءة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ثبت عدم وجوب غسل الزائدة مطلقاً لا تغسل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بحيث لم تتميّز عنها و تساويها في البطش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فتغسلان معاً من باب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لتوقّف إحراز غسل الأصليّة على ذلك، و يمسح بهما معاً مقدّمةً، و الحقُّ أنّ الوجوب أصلي مطلقاً، و هنا أولى؛ لعدم الانصراف قطعاً</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3322674_2870459653"/>
      <w:bookmarkStart w:id="223" w:name="_Toc75"/>
      <w:bookmarkEnd w:id="222"/>
      <w:r>
        <w:rPr>
          <w:rtl w:val="true"/>
        </w:rPr>
        <w:t>[</w:t>
      </w:r>
      <w:r>
        <w:rPr>
          <w:rtl w:val="true"/>
        </w:rPr>
        <w:t>الثّالث</w:t>
      </w:r>
      <w:r>
        <w:rPr>
          <w:rtl w:val="true"/>
        </w:rPr>
        <w:t xml:space="preserve">: </w:t>
      </w:r>
      <w:r>
        <w:rPr>
          <w:rtl w:val="true"/>
        </w:rPr>
        <w:t>مسح الرأس</w:t>
      </w:r>
      <w:r>
        <w:rPr>
          <w:rtl w:val="true"/>
        </w:rPr>
        <w:t>]</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غسلهما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شعره الذي لا يخرج بمدّه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 في الخبر أو المؤلّف منهما، فلا يجزي المسح على الشعر الملقى عليه من غيره، و لا على ما تجاوزه منه، و لا مسح المؤخّر، و لا أحد الجانبين؛ للإجماع </w:t>
      </w:r>
      <w:r>
        <w:rPr>
          <w:rStyle w:val="FootnoteAnchor"/>
          <w:rtl w:val="true"/>
        </w:rPr>
        <w:footnoteReference w:id="2720"/>
      </w:r>
      <w:r>
        <w:rPr>
          <w:rFonts w:ascii="IRNazanin" w:hAnsi="IRNazanin" w:eastAsia="IRNazanin"/>
          <w:color w:val="111111"/>
          <w:sz w:val="28"/>
          <w:sz w:val="28"/>
          <w:szCs w:val="28"/>
          <w:rtl w:val="true"/>
          <w:lang w:bidi="fa-IR"/>
        </w:rPr>
        <w:t xml:space="preserve">و الأخبار </w:t>
      </w:r>
      <w:r>
        <w:rPr>
          <w:rStyle w:val="FootnoteAnchor"/>
          <w:rtl w:val="true"/>
        </w:rPr>
        <w:footnoteReference w:id="2721"/>
      </w:r>
      <w:r>
        <w:rPr>
          <w:rFonts w:ascii="Amiri" w:hAnsi="Amiri" w:eastAsia="Amiri" w:cs="Amiri"/>
          <w:color w:val="111111"/>
          <w:sz w:val="28"/>
          <w:sz w:val="28"/>
          <w:szCs w:val="28"/>
          <w:rtl w:val="true"/>
          <w:lang w:bidi="ar-SA"/>
        </w:rPr>
        <w:t>المقيّدة لإطلاق المسح ببعض الرأس</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اكتفى المصنّف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تعرّض للشَّعر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تغليباً لاسمه على ما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p>
    <w:p>
      <w:pPr>
        <w:pStyle w:val="BookText"/>
        <w:rPr/>
      </w:pPr>
      <w:r>
        <w:rPr>
          <w:rFonts w:ascii="Amiri" w:hAnsi="Amiri" w:eastAsia="Amiri" w:cs="Amiri"/>
          <w:color w:val="111111"/>
          <w:sz w:val="28"/>
          <w:sz w:val="28"/>
          <w:szCs w:val="28"/>
          <w:rtl w:val="true"/>
          <w:lang w:bidi="ar-SA"/>
        </w:rPr>
        <w:t xml:space="preserve">لصدقه على الشعر كالبشرة، و الحكم كذلك ثابت بالثلاثة؛ لإفادة الباء في الآية </w:t>
      </w:r>
      <w:r>
        <w:rPr>
          <w:rStyle w:val="FootnoteAnchor"/>
          <w:rtl w:val="true"/>
        </w:rPr>
        <w:footnoteReference w:id="2722"/>
      </w:r>
      <w:r>
        <w:rPr>
          <w:rFonts w:ascii="Amiri" w:hAnsi="Amiri" w:eastAsia="Amiri" w:cs="Amiri"/>
          <w:color w:val="111111"/>
          <w:sz w:val="28"/>
          <w:sz w:val="28"/>
          <w:szCs w:val="28"/>
          <w:rtl w:val="true"/>
          <w:lang w:bidi="ar-SA"/>
        </w:rPr>
        <w:t xml:space="preserve">التبعيض بتفسير أهل الذكر في حديث </w:t>
      </w:r>
      <w:r>
        <w:rPr>
          <w:rStyle w:val="FootnoteAnchor"/>
          <w:rtl w:val="true"/>
        </w:rPr>
        <w:footnoteReference w:id="2723"/>
      </w:r>
      <w:r>
        <w:rPr>
          <w:rFonts w:ascii="Amiri" w:hAnsi="Amiri" w:eastAsia="Amiri" w:cs="Amiri"/>
          <w:color w:val="111111"/>
          <w:sz w:val="28"/>
          <w:sz w:val="28"/>
          <w:szCs w:val="28"/>
          <w:rtl w:val="true"/>
          <w:lang w:bidi="ar-SA"/>
        </w:rPr>
        <w:t>زرارة رحمه الله، و لنفي الخلاف في أغلب العبارات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نوقش </w:t>
      </w:r>
      <w:r>
        <w:rPr>
          <w:rStyle w:val="FootnoteAnchor"/>
          <w:rtl w:val="true"/>
        </w:rPr>
        <w:footnoteReference w:id="2724"/>
      </w:r>
      <w:r>
        <w:rPr>
          <w:rFonts w:ascii="Amiri" w:hAnsi="Amiri" w:eastAsia="Amiri" w:cs="Amiri"/>
          <w:color w:val="111111"/>
          <w:sz w:val="28"/>
          <w:sz w:val="28"/>
          <w:szCs w:val="28"/>
          <w:rtl w:val="true"/>
          <w:lang w:bidi="ar-SA"/>
        </w:rPr>
        <w:t>في الأوّل بعدم ورود الباء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بتقديم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يكتفى من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مسمّى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بلغ حَدّ الغسل السابق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بجزء من 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إجزاؤه المسح فلا خلاف و لا شبهة فيه، و أمّا عدم إجزاء الغسل في مقامه فلمخالفة الأمر، و عدم صدق أحدهما على الآخر؛ لاعتبار عدم الجريان المحقّق لمفهوم الغسل في المسح، فبينهما تباين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2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المسح عدم تحقّق أقلّ الغسل، فالنسبة بينهما عمومٌ من وجه؛ لاجتماعهما فيما يصدق أقلّ الغسل عليه، فيتميّز المسح حينئذٍ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w:t>
      </w:r>
      <w:r>
        <w:rPr>
          <w:rStyle w:val="FootnoteAnchor"/>
          <w:rtl w:val="true"/>
        </w:rPr>
        <w:footnoteReference w:id="2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الإجماع و ظهور التباين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 غير وجيه لو أُريد تلاصقهما بالنسبة إلى المحلّ، بحيث إنّ المكلّف يمسح يبلّة وضوئه و إن صدق في المحلّ الممسوح أنّه غسل من حيث انتقال الماء فيه، فإنّه مع عدم قصده و لا قصد جزئيّته لا يوجب بطلان أن يكون المحلّ مغسولاً و ممسوحاً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لا تكون بلّة اليد ممّا يمكن الغسل فيها، فلو كان على المحلّ من بقيّة ماء وضوئه و مسح المكلّف ببلّته انتقل الماء بذلك المسح و تحقّق المسح؛ لأنّ البَلَل </w:t>
      </w:r>
    </w:p>
    <w:p>
      <w:pPr>
        <w:pStyle w:val="BookText"/>
        <w:rPr/>
      </w:pPr>
      <w:r>
        <w:rPr>
          <w:rFonts w:ascii="Amiri" w:hAnsi="Amiri" w:eastAsia="Amiri" w:cs="Amiri"/>
          <w:color w:val="111111"/>
          <w:sz w:val="28"/>
          <w:sz w:val="28"/>
          <w:szCs w:val="28"/>
          <w:rtl w:val="true"/>
          <w:lang w:bidi="ar-SA"/>
        </w:rPr>
        <w:t>المغسول فيه غير ما 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ذلك بأنّ المسح بتلك البلّة مع جريان الماء على الممسوح لا يكاد يتحقّق؛ لاستهلاكه فيه، و الظاهر من الحلّي </w:t>
      </w:r>
      <w:r>
        <w:rPr>
          <w:rStyle w:val="FootnoteAnchor"/>
          <w:rtl w:val="true"/>
        </w:rPr>
        <w:footnoteReference w:id="2727"/>
      </w:r>
      <w:r>
        <w:rPr>
          <w:rFonts w:ascii="Amiri" w:hAnsi="Amiri" w:eastAsia="Amiri" w:cs="Amiri"/>
          <w:color w:val="111111"/>
          <w:sz w:val="28"/>
          <w:sz w:val="28"/>
          <w:szCs w:val="28"/>
          <w:rtl w:val="true"/>
          <w:lang w:bidi="ar-SA"/>
        </w:rPr>
        <w:t xml:space="preserve">و المحقّق </w:t>
      </w:r>
      <w:r>
        <w:rPr>
          <w:rStyle w:val="FootnoteAnchor"/>
          <w:rtl w:val="true"/>
        </w:rPr>
        <w:footnoteReference w:id="2728"/>
      </w:r>
      <w:r>
        <w:rPr>
          <w:rFonts w:ascii="IRNazanin" w:hAnsi="IRNazanin" w:eastAsia="IRNazanin"/>
          <w:color w:val="111111"/>
          <w:sz w:val="28"/>
          <w:sz w:val="28"/>
          <w:szCs w:val="28"/>
          <w:rtl w:val="true"/>
          <w:lang w:bidi="fa-IR"/>
        </w:rPr>
        <w:t>عدم قدحه،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أُريد بتصادقهما إجزاء الغسل عن المسح مطلقاً فهو غير وجيه ألبتّة، و أمّا الاجتزاء بالمسمّى و البعضين من الماسح و الممسوح ففيه خلاف، و المشهور </w:t>
      </w:r>
      <w:r>
        <w:rPr>
          <w:rStyle w:val="FootnoteAnchor"/>
          <w:rtl w:val="true"/>
        </w:rPr>
        <w:footnoteReference w:id="2729"/>
      </w:r>
      <w:r>
        <w:rPr>
          <w:rFonts w:ascii="Amiri" w:hAnsi="Amiri" w:eastAsia="Amiri" w:cs="Amiri"/>
          <w:color w:val="111111"/>
          <w:sz w:val="28"/>
          <w:sz w:val="28"/>
          <w:szCs w:val="28"/>
          <w:rtl w:val="true"/>
          <w:lang w:bidi="ar-SA"/>
        </w:rPr>
        <w:t>على الاجتزاء؛ لعدم ثبوت التكليف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النّهاية </w:t>
      </w:r>
      <w:r>
        <w:rPr>
          <w:rStyle w:val="FootnoteAnchor"/>
          <w:rtl w:val="true"/>
        </w:rPr>
        <w:footnoteReference w:id="2730"/>
      </w:r>
      <w:r>
        <w:rPr>
          <w:rFonts w:ascii="Amiri" w:hAnsi="Amiri" w:eastAsia="Amiri" w:cs="Amiri"/>
          <w:color w:val="111111"/>
          <w:sz w:val="28"/>
          <w:sz w:val="28"/>
          <w:szCs w:val="28"/>
          <w:rtl w:val="true"/>
          <w:lang w:bidi="ar-SA"/>
        </w:rPr>
        <w:t xml:space="preserve">و الفقيه </w:t>
      </w:r>
      <w:r>
        <w:rPr>
          <w:rStyle w:val="FootnoteAnchor"/>
          <w:rtl w:val="true"/>
        </w:rPr>
        <w:footnoteReference w:id="2731"/>
      </w:r>
      <w:r>
        <w:rPr>
          <w:rFonts w:ascii="Amiri" w:hAnsi="Amiri" w:eastAsia="Amiri" w:cs="Amiri"/>
          <w:color w:val="111111"/>
          <w:sz w:val="28"/>
          <w:sz w:val="28"/>
          <w:szCs w:val="28"/>
          <w:rtl w:val="true"/>
          <w:lang w:bidi="ar-SA"/>
        </w:rPr>
        <w:t xml:space="preserve">و المحكي عن مسائل الخلاف للسيّد </w:t>
      </w:r>
      <w:r>
        <w:rPr>
          <w:rStyle w:val="FootnoteAnchor"/>
          <w:rtl w:val="true"/>
        </w:rPr>
        <w:footnoteReference w:id="2732"/>
      </w:r>
      <w:r>
        <w:rPr>
          <w:rFonts w:ascii="Amiri" w:hAnsi="Amiri" w:eastAsia="Amiri" w:cs="Amiri"/>
          <w:color w:val="111111"/>
          <w:sz w:val="28"/>
          <w:sz w:val="28"/>
          <w:szCs w:val="28"/>
          <w:rtl w:val="true"/>
          <w:lang w:bidi="ar-SA"/>
        </w:rPr>
        <w:t xml:space="preserve">عدم الاجتزاء بما دون الثلاث إلَّا في الخوف فيجزي الواحد في الأوّل، أو مطلقاً كما عن الراوندي بفقه القرآن </w:t>
      </w:r>
      <w:r>
        <w:rPr>
          <w:rStyle w:val="FootnoteAnchor"/>
          <w:rtl w:val="true"/>
        </w:rPr>
        <w:footnoteReference w:id="2733"/>
      </w:r>
      <w:r>
        <w:rPr>
          <w:rFonts w:ascii="Amiri" w:hAnsi="Amiri" w:eastAsia="Amiri" w:cs="Amiri"/>
          <w:color w:val="111111"/>
          <w:sz w:val="28"/>
          <w:sz w:val="28"/>
          <w:szCs w:val="28"/>
          <w:rtl w:val="true"/>
          <w:lang w:bidi="ar-SA"/>
        </w:rPr>
        <w:t xml:space="preserve">، و الشيخ في التهذيب </w:t>
      </w:r>
      <w:r>
        <w:rPr>
          <w:rStyle w:val="FootnoteAnchor"/>
          <w:rtl w:val="true"/>
        </w:rPr>
        <w:footnoteReference w:id="2734"/>
      </w:r>
      <w:r>
        <w:rPr>
          <w:rFonts w:ascii="Amiri" w:hAnsi="Amiri" w:eastAsia="Amiri" w:cs="Amiri"/>
          <w:color w:val="111111"/>
          <w:sz w:val="28"/>
          <w:sz w:val="28"/>
          <w:szCs w:val="28"/>
          <w:rtl w:val="true"/>
          <w:lang w:bidi="ar-SA"/>
        </w:rPr>
        <w:t xml:space="preserve">، و غيرهم </w:t>
      </w:r>
      <w:r>
        <w:rPr>
          <w:rStyle w:val="FootnoteAnchor"/>
          <w:rtl w:val="true"/>
        </w:rPr>
        <w:footnoteReference w:id="2735"/>
      </w:r>
      <w:r>
        <w:rPr>
          <w:rFonts w:ascii="IRNazanin" w:hAnsi="IRNazanin" w:eastAsia="IRNazanin"/>
          <w:color w:val="111111"/>
          <w:sz w:val="28"/>
          <w:sz w:val="28"/>
          <w:szCs w:val="28"/>
          <w:rtl w:val="true"/>
          <w:lang w:bidi="fa-IR"/>
        </w:rPr>
        <w:t>، مستندين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ابن خلّاد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يجزي من المسح على الرأس موضع ثلاث أصابع، و كذا القدمين</w:t>
      </w:r>
      <w:r>
        <w:rPr>
          <w:rFonts w:eastAsia="IRNazanin" w:cs="IRNazanin"/>
          <w:color w:val="111111"/>
          <w:sz w:val="28"/>
          <w:szCs w:val="28"/>
          <w:rtl w:val="true"/>
          <w:lang w:bidi="fa-IR"/>
        </w:rPr>
        <w:t xml:space="preserve">»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في صحيح زرارة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يجزيها من مسح الرأس أن تمسح مقدّمه قَدْر ثلاث 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الإجماع </w:t>
      </w:r>
      <w:r>
        <w:rPr>
          <w:rStyle w:val="FootnoteAnchor"/>
          <w:rtl w:val="true"/>
        </w:rPr>
        <w:footnoteReference w:id="2738"/>
      </w:r>
      <w:r>
        <w:rPr>
          <w:rFonts w:ascii="Amiri" w:hAnsi="Amiri" w:eastAsia="Amiri" w:cs="Amiri"/>
          <w:color w:val="111111"/>
          <w:sz w:val="28"/>
          <w:sz w:val="28"/>
          <w:szCs w:val="28"/>
          <w:rtl w:val="true"/>
          <w:lang w:bidi="ar-SA"/>
        </w:rPr>
        <w:t xml:space="preserve">يساوي الرجل و المرأة في المسح، و إلى إفتاء </w:t>
      </w:r>
      <w:r>
        <w:rPr>
          <w:rStyle w:val="FootnoteAnchor"/>
          <w:rtl w:val="true"/>
        </w:rPr>
        <w:footnoteReference w:id="2739"/>
      </w:r>
      <w:r>
        <w:rPr>
          <w:rFonts w:ascii="IRNazanin" w:hAnsi="IRNazanin" w:eastAsia="IRNazanin"/>
          <w:color w:val="111111"/>
          <w:sz w:val="28"/>
          <w:sz w:val="28"/>
          <w:szCs w:val="28"/>
          <w:rtl w:val="true"/>
          <w:lang w:bidi="fa-IR"/>
        </w:rPr>
        <w:t>حريز به و هو ثقة لا يفتي بغير ما سمع، و إلى رواية حمّاد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توضّأ و هو معتمّ فثقل عليه نزع العمامة،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ليدخل إصبعه</w:t>
      </w:r>
      <w:r>
        <w:rPr>
          <w:rFonts w:eastAsia="IRNazanin" w:cs="IRNazanin"/>
          <w:color w:val="111111"/>
          <w:sz w:val="28"/>
          <w:szCs w:val="28"/>
          <w:rtl w:val="true"/>
          <w:lang w:bidi="fa-IR"/>
        </w:rPr>
        <w:t xml:space="preserve">» </w:t>
      </w:r>
      <w:r>
        <w:rPr>
          <w:rStyle w:val="FootnoteAnchor"/>
          <w:rtl w:val="true"/>
        </w:rPr>
        <w:footnoteReference w:id="2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سندُ مَن </w:t>
      </w:r>
      <w:r>
        <w:rPr>
          <w:rStyle w:val="FootnoteAnchor"/>
          <w:rtl w:val="true"/>
        </w:rPr>
        <w:footnoteReference w:id="2741"/>
      </w:r>
      <w:r>
        <w:rPr>
          <w:rFonts w:ascii="Amiri" w:hAnsi="Amiri" w:eastAsia="Amiri" w:cs="Amiri"/>
          <w:color w:val="111111"/>
          <w:sz w:val="28"/>
          <w:sz w:val="28"/>
          <w:szCs w:val="28"/>
          <w:rtl w:val="true"/>
          <w:lang w:bidi="ar-SA"/>
        </w:rPr>
        <w:t xml:space="preserve">خصّ ذلك بحال الضرورة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نوقش </w:t>
      </w:r>
      <w:r>
        <w:rPr>
          <w:rStyle w:val="FootnoteAnchor"/>
          <w:rtl w:val="true"/>
        </w:rPr>
        <w:footnoteReference w:id="2742"/>
      </w:r>
      <w:r>
        <w:rPr>
          <w:rFonts w:ascii="Amiri" w:hAnsi="Amiri" w:eastAsia="Amiri" w:cs="Amiri"/>
          <w:color w:val="111111"/>
          <w:sz w:val="28"/>
          <w:sz w:val="28"/>
          <w:szCs w:val="28"/>
          <w:rtl w:val="true"/>
          <w:lang w:bidi="ar-SA"/>
        </w:rPr>
        <w:t xml:space="preserve">في الجميع بضعف السّند، و بمساواة القدمين للرأس في الثلاث المجمع على عدمه في الأُولى و إنَّ ذكر الثلاث لجهة الخمار حتّى تحرز المسح، فلو كانت بلا خمار أجزأها البعض كما في الثانية، و رواية حريز </w:t>
      </w:r>
      <w:r>
        <w:rPr>
          <w:rStyle w:val="FootnoteAnchor"/>
          <w:rtl w:val="true"/>
        </w:rPr>
        <w:footnoteReference w:id="2743"/>
      </w:r>
      <w:r>
        <w:rPr>
          <w:rFonts w:ascii="Amiri" w:hAnsi="Amiri" w:eastAsia="Amiri" w:cs="Amiri"/>
          <w:color w:val="111111"/>
          <w:sz w:val="28"/>
          <w:sz w:val="28"/>
          <w:szCs w:val="28"/>
          <w:rtl w:val="true"/>
          <w:lang w:bidi="ar-SA"/>
        </w:rPr>
        <w:t>لعلّه استنباط و اجتهاد من جهة الخبرين و غيرهما، و لا شاهد بخبر حمّاد على التفصيل، بل هو للإطلاق أقرب، و حينئذٍ فنحمل الأخبار على الاستحباب، و التعبير بالإصبع لبيان آلة المَسح فيجتمع مع مَسح المعتمّ بالأقلّ، أو لأجل غلبة تحقّق المسمّى به لا بدونه، أو لغَلَبَة التعبير عن الأقلّ بذلك، و لا يصلح تقييد المطلقات بخبر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فلي فيه شبهة؛ لخلوّ أخبار الثلاث عن المعارض بعد تأويله، فإنّه أقرب من حمل الآخر على الندب، و على فرض المعارضة فالظاهر رجحانها؛ لموافقتها للاحتياط المطلوب في العبادة، لكن مخالفة المعظم تعظم فيجزي الإصبع أو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ممّراً له على الممسوح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الاكتفاء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غير إمرار؛ لعدم صدق المسح بلا خلاف، و بذكراه </w:t>
      </w:r>
      <w:r>
        <w:rPr>
          <w:rStyle w:val="FootnoteAnchor"/>
          <w:rtl w:val="true"/>
        </w:rPr>
        <w:footnoteReference w:id="2744"/>
      </w:r>
      <w:r>
        <w:rPr>
          <w:rFonts w:ascii="Amiri" w:hAnsi="Amiri" w:eastAsia="Amiri" w:cs="Amiri"/>
          <w:color w:val="111111"/>
          <w:sz w:val="28"/>
          <w:sz w:val="28"/>
          <w:szCs w:val="28"/>
          <w:rtl w:val="true"/>
          <w:lang w:bidi="ar-SA"/>
        </w:rPr>
        <w:t>و لو وضع يده بالبلّة على المحلّ و لم يمسح فالأقرب عدم الإجزاء، و هي تومئ إلى الخلاف فيه، و لم نظفر بقائله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 لأكثره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من حيث الماسح، فيجوز بكلتا اليدين، و الممسوح فيجوز مسح بعض مقدّم الرأس أو كلّه أو كلّ الرأس إذا عاد الضمير للمسح كما هو الظاهر، و لو عاد للممسوح فلا إطلاق من حيث الماسح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يجزي بالأصابع و الكفّ و الذراع و اليمنى و اليسرى ظاهراً و باطناً، انفراداً أو لا عنده، خلافاً لمن </w:t>
      </w:r>
      <w:r>
        <w:rPr>
          <w:rStyle w:val="FootnoteAnchor"/>
          <w:rtl w:val="true"/>
        </w:rPr>
        <w:footnoteReference w:id="2745"/>
      </w:r>
      <w:r>
        <w:rPr>
          <w:rFonts w:ascii="Amiri" w:hAnsi="Amiri" w:eastAsia="Amiri" w:cs="Amiri"/>
          <w:color w:val="111111"/>
          <w:sz w:val="28"/>
          <w:sz w:val="28"/>
          <w:szCs w:val="28"/>
          <w:rtl w:val="true"/>
          <w:lang w:bidi="ar-SA"/>
        </w:rPr>
        <w:t xml:space="preserve">قصره على الأصابع أو الكفّ و على بطن اليمني و باطنها؛ لتبادر ذلك من أدلّة المسح للغلبة، و لبعض الوضوءات البيانيّة، أو الحصول الشك في الإطلاقات؛ لإجمال الغلبة لها، فاللّازم الرجوع إلى الاحتياط اللازم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بخصوص الثلاث تقضي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 يمناك ناصيتك</w:t>
      </w:r>
      <w:r>
        <w:rPr>
          <w:rFonts w:eastAsia="Amiri" w:cs="Amiri" w:ascii="Amiri" w:hAnsi="Amiri"/>
          <w:color w:val="111111"/>
          <w:sz w:val="28"/>
          <w:szCs w:val="28"/>
          <w:rtl w:val="true"/>
          <w:lang w:bidi="ar-SA"/>
        </w:rPr>
        <w:t xml:space="preserve">» </w:t>
      </w:r>
      <w:r>
        <w:rPr>
          <w:rStyle w:val="FootnoteAnchor"/>
          <w:rtl w:val="true"/>
        </w:rPr>
        <w:footnoteReference w:id="2747"/>
      </w:r>
      <w:r>
        <w:rPr>
          <w:rFonts w:ascii="Amiri" w:hAnsi="Amiri" w:eastAsia="Amiri" w:cs="Amiri"/>
          <w:color w:val="111111"/>
          <w:sz w:val="28"/>
          <w:sz w:val="28"/>
          <w:szCs w:val="28"/>
          <w:rtl w:val="true"/>
          <w:lang w:bidi="ar-SA"/>
        </w:rPr>
        <w:t xml:space="preserve">، لكن كلّ ذلك لا يقيّد المطلقات الواردة في مقام البيان، و من هنا استحبّه بعض </w:t>
      </w:r>
      <w:r>
        <w:rPr>
          <w:rStyle w:val="FootnoteAnchor"/>
          <w:rtl w:val="true"/>
        </w:rPr>
        <w:footnoteReference w:id="2748"/>
      </w:r>
      <w:r>
        <w:rPr>
          <w:rFonts w:ascii="Amiri" w:hAnsi="Amiri" w:eastAsia="Amiri" w:cs="Amiri"/>
          <w:color w:val="111111"/>
          <w:sz w:val="28"/>
          <w:sz w:val="28"/>
          <w:szCs w:val="28"/>
          <w:rtl w:val="true"/>
          <w:lang w:bidi="ar-SA"/>
        </w:rPr>
        <w:t>محقّقي الأصحاب، و التبادر الذي منشؤه غلبة الوجود لا يصلح أن يكون دليلاً؛ لأنه مجرّد سبق الفرد الغالب إلى الذهن و خطوره فيه لا أنّه المراد؛ و لذا لا يعوّل عليه في غسل الوجه و اليدين،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مطلوب و الوجوب فلو تعذّر المسح باليمنى أو بباطن الأصابع تخيّر العامل بين بقيّة الأفراد في المسح، و لا ترجيح لأحدها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شيخنا </w:t>
      </w:r>
      <w:r>
        <w:rPr>
          <w:rStyle w:val="FootnoteAnchor"/>
          <w:rtl w:val="true"/>
        </w:rPr>
        <w:footnoteReference w:id="2749"/>
      </w:r>
      <w:r>
        <w:rPr>
          <w:rFonts w:ascii="Amiri" w:hAnsi="Amiri" w:eastAsia="Amiri" w:cs="Amiri"/>
          <w:color w:val="111111"/>
          <w:sz w:val="28"/>
          <w:sz w:val="28"/>
          <w:szCs w:val="28"/>
          <w:rtl w:val="true"/>
          <w:lang w:bidi="ar-SA"/>
        </w:rPr>
        <w:t xml:space="preserve">بدرسه بين ما يكون القيد مشخّصاً للمطلق، كالانصراف الذي يعيّن المطلق في فرده، أو كالمقيّد الخارجي الذي يفهم منه أنّ وروده لبيان تشخيص المطلق بحيث يعلم أن لا يراد بالمطلق غيره تجوّزاً، و 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نشأ من تكليف آخر في بعض أفراده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تعذّر ذلك التكليف لم يرتفع الأمر بالمطلق، بل يبقى على حياله في وجوب الإتيان </w:t>
      </w:r>
    </w:p>
    <w:p>
      <w:pPr>
        <w:pStyle w:val="BookText"/>
        <w:rPr/>
      </w:pPr>
      <w:r>
        <w:rPr>
          <w:rFonts w:ascii="Amiri" w:hAnsi="Amiri" w:eastAsia="Amiri" w:cs="Amiri"/>
          <w:color w:val="111111"/>
          <w:sz w:val="28"/>
          <w:sz w:val="28"/>
          <w:szCs w:val="28"/>
          <w:rtl w:val="true"/>
          <w:lang w:bidi="ar-SA"/>
        </w:rPr>
        <w:t>بفرد ممّا صدق عليه؛ فراراً من المجازيّة المخالفة للأصل، فحكم بعدم العمل بالمطلق في الأوّل لقيام الانصراف، و معلوميّة إرادة الفرد من القيد، و هما قرينتان للتجوّز فيه، و بنى على العمل بالمطلق في الثاني، و منه الثابت بالوضوءات البيانيّة، فإنّها و إن صحّ العمل على طبقها، لكنّها لا تفيد قصر المطلق على فرده كالأوّلين، فلو تعذّر الفرد طبقها بقي المطلق في غيره على إطلاقه، و هو جيّد لو لم يكن التكليف المستقلّ بالفرد من المطلق قرينة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 إلى هنا أنّه ليس في المقام ما يصلح لتقييد المطلقات في الماسح و 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يكره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بالمسح للرأس خلافاً لابن حمزة </w:t>
      </w:r>
      <w:r>
        <w:rPr>
          <w:rStyle w:val="FootnoteAnchor"/>
          <w:rtl w:val="true"/>
        </w:rPr>
        <w:footnoteReference w:id="2750"/>
      </w:r>
      <w:r>
        <w:rPr>
          <w:rFonts w:ascii="Amiri" w:hAnsi="Amiri" w:eastAsia="Amiri" w:cs="Amiri"/>
          <w:color w:val="111111"/>
          <w:sz w:val="28"/>
          <w:sz w:val="28"/>
          <w:szCs w:val="28"/>
          <w:rtl w:val="true"/>
          <w:lang w:bidi="ar-SA"/>
        </w:rPr>
        <w:t xml:space="preserve">فحرَّمه صريحاً، و لغيره </w:t>
      </w:r>
      <w:r>
        <w:rPr>
          <w:rStyle w:val="FootnoteAnchor"/>
          <w:rtl w:val="true"/>
        </w:rPr>
        <w:footnoteReference w:id="2751"/>
      </w:r>
      <w:r>
        <w:rPr>
          <w:rFonts w:ascii="Amiri" w:hAnsi="Amiri" w:eastAsia="Amiri" w:cs="Amiri"/>
          <w:color w:val="111111"/>
          <w:sz w:val="28"/>
          <w:sz w:val="28"/>
          <w:szCs w:val="28"/>
          <w:rtl w:val="true"/>
          <w:lang w:bidi="ar-SA"/>
        </w:rPr>
        <w:t xml:space="preserve">ظهوراً، و مع الشكّ في جوازه و عدمه فالجواز إن لم نعتبر الموالاة، و إلّا فالحرمة، و لزوم مسح بعض مقدّم الرأس، لكنّ الموجبين لذلك عبّر بعضهم لحوقاً لبعض النصوص بوجوب مسح الناصية، و به أفتى الصدوق </w:t>
      </w:r>
      <w:r>
        <w:rPr>
          <w:rStyle w:val="FootnoteAnchor"/>
          <w:rtl w:val="true"/>
        </w:rPr>
        <w:footnoteReference w:id="2752"/>
      </w:r>
      <w:r>
        <w:rPr>
          <w:rFonts w:ascii="IRNazanin" w:hAnsi="IRNazanin" w:eastAsia="IRNazanin"/>
          <w:color w:val="111111"/>
          <w:sz w:val="28"/>
          <w:sz w:val="28"/>
          <w:szCs w:val="28"/>
          <w:rtl w:val="true"/>
          <w:lang w:bidi="fa-IR"/>
        </w:rPr>
        <w:t xml:space="preserve">، و نطق به صحیح زرارة </w:t>
      </w:r>
      <w:r>
        <w:rPr>
          <w:rStyle w:val="FootnoteAnchor"/>
          <w:rtl w:val="true"/>
        </w:rPr>
        <w:footnoteReference w:id="2753"/>
      </w:r>
      <w:r>
        <w:rPr>
          <w:rFonts w:ascii="Amiri" w:hAnsi="Amiri" w:eastAsia="Amiri" w:cs="Amiri"/>
          <w:color w:val="111111"/>
          <w:sz w:val="28"/>
          <w:sz w:val="28"/>
          <w:szCs w:val="28"/>
          <w:rtl w:val="true"/>
          <w:lang w:bidi="ar-SA"/>
        </w:rPr>
        <w:t xml:space="preserve">، و بذكراه </w:t>
      </w:r>
      <w:r>
        <w:rPr>
          <w:rStyle w:val="FootnoteAnchor"/>
          <w:rtl w:val="true"/>
        </w:rPr>
        <w:footnoteReference w:id="2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المسح بكلّ من البشرة و الشعر المختصّ بالمقدّم؛ لصدق الناصية عليها </w:t>
      </w:r>
      <w:r>
        <w:rPr>
          <w:rStyle w:val="FootnoteAnchor"/>
          <w:rtl w:val="true"/>
        </w:rPr>
        <w:footnoteReference w:id="27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أرادوا من الناصية المقدّم و يعدها من معانيه في القاموس </w:t>
      </w:r>
      <w:r>
        <w:rPr>
          <w:rStyle w:val="FootnoteAnchor"/>
          <w:rtl w:val="true"/>
        </w:rPr>
        <w:footnoteReference w:id="2756"/>
      </w:r>
      <w:r>
        <w:rPr>
          <w:rFonts w:ascii="Amiri" w:hAnsi="Amiri" w:eastAsia="Amiri" w:cs="Amiri"/>
          <w:color w:val="111111"/>
          <w:sz w:val="28"/>
          <w:sz w:val="28"/>
          <w:szCs w:val="28"/>
          <w:rtl w:val="true"/>
          <w:lang w:bidi="ar-SA"/>
        </w:rPr>
        <w:t xml:space="preserve">و غيره فلا إشكال، و إن أرادوا بها ما هو أخصّ من المقدّم؛ لتكون مقيّدة لإطلاقه، فلا برهان لذلك؛ لخلوّ ما أثبت الوضوء قولاً و فعلاً عنها إلَّا الصحيحة </w:t>
      </w:r>
      <w:r>
        <w:rPr>
          <w:rStyle w:val="FootnoteAnchor"/>
          <w:rtl w:val="true"/>
        </w:rPr>
        <w:footnoteReference w:id="2757"/>
      </w:r>
      <w:r>
        <w:rPr>
          <w:rFonts w:ascii="Amiri" w:hAnsi="Amiri" w:eastAsia="Amiri" w:cs="Amiri"/>
          <w:color w:val="111111"/>
          <w:sz w:val="28"/>
          <w:sz w:val="28"/>
          <w:szCs w:val="28"/>
          <w:rtl w:val="true"/>
          <w:lang w:bidi="ar-SA"/>
        </w:rPr>
        <w:t xml:space="preserve">و حديث عبد الله بن الحسين في المرأة </w:t>
      </w:r>
      <w:r>
        <w:rPr>
          <w:rStyle w:val="FootnoteAnchor"/>
          <w:rtl w:val="true"/>
        </w:rPr>
        <w:footnoteReference w:id="27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هما قاصران عن إفادة التقييد، فيحملان على النّدب، و الأحوط الاقتصار على مقدم الناصية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كراهة الاستيعاب؛ لأنه تكلّف ما لا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و الدّروس </w:t>
      </w:r>
      <w:r>
        <w:rPr>
          <w:rStyle w:val="FootnoteAnchor"/>
          <w:rtl w:val="true"/>
        </w:rPr>
        <w:footnoteReference w:id="2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فإنّ الكراهة حكم شرعي لا تناط بمثل ذلك، فهو إمّا محرّم و إمّا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الماسح في ابتداء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 هل يبطل ذلك الوضوء أم لا؟ نقل المصنّف في غيره </w:t>
      </w:r>
      <w:r>
        <w:rPr>
          <w:rStyle w:val="FootnoteAnchor"/>
          <w:rtl w:val="true"/>
        </w:rPr>
        <w:footnoteReference w:id="2760"/>
      </w:r>
      <w:r>
        <w:rPr>
          <w:rFonts w:ascii="Amiri" w:hAnsi="Amiri" w:eastAsia="Amiri" w:cs="Amiri"/>
          <w:color w:val="111111"/>
          <w:sz w:val="28"/>
          <w:sz w:val="28"/>
          <w:szCs w:val="28"/>
          <w:rtl w:val="true"/>
          <w:lang w:bidi="ar-SA"/>
        </w:rPr>
        <w:t>الأوّل عن الإسكافي و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تبعاً للمختلف </w:t>
      </w:r>
      <w:r>
        <w:rPr>
          <w:rStyle w:val="FootnoteAnchor"/>
          <w:rtl w:val="true"/>
        </w:rPr>
        <w:footnoteReference w:id="2761"/>
      </w:r>
      <w:r>
        <w:rPr>
          <w:rFonts w:ascii="Amiri" w:hAnsi="Amiri" w:eastAsia="Amiri" w:cs="Amiri"/>
          <w:color w:val="111111"/>
          <w:sz w:val="28"/>
          <w:sz w:val="28"/>
          <w:szCs w:val="28"/>
          <w:rtl w:val="true"/>
          <w:lang w:bidi="ar-SA"/>
        </w:rPr>
        <w:t>بأنّه مشتمل على الواجب فلا يؤثّر فيه الإثمّ باعتقاده وجوب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مركّب حينئذٍ من مشروعٍ و غيره، فهو غير مشروع، و لو اعتقد</w:t>
      </w:r>
    </w:p>
    <w:p>
      <w:pPr>
        <w:pStyle w:val="BookText"/>
        <w:rPr/>
      </w:pPr>
      <w:r>
        <w:rPr>
          <w:rFonts w:ascii="Amiri" w:hAnsi="Amiri" w:eastAsia="Amiri" w:cs="Amiri"/>
          <w:color w:val="111111"/>
          <w:sz w:val="28"/>
          <w:sz w:val="28"/>
          <w:szCs w:val="28"/>
          <w:rtl w:val="true"/>
          <w:lang w:bidi="ar-SA"/>
        </w:rPr>
        <w:t>المشروعيّة و عدم الجزئيّة صحّ إن لم يخل بالموالاة، و 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المصنّف أنْ لا حَدٌ لأكثره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مقدار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المسح مضمومة عرضاً كما صرّح به غيره </w:t>
      </w:r>
      <w:r>
        <w:rPr>
          <w:rStyle w:val="FootnoteAnchor"/>
          <w:rtl w:val="true"/>
        </w:rPr>
        <w:footnoteReference w:id="2762"/>
      </w:r>
      <w:r>
        <w:rPr>
          <w:rFonts w:ascii="Amiri" w:hAnsi="Amiri" w:eastAsia="Amiri" w:cs="Amiri"/>
          <w:color w:val="111111"/>
          <w:sz w:val="28"/>
          <w:sz w:val="28"/>
          <w:szCs w:val="28"/>
          <w:rtl w:val="true"/>
          <w:lang w:bidi="ar-SA"/>
        </w:rPr>
        <w:t>في غيره، و إعراضه عنهما لخلوّ النصوص منهما، أو إفادة التثليث لهما لزوماً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في الثاني وجوهاً من ملاحظة هذا المقدار في عرض الرأس أو طوله أو أحدهما و يؤدّى الفضل بكلّ منهما، أو ملاحظة الممسوح بأن يكون عرضه عرض ثلاث و طوله كذلك الذي هو طول إصبع </w:t>
      </w:r>
      <w:r>
        <w:rPr>
          <w:rStyle w:val="FootnoteAnchor"/>
          <w:rtl w:val="true"/>
        </w:rPr>
        <w:footnoteReference w:id="2763"/>
      </w:r>
      <w:r>
        <w:rPr>
          <w:rFonts w:ascii="Amiri" w:hAnsi="Amiri" w:eastAsia="Amiri" w:cs="Amiri"/>
          <w:color w:val="111111"/>
          <w:sz w:val="28"/>
          <w:sz w:val="28"/>
          <w:szCs w:val="28"/>
          <w:rtl w:val="true"/>
          <w:lang w:bidi="ar-SA"/>
        </w:rPr>
        <w:t>سواء كان مقدار العرض من عرض الرأس و الطول من طوله، أو العكس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الأشهر </w:t>
      </w:r>
      <w:r>
        <w:rPr>
          <w:rStyle w:val="FootnoteAnchor"/>
          <w:rtl w:val="true"/>
        </w:rPr>
        <w:footnoteReference w:id="2764"/>
      </w:r>
      <w:r>
        <w:rPr>
          <w:rFonts w:ascii="Amiri" w:hAnsi="Amiri" w:eastAsia="Amiri" w:cs="Amiri"/>
          <w:color w:val="111111"/>
          <w:sz w:val="28"/>
          <w:sz w:val="28"/>
          <w:szCs w:val="28"/>
          <w:rtl w:val="true"/>
          <w:lang w:bidi="ar-SA"/>
        </w:rPr>
        <w:t xml:space="preserve">الذي عليه العمل منها هو الأوّل؛ لظهور رواية ابن خلّاد </w:t>
      </w:r>
      <w:r>
        <w:rPr>
          <w:rStyle w:val="FootnoteAnchor"/>
          <w:rtl w:val="true"/>
        </w:rPr>
        <w:footnoteReference w:id="2765"/>
      </w:r>
      <w:r>
        <w:rPr>
          <w:rFonts w:ascii="Amiri" w:hAnsi="Amiri" w:eastAsia="Amiri" w:cs="Amiri"/>
          <w:color w:val="111111"/>
          <w:sz w:val="28"/>
          <w:sz w:val="28"/>
          <w:szCs w:val="28"/>
          <w:rtl w:val="true"/>
          <w:lang w:bidi="ar-SA"/>
        </w:rPr>
        <w:t>فيه من حيث التشبيه بالرِّجل، و عليه فيحصل الفضل بمقدار الثلاثة سواء كان بإصبع كما هو ظاهره، و غيره اعتبر بالفضل الثلاثة لا المقدار، و عند موجبها لا يجزي الإصبع و لو مسح مقدار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الندب و إمّا أفضل فَردَي الواجب، و في الجماليّة </w:t>
      </w:r>
      <w:r>
        <w:rPr>
          <w:rStyle w:val="FootnoteAnchor"/>
          <w:rtl w:val="true"/>
        </w:rPr>
        <w:footnoteReference w:id="2766"/>
      </w:r>
      <w:r>
        <w:rPr>
          <w:rFonts w:ascii="Amiri" w:hAnsi="Amiri" w:eastAsia="Amiri" w:cs="Amiri"/>
          <w:color w:val="111111"/>
          <w:sz w:val="28"/>
          <w:sz w:val="28"/>
          <w:szCs w:val="28"/>
          <w:rtl w:val="true"/>
          <w:lang w:bidi="ar-SA"/>
        </w:rPr>
        <w:t>استظهر الأوّل، و ردّه بأنّ ذلك مبنيّ على ثبوت الجزء الذي لا يتجزّأ؛ إذ لا حَدّ لأقلّ مسمّى المسح،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تميّز الزائد كمواضع التخيير أمكن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 كلامه على إرادة أفضل فردي الواجب، فالمسح بما دون الثلاث مطلقاً يسقط الأمر، و بالثلاث أفضل، و لا مانع من اجتماع الوجوب و الاستحباب في الفعلين، هذا في الدّفعي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التدريجي ففي كون الزائد مستحبّاً محضاً خلاف، و الأقوى أنّه أحد فَردي الواجب و إن فضل </w:t>
      </w:r>
      <w:r>
        <w:rPr>
          <w:rStyle w:val="FootnoteAnchor"/>
          <w:rtl w:val="true"/>
        </w:rPr>
        <w:footnoteReference w:id="2767"/>
      </w:r>
      <w:r>
        <w:rPr>
          <w:rFonts w:ascii="Amiri" w:hAnsi="Amiri" w:eastAsia="Amiri" w:cs="Amiri"/>
          <w:color w:val="111111"/>
          <w:sz w:val="28"/>
          <w:sz w:val="28"/>
          <w:szCs w:val="28"/>
          <w:rtl w:val="true"/>
          <w:lang w:bidi="ar-SA"/>
        </w:rPr>
        <w:t xml:space="preserve">، و يقضي به إطلاق المستحبّ نصاً و فتوى </w:t>
      </w:r>
      <w:r>
        <w:rPr>
          <w:rStyle w:val="FootnoteAnchor"/>
          <w:rtl w:val="true"/>
        </w:rPr>
        <w:footnoteReference w:id="2768"/>
      </w:r>
      <w:r>
        <w:rPr>
          <w:rFonts w:ascii="Amiri" w:hAnsi="Amiri" w:eastAsia="Amiri" w:cs="Amiri"/>
          <w:color w:val="111111"/>
          <w:sz w:val="28"/>
          <w:sz w:val="28"/>
          <w:szCs w:val="28"/>
          <w:rtl w:val="true"/>
          <w:lang w:bidi="ar-SA"/>
        </w:rPr>
        <w:t>على مجموع الثلاث، و لا شك أنّ المجموع غير مستحبّ يجوز تركه، فيعلم أنّه أفضل الفردين، و لا مانع منه، و لم يثبت من الأدلّة استحباب ما زاد على المسمّى و إن لم يعيّنه العامل</w:t>
      </w:r>
      <w:r>
        <w:rPr>
          <w:rFonts w:eastAsia="Amiri" w:cs="Amiri" w:ascii="Amiri" w:hAnsi="Amiri"/>
          <w:color w:val="111111"/>
          <w:sz w:val="28"/>
          <w:szCs w:val="28"/>
          <w:rtl w:val="true"/>
          <w:lang w:bidi="ar-SA"/>
        </w:rPr>
        <w:t xml:space="preserve">. </w:t>
      </w:r>
      <w:bookmarkStart w:id="224" w:name="pg9146_86364"/>
    </w:p>
    <w:p>
      <w:pPr>
        <w:pStyle w:val="Heading2"/>
        <w:numPr>
          <w:ilvl w:val="1"/>
          <w:numId w:val="1"/>
        </w:numPr>
        <w:rPr/>
      </w:pPr>
      <w:bookmarkStart w:id="225" w:name="__RefHeading___Toc3322676_2870459653"/>
      <w:bookmarkStart w:id="226" w:name="_Toc76"/>
      <w:bookmarkEnd w:id="224"/>
      <w:bookmarkEnd w:id="225"/>
      <w:r>
        <w:rPr>
          <w:rtl w:val="true"/>
        </w:rPr>
        <w:t>[</w:t>
      </w:r>
      <w:r>
        <w:rPr>
          <w:rtl w:val="true"/>
        </w:rPr>
        <w:t>الرّابع</w:t>
      </w:r>
      <w:r>
        <w:rPr>
          <w:rtl w:val="true"/>
        </w:rPr>
        <w:t xml:space="preserve">: </w:t>
      </w:r>
      <w:r>
        <w:rPr>
          <w:rtl w:val="true"/>
        </w:rPr>
        <w:t>مسح القدمين</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بشرة ظهر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باطنها، و دونها، و دون الشعر لو كان، و في الرأس للنص كما ذكره الشارح في غيره </w:t>
      </w:r>
      <w:r>
        <w:rPr>
          <w:rStyle w:val="FootnoteAnchor"/>
          <w:rtl w:val="true"/>
        </w:rPr>
        <w:footnoteReference w:id="2769"/>
      </w:r>
      <w:r>
        <w:rPr>
          <w:rFonts w:ascii="Amiri" w:hAnsi="Amiri" w:eastAsia="Amiri" w:cs="Amiri"/>
          <w:color w:val="111111"/>
          <w:sz w:val="28"/>
          <w:sz w:val="28"/>
          <w:szCs w:val="28"/>
          <w:rtl w:val="true"/>
          <w:lang w:bidi="ar-SA"/>
        </w:rPr>
        <w:t xml:space="preserve">، و لعلّه أراد به صدق الناصية عليه لغةً </w:t>
      </w:r>
      <w:r>
        <w:rPr>
          <w:rStyle w:val="FootnoteAnchor"/>
          <w:rtl w:val="true"/>
        </w:rPr>
        <w:footnoteReference w:id="2770"/>
      </w:r>
      <w:r>
        <w:rPr>
          <w:rFonts w:ascii="Amiri" w:hAnsi="Amiri" w:eastAsia="Amiri" w:cs="Amiri"/>
          <w:color w:val="111111"/>
          <w:sz w:val="28"/>
          <w:sz w:val="28"/>
          <w:szCs w:val="28"/>
          <w:rtl w:val="true"/>
          <w:lang w:bidi="ar-SA"/>
        </w:rPr>
        <w:t xml:space="preserve">فيشمله ما قضى </w:t>
      </w:r>
      <w:r>
        <w:rPr>
          <w:rStyle w:val="FootnoteAnchor"/>
          <w:rtl w:val="true"/>
        </w:rPr>
        <w:footnoteReference w:id="2771"/>
      </w:r>
      <w:r>
        <w:rPr>
          <w:rFonts w:ascii="Amiri" w:hAnsi="Amiri" w:eastAsia="Amiri" w:cs="Amiri"/>
          <w:color w:val="111111"/>
          <w:sz w:val="28"/>
          <w:sz w:val="28"/>
          <w:szCs w:val="28"/>
          <w:rtl w:val="true"/>
          <w:lang w:bidi="ar-SA"/>
        </w:rPr>
        <w:t xml:space="preserve">بجواز المسح عليها، و جوّز في الجماليّة </w:t>
      </w:r>
      <w:r>
        <w:rPr>
          <w:rStyle w:val="FootnoteAnchor"/>
          <w:rtl w:val="true"/>
        </w:rPr>
        <w:footnoteReference w:id="2772"/>
      </w:r>
      <w:r>
        <w:rPr>
          <w:rFonts w:ascii="Amiri" w:hAnsi="Amiri" w:eastAsia="Amiri" w:cs="Amiri"/>
          <w:color w:val="111111"/>
          <w:sz w:val="28"/>
          <w:sz w:val="28"/>
          <w:szCs w:val="28"/>
          <w:rtl w:val="true"/>
          <w:lang w:bidi="ar-SA"/>
        </w:rPr>
        <w:t>المسح على شعر القدم كالرأس، و أنكر النّص الفارق، و القائل المفرق من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المسح لا يعمّ الشعر، و إلَّا لجاز مع مطلق الحائل، فلولا اقوله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ببلّة يمناك ناصيتك</w:t>
      </w:r>
      <w:r>
        <w:rPr>
          <w:rFonts w:eastAsia="IRNazanin" w:cs="IRNazanin"/>
          <w:color w:val="111111"/>
          <w:sz w:val="28"/>
          <w:szCs w:val="28"/>
          <w:rtl w:val="true"/>
          <w:lang w:bidi="fa-IR"/>
        </w:rPr>
        <w:t xml:space="preserve">» </w:t>
      </w:r>
      <w:r>
        <w:rPr>
          <w:rStyle w:val="FootnoteAnchor"/>
          <w:rtl w:val="true"/>
        </w:rPr>
        <w:footnoteReference w:id="2773"/>
      </w:r>
      <w:r>
        <w:rPr>
          <w:rFonts w:ascii="IRNazanin" w:hAnsi="IRNazanin" w:eastAsia="IRNazanin"/>
          <w:color w:val="111111"/>
          <w:sz w:val="28"/>
          <w:sz w:val="28"/>
          <w:szCs w:val="28"/>
          <w:rtl w:val="true"/>
          <w:lang w:bidi="fa-IR"/>
        </w:rPr>
        <w:t>، لما سوّغناه فيه، و لا شاهد بما ورد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أحاط به الشعر فليس على العباد أن يطلبوه أو يبحثوا عنه</w:t>
      </w:r>
      <w:r>
        <w:rPr>
          <w:rFonts w:eastAsia="IRNazanin" w:cs="IRNazanin"/>
          <w:color w:val="111111"/>
          <w:sz w:val="28"/>
          <w:szCs w:val="28"/>
          <w:rtl w:val="true"/>
          <w:lang w:bidi="fa-IR"/>
        </w:rPr>
        <w:t xml:space="preserve">» </w:t>
      </w:r>
      <w:r>
        <w:rPr>
          <w:rStyle w:val="FootnoteAnchor"/>
          <w:rtl w:val="true"/>
        </w:rPr>
        <w:footnoteReference w:id="2774"/>
      </w:r>
      <w:r>
        <w:rPr>
          <w:rFonts w:ascii="Amiri" w:hAnsi="Amiri" w:eastAsia="Amiri" w:cs="Amiri"/>
          <w:color w:val="111111"/>
          <w:sz w:val="28"/>
          <w:sz w:val="28"/>
          <w:szCs w:val="28"/>
          <w:rtl w:val="true"/>
          <w:lang w:bidi="ar-SA"/>
        </w:rPr>
        <w:t>لقصره بمورد الغسل القاضي به ذيل الخبر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يجري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الشيخ رحمه الله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للعباد أن يغسلوه</w:t>
      </w:r>
      <w:r>
        <w:rPr>
          <w:rFonts w:eastAsia="Amiri" w:cs="Amiri" w:ascii="Amiri" w:hAnsi="Amiri"/>
          <w:color w:val="111111"/>
          <w:sz w:val="28"/>
          <w:szCs w:val="28"/>
          <w:rtl w:val="true"/>
          <w:lang w:bidi="ar-SA"/>
        </w:rPr>
        <w:t xml:space="preserve">» </w:t>
      </w:r>
      <w:r>
        <w:rPr>
          <w:rStyle w:val="FootnoteAnchor"/>
          <w:rtl w:val="true"/>
        </w:rPr>
        <w:footnoteReference w:id="2775"/>
      </w:r>
      <w:r>
        <w:rPr>
          <w:rFonts w:ascii="IRNazanin" w:hAnsi="IRNazanin" w:eastAsia="IRNazanin"/>
          <w:color w:val="111111"/>
          <w:sz w:val="28"/>
          <w:sz w:val="28"/>
          <w:szCs w:val="28"/>
          <w:rtl w:val="true"/>
          <w:lang w:bidi="fa-IR"/>
        </w:rPr>
        <w:t>، فظهر الفارق و اتّجه جواز المسح على شعر الرأس دون القدم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سند الجواز في الرأس هو التعذّر المنفي لجرى ذلك هنا، لكنّه لا مطلقاً كما في غسل الجنابة، فقياسه على الرأس مطلقاً لا وجه له؛ لجواز المسح على الشعر و إن لم يتعذّر التخليل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الإنصاف أنّ وجود الشعرات الضعيفة المتفرّقة لا يمنع من صدق المسح على الرِّجل، و إيجاب إزالتها دائماً حرج، و التخليل في المسح لا معنى له، فإن أراد المجوّز هذا المقدار اتّجه </w:t>
      </w:r>
    </w:p>
    <w:p>
      <w:pPr>
        <w:pStyle w:val="BookText"/>
        <w:rPr/>
      </w:pPr>
      <w:r>
        <w:rPr>
          <w:rFonts w:ascii="Amiri" w:hAnsi="Amiri" w:eastAsia="Amiri" w:cs="Amiri"/>
          <w:color w:val="111111"/>
          <w:sz w:val="28"/>
          <w:sz w:val="28"/>
          <w:szCs w:val="28"/>
          <w:rtl w:val="true"/>
          <w:lang w:bidi="ar-SA"/>
        </w:rPr>
        <w:t>قوله، و إن زعمه مطلقاً و لو طال و تجاوز تجاوزاً فاحشاً فلا نقبله، بل الأحوط إزالته مطلقاً أو المسح على الخالي منه و لو معوجّاً أو منكوساً لكن لا بحيث أن يكون من الباطن أو حافّتيه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فَحَدُّ ما يقع عليه المسح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رؤس الأصابع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استيعابه مسحاً؛ لظهور حَرفَي الجرّ فيه لا في تحديد الممسوح، فلا يكفي إيقاع المسح على جزء من الأجزاء الواقعة بين المخفوضين من الحدّين، و ليس التحديد لبيان المحلّ الذي لا يجوز المسح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المصنّف في الذكرى </w:t>
      </w:r>
      <w:r>
        <w:rPr>
          <w:rStyle w:val="FootnoteAnchor"/>
          <w:rtl w:val="true"/>
        </w:rPr>
        <w:footnoteReference w:id="2776"/>
      </w:r>
      <w:r>
        <w:rPr>
          <w:rFonts w:ascii="Amiri" w:hAnsi="Amiri" w:eastAsia="Amiri" w:cs="Amiri"/>
          <w:color w:val="111111"/>
          <w:sz w:val="28"/>
          <w:sz w:val="28"/>
          <w:szCs w:val="28"/>
          <w:rtl w:val="true"/>
          <w:lang w:bidi="ar-SA"/>
        </w:rPr>
        <w:t xml:space="preserve">تردّد فيه على وجه يظهر منه المَيل إلى عدم وجوب الاستيعاب الطّولي، و لم نعثر على متأمِّلٍ فيه من القدماء و الأواسط غيره و غير المحقّق </w:t>
      </w:r>
      <w:r>
        <w:rPr>
          <w:rStyle w:val="FootnoteAnchor"/>
          <w:rtl w:val="true"/>
        </w:rPr>
        <w:footnoteReference w:id="2777"/>
      </w:r>
      <w:r>
        <w:rPr>
          <w:rFonts w:ascii="Amiri" w:hAnsi="Amiri" w:eastAsia="Amiri" w:cs="Amiri"/>
          <w:color w:val="111111"/>
          <w:sz w:val="28"/>
          <w:sz w:val="28"/>
          <w:szCs w:val="28"/>
          <w:rtl w:val="true"/>
          <w:lang w:bidi="ar-SA"/>
        </w:rPr>
        <w:t xml:space="preserve">إذ جعله أشبه، لكن الوضوءات البيانيّة و عمل الأصحاب يردّه، و استناده لحديث الأخوين </w:t>
      </w:r>
      <w:r>
        <w:rPr>
          <w:rStyle w:val="FootnoteAnchor"/>
          <w:rtl w:val="true"/>
        </w:rPr>
        <w:footnoteReference w:id="2778"/>
      </w:r>
      <w:r>
        <w:rPr>
          <w:rFonts w:ascii="Amiri" w:hAnsi="Amiri" w:eastAsia="Amiri" w:cs="Amiri"/>
          <w:color w:val="111111"/>
          <w:sz w:val="28"/>
          <w:sz w:val="28"/>
          <w:szCs w:val="28"/>
          <w:rtl w:val="true"/>
          <w:lang w:bidi="ar-SA"/>
        </w:rPr>
        <w:t>و مساواة المعطوف للمعطوف عليه لا وجه له؛ لمخالفة ظاهر الفقهاء، مع أن الحديث المزبور لا بدّ من التصرّف فيه، فإنّ الإمام علیه السلام بعد أن استشهد على وجوب الاستيعاب في الغسل بصدر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w:t>
      </w:r>
      <w:r>
        <w:rPr>
          <w:rFonts w:eastAsia="Amiri" w:cs="Amiri" w:ascii="Amiri" w:hAnsi="Amiri"/>
          <w:color w:val="111111"/>
          <w:sz w:val="28"/>
          <w:szCs w:val="28"/>
          <w:rtl w:val="true"/>
          <w:lang w:bidi="ar-SA"/>
        </w:rPr>
        <w:t xml:space="preserve">) </w:t>
      </w:r>
      <w:r>
        <w:rPr>
          <w:rStyle w:val="FootnoteAnchor"/>
          <w:rtl w:val="true"/>
        </w:rPr>
        <w:footnoteReference w:id="2779"/>
      </w:r>
      <w:r>
        <w:rPr>
          <w:rFonts w:ascii="Amiri" w:hAnsi="Amiri" w:eastAsia="Amiri" w:cs="Amiri"/>
          <w:color w:val="111111"/>
          <w:sz w:val="28"/>
          <w:sz w:val="28"/>
          <w:szCs w:val="28"/>
          <w:rtl w:val="true"/>
          <w:lang w:bidi="ar-SA"/>
        </w:rPr>
        <w:t>فإذا مسحت بشيء من رأسك أو بشيء من قدميك ما بين كعبيك إلى أطراف أصابعك فقد أجزأك</w:t>
      </w:r>
      <w:r>
        <w:rPr>
          <w:rFonts w:eastAsia="Amiri" w:cs="Amiri" w:ascii="Amiri" w:hAnsi="Amiri"/>
          <w:color w:val="111111"/>
          <w:sz w:val="28"/>
          <w:szCs w:val="28"/>
          <w:rtl w:val="true"/>
          <w:lang w:bidi="ar-SA"/>
        </w:rPr>
        <w:t xml:space="preserve">»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ففرّعه على التبعيض في الآية، و هو من سَمت العرض كما سيجي؛ لكون إلى فيها بمعنى مع لما تسمع، فلا بدّ من جعل ما في الحديث بدلاً من شيء، و هي موصوفة،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مَسحت من القدمين شيئاً يكون من أطراف الأصابع إلى الكعب بأن يكون أوّله أحدهما و آخره الآخر فيقضي بالمراد، و هو و إن خالف الظاهر من حيث إنّ بدليّة الموصول من القدمين أظهر إلَّا أنّه لا محيص عنه، و لا بدّ من جعل الباء للتبعيض؛ إذ لو حكمنا بأنّها </w:t>
      </w:r>
    </w:p>
    <w:p>
      <w:pPr>
        <w:pStyle w:val="BookText"/>
        <w:rPr/>
      </w:pPr>
      <w:r>
        <w:rPr>
          <w:rFonts w:ascii="Amiri" w:hAnsi="Amiri" w:eastAsia="Amiri" w:cs="Amiri"/>
          <w:color w:val="111111"/>
          <w:sz w:val="28"/>
          <w:sz w:val="28"/>
          <w:szCs w:val="28"/>
          <w:rtl w:val="true"/>
          <w:lang w:bidi="ar-SA"/>
        </w:rPr>
        <w:t>للإلصاق، أو أنّها زائدة خالف الخبر الآية؛ لقضائه حينئذٍ باستيعاب الطّول و العرض، و التمحّلُ بخروج العرض بدليله فيبقى الاستيعاب الطولي ليس بأَوْلى ممّا حملنا الخبر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معاني الآية بعد عدم كون الكعبين فيها غاية للمسح أنّهما غاية للأرجل، فيكون الممسوح بعض العضو المغيّى، فلا بدّ للاستيعاب الطّولي من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الكعبان في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قبّتا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ارتفعتا من اجتماع طَرفَي العظمين أمام الساقين ما بين المفصل و المشط، و هو معقد الشراك دون العظمين اللذين في جانبي أسفل 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عليه الإجماع </w:t>
      </w:r>
      <w:r>
        <w:rPr>
          <w:rStyle w:val="FootnoteAnchor"/>
          <w:rtl w:val="true"/>
        </w:rPr>
        <w:footnoteReference w:id="27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قائله الفاضل </w:t>
      </w:r>
      <w:r>
        <w:rPr>
          <w:rStyle w:val="FootnoteAnchor"/>
          <w:rtl w:val="true"/>
        </w:rPr>
        <w:footnoteReference w:id="2782"/>
      </w:r>
      <w:r>
        <w:rPr>
          <w:rFonts w:ascii="Amiri" w:hAnsi="Amiri" w:eastAsia="Amiri" w:cs="Amiri"/>
          <w:color w:val="111111"/>
          <w:sz w:val="28"/>
          <w:sz w:val="28"/>
          <w:szCs w:val="28"/>
          <w:rtl w:val="true"/>
          <w:lang w:bidi="ar-SA"/>
        </w:rPr>
        <w:t>في كتبه إلّا المدنيّات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 هو المفصل بين الساق و القدم، فيجب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أصل 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مراد الشارح، و إن أو همت عبارته أنّ الخلاف ليس في معنى الكعبين، بل في منتهى المسح، فلو أسقط الجارّ سلم من العثار؛ للمشهور بعد إجماع الجمهور خصوصاً عند من لحقه المصنّف </w:t>
      </w:r>
      <w:r>
        <w:rPr>
          <w:rStyle w:val="FootnoteAnchor"/>
          <w:rtl w:val="true"/>
        </w:rPr>
        <w:footnoteReference w:id="2783"/>
      </w:r>
      <w:r>
        <w:rPr>
          <w:rFonts w:ascii="Amiri" w:hAnsi="Amiri" w:eastAsia="Amiri" w:cs="Amiri"/>
          <w:color w:val="111111"/>
          <w:sz w:val="28"/>
          <w:sz w:val="28"/>
          <w:szCs w:val="28"/>
          <w:rtl w:val="true"/>
          <w:lang w:bidi="ar-SA"/>
        </w:rPr>
        <w:t xml:space="preserve">في التعبير، كالمفيد </w:t>
      </w:r>
      <w:r>
        <w:rPr>
          <w:rStyle w:val="FootnoteAnchor"/>
          <w:rtl w:val="true"/>
        </w:rPr>
        <w:footnoteReference w:id="2784"/>
      </w:r>
      <w:r>
        <w:rPr>
          <w:rFonts w:ascii="Amiri" w:hAnsi="Amiri" w:eastAsia="Amiri" w:cs="Amiri"/>
          <w:color w:val="111111"/>
          <w:sz w:val="28"/>
          <w:sz w:val="28"/>
          <w:szCs w:val="28"/>
          <w:rtl w:val="true"/>
          <w:lang w:bidi="ar-SA"/>
        </w:rPr>
        <w:t xml:space="preserve">و الشيخ في التهذيب </w:t>
      </w:r>
      <w:r>
        <w:rPr>
          <w:rStyle w:val="FootnoteAnchor"/>
          <w:rtl w:val="true"/>
        </w:rPr>
        <w:footnoteReference w:id="2785"/>
      </w:r>
      <w:r>
        <w:rPr>
          <w:rFonts w:ascii="Amiri" w:hAnsi="Amiri" w:eastAsia="Amiri" w:cs="Amiri"/>
          <w:color w:val="111111"/>
          <w:sz w:val="28"/>
          <w:sz w:val="28"/>
          <w:szCs w:val="28"/>
          <w:rtl w:val="true"/>
          <w:lang w:bidi="ar-SA"/>
        </w:rPr>
        <w:t xml:space="preserve">الوضوءات البيانيّة و الأخبار الظاهرة و الصريحة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التغلبي و الشيخ رحمه الله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كفّه على الأصابع فمسحها إلى الكعبين إلى ظاهر القدم</w:t>
      </w:r>
      <w:r>
        <w:rPr>
          <w:rFonts w:eastAsia="IRNazanin" w:cs="IRNazanin"/>
          <w:color w:val="111111"/>
          <w:sz w:val="28"/>
          <w:szCs w:val="28"/>
          <w:rtl w:val="true"/>
          <w:lang w:bidi="fa-IR"/>
        </w:rPr>
        <w:t xml:space="preserve">» </w:t>
      </w:r>
      <w:r>
        <w:rPr>
          <w:rStyle w:val="FootnoteAnchor"/>
          <w:rtl w:val="true"/>
        </w:rPr>
        <w:footnoteReference w:id="2786"/>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ظاهر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بَدَل أو بيان للكعبين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عن ميسرة عن أبي جعفر علیه السلام في حكاية وضوء رسول الله صلّی الله علیه وآله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مسح رأسه و قدميه ثمّ وضع يده على ظهر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هو </w:t>
      </w:r>
    </w:p>
    <w:p>
      <w:pPr>
        <w:pStyle w:val="BookText"/>
        <w:rPr/>
      </w:pP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واحد، و وصف مسح الكعب في ظهر القدم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استبطان الشراك </w:t>
      </w:r>
      <w:r>
        <w:rPr>
          <w:rStyle w:val="FootnoteAnchor"/>
          <w:rtl w:val="true"/>
        </w:rPr>
        <w:footnoteReference w:id="2789"/>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 لا خلاف بين الإماميّة في أنّهما في ظهر القَدَم و ليسا العظمين اللذين في جانبَي أسفل 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للفاضل </w:t>
      </w:r>
      <w:r>
        <w:rPr>
          <w:rStyle w:val="FootnoteAnchor"/>
          <w:rtl w:val="true"/>
        </w:rPr>
        <w:footnoteReference w:id="2790"/>
      </w:r>
      <w:r>
        <w:rPr>
          <w:rFonts w:ascii="Amiri" w:hAnsi="Amiri" w:eastAsia="Amiri" w:cs="Amiri"/>
          <w:color w:val="111111"/>
          <w:sz w:val="28"/>
          <w:sz w:val="28"/>
          <w:szCs w:val="28"/>
          <w:rtl w:val="true"/>
          <w:lang w:bidi="ar-SA"/>
        </w:rPr>
        <w:t>صحيحة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المفصل دون عظم الساق</w:t>
      </w:r>
      <w:r>
        <w:rPr>
          <w:rFonts w:eastAsia="Amiri" w:cs="Amiri" w:ascii="Amiri" w:hAnsi="Amiri"/>
          <w:color w:val="111111"/>
          <w:sz w:val="28"/>
          <w:szCs w:val="28"/>
          <w:rtl w:val="true"/>
          <w:lang w:bidi="ar-SA"/>
        </w:rPr>
        <w:t xml:space="preserve">» </w:t>
      </w:r>
      <w:r>
        <w:rPr>
          <w:rStyle w:val="FootnoteAnchor"/>
          <w:rtl w:val="true"/>
        </w:rPr>
        <w:footnoteReference w:id="2791"/>
      </w:r>
      <w:r>
        <w:rPr>
          <w:rFonts w:ascii="Amiri" w:hAnsi="Amiri" w:eastAsia="Amiri" w:cs="Amiri"/>
          <w:color w:val="111111"/>
          <w:sz w:val="28"/>
          <w:sz w:val="28"/>
          <w:szCs w:val="28"/>
          <w:rtl w:val="true"/>
          <w:lang w:bidi="ar-SA"/>
        </w:rPr>
        <w:t xml:space="preserve">، و يعني من كلام الرّاوي دون دون </w:t>
      </w:r>
      <w:r>
        <w:rPr>
          <w:rStyle w:val="FootnoteAnchor"/>
          <w:rtl w:val="true"/>
        </w:rPr>
        <w:footnoteReference w:id="2792"/>
      </w:r>
      <w:r>
        <w:rPr>
          <w:rFonts w:ascii="IRNazanin" w:hAnsi="IRNazanin" w:eastAsia="IRNazanin"/>
          <w:color w:val="111111"/>
          <w:sz w:val="28"/>
          <w:sz w:val="28"/>
          <w:szCs w:val="28"/>
          <w:rtl w:val="true"/>
          <w:lang w:bidi="fa-IR"/>
        </w:rPr>
        <w:t>ظاهراً، و الأخبار الدّالة بظواهرها على استیعاب ظهر القدم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في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تشتبه عبارة علمائنا على بعض مَن لا تحصيل له في معنى الكعب، و الضابط فيه ما رواه زرارة في الصحيح عن الباقر علیه السلام، و ذكر الخبر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وافقه ابن الجنيد </w:t>
      </w:r>
      <w:r>
        <w:rPr>
          <w:rStyle w:val="FootnoteAnchor"/>
          <w:rtl w:val="true"/>
        </w:rPr>
        <w:footnoteReference w:id="2794"/>
      </w:r>
      <w:r>
        <w:rPr>
          <w:rFonts w:ascii="Amiri" w:hAnsi="Amiri" w:eastAsia="Amiri" w:cs="Amiri"/>
          <w:color w:val="111111"/>
          <w:sz w:val="28"/>
          <w:sz w:val="28"/>
          <w:szCs w:val="28"/>
          <w:rtl w:val="true"/>
          <w:lang w:bidi="ar-SA"/>
        </w:rPr>
        <w:t xml:space="preserve">و المقداد في الكنز </w:t>
      </w:r>
      <w:r>
        <w:rPr>
          <w:rStyle w:val="FootnoteAnchor"/>
          <w:rtl w:val="true"/>
        </w:rPr>
        <w:footnoteReference w:id="2795"/>
      </w:r>
      <w:r>
        <w:rPr>
          <w:rFonts w:ascii="Amiri" w:hAnsi="Amiri" w:eastAsia="Amiri" w:cs="Amiri"/>
          <w:color w:val="111111"/>
          <w:sz w:val="28"/>
          <w:sz w:val="28"/>
          <w:szCs w:val="28"/>
          <w:rtl w:val="true"/>
          <w:lang w:bidi="ar-SA"/>
        </w:rPr>
        <w:t xml:space="preserve">و ابن فهد في كتابيه </w:t>
      </w:r>
      <w:r>
        <w:rPr>
          <w:rStyle w:val="FootnoteAnchor"/>
          <w:rtl w:val="true"/>
        </w:rPr>
        <w:footnoteReference w:id="27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المصنّف </w:t>
      </w:r>
    </w:p>
    <w:p>
      <w:pPr>
        <w:pStyle w:val="BookText"/>
        <w:rPr/>
      </w:pPr>
      <w:r>
        <w:rPr>
          <w:rFonts w:ascii="Amiri" w:hAnsi="Amiri" w:eastAsia="Amiri" w:cs="Amiri"/>
          <w:color w:val="111111"/>
          <w:sz w:val="28"/>
          <w:sz w:val="28"/>
          <w:szCs w:val="28"/>
          <w:rtl w:val="true"/>
          <w:lang w:bidi="ar-SA"/>
        </w:rPr>
        <w:t xml:space="preserve">في ظاهر الدروس </w:t>
      </w:r>
      <w:r>
        <w:rPr>
          <w:rStyle w:val="FootnoteAnchor"/>
          <w:rtl w:val="true"/>
        </w:rPr>
        <w:footnoteReference w:id="27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مختاره في الألفيّة</w:t>
      </w:r>
      <w:r>
        <w:rPr>
          <w:rFonts w:eastAsia="Amiri" w:cs="Amiri" w:ascii="Amiri" w:hAnsi="Amiri"/>
          <w:color w:val="111111"/>
          <w:sz w:val="28"/>
          <w:szCs w:val="28"/>
          <w:rtl w:val="true"/>
          <w:lang w:bidi="ar-SA"/>
        </w:rPr>
        <w:t xml:space="preserve">) </w:t>
      </w:r>
      <w:r>
        <w:rPr>
          <w:rStyle w:val="FootnoteAnchor"/>
          <w:rtl w:val="true"/>
        </w:rPr>
        <w:footnoteReference w:id="2798"/>
      </w:r>
      <w:r>
        <w:rPr>
          <w:rFonts w:ascii="Amiri" w:hAnsi="Amiri" w:eastAsia="Amiri" w:cs="Amiri"/>
          <w:color w:val="111111"/>
          <w:sz w:val="28"/>
          <w:sz w:val="28"/>
          <w:szCs w:val="28"/>
          <w:rtl w:val="true"/>
          <w:lang w:bidi="ar-SA"/>
        </w:rPr>
        <w:t xml:space="preserve">صريحاً و بشرحها </w:t>
      </w:r>
      <w:r>
        <w:rPr>
          <w:rStyle w:val="FootnoteAnchor"/>
          <w:rtl w:val="true"/>
        </w:rPr>
        <w:footnoteReference w:id="2799"/>
      </w:r>
      <w:r>
        <w:rPr>
          <w:rFonts w:ascii="Amiri" w:hAnsi="Amiri" w:eastAsia="Amiri" w:cs="Amiri"/>
          <w:color w:val="111111"/>
          <w:sz w:val="28"/>
          <w:sz w:val="28"/>
          <w:szCs w:val="28"/>
          <w:rtl w:val="true"/>
          <w:lang w:bidi="ar-SA"/>
        </w:rPr>
        <w:t xml:space="preserve">للشارح، و قد بالغ المصنف في إنكار ما اختاره هنا في الذكرى </w:t>
      </w:r>
      <w:r>
        <w:rPr>
          <w:rStyle w:val="FootnoteAnchor"/>
          <w:rtl w:val="true"/>
        </w:rPr>
        <w:footnoteReference w:id="2800"/>
      </w:r>
      <w:r>
        <w:rPr>
          <w:rFonts w:ascii="Amiri" w:hAnsi="Amiri" w:eastAsia="Amiri" w:cs="Amiri"/>
          <w:color w:val="111111"/>
          <w:sz w:val="28"/>
          <w:sz w:val="28"/>
          <w:szCs w:val="28"/>
          <w:rtl w:val="true"/>
          <w:lang w:bidi="ar-SA"/>
        </w:rPr>
        <w:t>و جعله إحداث قول ثالث رافع لما أجمع عليه الأُمّة؛ لأنّ الخاصّة أجمع و جماعة من العامّة على أنّهما قُبّتا القدم،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الفاضل رحمه الله أنّه لا خلاف بينه و بين غيره في تفسير الكعب؛ ففي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علماؤنا إلى أنّ الكعبين هما العظمان الناتئان في وسط القَدَم، و هما معقد الشراك </w:t>
      </w:r>
      <w:r>
        <w:rPr>
          <w:rStyle w:val="FootnoteAnchor"/>
          <w:rtl w:val="true"/>
        </w:rPr>
        <w:footnoteReference w:id="28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التذكرة بعد الشراك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مَجْمَع الساق و القدم، ذهب إليه علماؤنا أجمع </w:t>
      </w:r>
      <w:r>
        <w:rPr>
          <w:rStyle w:val="FootnoteAnchor"/>
          <w:rtl w:val="true"/>
        </w:rPr>
        <w:footnoteReference w:id="28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بعينه هو الذي نقل الإجماع عليه السيّد </w:t>
      </w:r>
      <w:r>
        <w:rPr>
          <w:rStyle w:val="FootnoteAnchor"/>
          <w:rtl w:val="true"/>
        </w:rPr>
        <w:footnoteReference w:id="2803"/>
      </w:r>
      <w:r>
        <w:rPr>
          <w:rFonts w:ascii="Amiri" w:hAnsi="Amiri" w:eastAsia="Amiri" w:cs="Amiri"/>
          <w:color w:val="111111"/>
          <w:sz w:val="28"/>
          <w:sz w:val="28"/>
          <w:szCs w:val="28"/>
          <w:rtl w:val="true"/>
          <w:lang w:bidi="ar-SA"/>
        </w:rPr>
        <w:t xml:space="preserve">و الطّبرسي </w:t>
      </w:r>
      <w:r>
        <w:rPr>
          <w:rStyle w:val="FootnoteAnchor"/>
          <w:rtl w:val="true"/>
        </w:rPr>
        <w:footnoteReference w:id="2804"/>
      </w:r>
      <w:r>
        <w:rPr>
          <w:rFonts w:ascii="Amiri" w:hAnsi="Amiri" w:eastAsia="Amiri" w:cs="Amiri"/>
          <w:color w:val="111111"/>
          <w:sz w:val="28"/>
          <w:sz w:val="28"/>
          <w:szCs w:val="28"/>
          <w:rtl w:val="true"/>
          <w:lang w:bidi="ar-SA"/>
        </w:rPr>
        <w:t xml:space="preserve">و الشيخ </w:t>
      </w:r>
      <w:r>
        <w:rPr>
          <w:rStyle w:val="FootnoteAnchor"/>
          <w:rtl w:val="true"/>
        </w:rPr>
        <w:footnoteReference w:id="2805"/>
      </w:r>
      <w:r>
        <w:rPr>
          <w:rFonts w:ascii="Amiri" w:hAnsi="Amiri" w:eastAsia="Amiri" w:cs="Amiri"/>
          <w:color w:val="111111"/>
          <w:sz w:val="28"/>
          <w:sz w:val="28"/>
          <w:szCs w:val="28"/>
          <w:rtl w:val="true"/>
          <w:lang w:bidi="ar-SA"/>
        </w:rPr>
        <w:t xml:space="preserve">و الحلّي </w:t>
      </w:r>
      <w:r>
        <w:rPr>
          <w:rStyle w:val="FootnoteAnchor"/>
          <w:rtl w:val="true"/>
        </w:rPr>
        <w:footnoteReference w:id="2806"/>
      </w:r>
      <w:r>
        <w:rPr>
          <w:rFonts w:ascii="Amiri" w:hAnsi="Amiri" w:eastAsia="Amiri" w:cs="Amiri"/>
          <w:color w:val="111111"/>
          <w:sz w:val="28"/>
          <w:sz w:val="28"/>
          <w:szCs w:val="28"/>
          <w:rtl w:val="true"/>
          <w:lang w:bidi="ar-SA"/>
        </w:rPr>
        <w:t xml:space="preserve">و غيرهم </w:t>
      </w:r>
      <w:r>
        <w:rPr>
          <w:rStyle w:val="FootnoteAnchor"/>
          <w:rtl w:val="true"/>
        </w:rPr>
        <w:footnoteReference w:id="2807"/>
      </w:r>
      <w:r>
        <w:rPr>
          <w:rFonts w:ascii="Amiri" w:hAnsi="Amiri" w:eastAsia="Amiri" w:cs="Amiri"/>
          <w:color w:val="111111"/>
          <w:sz w:val="28"/>
          <w:sz w:val="28"/>
          <w:szCs w:val="28"/>
          <w:rtl w:val="true"/>
          <w:lang w:bidi="ar-SA"/>
        </w:rPr>
        <w:t xml:space="preserve">، و الأقوى ما عليه الجمهور فإنّ بعض </w:t>
      </w:r>
      <w:r>
        <w:rPr>
          <w:rStyle w:val="FootnoteAnchor"/>
          <w:rtl w:val="true"/>
        </w:rPr>
        <w:footnoteReference w:id="2808"/>
      </w:r>
      <w:r>
        <w:rPr>
          <w:rFonts w:ascii="Amiri" w:hAnsi="Amiri" w:eastAsia="Amiri" w:cs="Amiri"/>
          <w:color w:val="111111"/>
          <w:sz w:val="28"/>
          <w:sz w:val="28"/>
          <w:szCs w:val="28"/>
          <w:rtl w:val="true"/>
          <w:lang w:bidi="ar-SA"/>
        </w:rPr>
        <w:t xml:space="preserve">من عبّر بمثل ما عبّر به الفاضل ذكر أنّ الكعبين قُبّتا القَدَم، فدلّ على أن المراد واحد عنده، و مَنْ تَصَفَّحَ جلّ كلماتهم وجدها ظاهرة </w:t>
      </w:r>
    </w:p>
    <w:p>
      <w:pPr>
        <w:pStyle w:val="BookText"/>
        <w:rPr/>
      </w:pPr>
      <w:r>
        <w:rPr>
          <w:rFonts w:ascii="Amiri" w:hAnsi="Amiri" w:eastAsia="Amiri" w:cs="Amiri"/>
          <w:color w:val="111111"/>
          <w:sz w:val="28"/>
          <w:sz w:val="28"/>
          <w:szCs w:val="28"/>
          <w:rtl w:val="true"/>
          <w:lang w:bidi="ar-SA"/>
        </w:rPr>
        <w:t>في خلافه بلا شبهة، و لا يصرفها عن ظاهرها إلى مقالته كلّ ما ركن إليه، فإنّ التفسير في خبر الأخوين من كلام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الكافي إمّا مبهمة أو منطبقة على مذهب المشهور، و الاستيعاب غير مراد من بقيّة الأخبار جزماً، بل هي مهملة بالنّسبة إلى تحديد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ورد في حَدّ السارق ربّما يؤيّد مذهب العلّامة؛ إذ الجمع فيها و إرجاع الظاهر إلى النّص يوجب حمل الكعب على إرادة المفصل، و أنّه الذي يجب قطعه؛ إذ منها ما أوجب القطع من الكعب كصحيحة زرارة </w:t>
      </w:r>
      <w:r>
        <w:rPr>
          <w:rStyle w:val="FootnoteAnchor"/>
          <w:rtl w:val="true"/>
        </w:rPr>
        <w:footnoteReference w:id="2809"/>
      </w:r>
      <w:r>
        <w:rPr>
          <w:rFonts w:ascii="Amiri" w:hAnsi="Amiri" w:eastAsia="Amiri" w:cs="Amiri"/>
          <w:color w:val="111111"/>
          <w:sz w:val="28"/>
          <w:sz w:val="28"/>
          <w:szCs w:val="28"/>
          <w:rtl w:val="true"/>
          <w:lang w:bidi="ar-SA"/>
        </w:rPr>
        <w:t xml:space="preserve">، و رواية عبد الله بن هلال </w:t>
      </w:r>
      <w:r>
        <w:rPr>
          <w:rStyle w:val="FootnoteAnchor"/>
          <w:rtl w:val="true"/>
        </w:rPr>
        <w:footnoteReference w:id="2810"/>
      </w:r>
      <w:r>
        <w:rPr>
          <w:rFonts w:ascii="Amiri" w:hAnsi="Amiri" w:eastAsia="Amiri" w:cs="Amiri"/>
          <w:color w:val="111111"/>
          <w:sz w:val="28"/>
          <w:sz w:val="28"/>
          <w:szCs w:val="28"/>
          <w:rtl w:val="true"/>
          <w:lang w:bidi="ar-SA"/>
        </w:rPr>
        <w:t xml:space="preserve">و منها ما قضى بكونه من المفصل كرواية معاوية بن عمّار </w:t>
      </w:r>
      <w:r>
        <w:rPr>
          <w:rStyle w:val="FootnoteAnchor"/>
          <w:rtl w:val="true"/>
        </w:rPr>
        <w:footnoteReference w:id="2811"/>
      </w:r>
      <w:r>
        <w:rPr>
          <w:rFonts w:ascii="Amiri" w:hAnsi="Amiri" w:eastAsia="Amiri" w:cs="Amiri"/>
          <w:color w:val="111111"/>
          <w:sz w:val="28"/>
          <w:sz w:val="28"/>
          <w:szCs w:val="28"/>
          <w:rtl w:val="true"/>
          <w:lang w:bidi="ar-SA"/>
        </w:rPr>
        <w:t xml:space="preserve">، فبضميمة الأخبار القاضية في أنّه يقطع الرجل و يبقى العقب، المؤيّد بفتوى المقنعة </w:t>
      </w:r>
      <w:r>
        <w:rPr>
          <w:rStyle w:val="FootnoteAnchor"/>
          <w:rtl w:val="true"/>
        </w:rPr>
        <w:footnoteReference w:id="2812"/>
      </w:r>
      <w:r>
        <w:rPr>
          <w:rFonts w:ascii="Amiri" w:hAnsi="Amiri" w:eastAsia="Amiri" w:cs="Amiri"/>
          <w:color w:val="111111"/>
          <w:sz w:val="28"/>
          <w:sz w:val="28"/>
          <w:szCs w:val="28"/>
          <w:rtl w:val="true"/>
          <w:lang w:bidi="ar-SA"/>
        </w:rPr>
        <w:t xml:space="preserve">و النهاية </w:t>
      </w:r>
      <w:r>
        <w:rPr>
          <w:rStyle w:val="FootnoteAnchor"/>
          <w:rtl w:val="true"/>
        </w:rPr>
        <w:footnoteReference w:id="2813"/>
      </w:r>
      <w:r>
        <w:rPr>
          <w:rFonts w:ascii="Amiri" w:hAnsi="Amiri" w:eastAsia="Amiri" w:cs="Amiri"/>
          <w:color w:val="111111"/>
          <w:sz w:val="28"/>
          <w:sz w:val="28"/>
          <w:szCs w:val="28"/>
          <w:rtl w:val="true"/>
          <w:lang w:bidi="ar-SA"/>
        </w:rPr>
        <w:t>بأنّه يقطع من أصل الساق و يترك له العقب، أنّ المراد بالكعب المفصل دون العكس الموجب لإرجاع النصّ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موهون بعدم اتّحاد موضوع المسألتين، و أيّ برهان يقضي بأنّ الكعب في الطهارة هو الكعب في القطع، اللهُمَّ إلَّا أن يدلّ دليل بأنّ محلّ المسح مطلقاً لا يجوز قطعه، بل يقطع ما عداه، و إن انتقل فرضه أو سقط وجوبه لارتفاع محلّه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فمن نظر إلى تقرير كلمات العلماء و بعض الأخبار يحصل له الجزم بما عليه المشهور، خصوصاً اشتهار عدم استبطان الشراك بالمسح في الأخبار، إذ ما دلّ على الاستيعاب طولاً مع ما قضى بخروج معقد الشراك لا يجتمع إلَّا بجعلٍ آخر محلّ المسح قبل معقد الشراك </w:t>
      </w:r>
    </w:p>
    <w:p>
      <w:pPr>
        <w:pStyle w:val="BookText"/>
        <w:rPr/>
      </w:pPr>
      <w:r>
        <w:rPr>
          <w:rFonts w:ascii="Amiri" w:hAnsi="Amiri" w:eastAsia="Amiri" w:cs="Amiri"/>
          <w:color w:val="111111"/>
          <w:sz w:val="28"/>
          <w:sz w:val="28"/>
          <w:szCs w:val="28"/>
          <w:rtl w:val="true"/>
          <w:lang w:bidi="ar-SA"/>
        </w:rPr>
        <w:t xml:space="preserve">و لا يتم ذلك على مذهب العلّامة المصرّح في المنتهى </w:t>
      </w:r>
      <w:r>
        <w:rPr>
          <w:rStyle w:val="FootnoteAnchor"/>
          <w:rtl w:val="true"/>
        </w:rPr>
        <w:footnoteReference w:id="2814"/>
      </w:r>
      <w:r>
        <w:rPr>
          <w:rFonts w:ascii="Amiri" w:hAnsi="Amiri" w:eastAsia="Amiri" w:cs="Amiri"/>
          <w:color w:val="111111"/>
          <w:sz w:val="28"/>
          <w:sz w:val="28"/>
          <w:szCs w:val="28"/>
          <w:rtl w:val="true"/>
          <w:lang w:bidi="ar-SA"/>
        </w:rPr>
        <w:t xml:space="preserve">و غيره </w:t>
      </w:r>
      <w:r>
        <w:rPr>
          <w:rStyle w:val="FootnoteAnchor"/>
          <w:rtl w:val="true"/>
        </w:rPr>
        <w:footnoteReference w:id="2815"/>
      </w:r>
      <w:r>
        <w:rPr>
          <w:rFonts w:ascii="Amiri" w:hAnsi="Amiri" w:eastAsia="Amiri" w:cs="Amiri"/>
          <w:color w:val="111111"/>
          <w:sz w:val="28"/>
          <w:sz w:val="28"/>
          <w:szCs w:val="28"/>
          <w:rtl w:val="true"/>
          <w:lang w:bidi="ar-SA"/>
        </w:rPr>
        <w:t>بدخول الكعب فيما يلزم مسحه و بانتهاء المسح لمعقد الشراك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باليد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ذكر في اليمنى من وجوب كونه على البشرة، و كونه من رؤوس الأصابع إلى الكعبين على القولين، 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الطول، و يندب أن يكون بالثلاث المضمومة، و بالوجوب أفتى بعض </w:t>
      </w:r>
      <w:r>
        <w:rPr>
          <w:rStyle w:val="FootnoteAnchor"/>
          <w:rtl w:val="true"/>
        </w:rPr>
        <w:footnoteReference w:id="2816"/>
      </w:r>
      <w:r>
        <w:rPr>
          <w:rFonts w:ascii="IRNazanin" w:hAnsi="IRNazanin" w:eastAsia="IRNazanin"/>
          <w:color w:val="111111"/>
          <w:sz w:val="28"/>
          <w:sz w:val="28"/>
          <w:szCs w:val="28"/>
          <w:rtl w:val="true"/>
          <w:lang w:bidi="fa-IR"/>
        </w:rPr>
        <w:t xml:space="preserve">، و بعض </w:t>
      </w:r>
      <w:r>
        <w:rPr>
          <w:rStyle w:val="FootnoteAnchor"/>
          <w:rtl w:val="true"/>
        </w:rPr>
        <w:footnoteReference w:id="2817"/>
      </w:r>
      <w:r>
        <w:rPr>
          <w:rFonts w:ascii="Amiri" w:hAnsi="Amiri" w:eastAsia="Amiri" w:cs="Amiri"/>
          <w:color w:val="111111"/>
          <w:sz w:val="28"/>
          <w:sz w:val="28"/>
          <w:szCs w:val="28"/>
          <w:rtl w:val="true"/>
          <w:lang w:bidi="ar-SA"/>
        </w:rPr>
        <w:t xml:space="preserve">بوجوبه بجميع الكفّ؛ لرواية معمّر </w:t>
      </w:r>
      <w:r>
        <w:rPr>
          <w:rStyle w:val="FootnoteAnchor"/>
          <w:rtl w:val="true"/>
        </w:rPr>
        <w:footnoteReference w:id="2818"/>
      </w:r>
      <w:r>
        <w:rPr>
          <w:rFonts w:ascii="Amiri" w:hAnsi="Amiri" w:eastAsia="Amiri" w:cs="Amiri"/>
          <w:color w:val="111111"/>
          <w:sz w:val="28"/>
          <w:sz w:val="28"/>
          <w:szCs w:val="28"/>
          <w:rtl w:val="true"/>
          <w:lang w:bidi="ar-SA"/>
        </w:rPr>
        <w:t>الماضية و لصحيح البزنطي،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مسح رجله بكفّه،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قال باصبعين من أصابعه،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بكفّه كلّها</w:t>
      </w:r>
      <w:r>
        <w:rPr>
          <w:rFonts w:eastAsia="Amiri" w:cs="Amiri" w:ascii="Amiri" w:hAnsi="Amiri"/>
          <w:color w:val="111111"/>
          <w:sz w:val="28"/>
          <w:szCs w:val="28"/>
          <w:rtl w:val="true"/>
          <w:lang w:bidi="ar-SA"/>
        </w:rPr>
        <w:t xml:space="preserve">» </w:t>
      </w:r>
      <w:r>
        <w:rPr>
          <w:rStyle w:val="FootnoteAnchor"/>
          <w:rtl w:val="true"/>
        </w:rPr>
        <w:footnoteReference w:id="2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عمل بظاهرها في الفقيه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عبد الأعلى </w:t>
      </w:r>
      <w:r>
        <w:rPr>
          <w:rStyle w:val="FootnoteAnchor"/>
          <w:rtl w:val="true"/>
        </w:rPr>
        <w:footnoteReference w:id="2821"/>
      </w:r>
      <w:r>
        <w:rPr>
          <w:rFonts w:ascii="IRNazanin" w:hAnsi="IRNazanin" w:eastAsia="IRNazanin"/>
          <w:color w:val="111111"/>
          <w:sz w:val="28"/>
          <w:sz w:val="28"/>
          <w:szCs w:val="28"/>
          <w:rtl w:val="true"/>
          <w:lang w:bidi="fa-IR"/>
        </w:rPr>
        <w:t>حيث أمره الإمام علیه السلام بالمسح على جبيرة الإصبع، فلو كفى المسمّى لما أمره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الجميع؛ أمّا رواية معمّر فيما عرفت من حملها على الاستحباب كما أفتى به الفاضل </w:t>
      </w:r>
      <w:r>
        <w:rPr>
          <w:rStyle w:val="FootnoteAnchor"/>
          <w:rtl w:val="true"/>
        </w:rPr>
        <w:footnoteReference w:id="2822"/>
      </w:r>
      <w:r>
        <w:rPr>
          <w:rFonts w:ascii="Amiri" w:hAnsi="Amiri" w:eastAsia="Amiri" w:cs="Amiri"/>
          <w:color w:val="111111"/>
          <w:sz w:val="28"/>
          <w:sz w:val="28"/>
          <w:szCs w:val="28"/>
          <w:rtl w:val="true"/>
          <w:lang w:bidi="ar-SA"/>
        </w:rPr>
        <w:t xml:space="preserve">، و أمّا الصحيحة فلمعارضتها بحسنة زرارة بابن هاشم </w:t>
      </w:r>
      <w:r>
        <w:rPr>
          <w:rStyle w:val="FootnoteAnchor"/>
          <w:rtl w:val="true"/>
        </w:rPr>
        <w:footnoteReference w:id="2823"/>
      </w:r>
      <w:r>
        <w:rPr>
          <w:rFonts w:ascii="Amiri" w:hAnsi="Amiri" w:eastAsia="Amiri" w:cs="Amiri"/>
          <w:color w:val="111111"/>
          <w:sz w:val="28"/>
          <w:sz w:val="28"/>
          <w:szCs w:val="28"/>
          <w:rtl w:val="true"/>
          <w:lang w:bidi="ar-SA"/>
        </w:rPr>
        <w:t xml:space="preserve">السالفة، فإنّ المفرّع فيها على التبعيض في الآية هو الجانب العرضي؛ إذ كفاية المسمّى في الطول لم يزعمه أحد فهي كالصريحة في عدم وجوب المسح بكلّ الكفّ، مضافاً إلى ما قضى في إجزاء المسح بالثلاث و ما </w:t>
      </w:r>
    </w:p>
    <w:p>
      <w:pPr>
        <w:pStyle w:val="BookText"/>
        <w:rPr/>
      </w:pPr>
      <w:r>
        <w:rPr>
          <w:rFonts w:ascii="Amiri" w:hAnsi="Amiri" w:eastAsia="Amiri" w:cs="Amiri"/>
          <w:color w:val="111111"/>
          <w:sz w:val="28"/>
          <w:sz w:val="28"/>
          <w:szCs w:val="28"/>
          <w:rtl w:val="true"/>
          <w:lang w:bidi="ar-SA"/>
        </w:rPr>
        <w:t>قضى بجواز إدخال اليد في الخفّ المخرّق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عبد الأعلى فيمكن أنّ العصابة المسؤول عنها كانت على كلّ الأصابع، و لو ظهر خلاف هذا فلا يبعد أن تكون دليلاً على جريان قاعدة نفي الحرج حتّى في المستحبّات؛ لأنه مطلوب أيضاً كالواجب، فالأقوى هنا ما عليه هما من الاكتفاء بالمسمّى عرضاً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مسح من الخنصر جاز و وجب تحريف خط المسح؛ لكي ينتهي للكعب أو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يمسح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ببقيّة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يَده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 على أعضاء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بحكم الأصل، فلو شكّ في غسل اليسرى أنّ ما في يده من الغسلة المحضورة أم لا، نفاها بالأصل و استباح ببلّتها المسح إجماعاً، فكأنّ المقام مستثنى من بطلان الأصل المثبت،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بين مسح الرأس و الرّجلين، بل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المسحين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يعتد به فلا يصحّ بأخذ 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بيَد المتطّهر نداوة يستبقيها من غسل يديه مسح بها، و إن لم يستبق ذلك أخذ ماءً جديداً لرأسه و رجليه </w:t>
      </w:r>
      <w:r>
        <w:rPr>
          <w:rStyle w:val="FootnoteAnchor"/>
          <w:rtl w:val="true"/>
        </w:rPr>
        <w:footnoteReference w:id="2824"/>
      </w:r>
      <w:r>
        <w:rPr>
          <w:rFonts w:ascii="Amiri" w:hAnsi="Amiri" w:eastAsia="Amiri" w:cs="Amiri"/>
          <w:color w:val="111111"/>
          <w:sz w:val="28"/>
          <w:sz w:val="28"/>
          <w:szCs w:val="28"/>
          <w:rtl w:val="true"/>
          <w:lang w:bidi="ar-SA"/>
        </w:rPr>
        <w:t>، محمولٌ على صورة الضرورة، أو أخذ الماء بقيّة الأعضاء غير اليد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فرض إطلاقه فلا يخلّ بالإجماع المنقول في الانتصار </w:t>
      </w:r>
      <w:r>
        <w:rPr>
          <w:rStyle w:val="FootnoteAnchor"/>
          <w:rtl w:val="true"/>
        </w:rPr>
        <w:footnoteReference w:id="2825"/>
      </w:r>
      <w:r>
        <w:rPr>
          <w:rFonts w:ascii="Amiri" w:hAnsi="Amiri" w:eastAsia="Amiri" w:cs="Amiri"/>
          <w:color w:val="111111"/>
          <w:sz w:val="28"/>
          <w:sz w:val="28"/>
          <w:szCs w:val="28"/>
          <w:rtl w:val="true"/>
          <w:lang w:bidi="ar-SA"/>
        </w:rPr>
        <w:t xml:space="preserve">و الغنية </w:t>
      </w:r>
      <w:r>
        <w:rPr>
          <w:rStyle w:val="FootnoteAnchor"/>
          <w:rtl w:val="true"/>
        </w:rPr>
        <w:footnoteReference w:id="2826"/>
      </w:r>
      <w:r>
        <w:rPr>
          <w:rFonts w:ascii="IRNazanin" w:hAnsi="IRNazanin" w:eastAsia="IRNazanin"/>
          <w:color w:val="111111"/>
          <w:sz w:val="28"/>
          <w:sz w:val="28"/>
          <w:szCs w:val="28"/>
          <w:rtl w:val="true"/>
          <w:lang w:bidi="fa-IR"/>
        </w:rPr>
        <w:t xml:space="preserve">و فقه القرآن </w:t>
      </w:r>
      <w:r>
        <w:rPr>
          <w:rStyle w:val="FootnoteAnchor"/>
          <w:rtl w:val="true"/>
        </w:rPr>
        <w:footnoteReference w:id="2827"/>
      </w:r>
      <w:r>
        <w:rPr>
          <w:rFonts w:ascii="Amiri" w:hAnsi="Amiri" w:eastAsia="Amiri" w:cs="Amiri"/>
          <w:color w:val="111111"/>
          <w:sz w:val="28"/>
          <w:sz w:val="28"/>
          <w:szCs w:val="28"/>
          <w:rtl w:val="true"/>
          <w:lang w:bidi="ar-SA"/>
        </w:rPr>
        <w:t xml:space="preserve">، و هو العمدة في نفي دعواه، و إلَّا فما كانت الأخبار البيانيّة، و لا خبر ابن يقطين </w:t>
      </w:r>
      <w:r>
        <w:rPr>
          <w:rStyle w:val="FootnoteAnchor"/>
          <w:rtl w:val="true"/>
        </w:rPr>
        <w:footnoteReference w:id="2828"/>
      </w:r>
      <w:r>
        <w:rPr>
          <w:rFonts w:ascii="IRNazanin" w:hAnsi="IRNazanin" w:eastAsia="IRNazanin"/>
          <w:color w:val="111111"/>
          <w:sz w:val="28"/>
          <w:sz w:val="28"/>
          <w:szCs w:val="28"/>
          <w:rtl w:val="true"/>
          <w:lang w:bidi="fa-IR"/>
        </w:rPr>
        <w:t xml:space="preserve">، و لا </w:t>
      </w:r>
    </w:p>
    <w:p>
      <w:pPr>
        <w:pStyle w:val="BookText"/>
        <w:rPr/>
      </w:pPr>
      <w:r>
        <w:rPr>
          <w:rFonts w:ascii="IRNazanin" w:hAnsi="IRNazanin" w:eastAsia="IRNazanin"/>
          <w:color w:val="111111"/>
          <w:sz w:val="28"/>
          <w:sz w:val="28"/>
          <w:szCs w:val="28"/>
          <w:rtl w:val="true"/>
          <w:lang w:bidi="fa-IR"/>
        </w:rPr>
        <w:t xml:space="preserve">الصحيح المتضمّن الوضوء النبيّ صلّی الله علیه و آله في المعراج </w:t>
      </w:r>
      <w:r>
        <w:rPr>
          <w:rStyle w:val="FootnoteAnchor"/>
          <w:rtl w:val="true"/>
        </w:rPr>
        <w:footnoteReference w:id="2829"/>
      </w:r>
      <w:r>
        <w:rPr>
          <w:rFonts w:ascii="Amiri" w:hAnsi="Amiri" w:eastAsia="Amiri" w:cs="Amiri"/>
          <w:color w:val="111111"/>
          <w:sz w:val="28"/>
          <w:sz w:val="28"/>
          <w:szCs w:val="28"/>
          <w:rtl w:val="true"/>
          <w:lang w:bidi="ar-SA"/>
        </w:rPr>
        <w:t>، و لا الأخبار القاضية بالإعادة لمن فَقَدَ نداوة الوضوء و الآمرة بالأخذ من اللّحية في ناسي المسح؛ فإنّ كلّها لا تنهض بالمدّعى فيها اختصاص بعضها بصورة وجود النداوة، فهي ساكتة عن حكم الفاقد، و خبر ابن يقطين محمول على الغالب، و الأمر بالإعادة عساه لفوات الموالاة بالجفاف و إن بَعُدَ أنْ يكون مفوّتاً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روايَتا أبي بصير و معمّر بن خلّاد </w:t>
      </w:r>
      <w:r>
        <w:rPr>
          <w:rStyle w:val="FootnoteAnchor"/>
          <w:rtl w:val="true"/>
        </w:rPr>
        <w:footnoteReference w:id="2830"/>
      </w:r>
      <w:r>
        <w:rPr>
          <w:rFonts w:ascii="Amiri" w:hAnsi="Amiri" w:eastAsia="Amiri" w:cs="Amiri"/>
          <w:color w:val="111111"/>
          <w:sz w:val="28"/>
          <w:sz w:val="28"/>
          <w:szCs w:val="28"/>
          <w:rtl w:val="true"/>
          <w:lang w:bidi="ar-SA"/>
        </w:rPr>
        <w:t>صريحتان في تعيين المسح بماء جديد و إن أمكن البَلَل، لكنّهما محمولان على التقيّة، فإنّ مذهب الإسكافي أخصّ ممّا أفادا، فلا عامل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روايتي منصور </w:t>
      </w:r>
      <w:r>
        <w:rPr>
          <w:rStyle w:val="FootnoteAnchor"/>
          <w:rtl w:val="true"/>
        </w:rPr>
        <w:footnoteReference w:id="2831"/>
      </w:r>
      <w:r>
        <w:rPr>
          <w:rFonts w:ascii="Amiri" w:hAnsi="Amiri" w:eastAsia="Amiri" w:cs="Amiri"/>
          <w:color w:val="111111"/>
          <w:sz w:val="28"/>
          <w:sz w:val="28"/>
          <w:szCs w:val="28"/>
          <w:rtl w:val="true"/>
          <w:lang w:bidi="ar-SA"/>
        </w:rPr>
        <w:t xml:space="preserve">و أبي بصير </w:t>
      </w:r>
      <w:r>
        <w:rPr>
          <w:rStyle w:val="FootnoteAnchor"/>
          <w:rtl w:val="true"/>
        </w:rPr>
        <w:footnoteReference w:id="2832"/>
      </w:r>
      <w:r>
        <w:rPr>
          <w:rFonts w:ascii="Amiri" w:hAnsi="Amiri" w:eastAsia="Amiri" w:cs="Amiri"/>
          <w:color w:val="111111"/>
          <w:sz w:val="28"/>
          <w:sz w:val="28"/>
          <w:szCs w:val="28"/>
          <w:rtl w:val="true"/>
          <w:lang w:bidi="ar-SA"/>
        </w:rPr>
        <w:t>الظاهرتين في جواز المسح بغير نداوة الوضوء لمن نسيه حتّى دخل في الصلاة بناءً على عدم فوات الموالاة ببقاء البَلَل الذي لا يمكن الأخذ منه يلزم أن يقيّدا بغيرهما من النّصوص، و المراد من البَلَل و البلّة في كلامهم و الأخبار هو تأثيرها في الممسوح نداوة و بَلَلاً و إن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يشترط في حال الرّفاهيّة التأثير في المحلّ؟ الأقرب ذلك </w:t>
      </w:r>
      <w:r>
        <w:rPr>
          <w:rStyle w:val="FootnoteAnchor"/>
          <w:rtl w:val="true"/>
        </w:rPr>
        <w:footnoteReference w:id="28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فلو لم يتأثر الممسوح بها لمانع من رطوبة في الماسح أو الممسوح فسد الوضوء؛ الفوات شرطه، فالمسح بالبَلَل كالمسح بالدّهن لا يجزي إلَّا حيث تكون اليَد آلة في إيصال الماء للممسوح مطلقاً، لا وصول اليَد المبلولة إليه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المعتبر الإجزاء مطلقاً سواء كان المانع من إيصال البلّة رطوبة خارجة في الماسح بحيث يستند التأثير إليها أو في الممسوح، فصحّح الوضوء مع المسح ببلّة الغسلة الثالثة مع اعترافه بعدم مشروعيّتها،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ماء الوضوء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صحّحه أيضاً </w:t>
      </w:r>
    </w:p>
    <w:p>
      <w:pPr>
        <w:pStyle w:val="BookText"/>
        <w:rPr/>
      </w:pPr>
      <w:r>
        <w:rPr>
          <w:rFonts w:ascii="Amiri" w:hAnsi="Amiri" w:eastAsia="Amiri" w:cs="Amiri"/>
          <w:color w:val="111111"/>
          <w:sz w:val="28"/>
          <w:sz w:val="28"/>
          <w:szCs w:val="28"/>
          <w:rtl w:val="true"/>
          <w:lang w:bidi="ar-SA"/>
        </w:rPr>
        <w:t>إذا كان المتوضّي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يضرّه ما كان على قدميه من الماء </w:t>
      </w:r>
      <w:r>
        <w:rPr>
          <w:rStyle w:val="FootnoteAnchor"/>
          <w:rtl w:val="true"/>
        </w:rPr>
        <w:footnoteReference w:id="28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علّله الحلّي </w:t>
      </w:r>
      <w:r>
        <w:rPr>
          <w:rStyle w:val="FootnoteAnchor"/>
          <w:rtl w:val="true"/>
        </w:rPr>
        <w:footnoteReference w:id="2835"/>
      </w:r>
      <w:r>
        <w:rPr>
          <w:rFonts w:ascii="Amiri" w:hAnsi="Amiri" w:eastAsia="Amiri" w:cs="Amiri"/>
          <w:color w:val="111111"/>
          <w:sz w:val="28"/>
          <w:sz w:val="28"/>
          <w:szCs w:val="28"/>
          <w:rtl w:val="true"/>
          <w:lang w:bidi="ar-SA"/>
        </w:rPr>
        <w:t xml:space="preserve">قبله بصدق المسح عليه، و أنّ عموم ظواهر الآيات و الأخبار تشمله، و الأوجه المنع مطلقاً، و عليه معظم من تأخّر، بل ألزمَ الفاضل في التذكرة </w:t>
      </w:r>
      <w:r>
        <w:rPr>
          <w:rStyle w:val="FootnoteAnchor"/>
          <w:rtl w:val="true"/>
        </w:rPr>
        <w:footnoteReference w:id="2836"/>
      </w:r>
      <w:r>
        <w:rPr>
          <w:rFonts w:ascii="Amiri" w:hAnsi="Amiri" w:eastAsia="Amiri" w:cs="Amiri"/>
          <w:color w:val="111111"/>
          <w:sz w:val="28"/>
          <w:sz w:val="28"/>
          <w:szCs w:val="28"/>
          <w:rtl w:val="true"/>
          <w:lang w:bidi="ar-SA"/>
        </w:rPr>
        <w:t xml:space="preserve">بتنشيف محلّ المسح قبله ليتحقّق إيصال البلّة، و مرامه كما في الذكرى </w:t>
      </w:r>
      <w:r>
        <w:rPr>
          <w:rStyle w:val="FootnoteAnchor"/>
          <w:rtl w:val="true"/>
        </w:rPr>
        <w:footnoteReference w:id="2837"/>
      </w:r>
      <w:r>
        <w:rPr>
          <w:rFonts w:ascii="Amiri" w:hAnsi="Amiri" w:eastAsia="Amiri" w:cs="Amiri"/>
          <w:color w:val="111111"/>
          <w:sz w:val="28"/>
          <w:sz w:val="28"/>
          <w:szCs w:val="28"/>
          <w:rtl w:val="true"/>
          <w:lang w:bidi="ar-SA"/>
        </w:rPr>
        <w:t>تحقّق غَلَبة ماء المسح على ما كان قبله لا وجوب التنشيف بمعنى اليبس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ممّا لا إشكال فيه أخذاً بالمتيقّن المبرئ للذمّة في المشروط به، إنّما الإشكال فيما لو انتقل ماء الممسوح بواسطة بلّة الماسح و الممسوح من مكان إلى آخر سواء كانت البلّة قبل المسح من ماء الوضوء أو غيره، فإنّه حينئذٍ يكون غسلاً، فهل يجزي ذلك أم لا؟</w:t>
      </w:r>
    </w:p>
    <w:p>
      <w:pPr>
        <w:pStyle w:val="BookText"/>
        <w:rPr/>
      </w:pPr>
      <w:r>
        <w:rPr>
          <w:rFonts w:ascii="Amiri" w:hAnsi="Amiri" w:eastAsia="Amiri" w:cs="Amiri"/>
          <w:color w:val="111111"/>
          <w:sz w:val="28"/>
          <w:sz w:val="28"/>
          <w:szCs w:val="28"/>
          <w:rtl w:val="true"/>
          <w:lang w:bidi="ar-SA"/>
        </w:rPr>
        <w:t xml:space="preserve">ظاهر الرّوض </w:t>
      </w:r>
      <w:r>
        <w:rPr>
          <w:rStyle w:val="FootnoteAnchor"/>
          <w:rtl w:val="true"/>
        </w:rPr>
        <w:footnoteReference w:id="2838"/>
      </w:r>
      <w:r>
        <w:rPr>
          <w:rFonts w:ascii="Amiri" w:hAnsi="Amiri" w:eastAsia="Amiri" w:cs="Amiri"/>
          <w:color w:val="111111"/>
          <w:sz w:val="28"/>
          <w:sz w:val="28"/>
          <w:szCs w:val="28"/>
          <w:rtl w:val="true"/>
          <w:lang w:bidi="ar-SA"/>
        </w:rPr>
        <w:t>العدم و إن وصلت بلّة الوضوء للممسوح، لا من جهة استهلاك رطوبة الماسح المانع من صدق المسح مع البَلل، بل من جهة صدق الغسل، و هما متباينان، فيعتبر في المسح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الذكرى الجواز؛ لعدم صدق الغسل، و لصدق الامتثال بالمسح، و الحقّ مع الثاني لو تحقّق المسح و لم يستهلك ماؤه مع جريان البَلَل المنتقل في المحلّ من مكان إلى آخر، و لو لحق الحلّي انتقل مفروض البحث و غيّر بيانه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المفهوم من إطلاقه جواز المسح ببلّة الوضوء مطلقاً من أيّ عضو يكون سواء في ذلك اليد و غيرها اختياراً عملاً بظاهر الإطلاق في صدر مرسلة الصّدوق </w:t>
      </w:r>
      <w:r>
        <w:rPr>
          <w:rStyle w:val="FootnoteAnchor"/>
          <w:rtl w:val="true"/>
        </w:rPr>
        <w:footnoteReference w:id="2839"/>
      </w:r>
      <w:r>
        <w:rPr>
          <w:rFonts w:ascii="IRNazanin" w:hAnsi="IRNazanin" w:eastAsia="IRNazanin"/>
          <w:color w:val="111111"/>
          <w:sz w:val="28"/>
          <w:sz w:val="28"/>
          <w:szCs w:val="28"/>
          <w:rtl w:val="true"/>
          <w:lang w:bidi="fa-IR"/>
        </w:rPr>
        <w:t xml:space="preserve">و خبر ابن </w:t>
      </w:r>
    </w:p>
    <w:p>
      <w:pPr>
        <w:pStyle w:val="BookText"/>
        <w:rPr/>
      </w:pPr>
      <w:r>
        <w:rPr>
          <w:rFonts w:ascii="Amiri" w:hAnsi="Amiri" w:eastAsia="Amiri" w:cs="Amiri"/>
          <w:color w:val="111111"/>
          <w:sz w:val="28"/>
          <w:sz w:val="28"/>
          <w:szCs w:val="28"/>
          <w:rtl w:val="true"/>
          <w:lang w:bidi="ar-SA"/>
        </w:rPr>
        <w:t xml:space="preserve">يقطين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مع وجود البَلَل بها لا يحتاج المكلّف إلى الأخذ من الخارج، فلذا ذكرت في الأخبار و الفتاوى، و هو ظاهر كلّ من أطلق، بل في الألفيّة </w:t>
      </w:r>
      <w:r>
        <w:rPr>
          <w:rStyle w:val="FootnoteAnchor"/>
          <w:rtl w:val="true"/>
        </w:rPr>
        <w:footnoteReference w:id="2841"/>
      </w:r>
      <w:r>
        <w:rPr>
          <w:rFonts w:ascii="IRNazanin" w:hAnsi="IRNazanin" w:eastAsia="IRNazanin"/>
          <w:color w:val="111111"/>
          <w:sz w:val="28"/>
          <w:sz w:val="28"/>
          <w:szCs w:val="28"/>
          <w:rtl w:val="true"/>
          <w:lang w:bidi="fa-IR"/>
        </w:rPr>
        <w:t xml:space="preserve">و زبر الشارح </w:t>
      </w:r>
      <w:r>
        <w:rPr>
          <w:rStyle w:val="FootnoteAnchor"/>
          <w:rtl w:val="true"/>
        </w:rPr>
        <w:footnoteReference w:id="2842"/>
      </w:r>
      <w:r>
        <w:rPr>
          <w:rFonts w:ascii="Amiri" w:hAnsi="Amiri" w:eastAsia="Amiri" w:cs="Amiri"/>
          <w:color w:val="111111"/>
          <w:sz w:val="28"/>
          <w:sz w:val="28"/>
          <w:szCs w:val="28"/>
          <w:rtl w:val="true"/>
          <w:lang w:bidi="ar-SA"/>
        </w:rPr>
        <w:t xml:space="preserve">التّنصيص على الجواز، و خالف فيه الصدوق </w:t>
      </w:r>
      <w:r>
        <w:rPr>
          <w:rStyle w:val="FootnoteAnchor"/>
          <w:rtl w:val="true"/>
        </w:rPr>
        <w:footnoteReference w:id="2843"/>
      </w:r>
      <w:r>
        <w:rPr>
          <w:rFonts w:ascii="Amiri" w:hAnsi="Amiri" w:eastAsia="Amiri" w:cs="Amiri"/>
          <w:color w:val="111111"/>
          <w:sz w:val="28"/>
          <w:sz w:val="28"/>
          <w:szCs w:val="28"/>
          <w:rtl w:val="true"/>
          <w:lang w:bidi="ar-SA"/>
        </w:rPr>
        <w:t xml:space="preserve">و المفيد </w:t>
      </w:r>
      <w:r>
        <w:rPr>
          <w:rStyle w:val="FootnoteAnchor"/>
          <w:rtl w:val="true"/>
        </w:rPr>
        <w:footnoteReference w:id="2844"/>
      </w:r>
      <w:r>
        <w:rPr>
          <w:rFonts w:ascii="Amiri" w:hAnsi="Amiri" w:eastAsia="Amiri" w:cs="Amiri"/>
          <w:color w:val="111111"/>
          <w:sz w:val="28"/>
          <w:sz w:val="28"/>
          <w:szCs w:val="28"/>
          <w:rtl w:val="true"/>
          <w:lang w:bidi="ar-SA"/>
        </w:rPr>
        <w:t xml:space="preserve">و عَلَم الهُدى بانتصاره </w:t>
      </w:r>
      <w:r>
        <w:rPr>
          <w:rStyle w:val="FootnoteAnchor"/>
          <w:rtl w:val="true"/>
        </w:rPr>
        <w:footnoteReference w:id="2845"/>
      </w:r>
      <w:r>
        <w:rPr>
          <w:rFonts w:ascii="Amiri" w:hAnsi="Amiri" w:eastAsia="Amiri" w:cs="Amiri"/>
          <w:color w:val="111111"/>
          <w:sz w:val="28"/>
          <w:sz w:val="28"/>
          <w:szCs w:val="28"/>
          <w:rtl w:val="true"/>
          <w:lang w:bidi="ar-SA"/>
        </w:rPr>
        <w:t xml:space="preserve">و الشيخ في النهاية </w:t>
      </w:r>
      <w:r>
        <w:rPr>
          <w:rStyle w:val="FootnoteAnchor"/>
          <w:rtl w:val="true"/>
        </w:rPr>
        <w:footnoteReference w:id="2846"/>
      </w:r>
      <w:r>
        <w:rPr>
          <w:rFonts w:ascii="Amiri" w:hAnsi="Amiri" w:eastAsia="Amiri" w:cs="Amiri"/>
          <w:color w:val="111111"/>
          <w:sz w:val="28"/>
          <w:sz w:val="28"/>
          <w:szCs w:val="28"/>
          <w:rtl w:val="true"/>
          <w:lang w:bidi="ar-SA"/>
        </w:rPr>
        <w:t xml:space="preserve">و ابنا زُهرة </w:t>
      </w:r>
      <w:r>
        <w:rPr>
          <w:rStyle w:val="FootnoteAnchor"/>
          <w:rtl w:val="true"/>
        </w:rPr>
        <w:footnoteReference w:id="2847"/>
      </w:r>
      <w:r>
        <w:rPr>
          <w:rFonts w:ascii="Amiri" w:hAnsi="Amiri" w:eastAsia="Amiri" w:cs="Amiri"/>
          <w:color w:val="111111"/>
          <w:sz w:val="28"/>
          <w:sz w:val="28"/>
          <w:szCs w:val="28"/>
          <w:rtl w:val="true"/>
          <w:lang w:bidi="ar-SA"/>
        </w:rPr>
        <w:t xml:space="preserve">و إدريس </w:t>
      </w:r>
      <w:r>
        <w:rPr>
          <w:rStyle w:val="FootnoteAnchor"/>
          <w:rtl w:val="true"/>
        </w:rPr>
        <w:footnoteReference w:id="2848"/>
      </w:r>
      <w:r>
        <w:rPr>
          <w:rFonts w:ascii="IRNazanin" w:hAnsi="IRNazanin" w:eastAsia="IRNazanin"/>
          <w:color w:val="111111"/>
          <w:sz w:val="28"/>
          <w:sz w:val="28"/>
          <w:szCs w:val="28"/>
          <w:rtl w:val="true"/>
          <w:lang w:bidi="fa-IR"/>
        </w:rPr>
        <w:t>، فأوجبوا أن يكون ببلل اليَد مع وجوده لحسنة زرارة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تمسح ببلّة يمناك ناصيتك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849"/>
      </w:r>
      <w:r>
        <w:rPr>
          <w:rFonts w:ascii="Amiri" w:hAnsi="Amiri" w:eastAsia="Amiri" w:cs="Amiri"/>
          <w:color w:val="111111"/>
          <w:sz w:val="28"/>
          <w:sz w:val="28"/>
          <w:szCs w:val="28"/>
          <w:rtl w:val="true"/>
          <w:lang w:bidi="ar-SA"/>
        </w:rPr>
        <w:t xml:space="preserve">، و للوضوءات البيانيّة </w:t>
      </w:r>
      <w:r>
        <w:rPr>
          <w:rStyle w:val="FootnoteAnchor"/>
          <w:rtl w:val="true"/>
        </w:rPr>
        <w:footnoteReference w:id="2850"/>
      </w:r>
      <w:r>
        <w:rPr>
          <w:rFonts w:ascii="Amiri" w:hAnsi="Amiri" w:eastAsia="Amiri" w:cs="Amiri"/>
          <w:color w:val="111111"/>
          <w:sz w:val="28"/>
          <w:sz w:val="28"/>
          <w:szCs w:val="28"/>
          <w:rtl w:val="true"/>
          <w:lang w:bidi="ar-SA"/>
        </w:rPr>
        <w:t>المتضمّنة لهذا الفعل، و لا قاضٍ بجواز التعدّي، و لذيل مرسلة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بقي في يديك من نداوة وضوئك شيء فخذ مما بقي منه في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2851"/>
      </w:r>
      <w:r>
        <w:rPr>
          <w:rFonts w:ascii="Amiri" w:hAnsi="Amiri" w:eastAsia="Amiri" w:cs="Amiri"/>
          <w:color w:val="111111"/>
          <w:sz w:val="28"/>
          <w:sz w:val="28"/>
          <w:szCs w:val="28"/>
          <w:rtl w:val="true"/>
          <w:lang w:bidi="ar-SA"/>
        </w:rPr>
        <w:t>إذ لا معنى لهذا الترتيب إذا كان الأخذ جائزاً مطلقاً، و بأنّه لا معنى لاشتراط جفاف ما على اليد في الأخذ من غيرها في عبائرهم، و يتوقّف الموالاة الحقيقيّة عليه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الجميع بأنّ اليد جاءت في الخبرين من حيث إنّها ظرفٌ للبَلَل لا أنه مقيّد بكونه من اليد، و إلاَّ لجاء الترتيب أيضاً بين اللحيّة و ما بعدها، و لا قائل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فالتالي مَسُوق لبيان الأسهل، فالأسهل و المقدّم لمحض الظرفيّة، و ما بينهما لا يثبت الحكم جزماً، و إلَّا لوجب الأخذ بسائر الحركات و السكنات في الفعل، و دعواه 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المشروط بجفاف اليد وجوب الأخذ من سواها لا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 تعدّد العنوان للإشارة إلى عدم الاستيناف لو جفّ ما على اليد خلافاً لموجبه </w:t>
      </w:r>
      <w:r>
        <w:rPr>
          <w:rStyle w:val="FootnoteAnchor"/>
          <w:rtl w:val="true"/>
        </w:rPr>
        <w:footnoteReference w:id="2852"/>
      </w:r>
      <w:r>
        <w:rPr>
          <w:rFonts w:ascii="IRNazanin" w:hAnsi="IRNazanin" w:eastAsia="IRNazanin"/>
          <w:color w:val="111111"/>
          <w:sz w:val="28"/>
          <w:sz w:val="28"/>
          <w:szCs w:val="28"/>
          <w:rtl w:val="true"/>
          <w:lang w:bidi="fa-IR"/>
        </w:rPr>
        <w:t xml:space="preserve">، و بروضه </w:t>
      </w:r>
      <w:r>
        <w:rPr>
          <w:rStyle w:val="FootnoteAnchor"/>
          <w:rtl w:val="true"/>
        </w:rPr>
        <w:footnoteReference w:id="2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الأخذ من اللّحية لناسي المسح مطلق، فيجوز و إن كان في اليد بَلَل، و إلَّا لقيّد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الردود و إن أمكنَ الخدشة فيها إلَّا أنّ الإنصاف أنّ إطلاق البَلَل في بعض النّصوص و الفتاوى أقوى ممّا زعم تقييده لها باليد؛ لظهور حمل اليد عرفاً على الظرفية مثل الغسل بها في بعض المواضع لو نصّ عليه الذي يحصل بالغمس أو بفعل الغير مطلقاً، و لو تصادم الاحتمالان كان المرجع إطلاق الآية وا لرّواية، و هي لا تقضي بأكثر من وجوب مجرّد مسح اليد مصاحبة لبلل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خصوص بللها فلم يثبت، فإن ذكرت فهو من جهة الترتيب العادي لا الشرعي، لكن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الوجوب فهل يقصر الحكم على ما كان في باطنها من البَلَل؛ لأنه المعتاد، أو يؤخذ بإطلاق اليد في المقيّدات؟ وجهان أوجههما الانصراف إلى ما يجب المسح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فيقصر الحكم على البَلَل الذي في باطن الأصابع، و لا يجوز التعدّي إلى ما على اليد غيره و يتخيّر في الباقي لو تعذّر فيه مطلقاً أو مرتّباً، فظهُر اليَد مقدّم مطلقاً، و الذراع بعده، و اللّحية بعدهما، و هكذا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يخصّ الأخذ منها ممّا يجب غسله من الداخل في حدّ الوجه أو مطلقاً؛ للإطلاق؟ وجهان يدخل في أحدهما كلّ ماء أطلق عليه ماء وضوء و إن غسل به غير ما يجب مقدّمةً أو ندباً، فيشمل كلّ ما شكّ في وجوب غسله، أو وجب بقاعدة الاحتياط، أو ندب غسله مطلقاً و لو بفتوى فقيه؛ لعود الوضوء مطلوباً ندباً من حيث اشتماله على جزء مندوب، و الاحتياط </w:t>
      </w:r>
    </w:p>
    <w:p>
      <w:pPr>
        <w:pStyle w:val="BookText"/>
        <w:rPr/>
      </w:pPr>
      <w:r>
        <w:rPr>
          <w:rFonts w:ascii="Amiri" w:hAnsi="Amiri" w:eastAsia="Amiri" w:cs="Amiri"/>
          <w:color w:val="111111"/>
          <w:sz w:val="28"/>
          <w:sz w:val="28"/>
          <w:szCs w:val="28"/>
          <w:rtl w:val="true"/>
          <w:lang w:bidi="ar-SA"/>
        </w:rPr>
        <w:t>مطلوب فيه و في أمثاله كالأخذ من بَلَل اليسرى مطلقاً لو جاز مسح الرأس بها، أو مقصور على تحقّق المسح فيها، فإذا لم يكن امتنع نقل بلّتها لماسح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أمَرَّ يده على ذراعه الأيسر زائداً على ما يتحقّق به الاستظهار في الغسل و لو ندباً؛ لاحتمال كونه بمنزلة البَلَل الذي خالطه غيره فلا يتّصف بالمطلوبيّة، بل يعود لغواً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جرى ماء الوضوء لغير الجزء المراد غسله، أو عليه غير غسله، فيقوى في الأوّل الصّحة، فلا يجوز الأخذ من ماء العنق و الصّدر لو جرى من الوجه إليهما؛ و في الثاني الجواز؛ لعدم أجنبيّة العضو، و أجنبيّة الماء 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بقي لمعة فغسلها و جرى الماء للمغسول قبلها منها و لم يكن قليلاً فيعدّ من التوابع، بني الحكم فيه على جواز المسح ببلل الغسلة الثالثة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لو غمس أعضاء الوضوء، فإن نواه بخروجها صحّ وضوؤه، أو بدخولها أشكل؛ لكونه كالغمس بعد الغسل، و قوّاه في الذكرى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 في جميع ذلك هو الأوفق و إن أفتى الجدّ و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بعض ما ذكر في الكشف </w:t>
      </w:r>
      <w:r>
        <w:rPr>
          <w:rStyle w:val="FootnoteAnchor"/>
          <w:rtl w:val="true"/>
        </w:rPr>
        <w:footnoteReference w:id="2855"/>
      </w:r>
      <w:r>
        <w:rPr>
          <w:rFonts w:ascii="IRNazanin" w:hAnsi="IRNazanin" w:eastAsia="IRNazanin"/>
          <w:color w:val="111111"/>
          <w:sz w:val="28"/>
          <w:sz w:val="28"/>
          <w:szCs w:val="28"/>
          <w:rtl w:val="true"/>
          <w:lang w:bidi="fa-IR"/>
        </w:rPr>
        <w:t xml:space="preserve">و الأنوار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فهم من إطلاق </w:t>
      </w:r>
      <w:r>
        <w:rPr>
          <w:rStyle w:val="FootnoteAnchor"/>
          <w:rtl w:val="true"/>
        </w:rPr>
        <w:footnoteReference w:id="2857"/>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ترتيب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الممسوح سواء في ذلك الرأس أو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النكس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يتعيّن الابتداء من الأعلى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المفهوم منه التّرتيب في نفس العضو المغسول بأن يبدأ من أعلى الوجه و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أو في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اليدين، و بإلى وحدها في الوجه، أو بهما في الجميع بناءً على إشراب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تقديرها في الكلام على الثاني، و ما أفاده المصنّف من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الشارح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و لكنّه في الغسل نعم؛ لذهاب المعظم إليه في الوجه واليدين و لقضاء الدليل به، و في المسح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شهرة الأوّل، و الوضوءات البيانيّة، و قوله علیه السلام في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أكمَلَ وضوءه و هذا وضوء لا يقبل الله الصلاة إلَّا به</w:t>
      </w:r>
      <w:r>
        <w:rPr>
          <w:rFonts w:eastAsia="IRNazanin" w:cs="IRNazanin"/>
          <w:color w:val="111111"/>
          <w:sz w:val="28"/>
          <w:szCs w:val="28"/>
          <w:rtl w:val="true"/>
          <w:lang w:bidi="fa-IR"/>
        </w:rPr>
        <w:t xml:space="preserve">» </w:t>
      </w:r>
      <w:r>
        <w:rPr>
          <w:rStyle w:val="FootnoteAnchor"/>
          <w:rtl w:val="true"/>
        </w:rPr>
        <w:footnoteReference w:id="2858"/>
      </w:r>
      <w:r>
        <w:rPr>
          <w:rFonts w:ascii="Amiri" w:hAnsi="Amiri" w:eastAsia="Amiri" w:cs="Amiri"/>
          <w:color w:val="111111"/>
          <w:sz w:val="28"/>
          <w:sz w:val="28"/>
          <w:szCs w:val="28"/>
          <w:rtl w:val="true"/>
          <w:lang w:bidi="ar-SA"/>
        </w:rPr>
        <w:t>، و رواية قرب الإسناد،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اغسله أعلى وجهك إلى أسفله مسحاً</w:t>
      </w:r>
      <w:r>
        <w:rPr>
          <w:rFonts w:eastAsia="Amiri" w:cs="Amiri" w:ascii="Amiri" w:hAnsi="Amiri"/>
          <w:color w:val="111111"/>
          <w:sz w:val="28"/>
          <w:szCs w:val="28"/>
          <w:rtl w:val="true"/>
          <w:lang w:bidi="ar-SA"/>
        </w:rPr>
        <w:t xml:space="preserve">»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لرواية ابن يقطين </w:t>
      </w:r>
      <w:r>
        <w:rPr>
          <w:rStyle w:val="FootnoteAnchor"/>
          <w:rtl w:val="true"/>
        </w:rPr>
        <w:footnoteReference w:id="2860"/>
      </w:r>
      <w:r>
        <w:rPr>
          <w:rFonts w:ascii="IRNazanin" w:hAnsi="IRNazanin" w:eastAsia="IRNazanin"/>
          <w:color w:val="111111"/>
          <w:sz w:val="28"/>
          <w:sz w:val="28"/>
          <w:szCs w:val="28"/>
          <w:rtl w:val="true"/>
          <w:lang w:bidi="fa-IR"/>
        </w:rPr>
        <w:t>المشتملة على المعجزة، و ما عن صفوان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يردّ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عنده آخر و إلَّا فلا، و الآخر من يبقى منه</w:t>
      </w:r>
      <w:r>
        <w:rPr>
          <w:rFonts w:eastAsia="IRNazanin" w:cs="IRNazanin"/>
          <w:color w:val="111111"/>
          <w:sz w:val="28"/>
          <w:szCs w:val="28"/>
          <w:rtl w:val="true"/>
          <w:lang w:bidi="fa-IR"/>
        </w:rPr>
        <w:t xml:space="preserve">»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لصحيحة زرارة و بكير لمّا سألا أبا جعفر علیه السلام عن وضوء رسول صلّی الله علیه و آله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 بها ذراعه من المرفق إلى الكفّ لا يردّها إلى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862"/>
      </w:r>
      <w:r>
        <w:rPr>
          <w:rFonts w:ascii="Amiri" w:hAnsi="Amiri" w:eastAsia="Amiri" w:cs="Amiri"/>
          <w:color w:val="111111"/>
          <w:sz w:val="28"/>
          <w:sz w:val="28"/>
          <w:szCs w:val="28"/>
          <w:rtl w:val="true"/>
          <w:lang w:bidi="ar-SA"/>
        </w:rPr>
        <w:t xml:space="preserve">، و رواية الهيثم بن عروة </w:t>
      </w:r>
      <w:r>
        <w:rPr>
          <w:rStyle w:val="FootnoteAnchor"/>
          <w:rtl w:val="true"/>
        </w:rPr>
        <w:footnoteReference w:id="2863"/>
      </w:r>
      <w:r>
        <w:rPr>
          <w:rFonts w:ascii="Amiri" w:hAnsi="Amiri" w:eastAsia="Amiri" w:cs="Amiri"/>
          <w:color w:val="111111"/>
          <w:sz w:val="28"/>
          <w:sz w:val="28"/>
          <w:szCs w:val="28"/>
          <w:rtl w:val="true"/>
          <w:lang w:bidi="ar-SA"/>
        </w:rPr>
        <w:t xml:space="preserve">النّاصة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يجوز الغسل حينئذٍ منكوساً و صاعداً فيهما و إن أشكل ثبوت الوجوب بالوضوء البياني؛ لاشتماله على المندوب، و خروجه بدليل فرع ظهور الوجوب فيهما، و هو أوّل الدّعوى، مع أنّ ما اشتمل على الأعلى ليس من البياني في خصوص الوجه، و المشار إليه في مرسل الصّدوق </w:t>
      </w:r>
      <w:r>
        <w:rPr>
          <w:rStyle w:val="FootnoteAnchor"/>
          <w:rtl w:val="true"/>
        </w:rPr>
        <w:footnoteReference w:id="2864"/>
      </w:r>
      <w:r>
        <w:rPr>
          <w:rFonts w:ascii="Amiri" w:hAnsi="Amiri" w:eastAsia="Amiri" w:cs="Amiri"/>
          <w:color w:val="111111"/>
          <w:sz w:val="28"/>
          <w:sz w:val="28"/>
          <w:szCs w:val="28"/>
          <w:rtl w:val="true"/>
          <w:lang w:bidi="ar-SA"/>
        </w:rPr>
        <w:t>مردّد بين نوع الوضوء و شخصه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تبادر الثاني لزم تخصيص الأكثر؛ لعدم وجوب جميع مشخّصاته، فالواجب فيه منها ما علم من غيره دونه فلا يقيّد فيه مطلقات الكتاب و السّنة؛ لعدم بقائه على عمومه </w:t>
      </w:r>
    </w:p>
    <w:p>
      <w:pPr>
        <w:pStyle w:val="BookText"/>
        <w:rPr/>
      </w:pPr>
      <w:r>
        <w:rPr>
          <w:rFonts w:ascii="Amiri" w:hAnsi="Amiri" w:eastAsia="Amiri" w:cs="Amiri"/>
          <w:color w:val="111111"/>
          <w:sz w:val="28"/>
          <w:sz w:val="28"/>
          <w:szCs w:val="28"/>
          <w:rtl w:val="true"/>
          <w:lang w:bidi="ar-SA"/>
        </w:rPr>
        <w:t xml:space="preserve">فيشك في تقييده بغير المتيقّن وجوبه فيه من الأجزاء، و بأنّ عدم الردّ في الصحيحة ليس بنصٍّ بالوجوب؛ لتعارض الأصل و العمومات، و بأنّ الحديث يعارض المتواتر من القرآن، مع ضعفه و معارضته بصحيحة حمّاد بن عثمان </w:t>
      </w:r>
      <w:r>
        <w:rPr>
          <w:rStyle w:val="FootnoteAnchor"/>
          <w:rtl w:val="true"/>
        </w:rPr>
        <w:footnoteReference w:id="2865"/>
      </w:r>
      <w:r>
        <w:rPr>
          <w:rFonts w:ascii="Amiri" w:hAnsi="Amiri" w:eastAsia="Amiri" w:cs="Amiri"/>
          <w:color w:val="111111"/>
          <w:sz w:val="28"/>
          <w:sz w:val="28"/>
          <w:szCs w:val="28"/>
          <w:rtl w:val="true"/>
          <w:lang w:bidi="ar-SA"/>
        </w:rPr>
        <w:t xml:space="preserve">و لأجل ذلك خالف في الغسلين جماعة من الأفاضل مثل السيّد </w:t>
      </w:r>
      <w:r>
        <w:rPr>
          <w:rStyle w:val="FootnoteAnchor"/>
          <w:rtl w:val="true"/>
        </w:rPr>
        <w:footnoteReference w:id="2866"/>
      </w:r>
      <w:r>
        <w:rPr>
          <w:rFonts w:ascii="Amiri" w:hAnsi="Amiri" w:eastAsia="Amiri" w:cs="Amiri"/>
          <w:color w:val="111111"/>
          <w:sz w:val="28"/>
          <w:sz w:val="28"/>
          <w:szCs w:val="28"/>
          <w:rtl w:val="true"/>
          <w:lang w:bidi="ar-SA"/>
        </w:rPr>
        <w:t xml:space="preserve">و الحلّي </w:t>
      </w:r>
      <w:r>
        <w:rPr>
          <w:rStyle w:val="FootnoteAnchor"/>
          <w:rtl w:val="true"/>
        </w:rPr>
        <w:footnoteReference w:id="2867"/>
      </w:r>
      <w:r>
        <w:rPr>
          <w:rFonts w:ascii="Amiri" w:hAnsi="Amiri" w:eastAsia="Amiri" w:cs="Amiri"/>
          <w:color w:val="111111"/>
          <w:sz w:val="28"/>
          <w:sz w:val="28"/>
          <w:szCs w:val="28"/>
          <w:rtl w:val="true"/>
          <w:lang w:bidi="ar-SA"/>
        </w:rPr>
        <w:t>، بل هو ظاهر كلّ من أطلق الغسل فيهما، ولكن كلّ ذلك لا يفيد بعد الشهرة المحصلّة و يقين البراءة و قاعدة الاحتياط و إحراز الطهوريّة و ظهور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فكذلك عندنا من دون فرق؛ لما ذكرنا، و لضعف برهان المجوّز و إن كان الخلاف فيه أشدّ خصوصاً في الأخير، استناداً إلى عدم بيانه في البياني، و الأصل الجواز، و إلى صحيحَتي حمّاد بن عثمان </w:t>
      </w:r>
      <w:r>
        <w:rPr>
          <w:rStyle w:val="FootnoteAnchor"/>
          <w:rtl w:val="true"/>
        </w:rPr>
        <w:footnoteReference w:id="2868"/>
      </w:r>
      <w:r>
        <w:rPr>
          <w:rFonts w:ascii="Amiri" w:hAnsi="Amiri" w:eastAsia="Amiri" w:cs="Amiri"/>
          <w:color w:val="111111"/>
          <w:sz w:val="28"/>
          <w:sz w:val="28"/>
          <w:szCs w:val="28"/>
          <w:rtl w:val="true"/>
          <w:lang w:bidi="ar-SA"/>
        </w:rPr>
        <w:t xml:space="preserve">فيهما و رواية يونس </w:t>
      </w:r>
      <w:r>
        <w:rPr>
          <w:rStyle w:val="FootnoteAnchor"/>
          <w:rtl w:val="true"/>
        </w:rPr>
        <w:footnoteReference w:id="2869"/>
      </w:r>
      <w:r>
        <w:rPr>
          <w:rFonts w:ascii="Amiri" w:hAnsi="Amiri" w:eastAsia="Amiri" w:cs="Amiri"/>
          <w:color w:val="111111"/>
          <w:sz w:val="28"/>
          <w:sz w:val="28"/>
          <w:szCs w:val="28"/>
          <w:rtl w:val="true"/>
          <w:lang w:bidi="ar-SA"/>
        </w:rPr>
        <w:t>في خصوص الرّجلين، و لشهرة جوازه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الجميع ظاهر ممّا قدمنا، و الأصل فيه وجوب إحراز الطهور المبرئ للذمّة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خصوص مسح القَدَم قد يقال بقوّة دليله من حيث تنزيل كلّ ما أعمّه و الرأس من الأدلّة على خصوصه، بل الظاهر عدم تعدّد صحيحتي حمّاد و مناسبة الإقبال و الإدبار للقدم دونه، و مركّب الإجماع لم يثبت، فيقوى المنع فيه دون القدم؛ و الأحوط تجنّب ذلك فيهما كما اخترنا وفاقاً لجمع</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الدّروس </w:t>
      </w:r>
      <w:r>
        <w:rPr>
          <w:rStyle w:val="FootnoteAnchor"/>
          <w:rtl w:val="true"/>
        </w:rPr>
        <w:footnoteReference w:id="2870"/>
      </w:r>
      <w:r>
        <w:rPr>
          <w:rFonts w:ascii="Amiri" w:hAnsi="Amiri" w:eastAsia="Amiri" w:cs="Amiri"/>
          <w:color w:val="111111"/>
          <w:sz w:val="28"/>
          <w:sz w:val="28"/>
          <w:szCs w:val="28"/>
          <w:rtl w:val="true"/>
          <w:lang w:bidi="ar-SA"/>
        </w:rPr>
        <w:t>رجّح منع النكس في الرأس دون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استظهر الشارح منه فيه؛ فإن 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استقبال الشّعر على المشهور،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النكس في الرِّجْلَين على الأولى فيه، فلا وقع لما استظهره، بل لو عكس الترجيح لكان </w:t>
      </w:r>
      <w:bookmarkStart w:id="227" w:name="pg9146_86379"/>
    </w:p>
    <w:p>
      <w:pPr>
        <w:pStyle w:val="BookText"/>
        <w:rPr/>
      </w:pPr>
      <w:bookmarkEnd w:id="227"/>
      <w:r>
        <w:rPr>
          <w:rFonts w:ascii="Amiri" w:hAnsi="Amiri" w:eastAsia="Amiri" w:cs="Amiri"/>
          <w:color w:val="111111"/>
          <w:sz w:val="28"/>
          <w:sz w:val="28"/>
          <w:szCs w:val="28"/>
          <w:rtl w:val="true"/>
          <w:lang w:bidi="ar-SA"/>
        </w:rPr>
        <w:t xml:space="preserve">أجدر،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البيان</w:t>
      </w:r>
      <w:r>
        <w:rPr>
          <w:rFonts w:eastAsia="Amiri" w:cs="Amiri" w:ascii="Amiri" w:hAnsi="Amiri"/>
          <w:color w:val="111111"/>
          <w:sz w:val="28"/>
          <w:szCs w:val="28"/>
          <w:rtl w:val="true"/>
          <w:lang w:bidi="ar-SA"/>
        </w:rPr>
        <w:t xml:space="preserve">) </w:t>
      </w:r>
      <w:r>
        <w:rPr>
          <w:rStyle w:val="FootnoteAnchor"/>
          <w:rtl w:val="true"/>
        </w:rPr>
        <w:footnoteReference w:id="2871"/>
      </w:r>
      <w:r>
        <w:rPr>
          <w:rFonts w:ascii="Amiri" w:hAnsi="Amiri" w:eastAsia="Amiri" w:cs="Amiri"/>
          <w:color w:val="111111"/>
          <w:sz w:val="28"/>
          <w:sz w:val="28"/>
          <w:szCs w:val="28"/>
          <w:rtl w:val="true"/>
          <w:lang w:bidi="ar-SA"/>
        </w:rPr>
        <w:t xml:space="preserve">كذلك عندنا و عند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 و الأفضل الاستقبال في الرأس و في الرِّجلين، و لو نكس فالأقرب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الذكرى </w:t>
      </w:r>
      <w:r>
        <w:rPr>
          <w:rStyle w:val="FootnoteAnchor"/>
          <w:rtl w:val="true"/>
        </w:rPr>
        <w:footnoteReference w:id="2872"/>
      </w:r>
      <w:r>
        <w:rPr>
          <w:rFonts w:ascii="Amiri" w:hAnsi="Amiri" w:eastAsia="Amiri" w:cs="Amiri"/>
          <w:color w:val="111111"/>
          <w:sz w:val="28"/>
          <w:sz w:val="28"/>
          <w:szCs w:val="28"/>
          <w:rtl w:val="true"/>
          <w:lang w:bidi="ar-SA"/>
        </w:rPr>
        <w:t>، مستدلّاً بالخروج عن عهدة التكليف به يقيناً، و الدليل يقضي بهما، فلا وجه لتخصيصه بالثاني</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3322678_2870459653"/>
      <w:bookmarkStart w:id="229" w:name="_Toc77"/>
      <w:bookmarkEnd w:id="228"/>
      <w:r>
        <w:rPr>
          <w:rtl w:val="true"/>
        </w:rPr>
        <w:t>[</w:t>
      </w:r>
      <w:r>
        <w:rPr>
          <w:rtl w:val="true"/>
        </w:rPr>
        <w:t>الواجب الثالث</w:t>
      </w:r>
      <w:r>
        <w:rPr>
          <w:rtl w:val="true"/>
        </w:rPr>
        <w:t xml:space="preserve">: </w:t>
      </w:r>
      <w:r>
        <w:rPr>
          <w:rtl w:val="true"/>
        </w:rPr>
        <w:t>التّرتيب</w:t>
      </w:r>
      <w:r>
        <w:rPr>
          <w:rtl w:val="true"/>
        </w:rPr>
        <w:t>]</w:t>
      </w:r>
      <w:bookmarkEnd w:id="229"/>
    </w:p>
    <w:p>
      <w:pPr>
        <w:pStyle w:val="BookText"/>
        <w:rPr/>
      </w:pPr>
      <w:r>
        <w:rPr>
          <w:rFonts w:ascii="Amiri" w:hAnsi="Amiri" w:eastAsia="Amiri" w:cs="Amiri"/>
          <w:color w:val="111111"/>
          <w:sz w:val="28"/>
          <w:sz w:val="28"/>
          <w:szCs w:val="28"/>
          <w:rtl w:val="true"/>
          <w:lang w:bidi="ar-SA"/>
        </w:rPr>
        <w:t xml:space="preserve">كما أنّه لا يخرج عن العهدة أيضاً حتّى يفعل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التاء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تأكيد للدلالة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سابق كلامه، و عليه الإجماع </w:t>
      </w:r>
      <w:r>
        <w:rPr>
          <w:rStyle w:val="FootnoteAnchor"/>
          <w:rtl w:val="true"/>
        </w:rPr>
        <w:footnoteReference w:id="2873"/>
      </w:r>
      <w:r>
        <w:rPr>
          <w:rFonts w:ascii="Amiri" w:hAnsi="Amiri" w:eastAsia="Amiri" w:cs="Amiri"/>
          <w:color w:val="111111"/>
          <w:sz w:val="28"/>
          <w:sz w:val="28"/>
          <w:szCs w:val="28"/>
          <w:rtl w:val="true"/>
          <w:lang w:bidi="ar-SA"/>
        </w:rPr>
        <w:t xml:space="preserve">و السنّة </w:t>
      </w:r>
      <w:r>
        <w:rPr>
          <w:rStyle w:val="FootnoteAnchor"/>
          <w:rtl w:val="true"/>
        </w:rPr>
        <w:footnoteReference w:id="2874"/>
      </w:r>
      <w:r>
        <w:rPr>
          <w:rFonts w:ascii="Amiri" w:hAnsi="Amiri" w:eastAsia="Amiri" w:cs="Amiri"/>
          <w:color w:val="111111"/>
          <w:sz w:val="28"/>
          <w:sz w:val="28"/>
          <w:szCs w:val="28"/>
          <w:rtl w:val="true"/>
          <w:lang w:bidi="ar-SA"/>
        </w:rPr>
        <w:t xml:space="preserve">و الكتاب </w:t>
      </w:r>
      <w:r>
        <w:rPr>
          <w:rStyle w:val="FootnoteAnchor"/>
          <w:rtl w:val="true"/>
        </w:rPr>
        <w:footnoteReference w:id="2875"/>
      </w:r>
      <w:r>
        <w:rPr>
          <w:rFonts w:ascii="Amiri" w:hAnsi="Amiri" w:eastAsia="Amiri" w:cs="Amiri"/>
          <w:color w:val="111111"/>
          <w:sz w:val="28"/>
          <w:sz w:val="28"/>
          <w:szCs w:val="28"/>
          <w:rtl w:val="true"/>
          <w:lang w:bidi="ar-SA"/>
        </w:rPr>
        <w:t xml:space="preserve">إذا أفادت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الترتيب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أعضاء الغسل 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النيّة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يبتدئ بغسل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باليد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بمسح الرأس، ثمّ الرِّجل اليمنى ثمّ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عضو بعد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واحد أو أكثر من الأفعال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خطأ أو عمداً، إن جفّ ماؤه؛ لعدم إمكان تدارك الترتيب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الفاضل </w:t>
      </w:r>
      <w:r>
        <w:rPr>
          <w:rStyle w:val="FootnoteAnchor"/>
          <w:rtl w:val="true"/>
        </w:rPr>
        <w:footnoteReference w:id="2876"/>
      </w:r>
      <w:r>
        <w:rPr>
          <w:rFonts w:ascii="Amiri" w:hAnsi="Amiri" w:eastAsia="Amiri" w:cs="Amiri"/>
          <w:color w:val="111111"/>
          <w:sz w:val="28"/>
          <w:sz w:val="28"/>
          <w:szCs w:val="28"/>
          <w:rtl w:val="true"/>
          <w:lang w:bidi="ar-SA"/>
        </w:rPr>
        <w:t>الإعادة، و لعلّه لتعمّد نيّة خلافه في الابتداء،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بقي البَلَل 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يحصل به </w:t>
      </w:r>
      <w:r>
        <w:rPr>
          <w:rStyle w:val="FootnoteAnchor"/>
          <w:rtl w:val="true"/>
        </w:rPr>
        <w:footnoteReference w:id="2877"/>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نسي أو اعتمد المخالفة في الأثناء، فإذا قدّم شيئاً على شيء أعاد المتقدّم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استأنف على المشهور </w:t>
      </w:r>
      <w:r>
        <w:rPr>
          <w:rStyle w:val="FootnoteAnchor"/>
          <w:rtl w:val="true"/>
        </w:rPr>
        <w:footnoteReference w:id="2878"/>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منصور بن حازم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أنّك إذا غسلت شمالك قبل يمينك كان عليك أن تعيد على شمالك</w:t>
      </w:r>
      <w:r>
        <w:rPr>
          <w:rFonts w:eastAsia="Amiri" w:cs="Amiri" w:ascii="Amiri" w:hAnsi="Amiri"/>
          <w:color w:val="111111"/>
          <w:sz w:val="28"/>
          <w:szCs w:val="28"/>
          <w:rtl w:val="true"/>
          <w:lang w:bidi="ar-SA"/>
        </w:rPr>
        <w:t xml:space="preserve">»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كذا في موثّقة ابن أبي يعفور عن نوادر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بدأت بيسارك قبل يمينك و مسحت رأسك و رجليك ثمّ استيقنت بعدُ أنّك قد بدأتَ بها غسلت يسارك ثمّ مسحت رأسك و رجليك</w:t>
      </w:r>
      <w:r>
        <w:rPr>
          <w:rFonts w:eastAsia="IRNazanin" w:cs="IRNazanin"/>
          <w:color w:val="111111"/>
          <w:sz w:val="28"/>
          <w:szCs w:val="28"/>
          <w:rtl w:val="true"/>
          <w:lang w:bidi="fa-IR"/>
        </w:rPr>
        <w:t xml:space="preserve">» </w:t>
      </w:r>
      <w:r>
        <w:rPr>
          <w:rStyle w:val="FootnoteAnchor"/>
          <w:rtl w:val="true"/>
        </w:rPr>
        <w:footnoteReference w:id="2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قضى بعضها بأنّ تقديم المتأخِّر مفسد للباقي مطلقاً، فلو غسل ذراعيه قبل وجهه أعاد غسل وجهه و إن تمّ غسله مرّة أُخرى، و بذا نَطَقَت موثّقة أبي بصير </w:t>
      </w:r>
      <w:r>
        <w:rPr>
          <w:rStyle w:val="FootnoteAnchor"/>
          <w:rtl w:val="true"/>
        </w:rPr>
        <w:footnoteReference w:id="2881"/>
      </w:r>
      <w:r>
        <w:rPr>
          <w:rFonts w:ascii="Amiri" w:hAnsi="Amiri" w:eastAsia="Amiri" w:cs="Amiri"/>
          <w:color w:val="111111"/>
          <w:sz w:val="28"/>
          <w:sz w:val="28"/>
          <w:szCs w:val="28"/>
          <w:rtl w:val="true"/>
          <w:lang w:bidi="ar-SA"/>
        </w:rPr>
        <w:t>، و كذا باقي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ذيلها موافق للناس، فيوهن الركون إلى صدرها، و لا يجري فيه أصالة عدم التقيّة، فتحمل على الندب، أو أن تذكّر المتقدّم كان قبل غسله لا بعده، و ظاهر الصّدوق هو التخيير بين أن يعيد المقدّم و المؤخّر أو المقدّم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فيمن بدأ بيساره قبل يمينه أنّه يعيد على يمينه ثمّ يعيد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أنّه يعيد على يساره </w:t>
      </w:r>
      <w:r>
        <w:rPr>
          <w:rStyle w:val="FootnoteAnchor"/>
          <w:rtl w:val="true"/>
        </w:rPr>
        <w:footnoteReference w:id="28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الأوّل يجتزئ بغسل الوجه المؤخّر، ثمّ إذا لم يحصل خَلَل في النّية إمّا لجعلها الدّاعي أو الإخطار المستمرّ إلى غسله؛ فلو غسل اليسرى بعده ثمّ غسل اليمني أعاد غسل اليسرى و مسح بها؛ لاستهلاك بلّة وضوئه الصّحيح</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أسقط المصنّف في غير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كالدّروس و البيان و الذكرى </w:t>
      </w:r>
      <w:r>
        <w:rPr>
          <w:rStyle w:val="FootnoteAnchor"/>
          <w:rtl w:val="true"/>
        </w:rPr>
        <w:footnoteReference w:id="2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جعله في الأوّل أحوط؛ و يظهر من المقنعة </w:t>
      </w:r>
      <w:r>
        <w:rPr>
          <w:rStyle w:val="FootnoteAnchor"/>
          <w:rtl w:val="true"/>
        </w:rPr>
        <w:footnoteReference w:id="2884"/>
      </w:r>
      <w:r>
        <w:rPr>
          <w:rFonts w:ascii="Amiri" w:hAnsi="Amiri" w:eastAsia="Amiri" w:cs="Amiri"/>
          <w:color w:val="111111"/>
          <w:sz w:val="28"/>
          <w:sz w:val="28"/>
          <w:szCs w:val="28"/>
          <w:rtl w:val="true"/>
          <w:lang w:bidi="ar-SA"/>
        </w:rPr>
        <w:t xml:space="preserve">لزوم المعيّة فيهما، و ما </w:t>
      </w:r>
      <w:bookmarkStart w:id="230" w:name="pg9146_86381"/>
    </w:p>
    <w:p>
      <w:pPr>
        <w:pStyle w:val="BookText"/>
        <w:rPr/>
      </w:pPr>
      <w:bookmarkEnd w:id="230"/>
      <w:r>
        <w:rPr>
          <w:rFonts w:ascii="IRNazanin" w:hAnsi="IRNazanin" w:eastAsia="IRNazanin"/>
          <w:color w:val="111111"/>
          <w:sz w:val="28"/>
          <w:sz w:val="28"/>
          <w:szCs w:val="28"/>
          <w:rtl w:val="true"/>
          <w:lang w:bidi="fa-IR"/>
        </w:rPr>
        <w:t>حكم به هنا أبرأ للذّمة، و حسنة ابن مسلم تدلّ عليه، فعن الصادق علیه السلام فيها أنّه ذكر المسح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على رأسك و امسح على القدمين و ابدأ بالشقّ الأيمن</w:t>
      </w:r>
      <w:r>
        <w:rPr>
          <w:rFonts w:eastAsia="IRNazanin" w:cs="IRNazanin"/>
          <w:color w:val="111111"/>
          <w:sz w:val="28"/>
          <w:szCs w:val="28"/>
          <w:rtl w:val="true"/>
          <w:lang w:bidi="fa-IR"/>
        </w:rPr>
        <w:t xml:space="preserve">»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1" w:name="__RefHeading___Toc3322680_2870459653"/>
      <w:bookmarkStart w:id="232" w:name="_Toc78"/>
      <w:bookmarkEnd w:id="231"/>
      <w:r>
        <w:rPr>
          <w:rtl w:val="true"/>
        </w:rPr>
        <w:t>[</w:t>
      </w:r>
      <w:r>
        <w:rPr>
          <w:rtl w:val="true"/>
        </w:rPr>
        <w:t>الواجب الرّابع</w:t>
      </w:r>
      <w:r>
        <w:rPr>
          <w:rtl w:val="true"/>
        </w:rPr>
        <w:t xml:space="preserve">: </w:t>
      </w:r>
      <w:r>
        <w:rPr>
          <w:rtl w:val="true"/>
        </w:rPr>
        <w:t>الموالاة</w:t>
      </w:r>
      <w:r>
        <w:rPr>
          <w:rtl w:val="true"/>
        </w:rPr>
        <w:t>]</w:t>
      </w:r>
      <w:bookmarkEnd w:id="232"/>
    </w:p>
    <w:p>
      <w:pPr>
        <w:pStyle w:val="BookText"/>
        <w:rPr/>
      </w:pPr>
      <w:r>
        <w:rPr>
          <w:rFonts w:ascii="Amiri" w:hAnsi="Amiri" w:eastAsia="Amiri" w:cs="Amiri"/>
          <w:color w:val="111111"/>
          <w:sz w:val="28"/>
          <w:sz w:val="28"/>
          <w:szCs w:val="28"/>
          <w:rtl w:val="true"/>
          <w:lang w:bidi="ar-SA"/>
        </w:rPr>
        <w:t xml:space="preserve">و كيف كان، فيجب مضافاً إلى الترتيب أن يكون المتوضّي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لأفعال الوضوء، و الموالاة لغةً </w:t>
      </w:r>
      <w:r>
        <w:rPr>
          <w:rStyle w:val="FootnoteAnchor"/>
          <w:rtl w:val="true"/>
        </w:rPr>
        <w:footnoteReference w:id="2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يجفّ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المغسولة و الممسوحة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العضو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جَفّ بعضها لو تعدّد السّابق، بلا فرق بين المتّصل بالعضو الذي هو فيه أو المتّصل بالمتّصل به، أو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التعميم في إطلاقه للسابق على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بيانيّة لا للتبعيض، فيوافق ابن الجنيد </w:t>
      </w:r>
      <w:r>
        <w:rPr>
          <w:rStyle w:val="FootnoteAnchor"/>
          <w:rtl w:val="true"/>
        </w:rPr>
        <w:footnoteReference w:id="2887"/>
      </w:r>
      <w:r>
        <w:rPr>
          <w:rFonts w:ascii="Amiri" w:hAnsi="Amiri" w:eastAsia="Amiri" w:cs="Amiri"/>
          <w:color w:val="111111"/>
          <w:sz w:val="28"/>
          <w:sz w:val="28"/>
          <w:szCs w:val="28"/>
          <w:rtl w:val="true"/>
          <w:lang w:bidi="ar-SA"/>
        </w:rPr>
        <w:t xml:space="preserve">في عدم الموالاة مع جفاف بعض الأعضاء، لكن يوهنه القرينة على خلافه، فإنّه ليس بمشهور، و يمكن أن يكون الإطلاق لحالتي الاضطرار و الاختيار، و لا خلاف في إجزاء ذلك في الضرورة قطعاً، فيحمل تعليل المبسوط </w:t>
      </w:r>
      <w:r>
        <w:rPr>
          <w:rStyle w:val="FootnoteAnchor"/>
          <w:rtl w:val="true"/>
        </w:rPr>
        <w:footnoteReference w:id="2888"/>
      </w:r>
      <w:r>
        <w:rPr>
          <w:rFonts w:ascii="IRNazanin" w:hAnsi="IRNazanin" w:eastAsia="IRNazanin"/>
          <w:color w:val="111111"/>
          <w:sz w:val="28"/>
          <w:sz w:val="28"/>
          <w:szCs w:val="28"/>
          <w:rtl w:val="true"/>
          <w:lang w:bidi="fa-IR"/>
        </w:rPr>
        <w:t xml:space="preserve">و المعتبر </w:t>
      </w:r>
      <w:r>
        <w:rPr>
          <w:rStyle w:val="FootnoteAnchor"/>
          <w:rtl w:val="true"/>
        </w:rPr>
        <w:footnoteReference w:id="2889"/>
      </w:r>
      <w:r>
        <w:rPr>
          <w:rFonts w:ascii="IRNazanin" w:hAnsi="IRNazanin" w:eastAsia="IRNazanin"/>
          <w:color w:val="111111"/>
          <w:sz w:val="28"/>
          <w:sz w:val="28"/>
          <w:szCs w:val="28"/>
          <w:rtl w:val="true"/>
          <w:lang w:bidi="fa-IR"/>
        </w:rPr>
        <w:t xml:space="preserve">و المنتهى </w:t>
      </w:r>
      <w:r>
        <w:rPr>
          <w:rStyle w:val="FootnoteAnchor"/>
          <w:rtl w:val="true"/>
        </w:rPr>
        <w:footnoteReference w:id="2890"/>
      </w:r>
      <w:r>
        <w:rPr>
          <w:rFonts w:ascii="Amiri" w:hAnsi="Amiri" w:eastAsia="Amiri" w:cs="Amiri"/>
          <w:color w:val="111111"/>
          <w:sz w:val="28"/>
          <w:sz w:val="28"/>
          <w:szCs w:val="28"/>
          <w:rtl w:val="true"/>
          <w:lang w:bidi="ar-SA"/>
        </w:rPr>
        <w:t>لعدم جواز المسح في ما لو زال عذر الماسح على الخفّ بفوات الموالاة أنّهم أرادوا بالفوات الجفاف التي تفوت به الموالاة و إن كان المسح مع الجفاف مطلقاً لا يجوز، لكن لا مانع من التعبير عنه بفوات الموالاة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الاختيار فهو كذلك مجزٍ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أشهر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أقواها برهاناً، فلا يجب غير </w:t>
      </w:r>
    </w:p>
    <w:p>
      <w:pPr>
        <w:pStyle w:val="BookText"/>
        <w:rPr/>
      </w:pPr>
      <w:r>
        <w:rPr>
          <w:rFonts w:ascii="Amiri" w:hAnsi="Amiri" w:eastAsia="Amiri" w:cs="Amiri"/>
          <w:color w:val="111111"/>
          <w:sz w:val="28"/>
          <w:sz w:val="28"/>
          <w:szCs w:val="28"/>
          <w:rtl w:val="true"/>
          <w:lang w:bidi="ar-SA"/>
        </w:rPr>
        <w:t xml:space="preserve">ذلك لا شرطاً و لا شرعاً، و هو خيرة الجمل و العقود </w:t>
      </w:r>
      <w:r>
        <w:rPr>
          <w:rStyle w:val="FootnoteAnchor"/>
          <w:rtl w:val="true"/>
        </w:rPr>
        <w:footnoteReference w:id="2891"/>
      </w:r>
      <w:r>
        <w:rPr>
          <w:rFonts w:ascii="IRNazanin" w:hAnsi="IRNazanin" w:eastAsia="IRNazanin"/>
          <w:color w:val="111111"/>
          <w:sz w:val="28"/>
          <w:sz w:val="28"/>
          <w:szCs w:val="28"/>
          <w:rtl w:val="true"/>
          <w:lang w:bidi="fa-IR"/>
        </w:rPr>
        <w:t xml:space="preserve">و النافع </w:t>
      </w:r>
      <w:r>
        <w:rPr>
          <w:rStyle w:val="FootnoteAnchor"/>
          <w:rtl w:val="true"/>
        </w:rPr>
        <w:footnoteReference w:id="2892"/>
      </w:r>
      <w:r>
        <w:rPr>
          <w:rFonts w:ascii="Amiri" w:hAnsi="Amiri" w:eastAsia="Amiri" w:cs="Amiri"/>
          <w:color w:val="111111"/>
          <w:sz w:val="28"/>
          <w:sz w:val="28"/>
          <w:szCs w:val="28"/>
          <w:rtl w:val="true"/>
          <w:lang w:bidi="ar-SA"/>
        </w:rPr>
        <w:t xml:space="preserve">و المصنّف </w:t>
      </w:r>
      <w:r>
        <w:rPr>
          <w:rStyle w:val="FootnoteAnchor"/>
          <w:rtl w:val="true"/>
        </w:rPr>
        <w:footnoteReference w:id="2893"/>
      </w:r>
      <w:r>
        <w:rPr>
          <w:rFonts w:ascii="Amiri" w:hAnsi="Amiri" w:eastAsia="Amiri" w:cs="Amiri"/>
          <w:color w:val="111111"/>
          <w:sz w:val="28"/>
          <w:sz w:val="28"/>
          <w:szCs w:val="28"/>
          <w:rtl w:val="true"/>
          <w:lang w:bidi="ar-SA"/>
        </w:rPr>
        <w:t xml:space="preserve">في الثلاثة، بل عليه أكثر من تأخّر، فكأنّهم لاحظوا التواصل و عدم الانقطاع المأخوذ في معنى الموالاة لغةً و عرفاً بالنسبة إلى الأثر لا إلى تواصل الأفعال بعضها ببعض، خلافاً لمن اعتبر ذلك في حال الاختيار كالشيخين في المبسوط </w:t>
      </w:r>
      <w:r>
        <w:rPr>
          <w:rStyle w:val="FootnoteAnchor"/>
          <w:rtl w:val="true"/>
        </w:rPr>
        <w:footnoteReference w:id="2894"/>
      </w:r>
      <w:r>
        <w:rPr>
          <w:rFonts w:ascii="Amiri" w:hAnsi="Amiri" w:eastAsia="Amiri" w:cs="Amiri"/>
          <w:color w:val="111111"/>
          <w:sz w:val="28"/>
          <w:sz w:val="28"/>
          <w:szCs w:val="28"/>
          <w:rtl w:val="true"/>
          <w:lang w:bidi="ar-SA"/>
        </w:rPr>
        <w:t xml:space="preserve">و ظاهر المقنعة </w:t>
      </w:r>
      <w:r>
        <w:rPr>
          <w:rStyle w:val="FootnoteAnchor"/>
          <w:rtl w:val="true"/>
        </w:rPr>
        <w:footnoteReference w:id="2895"/>
      </w:r>
      <w:r>
        <w:rPr>
          <w:rFonts w:ascii="Amiri" w:hAnsi="Amiri" w:eastAsia="Amiri" w:cs="Amiri"/>
          <w:color w:val="111111"/>
          <w:sz w:val="28"/>
          <w:sz w:val="28"/>
          <w:szCs w:val="28"/>
          <w:rtl w:val="true"/>
          <w:lang w:bidi="ar-SA"/>
        </w:rPr>
        <w:t xml:space="preserve">و غيرهما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فالوضوء الاختياري عندهم مشروط بالمتابعة الحقيقيّة، و الاضطراري بعدم الجفاف، فلا يصحّ الأوّل بشرط الثاني و يصحّ الثاني بشرطه، و يظهر من الخلاف </w:t>
      </w:r>
      <w:r>
        <w:rPr>
          <w:rStyle w:val="FootnoteAnchor"/>
          <w:rtl w:val="true"/>
        </w:rPr>
        <w:footnoteReference w:id="2897"/>
      </w:r>
      <w:r>
        <w:rPr>
          <w:rFonts w:ascii="IRNazanin" w:hAnsi="IRNazanin" w:eastAsia="IRNazanin"/>
          <w:color w:val="111111"/>
          <w:sz w:val="28"/>
          <w:sz w:val="28"/>
          <w:szCs w:val="28"/>
          <w:rtl w:val="true"/>
          <w:lang w:bidi="fa-IR"/>
        </w:rPr>
        <w:t xml:space="preserve">و المعتبر </w:t>
      </w:r>
      <w:r>
        <w:rPr>
          <w:rStyle w:val="FootnoteAnchor"/>
          <w:rtl w:val="true"/>
        </w:rPr>
        <w:footnoteReference w:id="2898"/>
      </w:r>
      <w:r>
        <w:rPr>
          <w:rFonts w:ascii="Amiri" w:hAnsi="Amiri" w:eastAsia="Amiri" w:cs="Amiri"/>
          <w:color w:val="111111"/>
          <w:sz w:val="28"/>
          <w:sz w:val="28"/>
          <w:szCs w:val="28"/>
          <w:rtl w:val="true"/>
          <w:lang w:bidi="ar-SA"/>
        </w:rPr>
        <w:t xml:space="preserve">و غير واحدٍ من زبر الفاضل </w:t>
      </w:r>
      <w:r>
        <w:rPr>
          <w:rStyle w:val="FootnoteAnchor"/>
          <w:rtl w:val="true"/>
        </w:rPr>
        <w:footnoteReference w:id="2899"/>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الوضوء مع وجود شرط الثاني و إن كانت </w:t>
      </w:r>
      <w:r>
        <w:rPr>
          <w:rStyle w:val="FootnoteAnchor"/>
          <w:rtl w:val="true"/>
        </w:rPr>
        <w:footnoteReference w:id="2900"/>
      </w:r>
      <w:r>
        <w:rPr>
          <w:rFonts w:ascii="Amiri" w:hAnsi="Amiri" w:eastAsia="Amiri" w:cs="Amiri"/>
          <w:color w:val="111111"/>
          <w:sz w:val="28"/>
          <w:sz w:val="28"/>
          <w:szCs w:val="28"/>
          <w:rtl w:val="true"/>
          <w:lang w:bidi="ar-SA"/>
        </w:rPr>
        <w:t>الموالاة بالمعنى الثاني واجبة، لكن وجوبها مستقلّ غير معتبر في صحّة الوضوء، فتظهر الثمرة في الإثمّ و عدمه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2901"/>
      </w:r>
      <w:r>
        <w:rPr>
          <w:rFonts w:ascii="Amiri" w:hAnsi="Amiri" w:eastAsia="Amiri" w:cs="Amiri"/>
          <w:color w:val="111111"/>
          <w:sz w:val="28"/>
          <w:sz w:val="28"/>
          <w:szCs w:val="28"/>
          <w:rtl w:val="true"/>
          <w:lang w:bidi="ar-SA"/>
        </w:rPr>
        <w:t xml:space="preserve">بكفاية أحد الأمرين من المتابعة و مراعاة عدم الجفاف، فأيّهما حصل كفى في الموالاة، فلو تابع و جفّ السابق لم يخلّ كما لو فرّق و لم يجف السّابق، و بعضهم </w:t>
      </w:r>
      <w:r>
        <w:rPr>
          <w:rStyle w:val="FootnoteAnchor"/>
          <w:rtl w:val="true"/>
        </w:rPr>
        <w:footnoteReference w:id="2902"/>
      </w:r>
      <w:r>
        <w:rPr>
          <w:rFonts w:ascii="IRNazanin" w:hAnsi="IRNazanin" w:eastAsia="IRNazanin"/>
          <w:color w:val="111111"/>
          <w:sz w:val="28"/>
          <w:sz w:val="28"/>
          <w:szCs w:val="28"/>
          <w:rtl w:val="true"/>
          <w:lang w:bidi="fa-IR"/>
        </w:rPr>
        <w:t xml:space="preserve">راعى </w:t>
      </w:r>
    </w:p>
    <w:p>
      <w:pPr>
        <w:pStyle w:val="BookText"/>
        <w:rPr/>
      </w:pPr>
      <w:r>
        <w:rPr>
          <w:rFonts w:ascii="Amiri" w:hAnsi="Amiri" w:eastAsia="Amiri" w:cs="Amiri"/>
          <w:color w:val="111111"/>
          <w:sz w:val="28"/>
          <w:sz w:val="28"/>
          <w:szCs w:val="28"/>
          <w:rtl w:val="true"/>
          <w:lang w:bidi="ar-SA"/>
        </w:rPr>
        <w:t>الجفاف و عدمه بالعضو المتّصل دون غيره من الأعضاء، و الأقوى الأوَّل كما قرّرنا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ينافيه صحّة الوضوء بالتتابع الحقيقي أيضاً و إن ظنّ المصنّف في الذكرى أنّ الأخبار الكثيرة على خلافه، فإنّك ستعرف ما فيه، إذ بذا يجمع بين الأخبار من كون الوضوء لا يتبعّض، و من جواز أخذ البَلَل من اللّحية و الحاجب إذا تذكّر في أثناء الصلاة، فلا محيص عن القول بعموم المتابعة المعتبرة، لتواصل الأفعال بعضها ببعض، و لتواصلها من حيث الأثر بحيث يشرع في اللّاحق قبل محو أثر السابق مطلقاً، فأیّهما حصل كفى في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وضوءك بعضه بعضاً</w:t>
      </w:r>
      <w:r>
        <w:rPr>
          <w:rFonts w:eastAsia="IRNazanin" w:cs="IRNazanin"/>
          <w:color w:val="111111"/>
          <w:sz w:val="28"/>
          <w:szCs w:val="28"/>
          <w:rtl w:val="true"/>
          <w:lang w:bidi="fa-IR"/>
        </w:rPr>
        <w:t xml:space="preserve">» </w:t>
      </w:r>
      <w:r>
        <w:rPr>
          <w:rStyle w:val="FootnoteAnchor"/>
          <w:rtl w:val="true"/>
        </w:rPr>
        <w:footnoteReference w:id="2903"/>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لا يتبعّض</w:t>
      </w:r>
      <w:r>
        <w:rPr>
          <w:rFonts w:eastAsia="IRNazanin" w:cs="IRNazanin"/>
          <w:color w:val="111111"/>
          <w:sz w:val="28"/>
          <w:szCs w:val="28"/>
          <w:rtl w:val="true"/>
          <w:lang w:bidi="fa-IR"/>
        </w:rPr>
        <w:t xml:space="preserve">» </w:t>
      </w:r>
      <w:r>
        <w:rPr>
          <w:rStyle w:val="FootnoteAnchor"/>
          <w:rtl w:val="true"/>
        </w:rPr>
        <w:footnoteReference w:id="2904"/>
      </w:r>
      <w:r>
        <w:rPr>
          <w:rFonts w:ascii="Amiri" w:hAnsi="Amiri" w:eastAsia="Amiri" w:cs="Amiri"/>
          <w:color w:val="111111"/>
          <w:sz w:val="28"/>
          <w:sz w:val="28"/>
          <w:szCs w:val="28"/>
          <w:rtl w:val="true"/>
          <w:lang w:bidi="ar-SA"/>
        </w:rPr>
        <w:t xml:space="preserve">، إذا حملا على اشتراط المتابعة الحقيقيّة عارضهما ما قضى من الأخبار من أنّ </w:t>
      </w:r>
      <w:r>
        <w:rPr>
          <w:rStyle w:val="FootnoteAnchor"/>
          <w:rtl w:val="true"/>
        </w:rPr>
        <w:footnoteReference w:id="2905"/>
      </w:r>
      <w:r>
        <w:rPr>
          <w:rFonts w:ascii="Amiri" w:hAnsi="Amiri" w:eastAsia="Amiri" w:cs="Amiri"/>
          <w:color w:val="111111"/>
          <w:sz w:val="28"/>
          <w:sz w:val="28"/>
          <w:szCs w:val="28"/>
          <w:rtl w:val="true"/>
          <w:lang w:bidi="ar-SA"/>
        </w:rPr>
        <w:t>الناسي يأخذ من بَلَل لحيته و لو ذكر في حال الصلاة، فإنّ المتابعة هنا غير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إمّا تعميم المتابعة بمعنييها، أو قصرها على اعتبار عدم الجفاف حتّى يتفرّع عليه بطلان الوضوء مع الجفاف و المتابعة، لا سبيل إلى الثاني؛ لما فيه من سقوط المتابعة الحقيقيّة الظاهرة من لفظ المتابعة رأساً، و لا دليل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المتابعة في الآثار هنا أُعطيت حكم المتابعة تجوّزاً؛ إذ ليس ذلك من معناها و لم يثبت النقل فيها، فمطلقات الأخبار و الوضوءات البيانيّة تقتضي إرادة معناها الحقيقي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ظهر من بعض الأخبار </w:t>
      </w:r>
      <w:r>
        <w:rPr>
          <w:rStyle w:val="FootnoteAnchor"/>
          <w:rtl w:val="true"/>
        </w:rPr>
        <w:footnoteReference w:id="2906"/>
      </w:r>
      <w:r>
        <w:rPr>
          <w:rFonts w:ascii="Amiri" w:hAnsi="Amiri" w:eastAsia="Amiri" w:cs="Amiri"/>
          <w:color w:val="111111"/>
          <w:sz w:val="28"/>
          <w:sz w:val="28"/>
          <w:szCs w:val="28"/>
          <w:rtl w:val="true"/>
          <w:lang w:bidi="ar-SA"/>
        </w:rPr>
        <w:t xml:space="preserve">و كثير من عبائر </w:t>
      </w:r>
      <w:r>
        <w:rPr>
          <w:rStyle w:val="FootnoteAnchor"/>
          <w:rtl w:val="true"/>
        </w:rPr>
        <w:footnoteReference w:id="2907"/>
      </w:r>
      <w:r>
        <w:rPr>
          <w:rFonts w:ascii="Amiri" w:hAnsi="Amiri" w:eastAsia="Amiri" w:cs="Amiri"/>
          <w:color w:val="111111"/>
          <w:sz w:val="28"/>
          <w:sz w:val="28"/>
          <w:szCs w:val="28"/>
          <w:rtl w:val="true"/>
          <w:lang w:bidi="ar-SA"/>
        </w:rPr>
        <w:t xml:space="preserve">العلماء أنّ المتابعة هنا عدم الجفاف، و ظاهرهم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أنه</w:t>
      </w:r>
      <w:r>
        <w:rPr>
          <w:rFonts w:eastAsia="Amiri" w:cs="Amiri" w:ascii="Amiri" w:hAnsi="Amiri"/>
          <w:color w:val="111111"/>
          <w:sz w:val="28"/>
          <w:szCs w:val="28"/>
          <w:rtl w:val="true"/>
          <w:lang w:bidi="ar-SA"/>
        </w:rPr>
        <w:t xml:space="preserve">) </w:t>
      </w:r>
      <w:r>
        <w:rPr>
          <w:rStyle w:val="FootnoteAnchor"/>
          <w:rtl w:val="true"/>
        </w:rPr>
        <w:footnoteReference w:id="2908"/>
      </w:r>
      <w:r>
        <w:rPr>
          <w:rFonts w:ascii="Amiri" w:hAnsi="Amiri" w:eastAsia="Amiri" w:cs="Amiri"/>
          <w:color w:val="111111"/>
          <w:sz w:val="28"/>
          <w:sz w:val="28"/>
          <w:szCs w:val="28"/>
          <w:rtl w:val="true"/>
          <w:lang w:bidi="ar-SA"/>
        </w:rPr>
        <w:t xml:space="preserve">من معانيها لذلك جعلنا هذا المعنى مساوقاً لمعناها الحقيقي في المقام لا مطلقاً، فكان الأخذ بأيّ المعنيين مبرئاً للذّمة، و التحديد في خبر أبي بصير بالجفاف تحديد </w:t>
      </w:r>
    </w:p>
    <w:p>
      <w:pPr>
        <w:pStyle w:val="BookText"/>
        <w:rPr/>
      </w:pPr>
      <w:r>
        <w:rPr>
          <w:rFonts w:ascii="Amiri" w:hAnsi="Amiri" w:eastAsia="Amiri" w:cs="Amiri"/>
          <w:color w:val="111111"/>
          <w:sz w:val="28"/>
          <w:sz w:val="28"/>
          <w:szCs w:val="28"/>
          <w:rtl w:val="true"/>
          <w:lang w:bidi="ar-SA"/>
        </w:rPr>
        <w:t>لصورة فوات المتابعة بين الأفعال بتفريق الغسلات لا من حيث الجفاف و عدمه، و لم يثبت عندنا إجماع على الأخذ بأحد المعنيين بعد كون المجمعين مختلفين في المراد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وجوب اشتراطها في الوضوء في الجملة واجب و مجمع </w:t>
      </w:r>
      <w:r>
        <w:rPr>
          <w:rStyle w:val="FootnoteAnchor"/>
          <w:rtl w:val="true"/>
        </w:rPr>
        <w:footnoteReference w:id="2909"/>
      </w:r>
      <w:r>
        <w:rPr>
          <w:rFonts w:ascii="Amiri" w:hAnsi="Amiri" w:eastAsia="Amiri" w:cs="Amiri"/>
          <w:color w:val="111111"/>
          <w:sz w:val="28"/>
          <w:sz w:val="28"/>
          <w:szCs w:val="28"/>
          <w:rtl w:val="true"/>
          <w:lang w:bidi="ar-SA"/>
        </w:rPr>
        <w:t>عليه، و أمّا تشخيص المراد بها فيه فلم يثبت، فإنَّ كلّ فريق ذهب إلى معنىً نقل الإجماع عليه، و مقتضى التقابل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تبادر معناها الحقيقي من لفظها و من لفظ الموالاة الواقعة في كلامهم المنصرفة إلى التتابع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الأدلّة على لحوق المتابعة في الأثر أيضاً بها حكماً، و لا داعي لطرحها أو صرفها لحال الضّرورة بعد إمكان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حرّرنا لا يصدّك عن إبطال أدلّة بقيّة الأقوال 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في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فساد الوضوء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إنّه لولا برودة الهواء أو غَلَبَة البَلَل لَجَفَّ ما على الأعضاء، فيقدّر عدمه و يحكم بالبطلان كما يقدر عدم حرارة الهواء الموجبة لجفاف العضو، فيحكم بالصّحة مع الجفاف، و يكون الميزان و العبرة بالجفاف و عدمه هو زمان اعتدال الهواء، فالخارج عنهما لا عبرة به بعد تقدير الزّمان، فإنّ ذلك لا دليل عليه و إن قيّد في كثير من العبارات عدم الجفاف بصورة اعتدال الهواء</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غير واحد </w:t>
      </w:r>
      <w:r>
        <w:rPr>
          <w:rStyle w:val="FootnoteAnchor"/>
          <w:rtl w:val="true"/>
        </w:rPr>
        <w:footnoteReference w:id="2910"/>
      </w:r>
      <w:r>
        <w:rPr>
          <w:rFonts w:ascii="Amiri" w:hAnsi="Amiri" w:eastAsia="Amiri" w:cs="Amiri"/>
          <w:color w:val="111111"/>
          <w:sz w:val="28"/>
          <w:sz w:val="28"/>
          <w:szCs w:val="28"/>
          <w:rtl w:val="true"/>
          <w:lang w:bidi="ar-SA"/>
        </w:rPr>
        <w:t xml:space="preserve">من هذا القيد ذلك الميزان فحكموا بأنّ سرعة الجفاف لشدّة الحرارة لا تضرّ في الموالاة، و تأخيره لرطوبة الهواء لا تنفع، و المصنّف في الذّكرى </w:t>
      </w:r>
      <w:r>
        <w:rPr>
          <w:rStyle w:val="FootnoteAnchor"/>
          <w:rtl w:val="true"/>
        </w:rPr>
        <w:footnoteReference w:id="2911"/>
      </w:r>
      <w:r>
        <w:rPr>
          <w:rFonts w:ascii="Amiri" w:hAnsi="Amiri" w:eastAsia="Amiri" w:cs="Amiri"/>
          <w:color w:val="111111"/>
          <w:sz w:val="28"/>
          <w:sz w:val="28"/>
          <w:szCs w:val="28"/>
          <w:rtl w:val="true"/>
          <w:lang w:bidi="ar-SA"/>
        </w:rPr>
        <w:t>جعل القيد للاحتراز عن الإفراط في الحرارة فقط، فصحّح الوضوء مع بقاء البَلَل مطلقاً و مع الجفاف لشدّة الحرارة</w:t>
      </w:r>
      <w:r>
        <w:rPr>
          <w:rFonts w:eastAsia="Amiri" w:cs="Amiri" w:ascii="Amiri" w:hAnsi="Amiri"/>
          <w:color w:val="111111"/>
          <w:sz w:val="28"/>
          <w:szCs w:val="28"/>
          <w:rtl w:val="true"/>
          <w:lang w:bidi="ar-SA"/>
        </w:rPr>
        <w:t xml:space="preserve">. </w:t>
      </w:r>
      <w:bookmarkStart w:id="233" w:name="pg9146_86385"/>
    </w:p>
    <w:p>
      <w:pPr>
        <w:pStyle w:val="BookText"/>
        <w:rPr/>
      </w:pPr>
      <w:bookmarkEnd w:id="233"/>
      <w:r>
        <w:rPr>
          <w:rFonts w:ascii="Amiri" w:hAnsi="Amiri" w:eastAsia="Amiri" w:cs="Amiri"/>
          <w:color w:val="111111"/>
          <w:sz w:val="28"/>
          <w:sz w:val="28"/>
          <w:szCs w:val="28"/>
          <w:rtl w:val="true"/>
          <w:lang w:bidi="ar-SA"/>
        </w:rPr>
        <w:t xml:space="preserve">و الحقّ أنّ كلامهم في المقام لا يظهر منه الأمران ظهوراً بيّناً و إن حَدّدوا التّفريق المبطل بمقدار حصول الجفاف في معتدل الهواء؛ إذ كما يحتمل قصد المقدار النّوعي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إرادة الزمان الموازي لزمان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يمكن إرادة نفس الزّمان الشخصي للجفاف، فمرامهم بيان حكم بالتفريق مع اعتدال الهواء و ليس نظرهم إلى شيء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صرّحوا بالجفاف مع شدّة الحرارة لا عِبرَة به، فيُطالَبُون بالفرق بين المقامين، و يدفع بما حرّرنا من عدم منافاة الجفاف للمتابعة الحقيقيّة، فحكمهم بصحة الوضوء مع صحّة الجفاف للمتابعة لا لأنّ الميزان اعتدال الهواء فيدور الحكم مداره و يقدّر في غيره مطلقاً ليتمّ البطلان في التفريق مع بطء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بالجفاف و إن طال زمانه لكن لا بحيث يؤدِّي إلى التّهاون المرفوض في الشّريعة، و الاحتياط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بوجوب الموالاة بمعنييها على جهة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الوضوء في الإخلال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و المضطرّ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لعضو حتّى جَفّ السابق، أو لوجوب الموالاة، أو للموالاة، أو لبطلان الوضوء في الإخلال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بحكمها الشرعي، و هو وجوب الموالاة، أو الوضعي، و هو الشرطيّة؛ لقضاء إطلاق وجوبها بذلك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نهاية القول في واجبه</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3322682_2870459653"/>
      <w:bookmarkStart w:id="235" w:name="_Toc79"/>
      <w:bookmarkEnd w:id="234"/>
      <w:r>
        <w:rPr>
          <w:rtl w:val="true"/>
        </w:rPr>
        <w:t>[</w:t>
      </w:r>
      <w:r>
        <w:rPr>
          <w:rtl w:val="true"/>
        </w:rPr>
        <w:t>سنن الوضوء</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 و لعلّ جمع سننه مع أفراد واجبه هنا إيماء إلى تنزيل الواجبات منزلة الواجب الواحد من حيث عدم الإخلال بشيء منها و وجوب الإتيان بالجميع، بخلاف السّنن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دَلْك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بعُود و خرقة و 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لإزالة الوسخ الذي فيها، مخيّراً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الغصن الأخضر</w:t>
      </w:r>
      <w:r>
        <w:rPr>
          <w:rFonts w:eastAsia="Amiri" w:cs="Amiri" w:ascii="Amiri" w:hAnsi="Amiri"/>
          <w:color w:val="111111"/>
          <w:sz w:val="28"/>
          <w:szCs w:val="28"/>
          <w:rtl w:val="true"/>
          <w:lang w:bidi="ar-SA"/>
        </w:rPr>
        <w:t xml:space="preserve">) </w:t>
      </w:r>
      <w:bookmarkStart w:id="236" w:name="pg9146_86386"/>
    </w:p>
    <w:p>
      <w:pPr>
        <w:pStyle w:val="BookText"/>
        <w:rPr/>
      </w:pPr>
      <w:bookmarkEnd w:id="236"/>
      <w:r>
        <w:rPr>
          <w:rFonts w:ascii="Amiri" w:hAnsi="Amiri" w:eastAsia="Amiri" w:cs="Amiri"/>
          <w:color w:val="111111"/>
          <w:sz w:val="28"/>
          <w:sz w:val="28"/>
          <w:szCs w:val="28"/>
          <w:rtl w:val="true"/>
          <w:lang w:bidi="ar-SA"/>
        </w:rPr>
        <w:t xml:space="preserve">غير الطرفة؛ لورود النصّ بلفظ قضبان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القضبان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السّلف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 بسواكٍ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أهوى سواكا</w:t>
      </w:r>
    </w:p>
    <w:p>
      <w:pPr>
        <w:pStyle w:val="BookText"/>
        <w:rPr/>
      </w:pPr>
      <w:r>
        <w:rPr>
          <w:rFonts w:ascii="Amiri" w:hAnsi="Amiri" w:eastAsia="Amiri" w:cs="Amiri"/>
          <w:color w:val="111111"/>
          <w:sz w:val="28"/>
          <w:sz w:val="28"/>
          <w:szCs w:val="28"/>
          <w:rtl w:val="true"/>
          <w:lang w:bidi="ar-SA"/>
        </w:rPr>
        <w:t>لستُ أهوى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إِنَّما أهوى أراكا </w:t>
      </w:r>
      <w:r>
        <w:rPr>
          <w:rStyle w:val="FootnoteAnchor"/>
          <w:rtl w:val="true"/>
        </w:rPr>
        <w:footnoteReference w:id="2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لمُرِيْد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غسل الوضوء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و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المضمضة و الاستنشاق و غسل اليدين،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الندب أو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الوضوء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أو عن المندوب من أجزائه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شُرِّع لتكميل طهارة الصلاة الحاصل بالتقدّم و التأخّر</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3322684_2870459653"/>
      <w:bookmarkStart w:id="238" w:name="_Toc80"/>
      <w:bookmarkEnd w:id="237"/>
      <w:r>
        <w:rPr>
          <w:rtl w:val="true"/>
        </w:rPr>
        <w:t>[</w:t>
      </w:r>
      <w:r>
        <w:rPr>
          <w:rtl w:val="true"/>
        </w:rPr>
        <w:t>مواضع استحباب السواك</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السواك سُنّة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و غيره، و النّصوص ناطقة به إلَّا في الخلاء و الحمّام </w:t>
      </w:r>
      <w:r>
        <w:rPr>
          <w:rStyle w:val="FootnoteAnchor"/>
          <w:rtl w:val="true"/>
        </w:rPr>
        <w:footnoteReference w:id="2913"/>
      </w:r>
      <w:r>
        <w:rPr>
          <w:rFonts w:ascii="Amiri" w:hAnsi="Amiri" w:eastAsia="Amiri" w:cs="Amiri"/>
          <w:color w:val="111111"/>
          <w:sz w:val="28"/>
          <w:sz w:val="28"/>
          <w:szCs w:val="28"/>
          <w:rtl w:val="true"/>
          <w:lang w:bidi="ar-SA"/>
        </w:rPr>
        <w:t xml:space="preserve">، فجعله من سُنن الوضوء كما هنا فيه تسامحٌ، و المصنّف </w:t>
      </w:r>
      <w:r>
        <w:rPr>
          <w:rStyle w:val="FootnoteAnchor"/>
          <w:rtl w:val="true"/>
        </w:rPr>
        <w:footnoteReference w:id="2914"/>
      </w:r>
      <w:r>
        <w:rPr>
          <w:rFonts w:ascii="IRNazanin" w:hAnsi="IRNazanin" w:eastAsia="IRNazanin"/>
          <w:color w:val="111111"/>
          <w:sz w:val="28"/>
          <w:sz w:val="28"/>
          <w:szCs w:val="28"/>
          <w:rtl w:val="true"/>
          <w:lang w:bidi="fa-IR"/>
        </w:rPr>
        <w:t xml:space="preserve">لحق الفاضل </w:t>
      </w:r>
      <w:r>
        <w:rPr>
          <w:rStyle w:val="FootnoteAnchor"/>
          <w:rtl w:val="true"/>
        </w:rPr>
        <w:footnoteReference w:id="2915"/>
      </w:r>
      <w:r>
        <w:rPr>
          <w:rFonts w:ascii="Amiri" w:hAnsi="Amiri" w:eastAsia="Amiri" w:cs="Amiri"/>
          <w:color w:val="111111"/>
          <w:sz w:val="28"/>
          <w:sz w:val="28"/>
          <w:szCs w:val="28"/>
          <w:rtl w:val="true"/>
          <w:lang w:bidi="ar-SA"/>
        </w:rPr>
        <w:t>في كونه من سُنن الوضوء و الثمرة تظهر في 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بها الأخبار و أفتت بمضمونها الأخيار، و أحدهما يكفي في أدلّة السنن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حتّى غير الرافع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لروايَتي عبد الله بن ميمون القدّاح </w:t>
      </w:r>
      <w:r>
        <w:rPr>
          <w:rStyle w:val="FootnoteAnchor"/>
          <w:rtl w:val="true"/>
        </w:rPr>
        <w:footnoteReference w:id="2916"/>
      </w:r>
      <w:r>
        <w:rPr>
          <w:rFonts w:ascii="Amiri" w:hAnsi="Amiri" w:eastAsia="Amiri" w:cs="Amiri"/>
          <w:color w:val="111111"/>
          <w:sz w:val="28"/>
          <w:sz w:val="28"/>
          <w:szCs w:val="28"/>
          <w:rtl w:val="true"/>
          <w:lang w:bidi="ar-SA"/>
        </w:rPr>
        <w:t xml:space="preserve">، و صحيحة معاوية بن عمّار </w:t>
      </w:r>
      <w:r>
        <w:rPr>
          <w:rStyle w:val="FootnoteAnchor"/>
          <w:rtl w:val="true"/>
        </w:rPr>
        <w:footnoteReference w:id="2917"/>
      </w:r>
      <w:r>
        <w:rPr>
          <w:rFonts w:ascii="Amiri" w:hAnsi="Amiri" w:eastAsia="Amiri" w:cs="Amiri"/>
          <w:color w:val="111111"/>
          <w:sz w:val="28"/>
          <w:sz w:val="28"/>
          <w:szCs w:val="28"/>
          <w:rtl w:val="true"/>
          <w:lang w:bidi="ar-SA"/>
        </w:rPr>
        <w:t xml:space="preserve">، و غيرهما </w:t>
      </w:r>
      <w:r>
        <w:rPr>
          <w:rStyle w:val="FootnoteAnchor"/>
          <w:rtl w:val="true"/>
        </w:rPr>
        <w:footnoteReference w:id="29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اصفرار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لروايتي البرقي </w:t>
      </w:r>
      <w:r>
        <w:rPr>
          <w:rStyle w:val="FootnoteAnchor"/>
          <w:rtl w:val="true"/>
        </w:rPr>
        <w:footnoteReference w:id="29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كندبه في السحر و صلاة اللّيل؛ لروايتي الكليني </w:t>
      </w:r>
      <w:r>
        <w:rPr>
          <w:rStyle w:val="FootnoteAnchor"/>
          <w:rtl w:val="true"/>
        </w:rPr>
        <w:footnoteReference w:id="2920"/>
      </w:r>
      <w:r>
        <w:rPr>
          <w:rFonts w:ascii="Amiri" w:hAnsi="Amiri" w:eastAsia="Amiri" w:cs="Amiri"/>
          <w:color w:val="111111"/>
          <w:sz w:val="28"/>
          <w:sz w:val="28"/>
          <w:szCs w:val="28"/>
          <w:rtl w:val="true"/>
          <w:lang w:bidi="ar-SA"/>
        </w:rPr>
        <w:t xml:space="preserve">و معاوية بن وهب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من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و قيل </w:t>
      </w:r>
      <w:r>
        <w:rPr>
          <w:rStyle w:val="FootnoteAnchor"/>
          <w:rtl w:val="true"/>
        </w:rPr>
        <w:footnoteReference w:id="2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بوجوبها لنبويّ </w:t>
      </w:r>
      <w:r>
        <w:rPr>
          <w:rStyle w:val="FootnoteAnchor"/>
          <w:rtl w:val="true"/>
        </w:rPr>
        <w:footnoteReference w:id="2923"/>
      </w:r>
      <w:r>
        <w:rPr>
          <w:rFonts w:ascii="Amiri" w:hAnsi="Amiri" w:eastAsia="Amiri" w:cs="Amiri"/>
          <w:color w:val="111111"/>
          <w:sz w:val="28"/>
          <w:sz w:val="28"/>
          <w:szCs w:val="28"/>
          <w:rtl w:val="true"/>
          <w:lang w:bidi="ar-SA"/>
        </w:rPr>
        <w:t>مُرسَل أو محمول على الندب، فلا تخصيص بياني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المأثورة بالصحيح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يستحبّ إتباعها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2924"/>
      </w:r>
      <w:r>
        <w:rPr>
          <w:rFonts w:ascii="IRNazanin" w:hAnsi="IRNazanin" w:eastAsia="IRNazanin"/>
          <w:color w:val="111111"/>
          <w:sz w:val="28"/>
          <w:sz w:val="28"/>
          <w:szCs w:val="28"/>
          <w:rtl w:val="true"/>
          <w:lang w:bidi="fa-IR"/>
        </w:rPr>
        <w:t>لخبر زرارة عن الصادق علیه السلام، و في آخر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الحمد لله الذي جعل الماء طهوراً و لم يجعله نجساً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خير الأسماء و أكبر الأسماء الله، و قاهر من في السّماء، و قاهر مَن في الأرض، الحمدُ لله الذي جعل من الماء كل شيء حَيّ، و أحيى قلبي بالإيمان، اللهُمَّ تُب عَلَيَّ و طهّرني و اقض لي بالحُسنى و افتح عَلَيَّ بالخيرات من عندك يا سميع الدّعاء </w:t>
      </w:r>
      <w:r>
        <w:rPr>
          <w:rStyle w:val="FootnoteAnchor"/>
          <w:rtl w:val="true"/>
        </w:rPr>
        <w:footnoteReference w:id="2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أتى بأيّها أدّى السّنة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اقتصر على بسم الله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خامس </w:t>
      </w:r>
      <w:r>
        <w:rPr>
          <w:rStyle w:val="FootnoteAnchor"/>
          <w:rtl w:val="true"/>
        </w:rPr>
        <w:footnoteReference w:id="2927"/>
      </w:r>
      <w:r>
        <w:rPr>
          <w:rFonts w:ascii="Amiri" w:hAnsi="Amiri" w:eastAsia="Amiri" w:cs="Amiri"/>
          <w:color w:val="111111"/>
          <w:sz w:val="28"/>
          <w:sz w:val="28"/>
          <w:szCs w:val="28"/>
          <w:rtl w:val="true"/>
          <w:lang w:bidi="ar-SA"/>
        </w:rPr>
        <w:t xml:space="preserve">، و في اقتصاره على لفظ الجلالة فقط </w:t>
      </w:r>
    </w:p>
    <w:p>
      <w:pPr>
        <w:pStyle w:val="BookText"/>
        <w:rPr/>
      </w:pPr>
      <w:r>
        <w:rPr>
          <w:rFonts w:ascii="Amiri" w:hAnsi="Amiri" w:eastAsia="Amiri" w:cs="Amiri"/>
          <w:color w:val="111111"/>
          <w:sz w:val="28"/>
          <w:sz w:val="28"/>
          <w:szCs w:val="28"/>
          <w:rtl w:val="true"/>
          <w:lang w:bidi="ar-SA"/>
        </w:rPr>
        <w:t xml:space="preserve">إشكال؛ لظهور التسمية في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نسيها ابتداءً تداركها حيث ذَكَر قبل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نسيها في ابتدائه،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تركها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للفاضل حيث تردّد فيها في العَمد في النهاية </w:t>
      </w:r>
      <w:r>
        <w:rPr>
          <w:rStyle w:val="FootnoteAnchor"/>
          <w:rtl w:val="true"/>
        </w:rPr>
        <w:footnoteReference w:id="2928"/>
      </w:r>
      <w:r>
        <w:rPr>
          <w:rFonts w:ascii="Amiri" w:hAnsi="Amiri" w:eastAsia="Amiri" w:cs="Amiri"/>
          <w:color w:val="111111"/>
          <w:sz w:val="28"/>
          <w:sz w:val="28"/>
          <w:szCs w:val="28"/>
          <w:rtl w:val="true"/>
          <w:lang w:bidi="ar-SA"/>
        </w:rPr>
        <w:t>، و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فعلها خلال الطّهارة لم يأتِ بالمستحبّ </w:t>
      </w:r>
      <w:r>
        <w:rPr>
          <w:rStyle w:val="FootnoteAnchor"/>
          <w:rtl w:val="true"/>
        </w:rPr>
        <w:footnoteReference w:id="292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 منشأه إيرادها بنيّة ندبها في ذلك المحلّ، فحيث لم يتحقّق تلغى النّية، فإن قام القاطع على جواز ذكر الله في الصلاة مطلقاً لا مانع من الإتيان بها؛ للدليل، و إلَّا كانت من الزيادة، و جعلها في خلال فاتحة الكتاب أو السّورة أو غيرهما من الأجزاء مشكل كما قال فلا معنى لردّه بأنّ هذا التردّد كاد يكون بارداً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السنن الثابتة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الزّندين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أطراف الأصابع لا من المرفق؛ لإطلاق اليد عليه في التيمّم و الديّة، فيغسل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النّوم و 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أو أشتاتاً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مطلق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كالرّيح على المشهور </w:t>
      </w:r>
      <w:r>
        <w:rPr>
          <w:rStyle w:val="FootnoteAnchor"/>
          <w:rtl w:val="true"/>
        </w:rPr>
        <w:footnoteReference w:id="2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من أنّ مطلق الحَدَث لا غسل فيه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Style w:val="FootnoteAnchor"/>
          <w:rtl w:val="true"/>
        </w:rPr>
        <w:footnoteReference w:id="2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غسلهما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و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للإطلاق، و الاقتصار عليه في الصحيحة، بل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قطع في الذكرى </w:t>
      </w:r>
      <w:r>
        <w:rPr>
          <w:rStyle w:val="FootnoteAnchor"/>
          <w:rtl w:val="true"/>
        </w:rPr>
        <w:footnoteReference w:id="2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فإطلاقه الاثنين منفيّ بها مُثبت في صحيحة حريز </w:t>
      </w:r>
      <w:r>
        <w:rPr>
          <w:rStyle w:val="FootnoteAnchor"/>
          <w:rtl w:val="true"/>
        </w:rPr>
        <w:footnoteReference w:id="2933"/>
      </w:r>
      <w:r>
        <w:rPr>
          <w:rFonts w:ascii="Amiri" w:hAnsi="Amiri" w:eastAsia="Amiri" w:cs="Amiri"/>
          <w:color w:val="111111"/>
          <w:sz w:val="28"/>
          <w:sz w:val="28"/>
          <w:szCs w:val="28"/>
          <w:rtl w:val="true"/>
          <w:lang w:bidi="ar-SA"/>
        </w:rPr>
        <w:t xml:space="preserve">، و حملها من جهة غلبة اجتماع البول و الغائط كحمل رواية ابن سنان </w:t>
      </w:r>
      <w:r>
        <w:rPr>
          <w:rStyle w:val="FootnoteAnchor"/>
          <w:rtl w:val="true"/>
        </w:rPr>
        <w:footnoteReference w:id="2934"/>
      </w:r>
      <w:r>
        <w:rPr>
          <w:rFonts w:ascii="Amiri" w:hAnsi="Amiri" w:eastAsia="Amiri" w:cs="Amiri"/>
          <w:color w:val="111111"/>
          <w:sz w:val="28"/>
          <w:sz w:val="28"/>
          <w:szCs w:val="28"/>
          <w:rtl w:val="true"/>
          <w:lang w:bidi="ar-SA"/>
        </w:rPr>
        <w:t>على ذكر أقلّ المستحبّ بعيدٌ فيهما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Style w:val="FootnoteAnchor"/>
          <w:rtl w:val="true"/>
        </w:rPr>
        <w:footnoteReference w:id="2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Style w:val="FootnoteAnchor"/>
          <w:rtl w:val="true"/>
        </w:rPr>
        <w:footnoteReference w:id="293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Style w:val="FootnoteAnchor"/>
          <w:rtl w:val="true"/>
        </w:rPr>
        <w:footnoteReference w:id="29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 xml:space="preserve">) </w:t>
      </w:r>
      <w:r>
        <w:rPr>
          <w:rStyle w:val="FootnoteAnchor"/>
          <w:rtl w:val="true"/>
        </w:rPr>
        <w:footnoteReference w:id="2938"/>
      </w:r>
      <w:r>
        <w:rPr>
          <w:rFonts w:ascii="Amiri" w:hAnsi="Amiri" w:eastAsia="Amiri" w:cs="Amiri"/>
          <w:color w:val="111111"/>
          <w:sz w:val="28"/>
          <w:sz w:val="28"/>
          <w:szCs w:val="28"/>
          <w:rtl w:val="true"/>
          <w:lang w:bidi="ar-SA"/>
        </w:rPr>
        <w:t xml:space="preserve">و لم أعثر عليه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إلى المشهور، و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لوجوده في النّصوص </w:t>
      </w:r>
      <w:r>
        <w:rPr>
          <w:rStyle w:val="FootnoteAnchor"/>
          <w:rtl w:val="true"/>
        </w:rPr>
        <w:footnoteReference w:id="2939"/>
      </w:r>
      <w:r>
        <w:rPr>
          <w:rFonts w:ascii="Amiri" w:hAnsi="Amiri" w:eastAsia="Amiri" w:cs="Amiri"/>
          <w:color w:val="111111"/>
          <w:sz w:val="28"/>
          <w:sz w:val="28"/>
          <w:szCs w:val="28"/>
          <w:rtl w:val="true"/>
          <w:lang w:bidi="ar-SA"/>
        </w:rPr>
        <w:t xml:space="preserve">، فلو انفرد كلّ من الثلاثة لحقه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اجتمعت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تداخلت إن تساوَت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النّدبي مثل اجتماع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كأحدهما و الغائط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الأقلّ تحت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لامتناع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 في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إدخالهما الإناء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يندب وضعه على اليمين و الاغتراف بها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الاغتراف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القبليّة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لرفع </w:t>
      </w:r>
      <w:r>
        <w:rPr>
          <w:rStyle w:val="FootnoteAnchor"/>
          <w:rtl w:val="true"/>
        </w:rPr>
        <w:footnoteReference w:id="2940"/>
      </w:r>
      <w:r>
        <w:rPr>
          <w:rFonts w:ascii="Amiri" w:hAnsi="Amiri" w:eastAsia="Amiri" w:cs="Amiri"/>
          <w:color w:val="111111"/>
          <w:sz w:val="28"/>
          <w:sz w:val="28"/>
          <w:szCs w:val="28"/>
          <w:rtl w:val="true"/>
          <w:lang w:bidi="ar-SA"/>
        </w:rPr>
        <w:t>النّجاسة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 ندبيّة الغسل به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لروايتي الحلبي </w:t>
      </w:r>
      <w:r>
        <w:rPr>
          <w:rStyle w:val="FootnoteAnchor"/>
          <w:rtl w:val="true"/>
        </w:rPr>
        <w:footnoteReference w:id="2941"/>
      </w:r>
      <w:r>
        <w:rPr>
          <w:rFonts w:ascii="Amiri" w:hAnsi="Amiri" w:eastAsia="Amiri" w:cs="Amiri"/>
          <w:color w:val="111111"/>
          <w:sz w:val="28"/>
          <w:sz w:val="28"/>
          <w:szCs w:val="28"/>
          <w:rtl w:val="true"/>
          <w:lang w:bidi="ar-SA"/>
        </w:rPr>
        <w:t xml:space="preserve">و عبد الكريم </w:t>
      </w:r>
      <w:r>
        <w:rPr>
          <w:rStyle w:val="FootnoteAnchor"/>
          <w:rtl w:val="true"/>
        </w:rPr>
        <w:footnoteReference w:id="2942"/>
      </w:r>
      <w:r>
        <w:rPr>
          <w:rFonts w:ascii="Amiri" w:hAnsi="Amiri" w:eastAsia="Amiri" w:cs="Amiri"/>
          <w:color w:val="111111"/>
          <w:sz w:val="28"/>
          <w:sz w:val="28"/>
          <w:szCs w:val="28"/>
          <w:rtl w:val="true"/>
          <w:lang w:bidi="ar-SA"/>
        </w:rPr>
        <w:t>، و بهما يثبت تقدّمه على سائر الأفعال لو فقد الإناء أيضاً؛ إذ لا يزول التقدّم بزوال الإدخال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المتوضّأ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المصنّف في الثلاثة </w:t>
      </w:r>
      <w:r>
        <w:rPr>
          <w:rStyle w:val="FootnoteAnchor"/>
          <w:rtl w:val="true"/>
        </w:rPr>
        <w:footnoteReference w:id="29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في المنتهى </w:t>
      </w:r>
      <w:r>
        <w:rPr>
          <w:rStyle w:val="FootnoteAnchor"/>
          <w:rtl w:val="true"/>
        </w:rPr>
        <w:footnoteReference w:id="2944"/>
      </w:r>
      <w:r>
        <w:rPr>
          <w:rFonts w:ascii="Amiri" w:hAnsi="Amiri" w:eastAsia="Amiri" w:cs="Amiri"/>
          <w:color w:val="111111"/>
          <w:sz w:val="28"/>
          <w:sz w:val="28"/>
          <w:szCs w:val="28"/>
          <w:rtl w:val="true"/>
          <w:lang w:bidi="ar-SA"/>
        </w:rPr>
        <w:t xml:space="preserve">و ظاهراً في غيره </w:t>
      </w:r>
      <w:r>
        <w:rPr>
          <w:rStyle w:val="FootnoteAnchor"/>
          <w:rtl w:val="true"/>
        </w:rPr>
        <w:footnoteReference w:id="2945"/>
      </w:r>
      <w:r>
        <w:rPr>
          <w:rFonts w:ascii="Amiri" w:hAnsi="Amiri" w:eastAsia="Amiri" w:cs="Amiri"/>
          <w:color w:val="111111"/>
          <w:sz w:val="28"/>
          <w:sz w:val="28"/>
          <w:szCs w:val="28"/>
          <w:rtl w:val="true"/>
          <w:lang w:bidi="ar-SA"/>
        </w:rPr>
        <w:t>للتصريح في الصحيح إنّه قبل إدخالها الإناء، و لكلّ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إدخال الماء الفَم و إدارته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مجّه أم لا، و الأفضل أن يبالغ في إبلاغ الماء إلى جميع أطراف الفم مع إمرار الإبهام و الوسطى على الأسنان، إلَّا في الصّائم فلا يبلغه إلى أقصى الحنك، و في بعض الأخبار </w:t>
      </w:r>
      <w:r>
        <w:rPr>
          <w:rStyle w:val="FootnoteAnchor"/>
          <w:rtl w:val="true"/>
        </w:rPr>
        <w:footnoteReference w:id="2946"/>
      </w:r>
      <w:r>
        <w:rPr>
          <w:rFonts w:ascii="IRNazanin" w:hAnsi="IRNazanin" w:eastAsia="IRNazanin"/>
          <w:color w:val="111111"/>
          <w:sz w:val="28"/>
          <w:sz w:val="28"/>
          <w:szCs w:val="28"/>
          <w:rtl w:val="true"/>
          <w:lang w:bidi="fa-IR"/>
        </w:rPr>
        <w:t>لا تندب للصائم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الاستنشاق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جذبه إلى داخل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ينبغي المبالغة فيه بالإبلاغ إلى أقصى المنخر إلَّا المستثنى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تثليثهما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الأصحاب </w:t>
      </w:r>
      <w:r>
        <w:rPr>
          <w:rStyle w:val="FootnoteAnchor"/>
          <w:rtl w:val="true"/>
        </w:rPr>
        <w:footnoteReference w:id="2947"/>
      </w:r>
      <w:r>
        <w:rPr>
          <w:rFonts w:ascii="Amiri" w:hAnsi="Amiri" w:eastAsia="Amiri" w:cs="Amiri"/>
          <w:color w:val="111111"/>
          <w:sz w:val="28"/>
          <w:sz w:val="28"/>
          <w:szCs w:val="28"/>
          <w:rtl w:val="true"/>
          <w:lang w:bidi="ar-SA"/>
        </w:rPr>
        <w:t xml:space="preserve">و نفوا فيه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يفعل كلّ واحد منهما ثلاثاً و لو بغرفة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أبلغ في التنظيف، و أفضل منه إذا كانت بسّتٍ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يستحبّ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أجمع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للترتيب الذكري </w:t>
      </w:r>
      <w:r>
        <w:rPr>
          <w:rStyle w:val="FootnoteAnchor"/>
          <w:rtl w:val="true"/>
        </w:rPr>
        <w:footnoteReference w:id="2948"/>
      </w:r>
      <w:r>
        <w:rPr>
          <w:rFonts w:ascii="IRNazanin" w:hAnsi="IRNazanin" w:eastAsia="IRNazanin"/>
          <w:color w:val="111111"/>
          <w:sz w:val="28"/>
          <w:sz w:val="28"/>
          <w:szCs w:val="28"/>
          <w:rtl w:val="true"/>
          <w:lang w:bidi="fa-IR"/>
        </w:rPr>
        <w:t xml:space="preserve">، و لوضوء أمير المؤمنين علیه السلام </w:t>
      </w:r>
      <w:r>
        <w:rPr>
          <w:rStyle w:val="FootnoteAnchor"/>
          <w:rtl w:val="true"/>
        </w:rPr>
        <w:footnoteReference w:id="29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ذلك من كلام المصنّف هنا؛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بالواو لا يقتضيه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لا تدلّ على الترتيب، و يحتمل عود الضمير إلى تقديمه فيفيد إنكار الترتيب ردّاً على معتبره، بتقرير أنّ العطف وقع بالواو في الأخبار </w:t>
      </w:r>
      <w:r>
        <w:rPr>
          <w:rStyle w:val="FootnoteAnchor"/>
          <w:rtl w:val="true"/>
        </w:rPr>
        <w:footnoteReference w:id="2950"/>
      </w:r>
      <w:r>
        <w:rPr>
          <w:rFonts w:ascii="Amiri" w:hAnsi="Amiri" w:eastAsia="Amiri" w:cs="Amiri"/>
          <w:color w:val="111111"/>
          <w:sz w:val="28"/>
          <w:sz w:val="28"/>
          <w:szCs w:val="28"/>
          <w:rtl w:val="true"/>
          <w:lang w:bidi="ar-SA"/>
        </w:rPr>
        <w:t>و هو لا يوجبه، لكنّه مبيّن بما وقع بها بثم، فيؤخذ به و إن ضعف سنداً؛ للتسامح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تثنية </w:t>
      </w:r>
      <w:r>
        <w:rPr>
          <w:rStyle w:val="FootnoteAnchor"/>
          <w:rtl w:val="true"/>
        </w:rPr>
        <w:footnoteReference w:id="2951"/>
      </w:r>
      <w:r>
        <w:rPr>
          <w:rFonts w:ascii="Amiri" w:hAnsi="Amiri" w:eastAsia="Amiri" w:cs="Amiri"/>
          <w:color w:val="111111"/>
          <w:sz w:val="28"/>
          <w:sz w:val="28"/>
          <w:szCs w:val="28"/>
          <w:rtl w:val="true"/>
          <w:lang w:bidi="ar-SA"/>
        </w:rPr>
        <w:t>الغسلات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و هي فعلها مرّة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تمام الغسلة الأُولى </w:t>
      </w:r>
    </w:p>
    <w:p>
      <w:pPr>
        <w:pStyle w:val="BookText"/>
        <w:rPr/>
      </w:pP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عليه الإجماع بلسان الحلّي رحمه الله </w:t>
      </w:r>
      <w:r>
        <w:rPr>
          <w:rStyle w:val="FootnoteAnchor"/>
          <w:rtl w:val="true"/>
        </w:rPr>
        <w:footnoteReference w:id="2952"/>
      </w:r>
      <w:r>
        <w:rPr>
          <w:rFonts w:ascii="Amiri" w:hAnsi="Amiri" w:eastAsia="Amiri" w:cs="Amiri"/>
          <w:color w:val="111111"/>
          <w:sz w:val="28"/>
          <w:sz w:val="28"/>
          <w:szCs w:val="28"/>
          <w:rtl w:val="true"/>
          <w:lang w:bidi="ar-SA"/>
        </w:rPr>
        <w:t xml:space="preserve">، و لصحيحة ابن وهب </w:t>
      </w:r>
      <w:r>
        <w:rPr>
          <w:rStyle w:val="FootnoteAnchor"/>
          <w:rtl w:val="true"/>
        </w:rPr>
        <w:footnoteReference w:id="2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مثنى 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أنكرها الصدوق </w:t>
      </w:r>
      <w:r>
        <w:rPr>
          <w:rStyle w:val="FootnoteAnchor"/>
          <w:rtl w:val="true"/>
        </w:rPr>
        <w:footnoteReference w:id="2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الكليني </w:t>
      </w:r>
      <w:r>
        <w:rPr>
          <w:rStyle w:val="FootnoteAnchor"/>
          <w:rtl w:val="true"/>
        </w:rPr>
        <w:footnoteReference w:id="2956"/>
      </w:r>
      <w:r>
        <w:rPr>
          <w:rFonts w:ascii="IRNazanin" w:hAnsi="IRNazanin" w:eastAsia="IRNazanin"/>
          <w:color w:val="111111"/>
          <w:sz w:val="28"/>
          <w:sz w:val="28"/>
          <w:szCs w:val="28"/>
          <w:rtl w:val="true"/>
          <w:lang w:bidi="fa-IR"/>
        </w:rPr>
        <w:t>رحمهما الله؛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وضوء رسول</w:t>
      </w:r>
    </w:p>
    <w:p>
      <w:pPr>
        <w:pStyle w:val="BookText"/>
        <w:rPr/>
      </w:pPr>
      <w:r>
        <w:rPr>
          <w:rFonts w:ascii="Amiri" w:hAnsi="Amiri" w:eastAsia="Amiri" w:cs="Amiri"/>
          <w:color w:val="111111"/>
          <w:sz w:val="28"/>
          <w:sz w:val="28"/>
          <w:szCs w:val="28"/>
          <w:rtl w:val="true"/>
          <w:lang w:bidi="ar-SA"/>
        </w:rPr>
        <w:t>الله صلّی الله علیه وآله إلَّا مرّة</w:t>
      </w:r>
      <w:r>
        <w:rPr>
          <w:rFonts w:eastAsia="Amiri" w:cs="Amiri" w:ascii="Amiri" w:hAnsi="Amiri"/>
          <w:color w:val="111111"/>
          <w:sz w:val="28"/>
          <w:szCs w:val="28"/>
          <w:rtl w:val="true"/>
          <w:lang w:bidi="ar-SA"/>
        </w:rPr>
        <w:t xml:space="preserve">» </w:t>
      </w:r>
      <w:r>
        <w:rPr>
          <w:rStyle w:val="FootnoteAnchor"/>
          <w:rtl w:val="true"/>
        </w:rPr>
        <w:footnoteReference w:id="2957"/>
      </w:r>
      <w:r>
        <w:rPr>
          <w:rFonts w:ascii="Amiri" w:hAnsi="Amiri" w:eastAsia="Amiri" w:cs="Amiri"/>
          <w:color w:val="111111"/>
          <w:sz w:val="28"/>
          <w:sz w:val="28"/>
          <w:szCs w:val="28"/>
          <w:rtl w:val="true"/>
          <w:lang w:bidi="ar-SA"/>
        </w:rPr>
        <w:t>، و لرواية يونس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للصلاة؟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مرّة</w:t>
      </w:r>
      <w:r>
        <w:rPr>
          <w:rFonts w:eastAsia="Amiri" w:cs="Amiri" w:ascii="Amiri" w:hAnsi="Amiri"/>
          <w:color w:val="111111"/>
          <w:sz w:val="28"/>
          <w:szCs w:val="28"/>
          <w:rtl w:val="true"/>
          <w:lang w:bidi="ar-SA"/>
        </w:rPr>
        <w:t xml:space="preserve">» </w:t>
      </w:r>
      <w:r>
        <w:rPr>
          <w:rStyle w:val="FootnoteAnchor"/>
          <w:rtl w:val="true"/>
        </w:rPr>
        <w:footnoteReference w:id="2958"/>
      </w:r>
      <w:r>
        <w:rPr>
          <w:rFonts w:ascii="Amiri" w:hAnsi="Amiri" w:eastAsia="Amiri" w:cs="Amiri"/>
          <w:color w:val="111111"/>
          <w:sz w:val="28"/>
          <w:sz w:val="28"/>
          <w:szCs w:val="28"/>
          <w:rtl w:val="true"/>
          <w:lang w:bidi="ar-SA"/>
        </w:rPr>
        <w:t xml:space="preserve">، و خبر ميسرة </w:t>
      </w:r>
      <w:r>
        <w:rPr>
          <w:rStyle w:val="FootnoteAnchor"/>
          <w:rtl w:val="true"/>
        </w:rPr>
        <w:footnoteReference w:id="2959"/>
      </w:r>
      <w:r>
        <w:rPr>
          <w:rFonts w:ascii="IRNazanin" w:hAnsi="IRNazanin" w:eastAsia="IRNazanin"/>
          <w:color w:val="111111"/>
          <w:sz w:val="28"/>
          <w:sz w:val="28"/>
          <w:szCs w:val="28"/>
          <w:rtl w:val="true"/>
          <w:lang w:bidi="fa-IR"/>
        </w:rPr>
        <w:t xml:space="preserve">و حمّاد بن عثمان </w:t>
      </w:r>
      <w:r>
        <w:rPr>
          <w:rStyle w:val="FootnoteAnchor"/>
          <w:rtl w:val="true"/>
        </w:rPr>
        <w:footnoteReference w:id="2960"/>
      </w:r>
      <w:r>
        <w:rPr>
          <w:rFonts w:ascii="Amiri" w:hAnsi="Amiri" w:eastAsia="Amiri" w:cs="Amiri"/>
          <w:color w:val="111111"/>
          <w:sz w:val="28"/>
          <w:sz w:val="28"/>
          <w:szCs w:val="28"/>
          <w:rtl w:val="true"/>
          <w:lang w:bidi="ar-SA"/>
        </w:rPr>
        <w:t xml:space="preserve">و عبد الكريم </w:t>
      </w:r>
      <w:r>
        <w:rPr>
          <w:rStyle w:val="FootnoteAnchor"/>
          <w:rtl w:val="true"/>
        </w:rPr>
        <w:footnoteReference w:id="2961"/>
      </w:r>
      <w:r>
        <w:rPr>
          <w:rFonts w:ascii="Amiri" w:hAnsi="Amiri" w:eastAsia="Amiri" w:cs="Amiri"/>
          <w:color w:val="111111"/>
          <w:sz w:val="28"/>
          <w:sz w:val="28"/>
          <w:szCs w:val="28"/>
          <w:rtl w:val="true"/>
          <w:lang w:bidi="ar-SA"/>
        </w:rPr>
        <w:t>، و هو الأقوى إن لم يقم على التعدّد إجماع، نعم، لا ريب في ندبيّة تحصيل الإسباغ بغرفتين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عند كلّ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الأفعال الواجبة و المتقدِّمة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الفراغ بأوّل آية من الفاتحة أو آية الكرسيّ أو القَدْر مخيّراً بينها، و الجمع أفضل مع المأثور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بدأة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غسل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بالبطن، عكس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السُّنة لها البدأة بالبطن و الختم بالظهر، كذا ذكره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المبسوط </w:t>
      </w:r>
      <w:r>
        <w:rPr>
          <w:rStyle w:val="FootnoteAnchor"/>
          <w:rtl w:val="true"/>
        </w:rPr>
        <w:footnoteReference w:id="29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عليه المصنّف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البيان </w:t>
      </w:r>
      <w:r>
        <w:rPr>
          <w:rStyle w:val="FootnoteAnchor"/>
          <w:rtl w:val="true"/>
        </w:rPr>
        <w:footnoteReference w:id="2963"/>
      </w:r>
      <w:r>
        <w:rPr>
          <w:rFonts w:ascii="Amiri" w:hAnsi="Amiri" w:eastAsia="Amiri" w:cs="Amiri"/>
          <w:color w:val="111111"/>
          <w:sz w:val="28"/>
          <w:sz w:val="28"/>
          <w:szCs w:val="28"/>
          <w:rtl w:val="true"/>
          <w:lang w:bidi="ar-SA"/>
        </w:rPr>
        <w:t xml:space="preserve">و الدّروس </w:t>
      </w:r>
      <w:r>
        <w:rPr>
          <w:rStyle w:val="FootnoteAnchor"/>
          <w:rtl w:val="true"/>
        </w:rPr>
        <w:footnoteReference w:id="2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زهرة </w:t>
      </w:r>
      <w:r>
        <w:rPr>
          <w:rStyle w:val="FootnoteAnchor"/>
          <w:rtl w:val="true"/>
        </w:rPr>
        <w:footnoteReference w:id="2965"/>
      </w:r>
      <w:r>
        <w:rPr>
          <w:rFonts w:ascii="Amiri" w:hAnsi="Amiri" w:eastAsia="Amiri" w:cs="Amiri"/>
          <w:color w:val="111111"/>
          <w:sz w:val="28"/>
          <w:sz w:val="28"/>
          <w:szCs w:val="28"/>
          <w:rtl w:val="true"/>
          <w:lang w:bidi="ar-SA"/>
        </w:rPr>
        <w:t xml:space="preserve">و إدريس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البدأة لهما بما ذكر فللنّص، و أمّا العكس في الثانية؛ فلأنّ المقصود منها الإسباغ و المبالغة في الاستيعاب، و لا يحصلان إلا إذا عكس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الإسكافي رحمه الله في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أخذ بظهر ذراعه غرفة و ببطنها أُخرى كان أحوط </w:t>
      </w:r>
      <w:r>
        <w:rPr>
          <w:rStyle w:val="FootnoteAnchor"/>
          <w:rtl w:val="true"/>
        </w:rPr>
        <w:footnoteReference w:id="296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فكأنّ الإسباغ الكامل لا يحصل إلَّا بالصّب من الطرفين،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في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محمّد بن إسماعيل بن بزيع عن الرِّضا علیه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بدأة الرّجل بظهر الذّراع، و المرأة بباطنه</w:t>
      </w:r>
      <w:r>
        <w:rPr>
          <w:rFonts w:eastAsia="IRNazanin" w:cs="IRNazanin"/>
          <w:color w:val="111111"/>
          <w:sz w:val="28"/>
          <w:szCs w:val="28"/>
          <w:rtl w:val="true"/>
          <w:lang w:bidi="fa-IR"/>
        </w:rPr>
        <w:t xml:space="preserve">» </w:t>
      </w:r>
      <w:r>
        <w:rPr>
          <w:rStyle w:val="FootnoteAnchor"/>
          <w:rtl w:val="true"/>
        </w:rPr>
        <w:footnoteReference w:id="29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فيهما بين الغسلتين</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كالفاضلين </w:t>
      </w:r>
      <w:r>
        <w:rPr>
          <w:rStyle w:val="FootnoteAnchor"/>
          <w:rtl w:val="true"/>
        </w:rPr>
        <w:footnoteReference w:id="2969"/>
      </w:r>
      <w:r>
        <w:rPr>
          <w:rFonts w:ascii="Amiri" w:hAnsi="Amiri" w:eastAsia="Amiri" w:cs="Amiri"/>
          <w:color w:val="111111"/>
          <w:sz w:val="28"/>
          <w:sz w:val="28"/>
          <w:szCs w:val="28"/>
          <w:rtl w:val="true"/>
          <w:lang w:bidi="ar-SA"/>
        </w:rPr>
        <w:t xml:space="preserve">و غير هما </w:t>
      </w:r>
      <w:r>
        <w:rPr>
          <w:rStyle w:val="FootnoteAnchor"/>
          <w:rtl w:val="true"/>
        </w:rPr>
        <w:footnoteReference w:id="2970"/>
      </w:r>
      <w:r>
        <w:rPr>
          <w:rFonts w:ascii="Amiri" w:hAnsi="Amiri" w:eastAsia="Amiri" w:cs="Amiri"/>
          <w:color w:val="111111"/>
          <w:sz w:val="28"/>
          <w:sz w:val="28"/>
          <w:szCs w:val="28"/>
          <w:rtl w:val="true"/>
          <w:lang w:bidi="ar-SA"/>
        </w:rPr>
        <w:t xml:space="preserve">، بل يظهر من الذكرى </w:t>
      </w:r>
      <w:r>
        <w:rPr>
          <w:rStyle w:val="FootnoteAnchor"/>
          <w:rtl w:val="true"/>
        </w:rPr>
        <w:footnoteReference w:id="2971"/>
      </w:r>
      <w:r>
        <w:rPr>
          <w:rFonts w:ascii="IRNazanin" w:hAnsi="IRNazanin" w:eastAsia="IRNazanin"/>
          <w:color w:val="111111"/>
          <w:sz w:val="28"/>
          <w:sz w:val="28"/>
          <w:szCs w:val="28"/>
          <w:rtl w:val="true"/>
          <w:lang w:bidi="fa-IR"/>
        </w:rPr>
        <w:t>رجحانه، و نحن لم نعثر على غير هذا النّص في هذا المندوب، فعسی جمعه لعثوره على غيره، أو لأنّ نصّه موجود في جملة النّصوص، نحو هذا موجود في الكتب، و الخبر غير شامل للغسلة الثانية فلا ينفى العكس، فلعلّه مستحبّ آخر في الثانية لقصد تكميل الإسباع، فتأمّل</w:t>
      </w:r>
      <w:r>
        <w:rPr>
          <w:rFonts w:eastAsia="IRNazanin" w:cs="IRNazanin"/>
          <w:color w:val="111111"/>
          <w:sz w:val="28"/>
          <w:szCs w:val="28"/>
          <w:rtl w:val="true"/>
          <w:lang w:bidi="fa-IR"/>
        </w:rPr>
        <w:t xml:space="preserve">. </w:t>
      </w:r>
      <w:bookmarkStart w:id="239" w:name="pg9146_86393"/>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البدأة بالظّهر و البطن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الوظيفتين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البدأة في الأوّلى بالظهر أو البطن، و في الثانية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3322686_2870459653"/>
      <w:bookmarkStart w:id="241" w:name="_Toc81"/>
      <w:bookmarkEnd w:id="240"/>
      <w:r>
        <w:rPr>
          <w:rtl w:val="true"/>
        </w:rPr>
        <w:t>[</w:t>
      </w:r>
      <w:r>
        <w:rPr>
          <w:rtl w:val="true"/>
        </w:rPr>
        <w:t>مكروهات الوضوء</w:t>
      </w:r>
      <w:r>
        <w:rPr>
          <w:rtl w:val="true"/>
        </w:rPr>
        <w:t>]</w:t>
      </w:r>
      <w:bookmarkEnd w:id="241"/>
    </w:p>
    <w:p>
      <w:pPr>
        <w:pStyle w:val="BookText"/>
        <w:rPr/>
      </w:pPr>
      <w:r>
        <w:rPr>
          <w:rStyle w:val="FootnoteAnchor"/>
          <w:rtl w:val="true"/>
        </w:rPr>
        <w:footnoteReference w:id="2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 في المسجد من حدث البول و أخيه </w:t>
      </w:r>
      <w:r>
        <w:rPr>
          <w:rStyle w:val="FootnoteAnchor"/>
          <w:rtl w:val="true"/>
        </w:rPr>
        <w:footnoteReference w:id="2973"/>
      </w:r>
      <w:r>
        <w:rPr>
          <w:rFonts w:ascii="Amiri" w:hAnsi="Amiri" w:eastAsia="Amiri" w:cs="Amiri"/>
          <w:color w:val="111111"/>
          <w:sz w:val="28"/>
          <w:sz w:val="28"/>
          <w:szCs w:val="28"/>
          <w:rtl w:val="true"/>
          <w:lang w:bidi="ar-SA"/>
        </w:rPr>
        <w:t xml:space="preserve">، و الاستعانة كرفع كُمّ المتوضّي، و تجفيف موضع المسح و غيرهما من مقدّماته القريبة الّتي يكون المعين فيها كالشريك، و مسح بلله من الأعضاء بمنديل و غيره، فإنّ الرّشد في خلافه، و الأمر </w:t>
      </w:r>
      <w:r>
        <w:rPr>
          <w:rStyle w:val="FootnoteAnchor"/>
          <w:rtl w:val="true"/>
        </w:rPr>
        <w:footnoteReference w:id="2974"/>
      </w:r>
      <w:r>
        <w:rPr>
          <w:rFonts w:ascii="Amiri" w:hAnsi="Amiri" w:eastAsia="Amiri" w:cs="Amiri"/>
          <w:color w:val="111111"/>
          <w:sz w:val="28"/>
          <w:sz w:val="28"/>
          <w:szCs w:val="28"/>
          <w:rtl w:val="true"/>
          <w:lang w:bidi="ar-SA"/>
        </w:rPr>
        <w:t>به للتقيّة</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3322688_2870459653"/>
      <w:bookmarkStart w:id="243" w:name="_Toc82"/>
      <w:bookmarkEnd w:id="242"/>
      <w:r>
        <w:rPr>
          <w:rtl w:val="true"/>
        </w:rPr>
        <w:t>[</w:t>
      </w:r>
      <w:r>
        <w:rPr>
          <w:rtl w:val="true"/>
        </w:rPr>
        <w:t>أحكام الوضوء</w:t>
      </w:r>
      <w:r>
        <w:rPr>
          <w:rtl w:val="true"/>
        </w:rPr>
        <w:t>]</w:t>
      </w:r>
      <w:bookmarkEnd w:id="243"/>
    </w:p>
    <w:p>
      <w:pPr>
        <w:pStyle w:val="BookText"/>
        <w:rPr/>
      </w:pPr>
      <w:r>
        <w:rPr>
          <w:rFonts w:ascii="Amiri" w:hAnsi="Amiri" w:eastAsia="Amiri" w:cs="Amiri"/>
          <w:color w:val="111111"/>
          <w:sz w:val="28"/>
          <w:sz w:val="28"/>
          <w:szCs w:val="28"/>
          <w:rtl w:val="true"/>
          <w:lang w:bidi="ar-SA"/>
        </w:rPr>
        <w:t>و أمّا أحكامه فذكر المصنّف بعضها في ضمن مسائل</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3322690_2870459653"/>
      <w:bookmarkStart w:id="245" w:name="_Toc83"/>
      <w:bookmarkEnd w:id="244"/>
      <w:r>
        <w:rPr>
          <w:rtl w:val="true"/>
        </w:rPr>
        <w:t>[</w:t>
      </w:r>
      <w:r>
        <w:rPr>
          <w:rtl w:val="true"/>
        </w:rPr>
        <w:t>الشّك في النّية</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أجزائه إذا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أثنائه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بالشك فيه نفسه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شكّ فيها فالأصل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بتفسيرها إذ هو ليس من الشكّ بعد الفراغ؛ لوجوب استمرار حكمها كما 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للأصل الجاري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وقع من</w:t>
      </w:r>
    </w:p>
    <w:p>
      <w:pPr>
        <w:pStyle w:val="BookText"/>
        <w:rPr/>
      </w:pPr>
      <w:r>
        <w:rPr>
          <w:rFonts w:ascii="Amiri" w:hAnsi="Amiri" w:eastAsia="Amiri" w:cs="Amiri"/>
          <w:color w:val="111111"/>
          <w:sz w:val="28"/>
          <w:sz w:val="28"/>
          <w:szCs w:val="28"/>
          <w:rtl w:val="true"/>
          <w:lang w:bidi="ar-SA"/>
        </w:rPr>
        <w:t>الأفعال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يلحق فعله فعل النائم و السكران، و لم تكن من أفعال الوضوء أفعاله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الشك به </w:t>
      </w:r>
      <w:r>
        <w:rPr>
          <w:rStyle w:val="FootnoteAnchor"/>
          <w:rtl w:val="true"/>
        </w:rPr>
        <w:footnoteReference w:id="2975"/>
      </w:r>
      <w:r>
        <w:rPr>
          <w:rFonts w:ascii="Amiri" w:hAnsi="Amiri" w:eastAsia="Amiri" w:cs="Amiri"/>
          <w:color w:val="111111"/>
          <w:sz w:val="28"/>
          <w:sz w:val="28"/>
          <w:szCs w:val="28"/>
          <w:rtl w:val="true"/>
          <w:lang w:bidi="ar-SA"/>
        </w:rPr>
        <w:t>في أثنائه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لاستلزام الشك في النيّة للشك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رجعت مقالته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أنّه هل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شرَعَ فيه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يتصوّر تحقّقه في الأثناء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المتصوّر فيه ذلك بعد الفراغ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المصنّف في مختصريه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الدّروس </w:t>
      </w:r>
      <w:r>
        <w:rPr>
          <w:rStyle w:val="FootnoteAnchor"/>
          <w:rtl w:val="true"/>
        </w:rPr>
        <w:footnoteReference w:id="2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النيّة في أثناء الوضوء، و أنّه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أو الضمير للشاك على البناء للفاعل،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يعتبر رحمه الله بالشك في الوضوء إلّا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ملازمة الشك في أثنائه به للشكّ فيها و مراعاةً للإيجاز، كذا حمل إطلاقه الشارح </w:t>
      </w:r>
      <w:r>
        <w:rPr>
          <w:rStyle w:val="FootnoteAnchor"/>
          <w:rtl w:val="true"/>
        </w:rPr>
        <w:footnoteReference w:id="2977"/>
      </w:r>
      <w:r>
        <w:rPr>
          <w:rFonts w:ascii="Amiri" w:hAnsi="Amiri" w:eastAsia="Amiri" w:cs="Amiri"/>
          <w:color w:val="111111"/>
          <w:sz w:val="28"/>
          <w:sz w:val="28"/>
          <w:szCs w:val="28"/>
          <w:rtl w:val="true"/>
          <w:lang w:bidi="ar-SA"/>
        </w:rPr>
        <w:t>، و أقرّه المحشّون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مراده من الشكّ في الوضوء هو الشكّ في التلبّس من جهة احتمال طروّ الحَدَث، فإنّ جماعة منهم هو في البيان </w:t>
      </w:r>
      <w:r>
        <w:rPr>
          <w:rStyle w:val="FootnoteAnchor"/>
          <w:rtl w:val="true"/>
        </w:rPr>
        <w:footnoteReference w:id="2978"/>
      </w:r>
      <w:r>
        <w:rPr>
          <w:rFonts w:ascii="Amiri" w:hAnsi="Amiri" w:eastAsia="Amiri" w:cs="Amiri"/>
          <w:color w:val="111111"/>
          <w:sz w:val="28"/>
          <w:sz w:val="28"/>
          <w:szCs w:val="28"/>
          <w:rtl w:val="true"/>
          <w:lang w:bidi="ar-SA"/>
        </w:rPr>
        <w:t>حكموا بوجوب الاستيناف و إن بنينا أنّ أصالة عدم الحَدَث حاكمة على الأدلّة القاضية بإحراز أجزاء الوضوء و شروطه إلى حين الفراغ؛ إذ الشكّ في الصحّة مسبّب عن الشك في صدور الحَدَث، و قد ارتفع بالأصل، فتبقى صحّة تلك الأجزاء جميعاً سليمة من الشك، و نحوه الشك في طهارة الماء أو إطلاقه أو إباحته بعد إحراز حالته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الشاكّ فيه بالمعنى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عوده إلى الشك في النيّة؛ لعدم تصوّر الشكّ في أنّه هل توضّاً أو شرع فيه، و لو تُصوِّر تجري فيه أصالة العدم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المراد؛ إذ لو بقي على ظاهره لا معنى للبعديّة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النيّة تنفى أيضاً بالأصل فلا وضوء كالشك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الشكّ بعد الأفعال الصّادرة التي هي بصورة الوضوء، و قد حكموا بدخول ذلك في الشكّ بعد الفراغ للفاعل،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شك في غيرها من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الفرق شرطاً كانت أو جزءاً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في الأوّل توقّف، و لو حملنا الشك فيه على ما احتملناه كان الحكم بالصّحة بطريق أَولى</w:t>
      </w:r>
      <w:r>
        <w:rPr>
          <w:rFonts w:eastAsia="Amiri" w:cs="Amiri" w:ascii="Amiri" w:hAnsi="Amiri"/>
          <w:color w:val="111111"/>
          <w:sz w:val="28"/>
          <w:szCs w:val="28"/>
          <w:rtl w:val="true"/>
          <w:lang w:bidi="ar-SA"/>
        </w:rPr>
        <w:t xml:space="preserve">. </w:t>
      </w:r>
      <w:bookmarkStart w:id="246" w:name="pg9146_86395"/>
    </w:p>
    <w:p>
      <w:pPr>
        <w:pStyle w:val="Heading2"/>
        <w:numPr>
          <w:ilvl w:val="1"/>
          <w:numId w:val="1"/>
        </w:numPr>
        <w:rPr/>
      </w:pPr>
      <w:bookmarkStart w:id="247" w:name="__RefHeading___Toc3322692_2870459653"/>
      <w:bookmarkStart w:id="248" w:name="_Toc84"/>
      <w:bookmarkEnd w:id="246"/>
      <w:bookmarkEnd w:id="247"/>
      <w:r>
        <w:rPr>
          <w:rtl w:val="true"/>
        </w:rPr>
        <w:t>[</w:t>
      </w:r>
      <w:r>
        <w:rPr>
          <w:rtl w:val="true"/>
        </w:rPr>
        <w:t>الشّك في بعض أفعال الوضوء</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الوضوء، بل مطلق الطّهارة الشاملة للغسل، يلزمه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بذلك البعض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تعدّد و بما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التلبّس و الاشتغال بالطّهارة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لم يكن فرغ منه و إن كان قد تجاوز ذلك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أو تيقّن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الجفاف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للأعضاء السابقة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عدمه و القطع بعدم المتابعة المطلوبة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لفوات الموالاة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ذلك لأصالة عدم الإتيان به، و عدم إباحة الدّخول في العبادة إلَّا بعد إحراز جوازه، و عدم ارتفاع الحَدَث، و لصحيحة زرارة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قاعداً على وضوئك فلم تدرِ أَغَسَلْت ذراعيك أم لا فأعد عليهما و على جميع ما شككت أنّك لم تغسله أو تمسحه ممّا سمّى الله ما دمت في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979"/>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فيخصّص بها كلّما قضى بقاعدة الشكّ بعد الفراغ نحو قوله علیه السلام فيها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قمت من الوضوء و فرغت منه، و قد صرت في حال أخرى في الصلاة أو في غيرها، فشكّكت في بعض ما سمّى الله مما أوجب الله عليك فيه وضوء لا شيء عليك فيه، و إن شككت في مسح رأسك فأصبت في لحيتك بَلَلاً فامسح بها عليه وعلى ظهر قدميك، فإن لم تُصِب بَلَلاً فلا ينقض الوضوء بالشكّ و امض في صلاتك، و إن تيقَّنت أنّك لم تتمّ وضوءك فأعد على ما تركت يقيناً حتّى تأتي على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فيها من المسح على الرأس و الرِّجلين من بَلَل اللّحية مع الشك حملوه على النّدب، وك قول الصادق علیه السلام في موثّقة ابن أبي يعفور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شككتَ في شيء من الوضوء و قد دخلتَ في غيره فليس شكّك بشيء، إنّما الشك إذا كنت في شيء لم تجزه</w:t>
      </w:r>
      <w:r>
        <w:rPr>
          <w:rFonts w:eastAsia="IRNazanin" w:cs="IRNazanin"/>
          <w:color w:val="111111"/>
          <w:sz w:val="28"/>
          <w:szCs w:val="28"/>
          <w:rtl w:val="true"/>
          <w:lang w:bidi="fa-IR"/>
        </w:rPr>
        <w:t xml:space="preserve">»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قوله علیه السلام أيضاً في صحيحة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شيء و دخلت في غيره فشكّك ليس بشيء</w:t>
      </w:r>
      <w:r>
        <w:rPr>
          <w:rFonts w:eastAsia="IRNazanin" w:cs="IRNazanin"/>
          <w:color w:val="111111"/>
          <w:sz w:val="28"/>
          <w:szCs w:val="28"/>
          <w:rtl w:val="true"/>
          <w:lang w:bidi="fa-IR"/>
        </w:rPr>
        <w:t xml:space="preserve">»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الجمع في الأخبار إنّ الوضوء فعل واحد، فما دام المكلّف فيه لم يصدق الخروج بفعل جزء من أجزائه، فيلتفت إلى الشك المتعلّق بأحد أجزائه، و بذا يفارق الصلاة؛ لأنها أفعال متعدّدة؛ فحال الوضوء كحال الشك في القراءة مثلاً في وجوب الالتفات كما قاله جماعة </w:t>
      </w:r>
      <w:r>
        <w:rPr>
          <w:rStyle w:val="FootnoteAnchor"/>
          <w:rtl w:val="true"/>
        </w:rPr>
        <w:footnoteReference w:id="2983"/>
      </w:r>
      <w:r>
        <w:rPr>
          <w:rFonts w:ascii="Amiri" w:hAnsi="Amiri" w:eastAsia="Amiri" w:cs="Amiri"/>
          <w:color w:val="111111"/>
          <w:sz w:val="28"/>
          <w:sz w:val="28"/>
          <w:szCs w:val="28"/>
          <w:rtl w:val="true"/>
          <w:lang w:bidi="ar-SA"/>
        </w:rPr>
        <w:t>، و نظير الأذان و الإقامة في أنّهما لا يلغى الشك في أجزائها إلَّا بعد الفراغ، و كأنّه من جهة أنّ الوضوء المركّب من هذه الأجزاء مقدّمة واحدة لاحظها الشارع مجتمعة فأمر بها مقدّمة بأمرٍ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ذلك يجزي في الغسل أيضاً و إن اختصّت الأخبار بالوضوء؛ لاتّحاد المناط المفهوم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2984"/>
      </w:r>
      <w:r>
        <w:rPr>
          <w:rFonts w:ascii="Amiri" w:hAnsi="Amiri" w:eastAsia="Amiri" w:cs="Amiri"/>
          <w:color w:val="111111"/>
          <w:sz w:val="28"/>
          <w:sz w:val="28"/>
          <w:szCs w:val="28"/>
          <w:rtl w:val="true"/>
          <w:lang w:bidi="ar-SA"/>
        </w:rPr>
        <w:t>، فلا تنافي بين الصّحيحتين و غيره بل القاعدة على حالها ما خرج الوضوء منها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راجع إلى الوضوء 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تعارض مفهوم ذيلها مع منطوقه غير ضارّ بعد وضوح المراد، و الشرط يلحق الجزء في الحكم المزبور، فلو شك في إطلاق الماء أو نجاسته بعد الفراغ من غسل العضو به التفت لشكّه، فإنّ الصحيحة و إن اختصّت بالأجزاء لكن كشفت عن كون الوضوء فعلاً واحداً، فالشّك في ما يتعلّق به من شروطه و أجزائه من الشك قبل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2985"/>
      </w:r>
      <w:r>
        <w:rPr>
          <w:rFonts w:ascii="IRNazanin" w:hAnsi="IRNazanin" w:eastAsia="IRNazanin"/>
          <w:color w:val="111111"/>
          <w:sz w:val="28"/>
          <w:sz w:val="28"/>
          <w:szCs w:val="28"/>
          <w:rtl w:val="true"/>
          <w:lang w:bidi="fa-IR"/>
        </w:rPr>
        <w:t xml:space="preserve">بعدم الالتفات مطلقاً، و خصّه بعض </w:t>
      </w:r>
      <w:r>
        <w:rPr>
          <w:rStyle w:val="FootnoteAnchor"/>
          <w:rtl w:val="true"/>
        </w:rPr>
        <w:footnoteReference w:id="2986"/>
      </w:r>
      <w:r>
        <w:rPr>
          <w:rFonts w:ascii="Amiri" w:hAnsi="Amiri" w:eastAsia="Amiri" w:cs="Amiri"/>
          <w:color w:val="111111"/>
          <w:sz w:val="28"/>
          <w:sz w:val="28"/>
          <w:szCs w:val="28"/>
          <w:rtl w:val="true"/>
          <w:lang w:bidi="ar-SA"/>
        </w:rPr>
        <w:t xml:space="preserve">بما مضى فيستأنف للباقي ماءً جديداً؛ لأصالة الصّحة و ثبوت حكم الإطلاق مطلقاً؛ لأنه شك في إطلاق الماء بعد التجاوز عن محلّه، فإنّ محلّه بحكم العرف و العادة قبل الشروع في </w:t>
      </w:r>
    </w:p>
    <w:p>
      <w:pPr>
        <w:pStyle w:val="BookText"/>
        <w:rPr/>
      </w:pPr>
      <w:r>
        <w:rPr>
          <w:rFonts w:ascii="Amiri" w:hAnsi="Amiri" w:eastAsia="Amiri" w:cs="Amiri"/>
          <w:color w:val="111111"/>
          <w:sz w:val="28"/>
          <w:sz w:val="28"/>
          <w:szCs w:val="28"/>
          <w:rtl w:val="true"/>
          <w:lang w:bidi="ar-SA"/>
        </w:rPr>
        <w:t>الوضوء، و حينئذٍ فيتوضّأ به في المستقبل، و يبني على الصّحة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انتقض ذلك الوضوء و وجبَ عليه وضوء آخر لزمه الاستظهار و إحراز الإطلاق و الطهارة و الإباحة، و لو شك في الأثناء جرى فيه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الصّحة في الماضي لا مستند لها غير تلك العمومات التي لا تثبت المطلوب، و إنّ إحراز إطلاق الماء ليس أمراً مغايراً للغسل بالماء المطلق حتّى يلاحظ محلّه الشرعي و العادي، بل هو بالنسبة إلى سائر الأجزاء سواء، و أراد بالشكّ المذكور هو زوال اليقين بالإطلاق و عدمه لا الشكّ على الإطلاق و عدمه؛ لأنه مجرى الاستصحاب دونه، يتفرّع عليه وجوب إعادة الصلاة لو شك في أثنائها إنّه مُحدِث أم لا، كما نطقت به رواية علّي ابن جعفر </w:t>
      </w:r>
      <w:r>
        <w:rPr>
          <w:rStyle w:val="FootnoteAnchor"/>
          <w:rtl w:val="true"/>
        </w:rPr>
        <w:footnoteReference w:id="2987"/>
      </w:r>
      <w:r>
        <w:rPr>
          <w:rFonts w:ascii="IRNazanin" w:hAnsi="IRNazanin" w:eastAsia="IRNazanin"/>
          <w:color w:val="111111"/>
          <w:sz w:val="28"/>
          <w:sz w:val="28"/>
          <w:szCs w:val="28"/>
          <w:rtl w:val="true"/>
          <w:lang w:bidi="fa-IR"/>
        </w:rPr>
        <w:t xml:space="preserve">، و صحّحها قوم </w:t>
      </w:r>
      <w:r>
        <w:rPr>
          <w:rStyle w:val="FootnoteAnchor"/>
          <w:rtl w:val="true"/>
        </w:rPr>
        <w:footnoteReference w:id="2988"/>
      </w:r>
      <w:r>
        <w:rPr>
          <w:rFonts w:ascii="Amiri" w:hAnsi="Amiri" w:eastAsia="Amiri" w:cs="Amiri"/>
          <w:color w:val="111111"/>
          <w:sz w:val="28"/>
          <w:sz w:val="28"/>
          <w:szCs w:val="28"/>
          <w:rtl w:val="true"/>
          <w:lang w:bidi="ar-SA"/>
        </w:rPr>
        <w:t>فنفوا الإعادة و أدخلوها بقاعدة الشك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هذا الحكم كثير الشك فلا يلتفت وفاقاً للحلّي </w:t>
      </w:r>
      <w:r>
        <w:rPr>
          <w:rStyle w:val="FootnoteAnchor"/>
          <w:rtl w:val="true"/>
        </w:rPr>
        <w:footnoteReference w:id="2989"/>
      </w:r>
      <w:r>
        <w:rPr>
          <w:rFonts w:ascii="Amiri" w:hAnsi="Amiri" w:eastAsia="Amiri" w:cs="Amiri"/>
          <w:color w:val="111111"/>
          <w:sz w:val="28"/>
          <w:sz w:val="28"/>
          <w:szCs w:val="28"/>
          <w:rtl w:val="true"/>
          <w:lang w:bidi="ar-SA"/>
        </w:rPr>
        <w:t>لظهور النّصوص به، و نعني به كثير الخيال، و الاحتمال في مقام يخالف به الجَمّ الغفير بحيث لا يحتمله غيره، راجحاً كان احتماله أم مرجوحاً أم مساوياً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كثير القطع فيعمل بقطعه وجوباً، و لا ينفعه حكم غيره بعدم اعتیاد قطعه؛ لعدم جواز العمل على خلاف معتقده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كاشف الغطاء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2990"/>
      </w:r>
      <w:r>
        <w:rPr>
          <w:rFonts w:ascii="Amiri" w:hAnsi="Amiri" w:eastAsia="Amiri" w:cs="Amiri"/>
          <w:color w:val="111111"/>
          <w:sz w:val="28"/>
          <w:sz w:val="28"/>
          <w:szCs w:val="28"/>
          <w:rtl w:val="true"/>
          <w:lang w:bidi="ar-SA"/>
        </w:rPr>
        <w:t xml:space="preserve">يظهر منه خلاف ذلك، و نحن إلى الآن لم نصل إلى كُنه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على الشك في أثناء الوضوء</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انتقاله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انصرافه </w:t>
      </w:r>
    </w:p>
    <w:p>
      <w:pPr>
        <w:pStyle w:val="BookText"/>
        <w:rPr/>
      </w:pPr>
      <w:r>
        <w:rPr>
          <w:rFonts w:ascii="Amiri" w:hAnsi="Amiri" w:eastAsia="Amiri" w:cs="Amiri"/>
          <w:color w:val="111111"/>
          <w:sz w:val="28"/>
          <w:sz w:val="28"/>
          <w:szCs w:val="28"/>
          <w:rtl w:val="true"/>
          <w:lang w:bidi="ar-SA"/>
        </w:rPr>
        <w:t>الظاهر من انتقاله، القاضي بلحوق الحكم الأوّل و إن فرغ قبله؛ لاحتمال الفراغ مع البقاء على حاله كما هو ظاهره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الشارح هنا و بروضه </w:t>
      </w:r>
      <w:r>
        <w:rPr>
          <w:rStyle w:val="FootnoteAnchor"/>
          <w:rtl w:val="true"/>
        </w:rPr>
        <w:footnoteReference w:id="2991"/>
      </w:r>
      <w:r>
        <w:rPr>
          <w:rFonts w:ascii="Amiri" w:hAnsi="Amiri" w:eastAsia="Amiri" w:cs="Amiri"/>
          <w:color w:val="111111"/>
          <w:sz w:val="28"/>
          <w:sz w:val="28"/>
          <w:szCs w:val="28"/>
          <w:rtl w:val="true"/>
          <w:lang w:bidi="ar-SA"/>
        </w:rPr>
        <w:t xml:space="preserve">حكمَ بأنّه مع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فسّر الانتقال، و هو كذلك؛ للمقابلة بين الحكمين، و لذيل الموثّقة، حيث حصرَ الشك الملتفت إليه بما وقع حال الاشتغال، و مفهومه إنّه متى تمّ لم يلتفت، و في رواية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يشكّ بعدما 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كلّ ما سبق من الأخبار القاضية بعدم الالتفات لو انتقل من جزء إلى جزء يقضي به؛ لأنّ الخارج من عمومها بالنّص </w:t>
      </w:r>
      <w:r>
        <w:rPr>
          <w:rStyle w:val="FootnoteAnchor"/>
          <w:rtl w:val="true"/>
        </w:rPr>
        <w:footnoteReference w:id="2993"/>
      </w:r>
      <w:r>
        <w:rPr>
          <w:rFonts w:ascii="IRNazanin" w:hAnsi="IRNazanin" w:eastAsia="IRNazanin"/>
          <w:color w:val="111111"/>
          <w:sz w:val="28"/>
          <w:sz w:val="28"/>
          <w:szCs w:val="28"/>
          <w:rtl w:val="true"/>
          <w:lang w:bidi="fa-IR"/>
        </w:rPr>
        <w:t xml:space="preserve">و الإجماع </w:t>
      </w:r>
      <w:r>
        <w:rPr>
          <w:rStyle w:val="FootnoteAnchor"/>
          <w:rtl w:val="true"/>
        </w:rPr>
        <w:footnoteReference w:id="2994"/>
      </w:r>
      <w:r>
        <w:rPr>
          <w:rFonts w:ascii="Amiri" w:hAnsi="Amiri" w:eastAsia="Amiri" w:cs="Amiri"/>
          <w:color w:val="111111"/>
          <w:sz w:val="28"/>
          <w:sz w:val="28"/>
          <w:szCs w:val="28"/>
          <w:rtl w:val="true"/>
          <w:lang w:bidi="ar-SA"/>
        </w:rPr>
        <w:t>هو الوضوء فقط، الذي مرّ وجوب الالتفات في أجزائه قبل الفراغ منه مطلقاً و لو حصل الانتقال فيها، فيبقى الباقي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صدر الموثّقة و ذيل الصحيحة المتقدّمتين اعتبار الدّخول في غير الوضوء، فيعارض ما ذكرناه، مع أنّ العمومات التي صرّحت بعدم الالتفات بعد الدّخول في غير المشكوك فيه لا تعمّ أجزاء الوضوء؛ لما ذكرنا من ملاحظته بتمامه فعلاً واحداً لا يلغى الشك فيه إلَّا بعد الدخول في غيره، فهي على خلاف المطلوب أدل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يتخلّص بورود القيد مورد الغالب في الخبرين، وهو قوله علیه السلام في صدر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دخلت في غيره</w:t>
      </w:r>
      <w:r>
        <w:rPr>
          <w:rFonts w:eastAsia="IRNazanin" w:cs="IRNazanin"/>
          <w:color w:val="111111"/>
          <w:sz w:val="28"/>
          <w:szCs w:val="28"/>
          <w:rtl w:val="true"/>
          <w:lang w:bidi="fa-IR"/>
        </w:rPr>
        <w:t xml:space="preserve">» </w:t>
      </w:r>
      <w:r>
        <w:rPr>
          <w:rStyle w:val="FootnoteAnchor"/>
          <w:rtl w:val="true"/>
        </w:rPr>
        <w:footnoteReference w:id="2995"/>
      </w:r>
      <w:r>
        <w:rPr>
          <w:rFonts w:ascii="Amiri" w:hAnsi="Amiri" w:eastAsia="Amiri" w:cs="Amiri"/>
          <w:color w:val="111111"/>
          <w:sz w:val="28"/>
          <w:sz w:val="28"/>
          <w:szCs w:val="28"/>
          <w:rtl w:val="true"/>
          <w:lang w:bidi="ar-SA"/>
        </w:rPr>
        <w:t>، و قوله في ذيل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فرغت منه و صرت في حال آخر في صلاة</w:t>
      </w:r>
      <w:r>
        <w:rPr>
          <w:rFonts w:eastAsia="Amiri" w:cs="Amiri" w:ascii="Amiri" w:hAnsi="Amiri"/>
          <w:color w:val="111111"/>
          <w:sz w:val="28"/>
          <w:szCs w:val="28"/>
          <w:rtl w:val="true"/>
          <w:lang w:bidi="ar-SA"/>
        </w:rPr>
        <w:t xml:space="preserve">» </w:t>
      </w:r>
      <w:r>
        <w:rPr>
          <w:rStyle w:val="FootnoteAnchor"/>
          <w:rtl w:val="true"/>
        </w:rPr>
        <w:footnoteReference w:id="2996"/>
      </w:r>
      <w:r>
        <w:rPr>
          <w:rFonts w:ascii="Amiri" w:hAnsi="Amiri" w:eastAsia="Amiri" w:cs="Amiri"/>
          <w:color w:val="111111"/>
          <w:sz w:val="28"/>
          <w:sz w:val="28"/>
          <w:szCs w:val="28"/>
          <w:rtl w:val="true"/>
          <w:lang w:bidi="ar-SA"/>
        </w:rPr>
        <w:t xml:space="preserve">، و غيرها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أَولى من صرف صدر الصحيحة و ذيل الموثّقة إلى غير ظاهرهما؛ لصراحتهما في كون الالتفات لا بدّ منه في حال الاشتغال لا مطلقاً، و المرجح لذلك دون العكس أنّ صدر الصّحيحة اشتمل على شرط هو علّة للحكم بالالتفات، و هو الدّوام في حال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سَوْق العبارة أنّ الشرط الآخر هو نقيض الأوّل، و مضمونه عدم الأوّل، لا أنّه أمرٌ وجودي آخر يدور الحكم مداره، و كذلك كلّ شرط تعقّب شرطاً،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يقم زيد لا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و قصد السوق افعله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قصد السوق وارداً مورد الغالب لا قيداً تعلّق به الحكم، و إلَّا لتخلّف الحكم في القيام المجرّد عن القصد،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 الموثّقة فأظهر؛ لأنه بمنزلة القاعدة لصدرها، فهو يتفرّع عليها، و أمّا وحدة الوضوء فيقتصر فيها على المتيقّن من أجزائه أخذاً بالمتيقّن من موضوعه، كما هي القاعدة في كلّ موضوع ترتّب عليه حكم و على عدمه حكم آخر، فهو كما لو استثنى من الحكم موضوعاً لولا استثناؤه لدخل في كون الحكم العام يلحق ما شكّ في دخوله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الخارج من قاعدة الشكّ بعد الفراغ يقيناً الوضوء عند الفراغ لا عند الدّخول في غيره إلَّا أن يكون شكّه في الجزء الأخير منه، فإنّ تحقّق الفراغ من الوضوء لا يكون إلَّا بالدّخول في شيء آخر من فعل أو تبدّل حال، بخلاف ما تقدّمه من الأجزاء؛ لحصول الفراغ منها به، فيجب الالتفات حينئذٍ و إن تيقّن قبل الشكّ أنه فعل الوضوء، فإنّه لا ينفع بعد طروّ الشك المزيل لذلك الاعتقاد، و لا يجري فيه عدم نقض اليقين بالشكّ؛ لتوقّف تلك القاعدة على اعتبار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اليقين الذي لم يقم دليل على اعتباره قبل الشك لا مجرى لها فيه أبداً؛ لأنّ الجزء المشكوك فيه لم يحصل اليقين به بخصوصه، و يقين جملة الوضوء لا يسري في جميع أجزائه ليبنى عليه في مقام الشكّ، فالشكّ بالنسبة إليه شكّ بدويّ غير مسبوق بيقين سابق</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مجرّد اعتقاد شيء في زمانٍ ما دليلاً شرعيّاً يرجع إليه عند الشكّ فيه المزيل لذلك الاعتقاد، تمّ هذا الكلام، و لكنّه ممنوع، و المسلّم في عدم نقض اليقين بالشك هو الشكّ في الارتفاع بعد اليقين بالحدوث</w:t>
      </w:r>
      <w:r>
        <w:rPr>
          <w:rFonts w:eastAsia="Amiri" w:cs="Amiri" w:ascii="Amiri" w:hAnsi="Amiri"/>
          <w:color w:val="111111"/>
          <w:sz w:val="28"/>
          <w:szCs w:val="28"/>
          <w:rtl w:val="true"/>
          <w:lang w:bidi="ar-SA"/>
        </w:rPr>
        <w:t xml:space="preserve">. </w:t>
      </w:r>
      <w:bookmarkStart w:id="249" w:name="pg9146_86400"/>
    </w:p>
    <w:p>
      <w:pPr>
        <w:pStyle w:val="BookText"/>
        <w:rPr/>
      </w:pPr>
      <w:bookmarkEnd w:id="249"/>
      <w:r>
        <w:rPr>
          <w:rFonts w:ascii="Amiri" w:hAnsi="Amiri" w:eastAsia="Amiri" w:cs="Amiri"/>
          <w:color w:val="111111"/>
          <w:sz w:val="28"/>
          <w:sz w:val="28"/>
          <w:szCs w:val="28"/>
          <w:rtl w:val="true"/>
          <w:lang w:bidi="ar-SA"/>
        </w:rPr>
        <w:t>و ظاهر حال المعتقد باستيفاء أفعال الوضوء بأسرها لا يثبت تحقّقها في الخارج، إمّا لأنه من الظنّ النّوعي فلا يحصل منه الظنّ الشخصي، فلا يعتبر، أو لأنّ اعتبار هذا الظاهر موقوف على إحراز الشك بعد الفراغ، و مع الشك في الجزء الأخير لا يتحقّق ذلك، و إثباته بنفس الاعتقاد به في زمان ليس عليه برهان قويّ، كما أنّ الاشتغال بالفعل الذي لا ينافي الوضوء الحاصل حالة الشكّ فيه لا يجدي؛ لعدم إحراز الفراغ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كلام غير واحد </w:t>
      </w:r>
      <w:r>
        <w:rPr>
          <w:rStyle w:val="FootnoteAnchor"/>
          <w:rtl w:val="true"/>
        </w:rPr>
        <w:footnoteReference w:id="2998"/>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عدم نقض اليقين بالشكّ تشمل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البناء على ما تيقّن حدوثه و شك في ارتفاعه بعده، و ثانيهما البناء على اليقين السابق عند طروّ الشك في نفس ذلك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فمنشأ الشك التردّد بين صحّة ذلك الاعتقاد و عدمه من غرائب الأوهام؛ للفرق الواضح بينهما</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3322694_2870459653"/>
      <w:bookmarkStart w:id="251" w:name="_Toc85"/>
      <w:bookmarkEnd w:id="250"/>
      <w:r>
        <w:rPr>
          <w:rtl w:val="true"/>
        </w:rPr>
        <w:t>[</w:t>
      </w:r>
      <w:r>
        <w:rPr>
          <w:rtl w:val="true"/>
        </w:rPr>
        <w:t>الشّك في الطّهارة</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الشاك في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تيقّن الحَدَث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فعل المشروط بها بعد الشك و قبله إذا كان في أثناء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بعده فلا، لحكومة قاعدة نفي الشك بعد الفراغ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الشاك في الحَدَث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تيقّن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لو في أثنائها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ظنّ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البيان </w:t>
      </w:r>
      <w:r>
        <w:rPr>
          <w:rStyle w:val="FootnoteAnchor"/>
          <w:rtl w:val="true"/>
        </w:rPr>
        <w:footnoteReference w:id="2999"/>
      </w:r>
      <w:r>
        <w:rPr>
          <w:rFonts w:ascii="Amiri" w:hAnsi="Amiri" w:eastAsia="Amiri" w:cs="Amiri"/>
          <w:color w:val="111111"/>
          <w:sz w:val="28"/>
          <w:sz w:val="28"/>
          <w:szCs w:val="28"/>
          <w:rtl w:val="true"/>
          <w:lang w:bidi="ar-SA"/>
        </w:rPr>
        <w:t xml:space="preserve">إلحاق الشكّ في الحَدَث قبل الفراغ بالشك في أفعال الوضوء تبعاً الظاهر المقنعة </w:t>
      </w:r>
      <w:r>
        <w:rPr>
          <w:rStyle w:val="FootnoteAnchor"/>
          <w:rtl w:val="true"/>
        </w:rPr>
        <w:footnoteReference w:id="3000"/>
      </w:r>
      <w:r>
        <w:rPr>
          <w:rFonts w:ascii="IRNazanin" w:hAnsi="IRNazanin" w:eastAsia="IRNazanin"/>
          <w:color w:val="111111"/>
          <w:sz w:val="28"/>
          <w:sz w:val="28"/>
          <w:szCs w:val="28"/>
          <w:rtl w:val="true"/>
          <w:lang w:bidi="fa-IR"/>
        </w:rPr>
        <w:t xml:space="preserve">و المبسوط </w:t>
      </w:r>
      <w:r>
        <w:rPr>
          <w:rStyle w:val="FootnoteAnchor"/>
          <w:rtl w:val="true"/>
        </w:rPr>
        <w:footnoteReference w:id="3001"/>
      </w:r>
      <w:r>
        <w:rPr>
          <w:rFonts w:ascii="Amiri" w:hAnsi="Amiri" w:eastAsia="Amiri" w:cs="Amiri"/>
          <w:color w:val="111111"/>
          <w:sz w:val="28"/>
          <w:sz w:val="28"/>
          <w:szCs w:val="28"/>
          <w:rtl w:val="true"/>
          <w:lang w:bidi="ar-SA"/>
        </w:rPr>
        <w:t xml:space="preserve">، و ردّه تقدّم، و من البهائي </w:t>
      </w:r>
      <w:r>
        <w:rPr>
          <w:rStyle w:val="FootnoteAnchor"/>
          <w:rtl w:val="true"/>
        </w:rPr>
        <w:footnoteReference w:id="3002"/>
      </w:r>
      <w:r>
        <w:rPr>
          <w:rFonts w:ascii="Amiri" w:hAnsi="Amiri" w:eastAsia="Amiri" w:cs="Amiri"/>
          <w:color w:val="111111"/>
          <w:sz w:val="28"/>
          <w:sz w:val="28"/>
          <w:szCs w:val="28"/>
          <w:rtl w:val="true"/>
          <w:lang w:bidi="ar-SA"/>
        </w:rPr>
        <w:t>عدم الطهارة إذا ظنّ ارتفاعها، فيعتبر حصول الظنّ الشخصي بالطّهارة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له حتّى لو بني الحكم بالطّهارة للاستصحاب لا للأخبار خاصّة، فإنّ من </w:t>
      </w:r>
    </w:p>
    <w:p>
      <w:pPr>
        <w:pStyle w:val="BookText"/>
        <w:rPr/>
      </w:pPr>
      <w:r>
        <w:rPr>
          <w:rFonts w:ascii="Amiri" w:hAnsi="Amiri" w:eastAsia="Amiri" w:cs="Amiri"/>
          <w:color w:val="111111"/>
          <w:sz w:val="28"/>
          <w:sz w:val="28"/>
          <w:szCs w:val="28"/>
          <w:rtl w:val="true"/>
          <w:lang w:bidi="ar-SA"/>
        </w:rPr>
        <w:t xml:space="preserve">قال بحجيّة الاستصحاب من باب الظنّ لا يعتبر إفادة الظّن الفعلي أبداً، بل هو ظن خاص قام به قاطع خاصّ، فالحكمان مطلقاً ثابتان بالإجماع </w:t>
      </w:r>
      <w:r>
        <w:rPr>
          <w:rStyle w:val="FootnoteAnchor"/>
          <w:rtl w:val="true"/>
        </w:rPr>
        <w:footnoteReference w:id="3003"/>
      </w:r>
      <w:r>
        <w:rPr>
          <w:rFonts w:ascii="Amiri" w:hAnsi="Amiri" w:eastAsia="Amiri" w:cs="Amiri"/>
          <w:color w:val="111111"/>
          <w:sz w:val="28"/>
          <w:sz w:val="28"/>
          <w:szCs w:val="28"/>
          <w:rtl w:val="true"/>
          <w:lang w:bidi="ar-SA"/>
        </w:rPr>
        <w:t>و قاضٍ بهما الاستصحاب المتّفق عليه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المتأخَّر منهما مع تيقّن وقوعهما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سابقاً و الجهل بالتاريخ لاحقاً 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المُحْدِث في عدم استباحة المشروط بالطّهارة قبل أن يتطهّر و في وجوبها عليه لو وجب، أم هو متطهّر ينظم في سلك متيقّن الطَّهارة؟ وجهان، و المعتمد الأوّل، و لا مرجّح في البين فلا يتعيّن بالطهارة، و هو يكفي بوجوب التطهير؛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3004"/>
      </w:r>
      <w:r>
        <w:rPr>
          <w:rFonts w:ascii="IRNazanin" w:hAnsi="IRNazanin" w:eastAsia="IRNazanin"/>
          <w:color w:val="111111"/>
          <w:sz w:val="28"/>
          <w:sz w:val="28"/>
          <w:szCs w:val="28"/>
          <w:rtl w:val="true"/>
          <w:lang w:bidi="fa-IR"/>
        </w:rPr>
        <w:t xml:space="preserve">، لكن ذلك لا مطلقاً،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يستفد من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الحَدَث و الوضوء بأن يكونا واحدين أو مثنیّين فما فوق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يتلو الحَدَث الطهارة أو العكس مع علم الشاك بحاله قبل شكّه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لو استفدنا حكماً آخر أهدى الاتّحاد و التعاقب لزمنا الأخذ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المكلّف أنّه لا يأتي إلَّا بطهارة رافعة، و شكّ في سبق الحَدَث و لحوقه لها، فإنّه إن كان متطهِّراً قبل شكّه وجب توسط الحَدَث بين الطهارتين، فيكون متطهّراً؛ لنفي احتمال وقوع الطهارة بعدها، لقطعه بالتّعاقب النوعي فيهما بالتزامه الرافعيّة بها، و إن كان محدثاً في سابق حالته فهو محدث بعد الشكّ؛ للزوم توسّط الطهارة بينهما، وهو معنى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المتّحد في العدد منهما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يقتضيه النظر و إن شمله إطلاق المصنّف ظاهراً، فإنّه بعد التروّي ملحق باليقين، ثمّ الحكم بالحَدَثيّة مع عدم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للتكافؤ،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إطلاقاتهم </w:t>
      </w:r>
      <w:r>
        <w:rPr>
          <w:rStyle w:val="FootnoteAnchor"/>
          <w:rtl w:val="true"/>
        </w:rPr>
        <w:footnoteReference w:id="3006"/>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بالحدثيّة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في </w:t>
      </w:r>
    </w:p>
    <w:p>
      <w:pPr>
        <w:pStyle w:val="BookText"/>
        <w:rPr/>
      </w:pPr>
      <w:r>
        <w:rPr>
          <w:rFonts w:ascii="Amiri" w:hAnsi="Amiri" w:eastAsia="Amiri" w:cs="Amiri"/>
          <w:color w:val="111111"/>
          <w:sz w:val="28"/>
          <w:sz w:val="28"/>
          <w:szCs w:val="28"/>
          <w:rtl w:val="true"/>
          <w:lang w:bidi="ar-SA"/>
        </w:rPr>
        <w:t xml:space="preserve">المتأخّر من الحَدَث أو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بالطهارة أو بالحدث أو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حاله مع عدم التعاقب الموجب للحكم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بأن اليقين الباعث عليه التكافؤ إن كان مطلق اليقين بها الذي لا ينافيه الشك في الحَدَث فهو موجود في الصّورة المفروضة و إن كان غيره، بمعنى استمراره كحدوثه إلى حين التلبّس بالمشروط بها، انتقضت الصّحة في الفرض الأوّل؛ إذ الطّهارة غير مستمرّ تيقّنها فيه إلى الفراغ من العمل، و إلَّا لما حصل الشك في حدوث الحدث بعدها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أيضاً بأنّ الأصل براءة الذّمة براءة الدّمة من التكليف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بأنّ عدم تيقّن الحَدَث يكفي في صحّة الصلاة لا اليقين بعدمه؛ و لذا تصحّ مع الشكّ فيه و تيقّن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w:t>
      </w:r>
      <w:r>
        <w:rPr>
          <w:rStyle w:val="FootnoteAnchor"/>
          <w:rtl w:val="true"/>
        </w:rPr>
        <w:footnoteReference w:id="3007"/>
      </w:r>
      <w:r>
        <w:rPr>
          <w:rFonts w:ascii="Amiri" w:hAnsi="Amiri" w:eastAsia="Amiri" w:cs="Amiri"/>
          <w:color w:val="111111"/>
          <w:sz w:val="28"/>
          <w:sz w:val="28"/>
          <w:szCs w:val="28"/>
          <w:rtl w:val="true"/>
          <w:lang w:bidi="ar-SA"/>
        </w:rPr>
        <w:t>بأنّ المراد وجوب يقين التّطهر من الحدث، و هو غير حاصل، و بأنّ الفرض ليس من مجاري البراءة؛ لأنه شكّ في وجود الشرط لا في شرطيّته، و بأنّ الحَدَث مانع و الطهارة عدمه، و عدم المانع شرط، على أنّ هذا المانع يجب إحراز عدمه و لو بالأصل، فلا يكفي عدم اليقين بوجوده، بل الواجب اليقين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الأصل في دليل الحكم المزبور ما ورد في فقه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 على يقين من الوضوء و الحَدَث و لا تدري أيّهما أسبق فتوضّأ</w:t>
      </w:r>
      <w:r>
        <w:rPr>
          <w:rFonts w:eastAsia="IRNazanin" w:cs="IRNazanin"/>
          <w:color w:val="111111"/>
          <w:sz w:val="28"/>
          <w:szCs w:val="28"/>
          <w:rtl w:val="true"/>
          <w:lang w:bidi="fa-IR"/>
        </w:rPr>
        <w:t xml:space="preserve">» </w:t>
      </w:r>
      <w:r>
        <w:rPr>
          <w:rStyle w:val="FootnoteAnchor"/>
          <w:rtl w:val="true"/>
        </w:rPr>
        <w:footnoteReference w:id="3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بظهور الاتّفاق المفهوم من نسبة المصنّف في الذكرى </w:t>
      </w:r>
      <w:r>
        <w:rPr>
          <w:rStyle w:val="FootnoteAnchor"/>
          <w:rtl w:val="true"/>
        </w:rPr>
        <w:footnoteReference w:id="3009"/>
      </w:r>
      <w:r>
        <w:rPr>
          <w:rFonts w:ascii="IRNazanin" w:hAnsi="IRNazanin" w:eastAsia="IRNazanin"/>
          <w:color w:val="111111"/>
          <w:sz w:val="28"/>
          <w:sz w:val="28"/>
          <w:szCs w:val="28"/>
          <w:rtl w:val="true"/>
          <w:lang w:bidi="fa-IR"/>
        </w:rPr>
        <w:t xml:space="preserve">، و استند بعضهم </w:t>
      </w:r>
      <w:r>
        <w:rPr>
          <w:rStyle w:val="FootnoteAnchor"/>
          <w:rtl w:val="true"/>
        </w:rPr>
        <w:footnoteReference w:id="3010"/>
      </w:r>
      <w:r>
        <w:rPr>
          <w:rFonts w:ascii="Amiri" w:hAnsi="Amiri" w:eastAsia="Amiri" w:cs="Amiri"/>
          <w:color w:val="111111"/>
          <w:sz w:val="28"/>
          <w:sz w:val="28"/>
          <w:szCs w:val="28"/>
          <w:rtl w:val="true"/>
          <w:lang w:bidi="ar-SA"/>
        </w:rPr>
        <w:t xml:space="preserve">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فإنّه تعالى أوجب الوضوء عند كلّ صلاة، فيشمل الفرض إطلاقها، و لا دليل على خروجه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العام مخصّص بالمتطهّر قطعاً، و مع الشك في دخول هذا الفرد في عنوان المخصّص أو العام لا يمكن شمول العام له، فيدفع اندراجه في المخصّص من جهة </w:t>
      </w:r>
    </w:p>
    <w:p>
      <w:pPr>
        <w:pStyle w:val="BookText"/>
        <w:rPr/>
      </w:pPr>
      <w:r>
        <w:rPr>
          <w:rFonts w:ascii="Amiri" w:hAnsi="Amiri" w:eastAsia="Amiri" w:cs="Amiri"/>
          <w:color w:val="111111"/>
          <w:sz w:val="28"/>
          <w:sz w:val="28"/>
          <w:szCs w:val="28"/>
          <w:rtl w:val="true"/>
          <w:lang w:bidi="ar-SA"/>
        </w:rPr>
        <w:t>نفس العموم؛ إذ شمول عموم العام له ليس بأولى من دخوله في عموم المخصّص، فلا يكفي عدم العلم بخروج هذا الفرض من الآية، و لا دليل يورث العلم بكونه من مصاديق عنوان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يرد جميع ما انتهض للمشهور به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الصلاة و الطهور</w:t>
      </w:r>
      <w:r>
        <w:rPr>
          <w:rFonts w:eastAsia="IRNazanin" w:cs="IRNazanin"/>
          <w:color w:val="111111"/>
          <w:sz w:val="28"/>
          <w:szCs w:val="28"/>
          <w:rtl w:val="true"/>
          <w:lang w:bidi="fa-IR"/>
        </w:rPr>
        <w:t xml:space="preserve">» </w:t>
      </w:r>
      <w:r>
        <w:rPr>
          <w:rStyle w:val="FootnoteAnchor"/>
          <w:rtl w:val="true"/>
        </w:rPr>
        <w:footnoteReference w:id="3011"/>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استيقنت أنّك أحدثت فتوضّأ</w:t>
      </w:r>
      <w:r>
        <w:rPr>
          <w:rFonts w:eastAsia="IRNazanin" w:cs="IRNazanin"/>
          <w:color w:val="111111"/>
          <w:sz w:val="28"/>
          <w:szCs w:val="28"/>
          <w:rtl w:val="true"/>
          <w:lang w:bidi="fa-IR"/>
        </w:rPr>
        <w:t xml:space="preserve">» </w:t>
      </w:r>
      <w:r>
        <w:rPr>
          <w:rStyle w:val="FootnoteAnchor"/>
          <w:rtl w:val="true"/>
        </w:rPr>
        <w:footnoteReference w:id="3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عمومات وجوب الوضوء بعد حصول أسبابه، فإنّ الأصل يقتضي أن يكون لكلّ سبب وضوء، و لم يخرج عنه إلّا تعاقب السّبيين الذي اكتفى الشارع في رفعهما بوضوء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نحن فيه ليس كذلك فيلحقه حكم العام، فإنّ ما حرّرناه يجري في جميعها، مضافاً إلى معارضتها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فإيّاك أن تحدث وضوءاً حتى تستيقن أنك قد أحدثت</w:t>
      </w:r>
      <w:r>
        <w:rPr>
          <w:rFonts w:eastAsia="IRNazanin" w:cs="IRNazanin"/>
          <w:color w:val="111111"/>
          <w:sz w:val="28"/>
          <w:szCs w:val="28"/>
          <w:rtl w:val="true"/>
          <w:lang w:bidi="fa-IR"/>
        </w:rPr>
        <w:t xml:space="preserve">» </w:t>
      </w:r>
      <w:r>
        <w:rPr>
          <w:rStyle w:val="FootnoteAnchor"/>
          <w:rtl w:val="true"/>
        </w:rPr>
        <w:footnoteReference w:id="3013"/>
      </w:r>
      <w:r>
        <w:rPr>
          <w:rFonts w:ascii="Amiri" w:hAnsi="Amiri" w:eastAsia="Amiri" w:cs="Amiri"/>
          <w:color w:val="111111"/>
          <w:sz w:val="28"/>
          <w:sz w:val="28"/>
          <w:szCs w:val="28"/>
          <w:rtl w:val="true"/>
          <w:lang w:bidi="ar-SA"/>
        </w:rPr>
        <w:t>فإنّ ظاهره إرادة الحَدَث بعد الوضوء و هذا المتوضّي لم يعلم حدثه بعده و عدمه فلا يتوضّأ، فالعمدة هو الشهرة و قاعدة الاحتياط الموجبة لإحراز الطّهور إلَّا ما خرج</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حرّرناه من عدم قاطع ضروري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شكّه في التأخّر و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ما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الجهل بحاله قبلهما فكالمشهور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كان متطهّراً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وقوعهما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 نقض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 في ارتفاع النّاقض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عدم 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لجواز تعاقب الطّهارتين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محدثاً فقد علم انتقاله عنه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شكّ في ارتفاعها </w:t>
      </w:r>
      <w:r>
        <w:rPr>
          <w:rStyle w:val="FootnoteAnchor"/>
          <w:rtl w:val="true"/>
        </w:rPr>
        <w:footnoteReference w:id="3014"/>
      </w:r>
      <w:r>
        <w:rPr>
          <w:rFonts w:ascii="Amiri" w:hAnsi="Amiri" w:eastAsia="Amiri" w:cs="Amiri"/>
          <w:color w:val="111111"/>
          <w:sz w:val="28"/>
          <w:sz w:val="28"/>
          <w:szCs w:val="28"/>
          <w:rtl w:val="true"/>
          <w:lang w:bidi="ar-SA"/>
        </w:rPr>
        <w:t>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تعاقب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الأمر إلى تيقّن الحَدَث و الشكّ في الطّهارة في الأوّل، و إلى العكس في الثاني، و الحكم فيهما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المعتبر </w:t>
      </w:r>
      <w:r>
        <w:rPr>
          <w:rStyle w:val="FootnoteAnchor"/>
          <w:rtl w:val="true"/>
        </w:rPr>
        <w:footnoteReference w:id="301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3016"/>
      </w:r>
      <w:r>
        <w:rPr>
          <w:rFonts w:ascii="Amiri" w:hAnsi="Amiri" w:eastAsia="Amiri" w:cs="Amiri"/>
          <w:color w:val="111111"/>
          <w:sz w:val="28"/>
          <w:sz w:val="28"/>
          <w:szCs w:val="28"/>
          <w:rtl w:val="true"/>
          <w:lang w:bidi="ar-SA"/>
        </w:rPr>
        <w:t xml:space="preserve">المَيل إليه، و بشرح الجعفرية </w:t>
      </w:r>
      <w:r>
        <w:rPr>
          <w:rStyle w:val="FootnoteAnchor"/>
          <w:rtl w:val="true"/>
        </w:rPr>
        <w:footnoteReference w:id="3017"/>
      </w:r>
      <w:r>
        <w:rPr>
          <w:rFonts w:ascii="Amiri" w:hAnsi="Amiri" w:eastAsia="Amiri" w:cs="Amiri"/>
          <w:color w:val="111111"/>
          <w:sz w:val="28"/>
          <w:sz w:val="28"/>
          <w:szCs w:val="28"/>
          <w:rtl w:val="true"/>
          <w:lang w:bidi="ar-SA"/>
        </w:rPr>
        <w:t xml:space="preserve">نسبته لمشهور المتأخّرين، و في فوائد القواعد </w:t>
      </w:r>
      <w:r>
        <w:rPr>
          <w:rStyle w:val="FootnoteAnchor"/>
          <w:rtl w:val="true"/>
        </w:rPr>
        <w:footnoteReference w:id="3018"/>
      </w:r>
      <w:r>
        <w:rPr>
          <w:rFonts w:ascii="Amiri" w:hAnsi="Amiri" w:eastAsia="Amiri" w:cs="Amiri"/>
          <w:color w:val="111111"/>
          <w:sz w:val="28"/>
          <w:sz w:val="28"/>
          <w:szCs w:val="28"/>
          <w:rtl w:val="true"/>
          <w:lang w:bidi="ar-SA"/>
        </w:rPr>
        <w:t>للشارح أنّه جيّد إن ثبت كون الأحداث من قبيل المعرّفات و لا تأثير للّاحق منها لمثله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المتيقّن حينئذٍ ارتفاع الحَدَث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به قبل الشك،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اللّاحق المتيقّن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له، و هو سبب تامّ في عدم الطهارة كسابقه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تعاقبه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فترفعهما الطهارة المتيقنة، يدفع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متكافئ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لتأخّره عن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فيما لو علم سبق الطّهارة و تركه؛ لأنه يعلم بالمقايسة، أو لعدم الفائدة؛ لوجوب التطهير على القولين حيث انتفى المرجّح، و حينئذٍ فظنّ رجوعه إلى الشك في الحَدَث بعد الطّهارة أو العكس المعلوم عدم الاعتناء به كما يظهر من الذكرى </w:t>
      </w:r>
      <w:r>
        <w:rPr>
          <w:rStyle w:val="FootnoteAnchor"/>
          <w:rtl w:val="true"/>
        </w:rPr>
        <w:footnoteReference w:id="3019"/>
      </w:r>
      <w:r>
        <w:rPr>
          <w:rFonts w:ascii="Amiri" w:hAnsi="Amiri" w:eastAsia="Amiri" w:cs="Amiri"/>
          <w:color w:val="111111"/>
          <w:sz w:val="28"/>
          <w:sz w:val="28"/>
          <w:szCs w:val="28"/>
          <w:rtl w:val="true"/>
          <w:lang w:bidi="ar-SA"/>
        </w:rPr>
        <w:t>أنّ هذا التفصيل ليس خلافاً في المسألة كما ترى؛ ضرورة أنّ الشكّ هنا في تأثيره بعد حدوثه المعلوم، و هناك في الحدوث فقط كما نبّه عليه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أراد أيضاً بعدم الفارق أنّ دليل السابق، و هو استصحاب المتيقّن و نفي المشكوك، جارٍ هنا فيتّحدان دليلاً و حكماً، بتقرير وجوب إبقاء الواقع للحالة السابقة من الحَدَث و ضده في المفروض؛ للاستصحاب الذي لا يعارضه استصحاب حكم الآخر المعلوم وجوده أيضاً؛ لأنّ معلوميّة وجوده لا تكفي في استصحابه، بل لا بدّ من العلم بتأثيره كالرافع المعلوم وجوده و تأثيره، و هو مع احتمال وقوعه قبل ذلك الرافع و عقيب مثله يشكّ في تأثيره ألبتّة، فلا يساوي المؤثِّر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ليس ذلك الأثر الذي هو غير متيقّن، بل الأثر الموجود حال حدوثه، و هو متيقّن؛ إذ كما أنّ الصلاة الطّهارة الرافعة للحدث السابق متيقّنة الوجود و إن لم يعلم تأثيره لأنّ القطع بتأثيره و عدمه لا يورث خَلَلاً في استصحاب مانعيّته، و هو يكفي في المعارضة نظير المتنجّس المغسول بطاهر و نجس و إن افترقا في الرجوع إلى قاعدة الطهارة في الأخير و عدمه في الأوّل، و تسلم قاعدة الشغل عن المعارض فلا بدّ من التطهير،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 يقينيّ التأثير فيما لو كان متطهِّراً قبله، فلا بدّ له من رافع، و كذا العكس، و إذ لم يعلم رافعهما يقيناً يبنى عليهما، و مع الجهل بالحالة السابقة لا مؤثِّر بخصوصه يقيناً، فيرجع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تكافؤ الاحتمالين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النتيجة الحَدَث، لكن التكافؤ مقيّد بعدم استفادة الحكم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020"/>
      </w: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للشاك أنّه أوجد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تأخّرها عن الحَدَث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بأنّ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بناءً على اعتبار نيّة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قطع بعدمه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ليس للتجديد مع القول برافعيّته؛ إذ لو كان المجدّد رافعاً و لم يقطع بعدمه اجتمع تيقّن الرافعيّة مع التجديد، فلا تتمّ الاستفادة، و لا يكفي نفس تيقّن الرافعيّة فيه، فإذا حصل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الحكم بالطهارة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كونه متطهّراً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الجماليّة </w:t>
      </w:r>
      <w:r>
        <w:rPr>
          <w:rStyle w:val="FootnoteAnchor"/>
          <w:rtl w:val="true"/>
        </w:rPr>
        <w:footnoteReference w:id="3021"/>
      </w:r>
      <w:r>
        <w:rPr>
          <w:rFonts w:ascii="Amiri" w:hAnsi="Amiri" w:eastAsia="Amiri" w:cs="Amiri"/>
          <w:color w:val="111111"/>
          <w:sz w:val="28"/>
          <w:sz w:val="28"/>
          <w:szCs w:val="28"/>
          <w:rtl w:val="true"/>
          <w:lang w:bidi="ar-SA"/>
        </w:rPr>
        <w:t>أنّ مراده بالطّهارة الرافعة لتلتئم كلماته من إضافة الوضوء التجديدي و القطع بعدمه؛ إذ لا فرق بين الرّفع الفعليّ للوضوء و القطع بعدم التجديد إلَّا بالعبارة، و هو بعيد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بالتطهير في هذا الفرض كذا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علم عدم تعاقب الحَدَثَين بحسب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إنّه مهما أحدث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الحكم بالحدث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تيقّن الحَدَث 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الحكم بهما، </w:t>
      </w:r>
      <w:bookmarkStart w:id="252" w:name="pg9146_86406"/>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موضع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ملحق بما ذكر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ليس من حقيقة الشكّ في شيء إلَّا بحسب ابتدائه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تروّى انقلب شكّه إلى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من الرّد على الأخذ بالصّحة، و بخروج هذه الصّور المفسّرة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نستفد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ضعف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جزم به الفاضل </w:t>
      </w:r>
      <w:r>
        <w:rPr>
          <w:rStyle w:val="FootnoteAnchor"/>
          <w:rtl w:val="true"/>
        </w:rPr>
        <w:footnoteReference w:id="3022"/>
      </w:r>
      <w:r>
        <w:rPr>
          <w:rFonts w:ascii="Amiri" w:hAnsi="Amiri" w:eastAsia="Amiri" w:cs="Amiri"/>
          <w:color w:val="111111"/>
          <w:sz w:val="28"/>
          <w:sz w:val="28"/>
          <w:szCs w:val="28"/>
          <w:rtl w:val="true"/>
          <w:lang w:bidi="ar-SA"/>
        </w:rPr>
        <w:t xml:space="preserve">، و هو أنّ الطهارة و الحَدَث قد تعارضا و تساقطا، فيرجع إلى سابق حاله المعلوم عنده أخذاً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باستصحاب الحالة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بعد التروّي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على ظاهره؛ لارتفاع موضوعه قطعاً، و إن أراد بالطهارة خصوص الرافعة، و بالحدث خصوص الناقض، و بالاستصحاب التزام نوع الحالة السابقة، فيخرج فرضه عن المتنازع فيه، و يكون إطلاق الشّك هنا باعتبار أصله قبل التروّي، و بعده ينتهي إلى اليقين، فالفاضل لم يخالف المشهور و يفهم من عدوله عن الوضوء إلى الطّهارة جريان الحكم المذكور في الشاك في المتأخِّر من الغسل و الجنابة، بل الظاهر أنّه لا خلاف فيه كما نبّه عليه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بالبول و الغائط من أحداث الوضوء</w:t>
      </w:r>
      <w:r>
        <w:rPr>
          <w:rFonts w:eastAsia="IRNazanin" w:cs="IRNazanin"/>
          <w:color w:val="111111"/>
          <w:sz w:val="28"/>
          <w:szCs w:val="28"/>
          <w:rtl w:val="true"/>
          <w:lang w:bidi="fa-IR"/>
        </w:rPr>
        <w:t>:</w:t>
      </w:r>
    </w:p>
    <w:p>
      <w:pPr>
        <w:pStyle w:val="Heading2"/>
        <w:numPr>
          <w:ilvl w:val="1"/>
          <w:numId w:val="1"/>
        </w:numPr>
        <w:rPr/>
      </w:pPr>
      <w:bookmarkStart w:id="253" w:name="__RefHeading___Toc3322696_2870459653"/>
      <w:bookmarkStart w:id="254" w:name="_Toc86"/>
      <w:bookmarkEnd w:id="253"/>
      <w:r>
        <w:rPr>
          <w:rtl w:val="true"/>
        </w:rPr>
        <w:t>[</w:t>
      </w:r>
      <w:r>
        <w:rPr>
          <w:rtl w:val="true"/>
        </w:rPr>
        <w:t>واجبات التخلي</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على المتخلِّي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و 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خصصنا بهما، و إلَّا فمطلقاً،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الزوجة و المملوكة لا مطلقاً بالأدلّة الثلاثة، و ما يظهر من الكراهة في بعض النّصوص كما في الفقيه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أكره النّظر إلى عورة المسلم، فأمّا النّظر إلى عورة من ليس بمسلم مثل النظر إلى عورة الحمار</w:t>
      </w:r>
      <w:r>
        <w:rPr>
          <w:rFonts w:eastAsia="IRNazanin" w:cs="IRNazanin"/>
          <w:color w:val="111111"/>
          <w:sz w:val="28"/>
          <w:szCs w:val="28"/>
          <w:rtl w:val="true"/>
          <w:lang w:bidi="fa-IR"/>
        </w:rPr>
        <w:t xml:space="preserve">» </w:t>
      </w:r>
      <w:r>
        <w:rPr>
          <w:rStyle w:val="FootnoteAnchor"/>
          <w:rtl w:val="true"/>
        </w:rPr>
        <w:footnoteReference w:id="3023"/>
      </w:r>
      <w:r>
        <w:rPr>
          <w:rFonts w:ascii="Amiri" w:hAnsi="Amiri" w:eastAsia="Amiri" w:cs="Amiri"/>
          <w:color w:val="111111"/>
          <w:sz w:val="28"/>
          <w:sz w:val="28"/>
          <w:szCs w:val="28"/>
          <w:rtl w:val="true"/>
          <w:lang w:bidi="ar-SA"/>
        </w:rPr>
        <w:t>فمحمولة على الحرمة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الاختصاصُ بالمسلم، و بالقضيب و الدُّبر، و البيضتين منه، لا بُعد فيه للنصُ </w:t>
      </w:r>
    </w:p>
    <w:p>
      <w:pPr>
        <w:pStyle w:val="BookText"/>
        <w:rPr/>
      </w:pPr>
      <w:r>
        <w:rPr>
          <w:rFonts w:ascii="IRNazanin" w:hAnsi="IRNazanin" w:eastAsia="IRNazanin"/>
          <w:color w:val="111111"/>
          <w:sz w:val="28"/>
          <w:sz w:val="28"/>
          <w:szCs w:val="28"/>
          <w:rtl w:val="true"/>
          <w:lang w:bidi="fa-IR"/>
        </w:rPr>
        <w:t xml:space="preserve">العامل بظاهره الصّدوق </w:t>
      </w:r>
      <w:r>
        <w:rPr>
          <w:rStyle w:val="FootnoteAnchor"/>
          <w:rtl w:val="true"/>
        </w:rPr>
        <w:footnoteReference w:id="3024"/>
      </w:r>
      <w:r>
        <w:rPr>
          <w:rFonts w:ascii="Amiri" w:hAnsi="Amiri" w:eastAsia="Amiri" w:cs="Amiri"/>
          <w:color w:val="111111"/>
          <w:sz w:val="28"/>
          <w:sz w:val="28"/>
          <w:szCs w:val="28"/>
          <w:rtl w:val="true"/>
          <w:lang w:bidi="ar-SA"/>
        </w:rPr>
        <w:t xml:space="preserve">و غيره </w:t>
      </w:r>
      <w:r>
        <w:rPr>
          <w:rStyle w:val="FootnoteAnchor"/>
          <w:rtl w:val="true"/>
        </w:rPr>
        <w:footnoteReference w:id="3025"/>
      </w:r>
      <w:r>
        <w:rPr>
          <w:rFonts w:ascii="Amiri" w:hAnsi="Amiri" w:eastAsia="Amiri" w:cs="Amiri"/>
          <w:color w:val="111111"/>
          <w:sz w:val="28"/>
          <w:sz w:val="28"/>
          <w:szCs w:val="28"/>
          <w:rtl w:val="true"/>
          <w:lang w:bidi="ar-SA"/>
        </w:rPr>
        <w:t>، فيقيّد به عموم النّبوي،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إيّاك و دخول الحمّام بغير مئزر، ملعون ملعون الناظر و المنظور إليه</w:t>
      </w:r>
      <w:r>
        <w:rPr>
          <w:rFonts w:eastAsia="Amiri" w:cs="Amiri" w:ascii="Amiri" w:hAnsi="Amiri"/>
          <w:color w:val="111111"/>
          <w:sz w:val="28"/>
          <w:szCs w:val="28"/>
          <w:rtl w:val="true"/>
          <w:lang w:bidi="ar-SA"/>
        </w:rPr>
        <w:t xml:space="preserve">»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شموله للمدّعى مشكل؛ و لقوله علیه السلام في رواية محمّد بن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الفخذ ليس من العورة</w:t>
      </w:r>
      <w:r>
        <w:rPr>
          <w:rFonts w:eastAsia="IRNazanin" w:cs="IRNazanin"/>
          <w:color w:val="111111"/>
          <w:sz w:val="28"/>
          <w:szCs w:val="28"/>
          <w:rtl w:val="true"/>
          <w:lang w:bidi="fa-IR"/>
        </w:rPr>
        <w:t xml:space="preserve">» </w:t>
      </w:r>
      <w:r>
        <w:rPr>
          <w:rStyle w:val="FootnoteAnchor"/>
          <w:rtl w:val="true"/>
        </w:rPr>
        <w:footnoteReference w:id="3027"/>
      </w:r>
      <w:r>
        <w:rPr>
          <w:rFonts w:ascii="IRNazanin" w:hAnsi="IRNazanin" w:eastAsia="IRNazanin"/>
          <w:color w:val="111111"/>
          <w:sz w:val="28"/>
          <w:sz w:val="28"/>
          <w:szCs w:val="28"/>
          <w:rtl w:val="true"/>
          <w:lang w:bidi="fa-IR"/>
        </w:rPr>
        <w:t>و لحكاية الصدوق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يلفّ إزاره على طرف إحليله و يدعو قيّم الحمّام فيطلي سائر بدنه</w:t>
      </w:r>
      <w:r>
        <w:rPr>
          <w:rFonts w:eastAsia="IRNazanin" w:cs="IRNazanin"/>
          <w:color w:val="111111"/>
          <w:sz w:val="28"/>
          <w:szCs w:val="28"/>
          <w:rtl w:val="true"/>
          <w:lang w:bidi="fa-IR"/>
        </w:rPr>
        <w:t xml:space="preserve">» </w:t>
      </w:r>
      <w:r>
        <w:rPr>
          <w:rStyle w:val="FootnoteAnchor"/>
          <w:rtl w:val="true"/>
        </w:rPr>
        <w:footnoteReference w:id="3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الحلبي </w:t>
      </w:r>
      <w:r>
        <w:rPr>
          <w:rStyle w:val="FootnoteAnchor"/>
          <w:rtl w:val="true"/>
        </w:rPr>
        <w:footnoteReference w:id="3029"/>
      </w:r>
      <w:r>
        <w:rPr>
          <w:rFonts w:ascii="Amiri" w:hAnsi="Amiri" w:eastAsia="Amiri" w:cs="Amiri"/>
          <w:color w:val="111111"/>
          <w:sz w:val="28"/>
          <w:sz w:val="28"/>
          <w:szCs w:val="28"/>
          <w:rtl w:val="true"/>
          <w:lang w:bidi="ar-SA"/>
        </w:rPr>
        <w:t xml:space="preserve">و القاضي </w:t>
      </w:r>
      <w:r>
        <w:rPr>
          <w:rStyle w:val="FootnoteAnchor"/>
          <w:rtl w:val="true"/>
        </w:rPr>
        <w:footnoteReference w:id="3030"/>
      </w:r>
      <w:r>
        <w:rPr>
          <w:rFonts w:ascii="Amiri" w:hAnsi="Amiri" w:eastAsia="Amiri" w:cs="Amiri"/>
          <w:color w:val="111111"/>
          <w:sz w:val="28"/>
          <w:sz w:val="28"/>
          <w:szCs w:val="28"/>
          <w:rtl w:val="true"/>
          <w:lang w:bidi="ar-SA"/>
        </w:rPr>
        <w:t>خالفا، فحكم الثاني أنّها من السُّرّة إلى الركبة، و الأوّل أنه لا يتمّ إلَّا بستر نصف الساق؛ للعمومات الناهية عن دخول الحمام إلَّا بمئزر؛ و لخصوص رواية قرب الإسناد،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العورة ما بين السّرة و الركبة</w:t>
      </w:r>
      <w:r>
        <w:rPr>
          <w:rFonts w:eastAsia="Amiri" w:cs="Amiri" w:ascii="Amiri" w:hAnsi="Amiri"/>
          <w:color w:val="111111"/>
          <w:sz w:val="28"/>
          <w:szCs w:val="28"/>
          <w:rtl w:val="true"/>
          <w:lang w:bidi="ar-SA"/>
        </w:rPr>
        <w:t xml:space="preserve">» </w:t>
      </w:r>
      <w:r>
        <w:rPr>
          <w:rStyle w:val="FootnoteAnchor"/>
          <w:rtl w:val="true"/>
        </w:rPr>
        <w:footnoteReference w:id="3031"/>
      </w:r>
      <w:r>
        <w:rPr>
          <w:rFonts w:ascii="Amiri" w:hAnsi="Amiri" w:eastAsia="Amiri" w:cs="Amiri"/>
          <w:color w:val="111111"/>
          <w:sz w:val="28"/>
          <w:sz w:val="28"/>
          <w:szCs w:val="28"/>
          <w:rtl w:val="true"/>
          <w:lang w:bidi="ar-SA"/>
        </w:rPr>
        <w:t>، و خبر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للرجل أن يكشف ثيابه عن فخذه و يجلس بين القوم</w:t>
      </w:r>
      <w:r>
        <w:rPr>
          <w:rFonts w:eastAsia="Amiri" w:cs="Amiri" w:ascii="Amiri" w:hAnsi="Amiri"/>
          <w:color w:val="111111"/>
          <w:sz w:val="28"/>
          <w:szCs w:val="28"/>
          <w:rtl w:val="true"/>
          <w:lang w:bidi="ar-SA"/>
        </w:rPr>
        <w:t xml:space="preserve">» </w:t>
      </w:r>
      <w:r>
        <w:rPr>
          <w:rStyle w:val="FootnoteAnchor"/>
          <w:rtl w:val="true"/>
        </w:rPr>
        <w:footnoteReference w:id="3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محمولان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المدار في الحرمة و وجوب السّتر المفروضين هو اللّون و الحجم معاً، و خصّهما بالأوّل قوم </w:t>
      </w:r>
      <w:r>
        <w:rPr>
          <w:rStyle w:val="FootnoteAnchor"/>
          <w:rtl w:val="true"/>
        </w:rPr>
        <w:footnoteReference w:id="3033"/>
      </w:r>
      <w:r>
        <w:rPr>
          <w:rFonts w:ascii="Amiri" w:hAnsi="Amiri" w:eastAsia="Amiri" w:cs="Amiri"/>
          <w:color w:val="111111"/>
          <w:sz w:val="28"/>
          <w:sz w:val="28"/>
          <w:szCs w:val="28"/>
          <w:rtl w:val="true"/>
          <w:lang w:bidi="ar-SA"/>
        </w:rPr>
        <w:t xml:space="preserve">لرواية النّورة </w:t>
      </w:r>
      <w:r>
        <w:rPr>
          <w:rStyle w:val="FootnoteAnchor"/>
          <w:rtl w:val="true"/>
        </w:rPr>
        <w:footnoteReference w:id="3034"/>
      </w:r>
      <w:r>
        <w:rPr>
          <w:rFonts w:ascii="Amiri" w:hAnsi="Amiri" w:eastAsia="Amiri" w:cs="Amiri"/>
          <w:color w:val="111111"/>
          <w:sz w:val="28"/>
          <w:sz w:val="28"/>
          <w:szCs w:val="28"/>
          <w:rtl w:val="true"/>
          <w:lang w:bidi="ar-SA"/>
        </w:rPr>
        <w:t>و إطلاق وجوب السّتر، و عدم التجرّد يردّه، فلا يكفي صبغ العورة و النظر إليها، و إلَّا لكفى في المرأة، و لا قائل به، و يفهم من إطلاقه وجوب السّتر عنه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بمقاديم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بفرجه فقط،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التخلّي، و الحكم بهما مشهور </w:t>
      </w:r>
      <w:r>
        <w:rPr>
          <w:rStyle w:val="FootnoteAnchor"/>
          <w:rtl w:val="true"/>
        </w:rPr>
        <w:footnoteReference w:id="3035"/>
      </w:r>
      <w:r>
        <w:rPr>
          <w:rFonts w:ascii="Amiri" w:hAnsi="Amiri" w:eastAsia="Amiri" w:cs="Amiri"/>
          <w:color w:val="111111"/>
          <w:sz w:val="28"/>
          <w:sz w:val="28"/>
          <w:szCs w:val="28"/>
          <w:rtl w:val="true"/>
          <w:lang w:bidi="ar-SA"/>
        </w:rPr>
        <w:t>معروف، و هو العمدة في الحرمة لا ظاهر بعض النّصوص، فإنّها غير نقيّة السند و لا صريحة الدّلالة، و النّهي فيها كالنّهي عن استقبال الرِّيح و استدبارها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فلذا تبعناهم في الحرمة و كون التّرك بمقاديم البدن دون البول، فجعلوا ترك الاستقبال مثل وجوبه في الصلاة، و أعرضوا عن ظاهر مرفوعة عليّ بن إبراهيم عن الكاظم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تستقبل القبلة بغائط و لا بول</w:t>
      </w:r>
      <w:r>
        <w:rPr>
          <w:rFonts w:eastAsia="IRNazanin" w:cs="IRNazanin"/>
          <w:color w:val="111111"/>
          <w:sz w:val="28"/>
          <w:szCs w:val="28"/>
          <w:rtl w:val="true"/>
          <w:lang w:bidi="fa-IR"/>
        </w:rPr>
        <w:t xml:space="preserve">» </w:t>
      </w:r>
      <w:r>
        <w:rPr>
          <w:rStyle w:val="FootnoteAnchor"/>
          <w:rtl w:val="true"/>
        </w:rPr>
        <w:footnoteReference w:id="3036"/>
      </w:r>
      <w:r>
        <w:rPr>
          <w:rFonts w:ascii="Amiri" w:hAnsi="Amiri" w:eastAsia="Amiri" w:cs="Amiri"/>
          <w:color w:val="111111"/>
          <w:sz w:val="28"/>
          <w:sz w:val="28"/>
          <w:szCs w:val="28"/>
          <w:rtl w:val="true"/>
          <w:lang w:bidi="ar-SA"/>
        </w:rPr>
        <w:t>، القاضية بجواز الاستقبال عند التخلّي مع انحراف الذكر و البول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ظاهر الألفيّة </w:t>
      </w:r>
      <w:r>
        <w:rPr>
          <w:rStyle w:val="FootnoteAnchor"/>
          <w:rtl w:val="true"/>
        </w:rPr>
        <w:footnoteReference w:id="3037"/>
      </w:r>
      <w:r>
        <w:rPr>
          <w:rFonts w:ascii="Amiri" w:hAnsi="Amiri" w:eastAsia="Amiri" w:cs="Amiri"/>
          <w:color w:val="111111"/>
          <w:sz w:val="28"/>
          <w:sz w:val="28"/>
          <w:szCs w:val="28"/>
          <w:rtl w:val="true"/>
          <w:lang w:bidi="ar-SA"/>
        </w:rPr>
        <w:t xml:space="preserve">لصدق الانحراف بإمالة طرف القضيب و اختصاص منع الاستقبال بالعورة التي يتخلّى بها دون البيضتين، لكنّهم جزموا بأنّ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038"/>
      </w:r>
      <w:r>
        <w:rPr>
          <w:rFonts w:ascii="Amiri" w:hAnsi="Amiri" w:eastAsia="Amiri" w:cs="Amiri"/>
          <w:color w:val="111111"/>
          <w:sz w:val="28"/>
          <w:sz w:val="28"/>
          <w:szCs w:val="28"/>
          <w:rtl w:val="true"/>
          <w:lang w:bidi="ar-SA"/>
        </w:rPr>
        <w:t>في الخبر، أي في حال البول، أو القيد فيه و في غيره وارد مورد الغالب من جهة الملازمة و ندرة الانحراف بخصوص الفرج، مضافاً إلى عدم معقوليّة هذا المعنى في المستدبر، و الحكم فيهما سواء و إن كانت التسوية تورث جواز انحراف طرف الذَكَر إلى القبلة لو لم يستقبل بمقاديم بدنه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فالأحوط ترك الاستقبال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البناء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 </w:t>
      </w:r>
      <w:r>
        <w:rPr>
          <w:rStyle w:val="FootnoteAnchor"/>
          <w:rtl w:val="true"/>
        </w:rPr>
        <w:footnoteReference w:id="3039"/>
      </w:r>
      <w:r>
        <w:rPr>
          <w:rFonts w:ascii="IRNazanin" w:hAnsi="IRNazanin" w:eastAsia="IRNazanin"/>
          <w:color w:val="111111"/>
          <w:sz w:val="28"/>
          <w:sz w:val="28"/>
          <w:szCs w:val="28"/>
          <w:rtl w:val="true"/>
          <w:lang w:bidi="fa-IR"/>
        </w:rPr>
        <w:t>و ضعف برهان المفصّل، و هو الصحيح المروي في المحاسن عن ابن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علیه السلام و في منزله كنيف مستقبل القبلة و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 حذاء القبلة ثمّ ذكر فانحرف عنها لم يقم من مقعده ذلك حتى يغفر له</w:t>
      </w:r>
      <w:r>
        <w:rPr>
          <w:rFonts w:eastAsia="IRNazanin" w:cs="IRNazanin"/>
          <w:color w:val="111111"/>
          <w:sz w:val="28"/>
          <w:szCs w:val="28"/>
          <w:rtl w:val="true"/>
          <w:lang w:bidi="fa-IR"/>
        </w:rPr>
        <w:t xml:space="preserve">» </w:t>
      </w:r>
      <w:r>
        <w:rPr>
          <w:rStyle w:val="FootnoteAnchor"/>
          <w:rtl w:val="true"/>
        </w:rPr>
        <w:footnoteReference w:id="3040"/>
      </w:r>
      <w:r>
        <w:rPr>
          <w:rFonts w:ascii="Amiri" w:hAnsi="Amiri" w:eastAsia="Amiri" w:cs="Amiri"/>
          <w:color w:val="111111"/>
          <w:sz w:val="28"/>
          <w:sz w:val="28"/>
          <w:szCs w:val="28"/>
          <w:rtl w:val="true"/>
          <w:lang w:bidi="ar-SA"/>
        </w:rPr>
        <w:t xml:space="preserve">لتوقّف الاستدلال به على كون البناء بإذن </w:t>
      </w:r>
    </w:p>
    <w:p>
      <w:pPr>
        <w:pStyle w:val="BookText"/>
        <w:rPr/>
      </w:pPr>
      <w:r>
        <w:rPr>
          <w:rFonts w:ascii="IRNazanin" w:hAnsi="IRNazanin" w:eastAsia="IRNazanin"/>
          <w:color w:val="111111"/>
          <w:sz w:val="28"/>
          <w:sz w:val="28"/>
          <w:szCs w:val="28"/>
          <w:rtl w:val="true"/>
          <w:lang w:bidi="fa-IR"/>
        </w:rPr>
        <w:t>الإمام علیه السلام، و أنّ المراد بالكنيف المقعدة دون بيت الخلاء، و لو سلّمنا فما كان ليقضى بالجواز؛ لتطرّق احتمال الضّرورة و غيرها في بنائه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هو مُشْعِر بكون الترك مندوباً، لكن الإشعار لا يخصّص ظواهر الأخبار، و له و لشبهه أفتى المفيد </w:t>
      </w:r>
      <w:r>
        <w:rPr>
          <w:rStyle w:val="FootnoteAnchor"/>
          <w:rtl w:val="true"/>
        </w:rPr>
        <w:footnoteReference w:id="3041"/>
      </w:r>
      <w:r>
        <w:rPr>
          <w:rFonts w:ascii="Amiri" w:hAnsi="Amiri" w:eastAsia="Amiri" w:cs="Amiri"/>
          <w:color w:val="111111"/>
          <w:sz w:val="28"/>
          <w:sz w:val="28"/>
          <w:szCs w:val="28"/>
          <w:rtl w:val="true"/>
          <w:lang w:bidi="ar-SA"/>
        </w:rPr>
        <w:t xml:space="preserve">بالكراهة فيهما مطلقاً، و سلّار </w:t>
      </w:r>
      <w:r>
        <w:rPr>
          <w:rStyle w:val="FootnoteAnchor"/>
          <w:rtl w:val="true"/>
        </w:rPr>
        <w:footnoteReference w:id="3042"/>
      </w:r>
      <w:r>
        <w:rPr>
          <w:rFonts w:ascii="Amiri" w:hAnsi="Amiri" w:eastAsia="Amiri" w:cs="Amiri"/>
          <w:color w:val="111111"/>
          <w:sz w:val="28"/>
          <w:sz w:val="28"/>
          <w:szCs w:val="28"/>
          <w:rtl w:val="true"/>
          <w:lang w:bidi="ar-SA"/>
        </w:rPr>
        <w:t xml:space="preserve">بالحرمة بالصّحاري و الكراهة في الدّور، و ابن الجنيد </w:t>
      </w:r>
      <w:r>
        <w:rPr>
          <w:rStyle w:val="FootnoteAnchor"/>
          <w:rtl w:val="true"/>
        </w:rPr>
        <w:footnoteReference w:id="3043"/>
      </w:r>
      <w:r>
        <w:rPr>
          <w:rFonts w:ascii="Amiri" w:hAnsi="Amiri" w:eastAsia="Amiri" w:cs="Amiri"/>
          <w:color w:val="111111"/>
          <w:sz w:val="28"/>
          <w:sz w:val="28"/>
          <w:szCs w:val="28"/>
          <w:rtl w:val="true"/>
          <w:lang w:bidi="ar-SA"/>
        </w:rPr>
        <w:t xml:space="preserve">بكراهة الاستقبال و لم يذكر الاستدبار، و الفاضل في النّهاية </w:t>
      </w:r>
      <w:r>
        <w:rPr>
          <w:rStyle w:val="FootnoteAnchor"/>
          <w:rtl w:val="true"/>
        </w:rPr>
        <w:footnoteReference w:id="3044"/>
      </w:r>
      <w:r>
        <w:rPr>
          <w:rFonts w:ascii="Amiri" w:hAnsi="Amiri" w:eastAsia="Amiri" w:cs="Amiri"/>
          <w:color w:val="111111"/>
          <w:sz w:val="28"/>
          <w:sz w:val="28"/>
          <w:szCs w:val="28"/>
          <w:rtl w:val="true"/>
          <w:lang w:bidi="ar-SA"/>
        </w:rPr>
        <w:t>خصّ النّهي عن الاستدبار بالمدينة و ما سامتها؛ لأنّ المستدبر فيها مقابل 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الحرمة مطلقاً إلَّا للضرورة فيجوز مطلقاً، و عليه يجب الفحص لو اشتبهت القبلة و أمكَنهُ الفحص؛ لوجوب الاجتناب، و لا يحصل إلَّا بالفحص، و يتبع الظّن لو تعذّر العلم أو الخاص منه؛ لعدم سقوط التكليف، و إطلاقه يأبى عن تخصيصها بحالة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التجأ المتخلّي إلى المحرّمين عليه قدّم الاستدبار، و قدّم ستر العورة عن الناظر المحترم لو دار الأمر بينه و بين الاستقبال؛ لأهمّيّته، و يجوز له أن يستبرئ و يستنجي مستقبلاً أو مُدبراً؛ لقصر التحريم على المتيقّن في النّص و الفتوى</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خرج من غير 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مضافاً عند تعذّر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مرّتين كما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كفاية غيره مطلقاً، و تجب إزالة العين لو تعذّر الماء بما أمكن؛ لقاعدة الميسور، و لاجتزاء الشارع في غيره من النجاسات بالنقاء و إزالة العين، و لأنّ الواجب إزالة العين و الأثر، و تعدّر الثاني لا يسقط الأوّل، و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يابس ذكي</w:t>
      </w:r>
      <w:r>
        <w:rPr>
          <w:rFonts w:eastAsia="IRNazanin" w:cs="IRNazanin"/>
          <w:color w:val="111111"/>
          <w:sz w:val="28"/>
          <w:szCs w:val="28"/>
          <w:rtl w:val="true"/>
          <w:lang w:bidi="fa-IR"/>
        </w:rPr>
        <w:t xml:space="preserve">» </w:t>
      </w:r>
      <w:r>
        <w:rPr>
          <w:rStyle w:val="FootnoteAnchor"/>
          <w:rtl w:val="true"/>
        </w:rPr>
        <w:footnoteReference w:id="3045"/>
      </w:r>
      <w:r>
        <w:rPr>
          <w:rFonts w:ascii="IRNazanin" w:hAnsi="IRNazanin" w:eastAsia="IRNazanin"/>
          <w:color w:val="111111"/>
          <w:sz w:val="28"/>
          <w:sz w:val="28"/>
          <w:szCs w:val="28"/>
          <w:rtl w:val="true"/>
          <w:lang w:bidi="fa-IR"/>
        </w:rPr>
        <w:t>، في جواب مسح الذكر بالحائط، و لرواية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الحسن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أبول ثمّ أتمسّح بالأحجار، فيجيء منّي البَلَل بعد استبرائي أو ما يفسد سراويلي،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Style w:val="FootnoteAnchor"/>
          <w:rtl w:val="true"/>
        </w:rPr>
        <w:footnoteReference w:id="3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أفتى الفاضلان </w:t>
      </w:r>
      <w:r>
        <w:rPr>
          <w:rStyle w:val="FootnoteAnchor"/>
          <w:rtl w:val="true"/>
        </w:rPr>
        <w:footnoteReference w:id="3047"/>
      </w:r>
      <w:r>
        <w:rPr>
          <w:rFonts w:ascii="Amiri" w:hAnsi="Amiri" w:eastAsia="Amiri" w:cs="Amiri"/>
          <w:color w:val="111111"/>
          <w:sz w:val="28"/>
          <w:sz w:val="28"/>
          <w:szCs w:val="28"/>
          <w:rtl w:val="true"/>
          <w:lang w:bidi="ar-SA"/>
        </w:rPr>
        <w:t xml:space="preserve">و غيرهما </w:t>
      </w:r>
      <w:r>
        <w:rPr>
          <w:rStyle w:val="FootnoteAnchor"/>
          <w:rtl w:val="true"/>
        </w:rPr>
        <w:footnoteReference w:id="3048"/>
      </w:r>
      <w:r>
        <w:rPr>
          <w:rFonts w:ascii="Amiri" w:hAnsi="Amiri" w:eastAsia="Amiri" w:cs="Amiri"/>
          <w:color w:val="111111"/>
          <w:sz w:val="28"/>
          <w:sz w:val="28"/>
          <w:szCs w:val="28"/>
          <w:rtl w:val="true"/>
          <w:lang w:bidi="ar-SA"/>
        </w:rPr>
        <w:t xml:space="preserve">، و لكن جماعة من المتأخِّرين </w:t>
      </w:r>
      <w:r>
        <w:rPr>
          <w:rStyle w:val="FootnoteAnchor"/>
          <w:rtl w:val="true"/>
        </w:rPr>
        <w:footnoteReference w:id="3049"/>
      </w:r>
      <w:r>
        <w:rPr>
          <w:rFonts w:ascii="Amiri" w:hAnsi="Amiri" w:eastAsia="Amiri" w:cs="Amiri"/>
          <w:color w:val="111111"/>
          <w:sz w:val="28"/>
          <w:sz w:val="28"/>
          <w:szCs w:val="28"/>
          <w:rtl w:val="true"/>
          <w:lang w:bidi="ar-SA"/>
        </w:rPr>
        <w:t>نفوا الوجوب؛ لأنّ التطهير أمرُ وجداني لا جزء له، فلا تجري فيه قاعدة سقوط المعسور بالميسور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اكتفى بالبقاء في حسنة ابن المغيرة </w:t>
      </w:r>
      <w:r>
        <w:rPr>
          <w:rStyle w:val="FootnoteAnchor"/>
          <w:rtl w:val="true"/>
        </w:rPr>
        <w:footnoteReference w:id="3050"/>
      </w:r>
      <w:r>
        <w:rPr>
          <w:rFonts w:ascii="Amiri" w:hAnsi="Amiri" w:eastAsia="Amiri" w:cs="Amiri"/>
          <w:color w:val="111111"/>
          <w:sz w:val="28"/>
          <w:sz w:val="28"/>
          <w:szCs w:val="28"/>
          <w:rtl w:val="true"/>
          <w:lang w:bidi="ar-SA"/>
        </w:rPr>
        <w:t>، و جعله حدّاً للاستنجاء، و هو أعمّ من الغائط و البول، و لا ريب في حصوله بإزالة العين، فوجوب إزالة الأثر بالماء أمر آخر قضى به الدليل، فلو تعذّر سقط وجوبه فقط، فلا معنى للتمحّل في منع الأدلّة الظاهرة في الاجتزاء بإزالة العين لو فقد الماء، و أقلّ ما يجزي منه مِثلا ما على الحشفة من البَلَل كما نطق به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البول فلا بدّ من غسله، و يجزي مِثلاه مع الفصل؛ للخبر </w:t>
      </w:r>
      <w:r>
        <w:rPr>
          <w:rStyle w:val="FootnoteAnchor"/>
          <w:rtl w:val="true"/>
        </w:rPr>
        <w:footnoteReference w:id="305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فكأنّهم استظهروا التعدّد منه؛ لأنه حكم مطلق البول، و يكون المراد بالبلل القطرة المتخلّفة غالباً على الحَشفة لا مجرّد البَلَل؛ للقطع بعدم تحقّق الغسل المعتبر به إجماعاً </w:t>
      </w:r>
      <w:r>
        <w:rPr>
          <w:rStyle w:val="FootnoteAnchor"/>
          <w:rtl w:val="true"/>
        </w:rPr>
        <w:footnoteReference w:id="3052"/>
      </w:r>
      <w:r>
        <w:rPr>
          <w:rFonts w:ascii="Amiri" w:hAnsi="Amiri" w:eastAsia="Amiri" w:cs="Amiri"/>
          <w:color w:val="111111"/>
          <w:sz w:val="28"/>
          <w:sz w:val="28"/>
          <w:szCs w:val="28"/>
          <w:rtl w:val="true"/>
          <w:lang w:bidi="ar-SA"/>
        </w:rPr>
        <w:t>، لا بمثليه و لا بأربعة أمثاله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تفيد وجوب الغسلة الواحدة و إنّ المثلين فيها بيان لأجل ما يتحقّق به استيلاء الماء على النجس، فإنّ الغسل و الجريان و إن لم يحصل بمثلي البَلَل، إلَّا أنّ اعتبار تضاعف البَلَل لا يبعد أن يجعل كناية عن الغلبة و الاستيلاء، و إليه يميل قول المحقّق في </w:t>
      </w:r>
    </w:p>
    <w:p>
      <w:pPr>
        <w:pStyle w:val="BookText"/>
        <w:rPr/>
      </w:pPr>
      <w:r>
        <w:rPr>
          <w:rFonts w:ascii="IRNazanin" w:hAnsi="IRNazanin" w:eastAsia="IRNazanin"/>
          <w:color w:val="111111"/>
          <w:sz w:val="28"/>
          <w:sz w:val="28"/>
          <w:szCs w:val="28"/>
          <w:rtl w:val="true"/>
          <w:lang w:bidi="fa-IR"/>
        </w:rPr>
        <w:t xml:space="preserve">المعتبر </w:t>
      </w:r>
      <w:r>
        <w:rPr>
          <w:rStyle w:val="FootnoteAnchor"/>
          <w:rtl w:val="true"/>
        </w:rPr>
        <w:footnoteReference w:id="3054"/>
      </w:r>
      <w:r>
        <w:rPr>
          <w:rFonts w:ascii="Amiri" w:hAnsi="Amiri" w:eastAsia="Amiri" w:cs="Amiri"/>
          <w:color w:val="111111"/>
          <w:sz w:val="28"/>
          <w:sz w:val="28"/>
          <w:szCs w:val="28"/>
          <w:rtl w:val="true"/>
          <w:lang w:bidi="ar-SA"/>
        </w:rPr>
        <w:t>بأنّ اليقين بغلبة المطهّر لا يحصل إلَّا بالغسل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055"/>
      </w:r>
      <w:r>
        <w:rPr>
          <w:rFonts w:ascii="Amiri" w:hAnsi="Amiri" w:eastAsia="Amiri" w:cs="Amiri"/>
          <w:color w:val="111111"/>
          <w:sz w:val="28"/>
          <w:sz w:val="28"/>
          <w:szCs w:val="28"/>
          <w:rtl w:val="true"/>
          <w:lang w:bidi="ar-SA"/>
        </w:rPr>
        <w:t>بتعبّدية التحديد بالمثلين و عدم كفاية مطلق الغسل و لو حصل بأقلّ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المثلين فيهما لتحقّق الغسل مع الواجب غسلتان، فهي متعرِّضة لبيان أقلّ ما يعتبر في كلّ غسلة، و يفهم التعدّد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الاحتمالات إرادة المرّتين كما فهمه أساطين </w:t>
      </w:r>
      <w:r>
        <w:rPr>
          <w:rStyle w:val="FootnoteAnchor"/>
          <w:rtl w:val="true"/>
        </w:rPr>
        <w:footnoteReference w:id="3057"/>
      </w:r>
      <w:r>
        <w:rPr>
          <w:rFonts w:ascii="Amiri" w:hAnsi="Amiri" w:eastAsia="Amiri" w:cs="Amiri"/>
          <w:color w:val="111111"/>
          <w:sz w:val="28"/>
          <w:sz w:val="28"/>
          <w:szCs w:val="28"/>
          <w:rtl w:val="true"/>
          <w:lang w:bidi="ar-SA"/>
        </w:rPr>
        <w:t>الفنّ، و لا يعارضه الإ ظاهر مرسلة نشيط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يجزي من البول أن يغسله بمثله</w:t>
      </w:r>
      <w:r>
        <w:rPr>
          <w:rFonts w:eastAsia="Amiri" w:cs="Amiri" w:ascii="Amiri" w:hAnsi="Amiri"/>
          <w:color w:val="111111"/>
          <w:sz w:val="28"/>
          <w:szCs w:val="28"/>
          <w:rtl w:val="true"/>
          <w:lang w:bidi="ar-SA"/>
        </w:rPr>
        <w:t xml:space="preserve">» </w:t>
      </w:r>
      <w:r>
        <w:rPr>
          <w:rStyle w:val="FootnoteAnchor"/>
          <w:rtl w:val="true"/>
        </w:rPr>
        <w:footnoteReference w:id="3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إخراج الاستنجاء منه بدليله القاضي بالمرّتين عند إصابة البول الجسد مثل صحيحة البزنطي </w:t>
      </w:r>
      <w:r>
        <w:rPr>
          <w:rStyle w:val="FootnoteAnchor"/>
          <w:rtl w:val="true"/>
        </w:rPr>
        <w:footnoteReference w:id="3059"/>
      </w:r>
      <w:r>
        <w:rPr>
          <w:rFonts w:ascii="Amiri" w:hAnsi="Amiri" w:eastAsia="Amiri" w:cs="Amiri"/>
          <w:color w:val="111111"/>
          <w:sz w:val="28"/>
          <w:sz w:val="28"/>
          <w:szCs w:val="28"/>
          <w:rtl w:val="true"/>
          <w:lang w:bidi="ar-SA"/>
        </w:rPr>
        <w:t>، فتكون نصّاً فيه، لكن المرسلة بعد ضعفها، و أنّ المثل فيها مشتبه، مخالفة للمشهور فلا تصلح للمعارضة، و لو صلحت فالرجوع إلى استصحاب النجاسة الذي لا ينقطع يقيناً إلَّا بالمثلين</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يجب 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يجزي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تجاوز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يبلغ الإلية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فبغسله به حتّى ينقى إجماعاً </w:t>
      </w:r>
      <w:r>
        <w:rPr>
          <w:rStyle w:val="FootnoteAnchor"/>
          <w:rtl w:val="true"/>
        </w:rPr>
        <w:footnoteReference w:id="3060"/>
      </w:r>
      <w:r>
        <w:rPr>
          <w:rFonts w:ascii="Amiri" w:hAnsi="Amiri" w:eastAsia="Amiri" w:cs="Amiri"/>
          <w:color w:val="111111"/>
          <w:sz w:val="28"/>
          <w:sz w:val="28"/>
          <w:szCs w:val="28"/>
          <w:rtl w:val="true"/>
          <w:lang w:bidi="ar-SA"/>
        </w:rPr>
        <w:t xml:space="preserve">، و في تعيين الغسل لو بلغ الإلية و مشهوراً فيما إذا لم يبلغ بأن بلغ الحواشي أو الشرج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بتحريك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الحلقة، و عليه الشارح، و نسبه إلى الأصحاب في الحدائق </w:t>
      </w:r>
      <w:r>
        <w:rPr>
          <w:rStyle w:val="FootnoteAnchor"/>
          <w:rtl w:val="true"/>
        </w:rPr>
        <w:footnoteReference w:id="3061"/>
      </w:r>
      <w:r>
        <w:rPr>
          <w:rFonts w:ascii="IRNazanin" w:hAnsi="IRNazanin" w:eastAsia="IRNazanin"/>
          <w:color w:val="111111"/>
          <w:sz w:val="28"/>
          <w:sz w:val="28"/>
          <w:szCs w:val="28"/>
          <w:rtl w:val="true"/>
          <w:lang w:bidi="fa-IR"/>
        </w:rPr>
        <w:t>لقول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اليوم تثلطون ثلطاً فاتبعوا الماء الأحجار</w:t>
      </w:r>
      <w:r>
        <w:rPr>
          <w:rFonts w:eastAsia="IRNazanin" w:cs="IRNazanin"/>
          <w:color w:val="111111"/>
          <w:sz w:val="28"/>
          <w:szCs w:val="28"/>
          <w:rtl w:val="true"/>
          <w:lang w:bidi="fa-IR"/>
        </w:rPr>
        <w:t xml:space="preserve">» </w:t>
      </w:r>
      <w:r>
        <w:rPr>
          <w:rStyle w:val="FootnoteAnchor"/>
          <w:rtl w:val="true"/>
        </w:rPr>
        <w:footnoteReference w:id="3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يكفي أحدكم </w:t>
      </w:r>
    </w:p>
    <w:p>
      <w:pPr>
        <w:pStyle w:val="BookText"/>
        <w:rPr/>
      </w:pPr>
      <w:r>
        <w:rPr>
          <w:rFonts w:ascii="Amiri" w:hAnsi="Amiri" w:eastAsia="Amiri" w:cs="Amiri"/>
          <w:color w:val="111111"/>
          <w:sz w:val="28"/>
          <w:sz w:val="28"/>
          <w:szCs w:val="28"/>
          <w:rtl w:val="true"/>
          <w:lang w:bidi="ar-SA"/>
        </w:rPr>
        <w:t>ثلاثة أحجار إن لم يتجاوز محلّ العادة</w:t>
      </w:r>
      <w:r>
        <w:rPr>
          <w:rFonts w:eastAsia="Amiri" w:cs="Amiri" w:ascii="Amiri" w:hAnsi="Amiri"/>
          <w:color w:val="111111"/>
          <w:sz w:val="28"/>
          <w:szCs w:val="28"/>
          <w:rtl w:val="true"/>
          <w:lang w:bidi="ar-SA"/>
        </w:rPr>
        <w:t xml:space="preserve">» </w:t>
      </w:r>
      <w:r>
        <w:rPr>
          <w:rStyle w:val="FootnoteAnchor"/>
          <w:rtl w:val="true"/>
        </w:rPr>
        <w:footnoteReference w:id="3063"/>
      </w:r>
      <w:r>
        <w:rPr>
          <w:rFonts w:ascii="Amiri" w:hAnsi="Amiri" w:eastAsia="Amiri" w:cs="Amiri"/>
          <w:color w:val="111111"/>
          <w:sz w:val="28"/>
          <w:sz w:val="28"/>
          <w:szCs w:val="28"/>
          <w:rtl w:val="true"/>
          <w:lang w:bidi="ar-SA"/>
        </w:rPr>
        <w:t xml:space="preserve">فإنّ المحقّق من محلّها الحلقة فلا تشمل ما تعدى الحواشي منه، و هما و إن رواهما الجمهور </w:t>
      </w:r>
      <w:r>
        <w:rPr>
          <w:rStyle w:val="FootnoteAnchor"/>
          <w:rtl w:val="true"/>
        </w:rPr>
        <w:footnoteReference w:id="3064"/>
      </w:r>
      <w:r>
        <w:rPr>
          <w:rFonts w:ascii="Amiri" w:hAnsi="Amiri" w:eastAsia="Amiri" w:cs="Amiri"/>
          <w:color w:val="111111"/>
          <w:sz w:val="28"/>
          <w:sz w:val="28"/>
          <w:szCs w:val="28"/>
          <w:rtl w:val="true"/>
          <w:lang w:bidi="ar-SA"/>
        </w:rPr>
        <w:t>إلَّا أنّ اندراجهما في زبر أصحابنا كافٍ في الأخذ بهما، فيخصّص بهما أخبار الاستجمار المطلقة في الاجتزاء بالاحجار إلَّا في المتفاحش، أو يقال بانصراف تلك إلى غير التعدّي مطلقاً إمّا لمنع انجبار الأخبار العامّيّة فتطرح، أو لظهور الندب من أحدهما و عموم الثانية لما تعدّى المخرج في الجملة؛ لأنه لم يتجاوز محلّ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يعدّ غسل المتعدّي من ماء الاستنجاء، و لا يجري به حكمه، و الأخذ بالانصراف في أحدهما دون الآخر تشهّي، فالأَحْرى الحكم بكفاية الأحجار إلَّا مع التّفاحش إذا كان المتعدّي من النجاسة بنفس الخروج، فلو اتّفق بعده وجب غسله، و عند الشك في التعدّي الذي يجب له الغسل، و عدمه الذي يكفي فيه الأحجار ، يعارض أصالة عدم التعدّي استصحاب النجاسة الثابتة فيزيله أو يتساقطان، فيجب الغسل لتيقّن النقاء به، و به حكم الوالد طاب ثراه في الرسالة؛ لأنّ الحكومة فيه غير واضحة؛ لاختلال بعض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أفتى أيضاً بعدم جواز التبعيض، فلا يزيل غير المتعدّي بالأحجار و المتعدّي بالماء، بل لو تعدّى ينحصر النقاء بالماء و إلَّا يتعدّى حواشي المخرج، و لو تعدّاه إليها فقد حكم كما هنا إنّه إذا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و لا يجزي ما دونها، أو الماء مخيّراً، و هو أفضل حتّى لو نقى بواحدٍ استعمل الثلاثة سُنّة، و هو ظاهر الأكثر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الحلّي </w:t>
      </w:r>
      <w:r>
        <w:rPr>
          <w:rStyle w:val="FootnoteAnchor"/>
          <w:rtl w:val="true"/>
        </w:rPr>
        <w:footnoteReference w:id="3065"/>
      </w:r>
      <w:r>
        <w:rPr>
          <w:rFonts w:ascii="Amiri" w:hAnsi="Amiri" w:eastAsia="Amiri" w:cs="Amiri"/>
          <w:color w:val="111111"/>
          <w:sz w:val="28"/>
          <w:sz w:val="28"/>
          <w:szCs w:val="28"/>
          <w:rtl w:val="true"/>
          <w:lang w:bidi="ar-SA"/>
        </w:rPr>
        <w:t xml:space="preserve">عن عن المفيد رحمه الله الإجزاء إذا حصل الإنقاء بواحد، و أطلق المرتضى </w:t>
      </w:r>
      <w:r>
        <w:rPr>
          <w:rStyle w:val="FootnoteAnchor"/>
          <w:rtl w:val="true"/>
        </w:rPr>
        <w:footnoteReference w:id="3066"/>
      </w:r>
      <w:r>
        <w:rPr>
          <w:rFonts w:ascii="Amiri" w:hAnsi="Amiri" w:eastAsia="Amiri" w:cs="Amiri"/>
          <w:color w:val="111111"/>
          <w:sz w:val="28"/>
          <w:sz w:val="28"/>
          <w:szCs w:val="28"/>
          <w:rtl w:val="true"/>
          <w:lang w:bidi="ar-SA"/>
        </w:rPr>
        <w:t xml:space="preserve">و الشيخ </w:t>
      </w:r>
      <w:r>
        <w:rPr>
          <w:rStyle w:val="FootnoteAnchor"/>
          <w:rtl w:val="true"/>
        </w:rPr>
        <w:footnoteReference w:id="3067"/>
      </w:r>
      <w:r>
        <w:rPr>
          <w:rFonts w:ascii="Amiri" w:hAnsi="Amiri" w:eastAsia="Amiri" w:cs="Amiri"/>
          <w:color w:val="111111"/>
          <w:sz w:val="28"/>
          <w:sz w:val="28"/>
          <w:szCs w:val="28"/>
          <w:rtl w:val="true"/>
          <w:lang w:bidi="ar-SA"/>
        </w:rPr>
        <w:t xml:space="preserve">في بعض كتبهما الأحجار و لم يذكرا العدد، و يظهر ذلك من ابني حمزة </w:t>
      </w:r>
      <w:r>
        <w:rPr>
          <w:rStyle w:val="FootnoteAnchor"/>
          <w:rtl w:val="true"/>
        </w:rPr>
        <w:footnoteReference w:id="3068"/>
      </w:r>
      <w:r>
        <w:rPr>
          <w:rFonts w:ascii="Amiri" w:hAnsi="Amiri" w:eastAsia="Amiri" w:cs="Amiri"/>
          <w:color w:val="111111"/>
          <w:sz w:val="28"/>
          <w:sz w:val="28"/>
          <w:szCs w:val="28"/>
          <w:rtl w:val="true"/>
          <w:lang w:bidi="ar-SA"/>
        </w:rPr>
        <w:t xml:space="preserve">و زهرة </w:t>
      </w:r>
      <w:r>
        <w:rPr>
          <w:rStyle w:val="FootnoteAnchor"/>
          <w:rtl w:val="true"/>
        </w:rPr>
        <w:footnoteReference w:id="3069"/>
      </w:r>
    </w:p>
    <w:p>
      <w:pPr>
        <w:pStyle w:val="BookText"/>
        <w:rPr/>
      </w:pPr>
      <w:r>
        <w:rPr>
          <w:rFonts w:ascii="Amiri" w:hAnsi="Amiri" w:eastAsia="Amiri" w:cs="Amiri"/>
          <w:color w:val="111111"/>
          <w:sz w:val="28"/>
          <w:sz w:val="28"/>
          <w:szCs w:val="28"/>
          <w:rtl w:val="true"/>
          <w:lang w:bidi="ar-SA"/>
        </w:rPr>
        <w:t xml:space="preserve">و من الفاضل في المختلف </w:t>
      </w:r>
      <w:r>
        <w:rPr>
          <w:rStyle w:val="FootnoteAnchor"/>
          <w:rtl w:val="true"/>
        </w:rPr>
        <w:footnoteReference w:id="3070"/>
      </w:r>
      <w:r>
        <w:rPr>
          <w:rFonts w:ascii="Amiri" w:hAnsi="Amiri" w:eastAsia="Amiri" w:cs="Amiri"/>
          <w:color w:val="111111"/>
          <w:sz w:val="28"/>
          <w:sz w:val="28"/>
          <w:szCs w:val="28"/>
          <w:rtl w:val="true"/>
          <w:lang w:bidi="ar-SA"/>
        </w:rPr>
        <w:t xml:space="preserve">، و بعض من تأخّر كصاحبي المدارك </w:t>
      </w:r>
      <w:r>
        <w:rPr>
          <w:rStyle w:val="FootnoteAnchor"/>
          <w:rtl w:val="true"/>
        </w:rPr>
        <w:footnoteReference w:id="3071"/>
      </w:r>
      <w:r>
        <w:rPr>
          <w:rFonts w:ascii="Amiri" w:hAnsi="Amiri" w:eastAsia="Amiri" w:cs="Amiri"/>
          <w:color w:val="111111"/>
          <w:sz w:val="28"/>
          <w:sz w:val="28"/>
          <w:szCs w:val="28"/>
          <w:rtl w:val="true"/>
          <w:lang w:bidi="ar-SA"/>
        </w:rPr>
        <w:t xml:space="preserve">و الذخيرة </w:t>
      </w:r>
      <w:r>
        <w:rPr>
          <w:rStyle w:val="FootnoteAnchor"/>
          <w:rtl w:val="true"/>
        </w:rPr>
        <w:footnoteReference w:id="3072"/>
      </w:r>
      <w:r>
        <w:rPr>
          <w:rFonts w:ascii="Amiri" w:hAnsi="Amiri" w:eastAsia="Amiri" w:cs="Amiri"/>
          <w:color w:val="111111"/>
          <w:sz w:val="28"/>
          <w:sz w:val="28"/>
          <w:szCs w:val="28"/>
          <w:rtl w:val="true"/>
          <w:lang w:bidi="ar-SA"/>
        </w:rPr>
        <w:t>تمسّكاً بإطلاقات الاستنجاء، و حصوله بالماء و الحجر، و بحصول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للاستنجاء غيره، ففي حسنة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للاستنجاء حَدّ؟ قال </w:t>
      </w:r>
      <w:r>
        <w:rPr>
          <w:rStyle w:val="FootnoteAnchor"/>
          <w:rtl w:val="true"/>
        </w:rPr>
        <w:footnoteReference w:id="3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ينقى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ما ثمة و 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w:t>
      </w:r>
      <w:r>
        <w:rPr>
          <w:rFonts w:eastAsia="Amiri" w:cs="Amiri" w:ascii="Amiri" w:hAnsi="Amiri"/>
          <w:color w:val="111111"/>
          <w:sz w:val="28"/>
          <w:szCs w:val="28"/>
          <w:rtl w:val="true"/>
          <w:lang w:bidi="ar-SA"/>
        </w:rPr>
        <w:t xml:space="preserve">» </w:t>
      </w:r>
      <w:r>
        <w:rPr>
          <w:rStyle w:val="FootnoteAnchor"/>
          <w:rtl w:val="true"/>
        </w:rPr>
        <w:footnoteReference w:id="3074"/>
      </w:r>
      <w:r>
        <w:rPr>
          <w:rFonts w:ascii="Amiri" w:hAnsi="Amiri" w:eastAsia="Amiri" w:cs="Amiri"/>
          <w:color w:val="111111"/>
          <w:sz w:val="28"/>
          <w:sz w:val="28"/>
          <w:szCs w:val="28"/>
          <w:rtl w:val="true"/>
          <w:lang w:bidi="ar-SA"/>
        </w:rPr>
        <w:t>، و في موثّقة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 يذهب الغائط، و يتوضّأ مرّتين مرّتين</w:t>
      </w:r>
      <w:r>
        <w:rPr>
          <w:rFonts w:eastAsia="Amiri" w:cs="Amiri" w:ascii="Amiri" w:hAnsi="Amiri"/>
          <w:color w:val="111111"/>
          <w:sz w:val="28"/>
          <w:szCs w:val="28"/>
          <w:rtl w:val="true"/>
          <w:lang w:bidi="ar-SA"/>
        </w:rPr>
        <w:t xml:space="preserve">» </w:t>
      </w:r>
      <w:r>
        <w:rPr>
          <w:rStyle w:val="FootnoteAnchor"/>
          <w:rtl w:val="true"/>
        </w:rPr>
        <w:footnoteReference w:id="3075"/>
      </w:r>
      <w:r>
        <w:rPr>
          <w:rFonts w:ascii="Amiri" w:hAnsi="Amiri" w:eastAsia="Amiri" w:cs="Amiri"/>
          <w:color w:val="111111"/>
          <w:sz w:val="28"/>
          <w:sz w:val="28"/>
          <w:szCs w:val="28"/>
          <w:rtl w:val="true"/>
          <w:lang w:bidi="ar-SA"/>
        </w:rPr>
        <w:t xml:space="preserve">، الخبر، و بجواز التوزيع بالأحجار لو 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بأحدها</w:t>
      </w:r>
      <w:r>
        <w:rPr>
          <w:rFonts w:eastAsia="Amiri" w:cs="Amiri" w:ascii="Amiri" w:hAnsi="Amiri"/>
          <w:color w:val="111111"/>
          <w:sz w:val="28"/>
          <w:szCs w:val="28"/>
          <w:rtl w:val="true"/>
          <w:lang w:bidi="ar-SA"/>
        </w:rPr>
        <w:t xml:space="preserve">) </w:t>
      </w:r>
      <w:r>
        <w:rPr>
          <w:rStyle w:val="FootnoteAnchor"/>
          <w:rtl w:val="true"/>
        </w:rPr>
        <w:footnoteReference w:id="3076"/>
      </w:r>
      <w:r>
        <w:rPr>
          <w:rFonts w:ascii="Amiri" w:hAnsi="Amiri" w:eastAsia="Amiri" w:cs="Amiri"/>
          <w:color w:val="111111"/>
          <w:sz w:val="28"/>
          <w:sz w:val="28"/>
          <w:szCs w:val="28"/>
          <w:rtl w:val="true"/>
          <w:lang w:bidi="ar-SA"/>
        </w:rPr>
        <w:t>بعض المحلّ و عدم وجوب الرّجوع عليه، فعلم كفايته، و بأنّ الزائد لا يفيد تطهيراً؛ لحصول الطّهارة بالإزالة لعين النجاسة الحاصلة بالحجر الأوّل، فلا معنى لإيجاب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الاستنجاء تطفّلاً، و عدم سَوْق الكلام لبيان تفاصيله لا عِبرة بإطلاقه، بل ينزّل على المعنى المعهود المعلوم تفاصيله من مقام آخر، و بأنّ التحديد للاستنجاء بالماء لأنه أكثر استعمالاً في الزمن المتأخِّر، و عموم الموصول لنقاء العين و الأثر يقضي به؛ إذ لا يذهبان معاً بالأحجار، و كذا بقاء الرّيح لحصوله في اليد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المسح فلا وجود له، و لو وجد لوجود أجزاء لطاف كانت أولى بالسؤال، و مع الإغضاء و شمول الاستنجاء للاستجمار و إن كان نادراً، فهي معارضة بما قضى بوجوب التثليث</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إمّا بحمل الحسنة على ما هو الغالب من عدم حصول النقاء، فكأنّهما بأقلّ من الثلاثة، أو على نفي التحديد بها إذا لم يحصل النقاء، فكأنّها مقيّدة لما قضى بالاكتفاء بالثلاثة </w:t>
      </w:r>
    </w:p>
    <w:p>
      <w:pPr>
        <w:pStyle w:val="BookText"/>
        <w:rPr/>
      </w:pPr>
      <w:r>
        <w:rPr>
          <w:rFonts w:ascii="Amiri" w:hAnsi="Amiri" w:eastAsia="Amiri" w:cs="Amiri"/>
          <w:color w:val="111111"/>
          <w:sz w:val="28"/>
          <w:sz w:val="28"/>
          <w:szCs w:val="28"/>
          <w:rtl w:val="true"/>
          <w:lang w:bidi="ar-SA"/>
        </w:rPr>
        <w:t xml:space="preserve">الشامل لصورتي حصول البقاء و عدمه، مثل صحيحتي زرارة </w:t>
      </w:r>
      <w:r>
        <w:rPr>
          <w:rStyle w:val="FootnoteAnchor"/>
          <w:rtl w:val="true"/>
        </w:rPr>
        <w:footnoteReference w:id="3077"/>
      </w:r>
      <w:r>
        <w:rPr>
          <w:rFonts w:ascii="Amiri" w:hAnsi="Amiri" w:eastAsia="Amiri" w:cs="Amiri"/>
          <w:color w:val="111111"/>
          <w:sz w:val="28"/>
          <w:sz w:val="28"/>
          <w:szCs w:val="28"/>
          <w:rtl w:val="true"/>
          <w:lang w:bidi="ar-SA"/>
        </w:rPr>
        <w:t xml:space="preserve">و مرسلة ابن عيسى </w:t>
      </w:r>
      <w:r>
        <w:rPr>
          <w:rStyle w:val="FootnoteAnchor"/>
          <w:rtl w:val="true"/>
        </w:rPr>
        <w:footnoteReference w:id="3078"/>
      </w:r>
      <w:r>
        <w:rPr>
          <w:rFonts w:ascii="Amiri" w:hAnsi="Amiri" w:eastAsia="Amiri" w:cs="Amiri"/>
          <w:color w:val="111111"/>
          <w:sz w:val="28"/>
          <w:sz w:val="28"/>
          <w:szCs w:val="28"/>
          <w:rtl w:val="true"/>
          <w:lang w:bidi="ar-SA"/>
        </w:rPr>
        <w:t xml:space="preserve">و غيرها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بحمل تلك الأخبار علی الغالب من عدم النقاء بما دون الثلاثه، و لا مرجّح لأحد الحملین فیتکافآن، و یرجع بعد التساقط إلى الأصل القاضي بعدم الاجتزاء بما دون الثلاثة و إن حصل النقاء؛ لعدم إحراز الطّهور بالأقل، فإن تكرّر الثلاثة في الخبر و ما هو أن يكون للكناية عن حصول النقاء غالباً به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الموثّقة ففي الغسل أظهر و إن عبّر بالذهاب في الغائط و بالغسل في غيره بها؛ إذ حقيقة الذّهاب لا تحصل يقيناً بالماء، و لا ظهور له حتّى في الإذهاب بغير الماء مطلقاً، و لو كان فلا يزاحم ظهور لفظ الوضوء في إرادة التنظيف بالماء، و لو تزاحما فلا حجّة للخصم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التوزيع فلا نقول به، و لو جوّزناه فهو خارج بدليله، و أمّا حصول الشرعيّة بمجرّد ذلك فأوّل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بعض ما سبق في تثنية الغسلات لو حصل النقاء في الأولى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ما عليه المصنّف من اشتراط التثليث، و أن تكون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 جافّة قالعة للنجاسة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متنجّسة أو رطبة، أو رخوة، أو لزجة، أو ملساء، أو صقيلة، أو هشّة كالتراب، فلا عِبرَة بها، و لو أزالت النجاسة عن موضعها تعيّن الغسل بالماء و لو قلعتها تعيّن أيضاً في الأوّل، فإنّ النجس لا يطهّر</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الثاني على تردّد من إطلاق الأحجار فتجزي، و من احتمال ورود نجاسة أجنبيّة على المحلّ من جهة الرطوبة التي فيها فلا تجزي، و الإجزاء أوفق؛ لكونها كالغسالة المنفصلة، لكن المشهور </w:t>
      </w:r>
      <w:r>
        <w:rPr>
          <w:rStyle w:val="FootnoteAnchor"/>
          <w:rtl w:val="true"/>
        </w:rPr>
        <w:footnoteReference w:id="3080"/>
      </w:r>
      <w:r>
        <w:rPr>
          <w:rFonts w:ascii="Amiri" w:hAnsi="Amiri" w:eastAsia="Amiri" w:cs="Amiri"/>
          <w:color w:val="111111"/>
          <w:sz w:val="28"/>
          <w:sz w:val="28"/>
          <w:szCs w:val="28"/>
          <w:rtl w:val="true"/>
          <w:lang w:bidi="ar-SA"/>
        </w:rPr>
        <w:t>عدم الإجزاء فيهما و الاكتفاء بغير القالع لو حصل به القلع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w:t>
      </w:r>
    </w:p>
    <w:p>
      <w:pPr>
        <w:pStyle w:val="BookText"/>
        <w:rPr/>
      </w:pPr>
      <w:r>
        <w:rPr>
          <w:rFonts w:ascii="Amiri" w:hAnsi="Amiri" w:eastAsia="Amiri" w:cs="Amiri"/>
          <w:color w:val="111111"/>
          <w:sz w:val="28"/>
          <w:sz w:val="28"/>
          <w:szCs w:val="28"/>
          <w:rtl w:val="true"/>
          <w:lang w:bidi="ar-SA"/>
        </w:rPr>
        <w:t>لنهاية الفاضل،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استنجى بما لم يقلع لم يسقط الفرض به و إن أنقى العين خاصّة، و تعيّن بعده الماء إن نقل النجاسة من موضع إلى آخر، و إن لم ينقل جاز الاقتصار على الحجر </w:t>
      </w:r>
      <w:r>
        <w:rPr>
          <w:rStyle w:val="FootnoteAnchor"/>
          <w:rtl w:val="true"/>
        </w:rPr>
        <w:footnoteReference w:id="30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نظر؛ لعدم تضمّن هذا القيد في نصّ من النصوص حتّى يكون له مفهوم و يعلّق الحكم عليه، بل إنّما ذكر للتوضيح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في دوران الحكم مدار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يُسْتَنج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تنجّست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يجزي المتنجّس به حتّى مع الانحصار فيه، و لا يغني اشتراط طهارتها مطلقاً عنه كما سبق؛ لاحتمال أن يجوّزه المصنّف في غير المتنجّس بالغائط، لجهة عدم اشتراطه في النصّ، و كون النجس لا يطهر ممنوع على إطلاقه، فلو زال المانع بأنّ شكّ في تنجّسها به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الاستنجاء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طهارتها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أبكاراً و تنجست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جاز استعمالها؛ لزوال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النّجاسة إن لم يستفد من البكارة في الخبر حكماً آخر فلا يجزي المستعمل مطلقاً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تتنجّس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استعمل بعد نقاء المحلّ اقتصاراً على النّص، و كأنّ ظاهر كلماتهم يأبى ذلك، فيجعلون ما زال تلوّثه بتطهير و غيره بمنزلة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ثاني المحقّقين </w:t>
      </w:r>
      <w:r>
        <w:rPr>
          <w:rStyle w:val="FootnoteAnchor"/>
          <w:rtl w:val="true"/>
        </w:rPr>
        <w:footnoteReference w:id="3082"/>
      </w:r>
      <w:r>
        <w:rPr>
          <w:rFonts w:ascii="Amiri" w:hAnsi="Amiri" w:eastAsia="Amiri" w:cs="Amiri"/>
          <w:color w:val="111111"/>
          <w:sz w:val="28"/>
          <w:sz w:val="28"/>
          <w:szCs w:val="28"/>
          <w:rtl w:val="true"/>
          <w:lang w:bidi="ar-SA"/>
        </w:rPr>
        <w:t xml:space="preserve">بجواز استعمال الحجر الذي كسر محلّ النجاسة منه، مع أنّ الرواية لا تفيد الشرطيّة؛ لضعفها فتحمل على النّدب، و حينئذٍ لو لم تنجس بالتلوّث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كالمكملة للعدد بعد نقاء المحلّ 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اعتبار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البكارة، فإنّ اعتباره موقوف على التنجيس لا مطلق الاستعمال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الثلاثة مثال أقلّ المجزي، فلو لم تفد استعملها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تزول العين النجسة وجوباً في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عدم الماء أو اختار الأحجار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ينق المحلّ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تنفصل عنه نقيّة ليس عليه أثر، كذا في النّهاية </w:t>
      </w:r>
      <w:r>
        <w:rPr>
          <w:rStyle w:val="FootnoteAnchor"/>
          <w:rtl w:val="true"/>
        </w:rPr>
        <w:footnoteReference w:id="3083"/>
      </w:r>
      <w:r>
        <w:rPr>
          <w:rFonts w:ascii="IRNazanin" w:hAnsi="IRNazanin" w:eastAsia="IRNazanin"/>
          <w:color w:val="111111"/>
          <w:sz w:val="28"/>
          <w:sz w:val="28"/>
          <w:szCs w:val="28"/>
          <w:rtl w:val="true"/>
          <w:lang w:bidi="fa-IR"/>
        </w:rPr>
        <w:t xml:space="preserve">، و إذا حصل النقاء جاز التجاوز و عدمه، </w:t>
      </w:r>
    </w:p>
    <w:p>
      <w:pPr>
        <w:pStyle w:val="BookText"/>
        <w:rPr/>
      </w:pPr>
      <w:r>
        <w:rPr>
          <w:rFonts w:ascii="Amiri" w:hAnsi="Amiri" w:eastAsia="Amiri" w:cs="Amiri"/>
          <w:color w:val="111111"/>
          <w:sz w:val="28"/>
          <w:sz w:val="28"/>
          <w:szCs w:val="28"/>
          <w:rtl w:val="true"/>
          <w:lang w:bidi="ar-SA"/>
        </w:rPr>
        <w:t xml:space="preserve">و يستحبّ أن لا يقطعَ إلَّا على وترٍ؛ للاتباع </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الاكتفاء بطهارة المحلّ بنفس زوال العين عنه دون الأثر بالأحجار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شبهها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ثلاثة خِرق أو خرقات أو أعواد و نحو ذلك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الأجسام القالعة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نقتصر على النّص في الأحجار، أو عملنا برواية الكرسف </w:t>
      </w:r>
      <w:r>
        <w:rPr>
          <w:rStyle w:val="FootnoteAnchor"/>
          <w:rtl w:val="true"/>
        </w:rPr>
        <w:footnoteReference w:id="3085"/>
      </w:r>
      <w:r>
        <w:rPr>
          <w:rFonts w:ascii="Amiri" w:hAnsi="Amiri" w:eastAsia="Amiri" w:cs="Amiri"/>
          <w:color w:val="111111"/>
          <w:sz w:val="28"/>
          <w:sz w:val="28"/>
          <w:szCs w:val="28"/>
          <w:rtl w:val="true"/>
          <w:lang w:bidi="ar-SA"/>
        </w:rPr>
        <w:t>و لم نقصرها على موردها؛ قولان أوجهها الطّهارة لا العفو؛ لاحتياج إزالة الأثر إلى المبالغة، و هو حرج منفيّ، و لظهور الأخبار في مساواة الاستجمار للغسل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جواز استعمال مطلق المزيل للعين مقصد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و غير المغصوبة و المشرّفة كالتّربة المشرّفة، و ما كتب اسم الله عليه مطلقاً، و حَجَرُ الحِجر و المقام لو لم تجرِ عليها أحكام المسجديّة، و ما على الضرائح المشرّفة، و غير ذلك، و يدخل في المحترم مطلق المطعوم، و منه الرّوث و العظم؛ لأنهما من طعام الجِنّ، و هو منصوص</w:t>
      </w:r>
    </w:p>
    <w:p>
      <w:pPr>
        <w:pStyle w:val="BookText"/>
        <w:rPr/>
      </w:pPr>
      <w:r>
        <w:rPr>
          <w:rStyle w:val="FootnoteAnchor"/>
          <w:rtl w:val="true"/>
        </w:rPr>
        <w:footnoteReference w:id="3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يطهر المحلّ بالنقاء بها و لو فعل حراماً، أم يحتاج إلى الغسل أو المسح بالمباح ثانياً؟ وجهان أقواهما عدم الاحتياج و الإثم؛ لعدم كونه من التعبّديات فيفسده النّهي، بل هو من سقوط الواجب بالحرام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الخَبَث بماء زمزم، أو المغصوب الطّاهر دون النجس، و المضاف مطلقاً على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الأحجار لا في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النّص</w:t>
      </w:r>
      <w:r>
        <w:rPr>
          <w:rFonts w:eastAsia="Amiri" w:cs="Amiri" w:ascii="Amiri" w:hAnsi="Amiri"/>
          <w:color w:val="111111"/>
          <w:sz w:val="28"/>
          <w:szCs w:val="28"/>
          <w:rtl w:val="true"/>
          <w:lang w:bidi="ar-SA"/>
        </w:rPr>
        <w:t xml:space="preserve">) </w:t>
      </w:r>
      <w:r>
        <w:rPr>
          <w:rStyle w:val="FootnoteAnchor"/>
          <w:rtl w:val="true"/>
        </w:rPr>
        <w:footnoteReference w:id="3087"/>
      </w:r>
      <w:r>
        <w:rPr>
          <w:rFonts w:ascii="Amiri" w:hAnsi="Amiri" w:eastAsia="Amiri" w:cs="Amiri"/>
          <w:color w:val="111111"/>
          <w:sz w:val="28"/>
          <w:sz w:val="28"/>
          <w:szCs w:val="28"/>
          <w:rtl w:val="true"/>
          <w:lang w:bidi="ar-SA"/>
        </w:rPr>
        <w:t xml:space="preserve">، و صريح الإجماع </w:t>
      </w:r>
      <w:r>
        <w:rPr>
          <w:rStyle w:val="FootnoteAnchor"/>
          <w:rtl w:val="true"/>
        </w:rPr>
        <w:footnoteReference w:id="3088"/>
      </w:r>
      <w:r>
        <w:rPr>
          <w:rFonts w:ascii="Amiri" w:hAnsi="Amiri" w:eastAsia="Amiri" w:cs="Amiri"/>
          <w:color w:val="111111"/>
          <w:sz w:val="28"/>
          <w:sz w:val="28"/>
          <w:szCs w:val="28"/>
          <w:rtl w:val="true"/>
          <w:lang w:bidi="ar-SA"/>
        </w:rPr>
        <w:t xml:space="preserve">المنقول، و عدم الاستناد إلى إطلاق النقاء و إذهاب الغائط في الخبرين، و إنكار </w:t>
      </w:r>
    </w:p>
    <w:p>
      <w:pPr>
        <w:pStyle w:val="BookText"/>
        <w:rPr/>
      </w:pPr>
      <w:r>
        <w:rPr>
          <w:rFonts w:ascii="Amiri" w:hAnsi="Amiri" w:eastAsia="Amiri" w:cs="Amiri"/>
          <w:color w:val="111111"/>
          <w:sz w:val="28"/>
          <w:sz w:val="28"/>
          <w:szCs w:val="28"/>
          <w:rtl w:val="true"/>
          <w:lang w:bidi="ar-SA"/>
        </w:rPr>
        <w:t xml:space="preserve">ظهور أخبار الثلاث في تثليث المسح، و هو ظاهر الفقيه </w:t>
      </w:r>
      <w:r>
        <w:rPr>
          <w:rStyle w:val="FootnoteAnchor"/>
          <w:rtl w:val="true"/>
        </w:rPr>
        <w:footnoteReference w:id="3089"/>
      </w:r>
      <w:r>
        <w:rPr>
          <w:rFonts w:ascii="IRNazanin" w:hAnsi="IRNazanin" w:eastAsia="IRNazanin"/>
          <w:color w:val="111111"/>
          <w:sz w:val="28"/>
          <w:sz w:val="28"/>
          <w:szCs w:val="28"/>
          <w:rtl w:val="true"/>
          <w:lang w:bidi="fa-IR"/>
        </w:rPr>
        <w:t xml:space="preserve">و المبسوط </w:t>
      </w:r>
      <w:r>
        <w:rPr>
          <w:rStyle w:val="FootnoteAnchor"/>
          <w:rtl w:val="true"/>
        </w:rPr>
        <w:footnoteReference w:id="3090"/>
      </w:r>
      <w:r>
        <w:rPr>
          <w:rFonts w:ascii="IRNazanin" w:hAnsi="IRNazanin" w:eastAsia="IRNazanin"/>
          <w:color w:val="111111"/>
          <w:sz w:val="28"/>
          <w:sz w:val="28"/>
          <w:szCs w:val="28"/>
          <w:rtl w:val="true"/>
          <w:lang w:bidi="fa-IR"/>
        </w:rPr>
        <w:t xml:space="preserve">و الجمل </w:t>
      </w:r>
      <w:r>
        <w:rPr>
          <w:rStyle w:val="FootnoteAnchor"/>
          <w:rtl w:val="true"/>
        </w:rPr>
        <w:footnoteReference w:id="3091"/>
      </w:r>
      <w:r>
        <w:rPr>
          <w:rFonts w:ascii="IRNazanin" w:hAnsi="IRNazanin" w:eastAsia="IRNazanin"/>
          <w:color w:val="111111"/>
          <w:sz w:val="28"/>
          <w:sz w:val="28"/>
          <w:szCs w:val="28"/>
          <w:rtl w:val="true"/>
          <w:lang w:bidi="fa-IR"/>
        </w:rPr>
        <w:t xml:space="preserve">و السرائر </w:t>
      </w:r>
      <w:r>
        <w:rPr>
          <w:rStyle w:val="FootnoteAnchor"/>
          <w:rtl w:val="true"/>
        </w:rPr>
        <w:footnoteReference w:id="3092"/>
      </w:r>
      <w:r>
        <w:rPr>
          <w:rFonts w:ascii="IRNazanin" w:hAnsi="IRNazanin" w:eastAsia="IRNazanin"/>
          <w:color w:val="111111"/>
          <w:sz w:val="28"/>
          <w:sz w:val="28"/>
          <w:szCs w:val="28"/>
          <w:rtl w:val="true"/>
          <w:lang w:bidi="fa-IR"/>
        </w:rPr>
        <w:t xml:space="preserve">و الشرائع </w:t>
      </w:r>
      <w:r>
        <w:rPr>
          <w:rStyle w:val="FootnoteAnchor"/>
          <w:rtl w:val="true"/>
        </w:rPr>
        <w:footnoteReference w:id="30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يقتضيه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يجزي حينئذٍ ذو الجهات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المراد بالبِكر الحجر الغير المنفعل بهذا الاستنجاء، فلو مسح به ثانياً لم يكن بِكراً، خلافاً للعلّامة رحمه الله </w:t>
      </w:r>
      <w:r>
        <w:rPr>
          <w:rStyle w:val="FootnoteAnchor"/>
          <w:rtl w:val="true"/>
        </w:rPr>
        <w:footnoteReference w:id="3094"/>
      </w:r>
      <w:r>
        <w:rPr>
          <w:rFonts w:ascii="IRNazanin" w:hAnsi="IRNazanin" w:eastAsia="IRNazanin"/>
          <w:color w:val="111111"/>
          <w:sz w:val="28"/>
          <w:sz w:val="28"/>
          <w:szCs w:val="28"/>
          <w:rtl w:val="true"/>
          <w:lang w:bidi="fa-IR"/>
        </w:rPr>
        <w:t>من الاجتزاء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المصنّف في غير الكتاب </w:t>
      </w:r>
      <w:r>
        <w:rPr>
          <w:rStyle w:val="FootnoteAnchor"/>
          <w:rtl w:val="true"/>
        </w:rPr>
        <w:footnoteReference w:id="3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بين ما هنا و باقي مصنّفاته بأن يرتكب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إدخاله على مذهبه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بالمشابهة ما يعمّ المشابه في الجنس أو العدد، و الأحوط الأول إذا ضعف القول بالاجتزاء بما يحصل به النقاء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الماء مجزٍ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التعدّي و عدمه 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أفضل من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إجزائها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كانوا يستنجون بالكرسف و الأحجار ثمّ أحدث الوضوء، و هو خُلقٌ كريم</w:t>
      </w:r>
      <w:r>
        <w:rPr>
          <w:rFonts w:eastAsia="Amiri" w:cs="Amiri" w:ascii="Amiri" w:hAnsi="Amiri"/>
          <w:color w:val="111111"/>
          <w:sz w:val="28"/>
          <w:szCs w:val="28"/>
          <w:rtl w:val="true"/>
          <w:lang w:bidi="ar-SA"/>
        </w:rPr>
        <w:t xml:space="preserve">» </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عبارته هنا ما يدلّ على إجزاء الماء في غير المتعدِّي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لتقييده الإزالة فيه بالمتعدِّي من الغائط</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استفادته من 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المطهّرات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اجتزأ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فيقدر بعد فاء الثلاثة يجزي، و يمكن أن يعمّ الماء شبهها فيكون الشبه من جهة قطع </w:t>
      </w:r>
      <w:bookmarkStart w:id="255" w:name="pg9146_86418"/>
    </w:p>
    <w:p>
      <w:pPr>
        <w:pStyle w:val="BookText"/>
        <w:rPr/>
      </w:pPr>
      <w:bookmarkEnd w:id="255"/>
      <w:r>
        <w:rPr>
          <w:rFonts w:ascii="Amiri" w:hAnsi="Amiri" w:eastAsia="Amiri" w:cs="Amiri"/>
          <w:color w:val="111111"/>
          <w:sz w:val="28"/>
          <w:sz w:val="28"/>
          <w:szCs w:val="28"/>
          <w:rtl w:val="true"/>
          <w:lang w:bidi="ar-SA"/>
        </w:rPr>
        <w:t>النجاسة بهما، و لا ضَيْر فيه و إن كان العكس أَولى في الشبه</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3322698_2870459653"/>
      <w:bookmarkStart w:id="257" w:name="_Toc87"/>
      <w:bookmarkEnd w:id="256"/>
      <w:r>
        <w:rPr>
          <w:rtl w:val="true"/>
        </w:rPr>
        <w:t>[</w:t>
      </w:r>
      <w:r>
        <w:rPr>
          <w:rtl w:val="true"/>
        </w:rPr>
        <w:t>مستحبات التّخلي</w:t>
      </w:r>
      <w:r>
        <w:rPr>
          <w:rtl w:val="true"/>
        </w:rPr>
        <w:t>]</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يدخل بيتاً أو حفيرةً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بحيث لا يُرى؛ تأسّياً بالنبي صلّى الله علیه و آله، فإنه لم يُرَ قَطّ على بول و لا غائط </w:t>
      </w:r>
      <w:r>
        <w:rPr>
          <w:rFonts w:eastAsia="IRNazanin" w:cs="IRNazanin"/>
          <w:color w:val="111111"/>
          <w:sz w:val="28"/>
          <w:szCs w:val="28"/>
          <w:rtl w:val="true"/>
          <w:lang w:bidi="fa-IR"/>
        </w:rPr>
        <w:t xml:space="preserve">) </w:t>
      </w:r>
      <w:r>
        <w:rPr>
          <w:rStyle w:val="FootnoteAnchor"/>
          <w:rtl w:val="true"/>
        </w:rPr>
        <w:footnoteReference w:id="3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و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الشرائط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 للأحجار في المتعدّي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الأوّل فقط كما قيل </w:t>
      </w:r>
      <w:r>
        <w:rPr>
          <w:rStyle w:val="FootnoteAnchor"/>
          <w:rtl w:val="true"/>
        </w:rPr>
        <w:footnoteReference w:id="3098"/>
      </w:r>
      <w:r>
        <w:rPr>
          <w:rFonts w:ascii="Amiri" w:hAnsi="Amiri" w:eastAsia="Amiri" w:cs="Amiri"/>
          <w:color w:val="111111"/>
          <w:sz w:val="28"/>
          <w:sz w:val="28"/>
          <w:szCs w:val="28"/>
          <w:rtl w:val="true"/>
          <w:lang w:bidi="ar-SA"/>
        </w:rPr>
        <w:t xml:space="preserve">و ذلك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 في التنزيه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فيه عدم مباشرة اليد لعين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مع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إجزاء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فالمبالغة تعُمّ صورة التعدّي و عدمه، و الزّوال يخصّ الثاني فنبّه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إطلاق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بالنسبة إلى الحجر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عدد من الأحجار تطهّر </w:t>
      </w:r>
      <w:r>
        <w:rPr>
          <w:rStyle w:val="FootnoteAnchor"/>
          <w:rtl w:val="true"/>
        </w:rPr>
        <w:footnoteReference w:id="3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ليصدق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تأدّيه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الاستحباب و إن لم يكمل العدد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على النّدب، و هو عدم مزاولة اليد للنجاسة، أو إزالة العين و الأثر مطلقاً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نقّى المحلّ بحجر واحد أو اثنين ثمّ أتبعه بالماء فقد فعل المسنون، لكن خبر </w:t>
      </w:r>
    </w:p>
    <w:p>
      <w:pPr>
        <w:pStyle w:val="BookText"/>
        <w:rPr/>
      </w:pPr>
      <w:r>
        <w:rPr>
          <w:rFonts w:ascii="Amiri" w:hAnsi="Amiri" w:eastAsia="Amiri" w:cs="Amiri"/>
          <w:color w:val="111111"/>
          <w:sz w:val="28"/>
          <w:sz w:val="28"/>
          <w:szCs w:val="28"/>
          <w:rtl w:val="true"/>
          <w:lang w:bidi="ar-SA"/>
        </w:rPr>
        <w:t>استحباب الجمع كما ذكر المصنّف، و هو اقتفاه، فلا وجه للردّ إلّا فيما زاد على الثلاثة إذا لم</w:t>
      </w:r>
    </w:p>
    <w:p>
      <w:pPr>
        <w:pStyle w:val="BookText"/>
        <w:rPr/>
      </w:pPr>
      <w:r>
        <w:rPr>
          <w:rFonts w:ascii="Amiri" w:hAnsi="Amiri" w:eastAsia="Amiri" w:cs="Amiri"/>
          <w:color w:val="111111"/>
          <w:sz w:val="28"/>
          <w:sz w:val="28"/>
          <w:szCs w:val="28"/>
          <w:rtl w:val="true"/>
          <w:lang w:bidi="ar-SA"/>
        </w:rPr>
        <w:t>يحصل بها النّقاء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استقبال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المفيد </w:t>
      </w:r>
      <w:r>
        <w:rPr>
          <w:rStyle w:val="FootnoteAnchor"/>
          <w:rtl w:val="true"/>
        </w:rPr>
        <w:footnoteReference w:id="3100"/>
      </w:r>
      <w:r>
        <w:rPr>
          <w:rFonts w:ascii="IRNazanin" w:hAnsi="IRNazanin" w:eastAsia="IRNazanin"/>
          <w:color w:val="111111"/>
          <w:sz w:val="28"/>
          <w:sz w:val="28"/>
          <w:szCs w:val="28"/>
          <w:rtl w:val="true"/>
          <w:lang w:bidi="fa-IR"/>
        </w:rPr>
        <w:t xml:space="preserve">أوجبه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بالبدن،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علیه و آله أن يستقبل الرجل الشمس و القمر بفرجه و هو يبول</w:t>
      </w:r>
      <w:r>
        <w:rPr>
          <w:rFonts w:eastAsia="IRNazanin" w:cs="IRNazanin"/>
          <w:color w:val="111111"/>
          <w:sz w:val="28"/>
          <w:szCs w:val="28"/>
          <w:rtl w:val="true"/>
          <w:lang w:bidi="fa-IR"/>
        </w:rPr>
        <w:t xml:space="preserve">»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رواية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يبولنّ أحدكم و فرجه بادٍ للقمر</w:t>
      </w:r>
      <w:r>
        <w:rPr>
          <w:rFonts w:eastAsia="IRNazanin" w:cs="IRNazanin"/>
          <w:color w:val="111111"/>
          <w:sz w:val="28"/>
          <w:szCs w:val="28"/>
          <w:rtl w:val="true"/>
          <w:lang w:bidi="fa-IR"/>
        </w:rPr>
        <w:t xml:space="preserve">»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جهتهما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فقدا أو حِيْلَ بين الجرم و الفرج و لو بغيم؛ اقتصاراً على النّص في الفرج و الجبهة؛ و إجراءً لأصالة الإباحة في غيرهما حتّى الاستدبار لهما و إن كرّهه البعض </w:t>
      </w:r>
      <w:r>
        <w:rPr>
          <w:rStyle w:val="FootnoteAnchor"/>
          <w:rtl w:val="true"/>
        </w:rPr>
        <w:footnoteReference w:id="3103"/>
      </w:r>
      <w:r>
        <w:rPr>
          <w:rFonts w:ascii="IRNazanin" w:hAnsi="IRNazanin" w:eastAsia="IRNazanin"/>
          <w:color w:val="111111"/>
          <w:sz w:val="28"/>
          <w:sz w:val="28"/>
          <w:szCs w:val="28"/>
          <w:rtl w:val="true"/>
          <w:lang w:bidi="fa-IR"/>
        </w:rPr>
        <w:t>أو استحبّ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استقبال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بالبول و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الأوّل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مرفوعة محمّد بن يحيى </w:t>
      </w:r>
      <w:r>
        <w:rPr>
          <w:rStyle w:val="FootnoteAnchor"/>
          <w:rtl w:val="true"/>
        </w:rPr>
        <w:footnoteReference w:id="3104"/>
      </w:r>
      <w:r>
        <w:rPr>
          <w:rFonts w:ascii="Amiri" w:hAnsi="Amiri" w:eastAsia="Amiri" w:cs="Amiri"/>
          <w:color w:val="111111"/>
          <w:sz w:val="28"/>
          <w:sz w:val="28"/>
          <w:szCs w:val="28"/>
          <w:rtl w:val="true"/>
          <w:lang w:bidi="ar-SA"/>
        </w:rPr>
        <w:t xml:space="preserve">أو مرسلة الصّدوق </w:t>
      </w:r>
      <w:r>
        <w:rPr>
          <w:rStyle w:val="FootnoteAnchor"/>
          <w:rtl w:val="true"/>
        </w:rPr>
        <w:footnoteReference w:id="3105"/>
      </w:r>
      <w:r>
        <w:rPr>
          <w:rFonts w:ascii="Amiri" w:hAnsi="Amiri" w:eastAsia="Amiri" w:cs="Amiri"/>
          <w:color w:val="111111"/>
          <w:sz w:val="28"/>
          <w:sz w:val="28"/>
          <w:szCs w:val="28"/>
          <w:rtl w:val="true"/>
          <w:lang w:bidi="ar-SA"/>
        </w:rPr>
        <w:t>المسؤول فيهما عن حدّ 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الريح و لا تستدبرها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و إن اختصّا بالثاني صريحاً إلَّا أنّ التعميم في كلماتهم يفهم منه أنّ الغائط فيهما مثله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أَحَدٌ مِنْكُمْ مِنْ الْغَائِطِ</w:t>
      </w:r>
      <w:r>
        <w:rPr>
          <w:rFonts w:eastAsia="Amiri" w:cs="Amiri" w:ascii="Amiri" w:hAnsi="Amiri"/>
          <w:color w:val="111111"/>
          <w:sz w:val="28"/>
          <w:szCs w:val="28"/>
          <w:rtl w:val="true"/>
          <w:lang w:bidi="ar-SA"/>
        </w:rPr>
        <w:t xml:space="preserve">)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أطلق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قيّد في غيره </w:t>
      </w:r>
      <w:r>
        <w:rPr>
          <w:rStyle w:val="FootnoteAnchor"/>
          <w:rtl w:val="true"/>
        </w:rPr>
        <w:footnoteReference w:id="3107"/>
      </w:r>
      <w:r>
        <w:rPr>
          <w:rFonts w:ascii="Amiri" w:hAnsi="Amiri" w:eastAsia="Amiri" w:cs="Amiri"/>
          <w:color w:val="111111"/>
          <w:sz w:val="28"/>
          <w:sz w:val="28"/>
          <w:szCs w:val="28"/>
          <w:rtl w:val="true"/>
          <w:lang w:bidi="ar-SA"/>
        </w:rPr>
        <w:t>بالبول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الذكرى </w:t>
      </w:r>
      <w:r>
        <w:rPr>
          <w:rStyle w:val="FootnoteAnchor"/>
          <w:rtl w:val="true"/>
        </w:rPr>
        <w:footnoteReference w:id="3108"/>
      </w:r>
      <w:r>
        <w:rPr>
          <w:rFonts w:ascii="Amiri" w:hAnsi="Amiri" w:eastAsia="Amiri" w:cs="Amiri"/>
          <w:color w:val="111111"/>
          <w:sz w:val="28"/>
          <w:sz w:val="28"/>
          <w:szCs w:val="28"/>
          <w:rtl w:val="true"/>
          <w:lang w:bidi="ar-SA"/>
        </w:rPr>
        <w:t xml:space="preserve">و الدّروس </w:t>
      </w:r>
      <w:r>
        <w:rPr>
          <w:rStyle w:val="FootnoteAnchor"/>
          <w:rtl w:val="true"/>
        </w:rPr>
        <w:footnoteReference w:id="3109"/>
      </w:r>
      <w:r>
        <w:rPr>
          <w:rFonts w:ascii="IRNazanin" w:hAnsi="IRNazanin" w:eastAsia="IRNazanin"/>
          <w:color w:val="111111"/>
          <w:sz w:val="28"/>
          <w:sz w:val="28"/>
          <w:szCs w:val="28"/>
          <w:rtl w:val="true"/>
          <w:lang w:bidi="fa-IR"/>
        </w:rPr>
        <w:t>كما هنا، و لعلّ إطلاق الخبر إشارة إلى الخبرين و إلى ما ورد في الخصال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بال أحدكم فلا يستقبل ببوله الرّيح، فإنّ الاستقبال مظنة ردّ البول إليه</w:t>
      </w:r>
      <w:r>
        <w:rPr>
          <w:rFonts w:eastAsia="IRNazanin" w:cs="IRNazanin"/>
          <w:color w:val="111111"/>
          <w:sz w:val="28"/>
          <w:szCs w:val="28"/>
          <w:rtl w:val="true"/>
          <w:lang w:bidi="fa-IR"/>
        </w:rPr>
        <w:t xml:space="preserve">» </w:t>
      </w:r>
      <w:r>
        <w:rPr>
          <w:rStyle w:val="FootnoteAnchor"/>
          <w:rtl w:val="true"/>
        </w:rPr>
        <w:footnoteReference w:id="3110"/>
      </w:r>
      <w:r>
        <w:rPr>
          <w:rFonts w:ascii="Amiri" w:hAnsi="Amiri" w:eastAsia="Amiri" w:cs="Amiri"/>
          <w:color w:val="111111"/>
          <w:sz w:val="28"/>
          <w:sz w:val="28"/>
          <w:szCs w:val="28"/>
          <w:rtl w:val="true"/>
          <w:lang w:bidi="ar-SA"/>
        </w:rPr>
        <w:t>، و الجمع يقتضي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الأخير حجّة من خصّ الكراهة في البول كما في الخلاف </w:t>
      </w:r>
      <w:r>
        <w:rPr>
          <w:rStyle w:val="FootnoteAnchor"/>
          <w:rtl w:val="true"/>
        </w:rPr>
        <w:footnoteReference w:id="3111"/>
      </w:r>
      <w:r>
        <w:rPr>
          <w:rFonts w:ascii="Amiri" w:hAnsi="Amiri" w:eastAsia="Amiri" w:cs="Amiri"/>
          <w:color w:val="111111"/>
          <w:sz w:val="28"/>
          <w:sz w:val="28"/>
          <w:szCs w:val="28"/>
          <w:rtl w:val="true"/>
          <w:lang w:bidi="ar-SA"/>
        </w:rPr>
        <w:t xml:space="preserve">و الألفية </w:t>
      </w:r>
      <w:r>
        <w:rPr>
          <w:rStyle w:val="FootnoteAnchor"/>
          <w:rtl w:val="true"/>
        </w:rPr>
        <w:footnoteReference w:id="3112"/>
      </w:r>
      <w:r>
        <w:rPr>
          <w:rFonts w:ascii="Amiri" w:hAnsi="Amiri" w:eastAsia="Amiri" w:cs="Amiri"/>
          <w:color w:val="111111"/>
          <w:sz w:val="28"/>
          <w:sz w:val="28"/>
          <w:szCs w:val="28"/>
          <w:rtl w:val="true"/>
          <w:lang w:bidi="ar-SA"/>
        </w:rPr>
        <w:t xml:space="preserve">، مضافاً إلى استفادته من وجه كراهية البول في الأرض الصّلبة المنصوص عليه في رواية ابن مسكان </w:t>
      </w:r>
      <w:r>
        <w:rPr>
          <w:rStyle w:val="FootnoteAnchor"/>
          <w:rtl w:val="true"/>
        </w:rPr>
        <w:footnoteReference w:id="3113"/>
      </w:r>
      <w:r>
        <w:rPr>
          <w:rFonts w:ascii="Amiri" w:hAnsi="Amiri" w:eastAsia="Amiri" w:cs="Amiri"/>
          <w:color w:val="111111"/>
          <w:sz w:val="28"/>
          <w:sz w:val="28"/>
          <w:szCs w:val="28"/>
          <w:rtl w:val="true"/>
          <w:lang w:bidi="ar-SA"/>
        </w:rPr>
        <w:t>، مع استضعاف ما أفاد الكراهة في الغائط و الإطلاق المتّجه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تغطية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مكشوفاً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من وصول الرائحة الخبيثة إلى دماغه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البرقي </w:t>
      </w:r>
      <w:r>
        <w:rPr>
          <w:rStyle w:val="FootnoteAnchor"/>
          <w:rtl w:val="true"/>
        </w:rPr>
        <w:footnoteReference w:id="3114"/>
      </w:r>
      <w:r>
        <w:rPr>
          <w:rFonts w:ascii="Amiri" w:hAnsi="Amiri" w:eastAsia="Amiri" w:cs="Amiri"/>
          <w:color w:val="111111"/>
          <w:sz w:val="28"/>
          <w:sz w:val="28"/>
          <w:szCs w:val="28"/>
          <w:rtl w:val="true"/>
          <w:lang w:bidi="ar-SA"/>
        </w:rPr>
        <w:t xml:space="preserve">ندبيّة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التقنيع </w:t>
      </w:r>
      <w:r>
        <w:rPr>
          <w:rStyle w:val="FootnoteAnchor"/>
          <w:rtl w:val="true"/>
        </w:rPr>
        <w:footnoteReference w:id="3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التغشّي بثوب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أسباط الواقفي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علیه السلام إذا دخل الكنيف يقنّع رأسه </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الشّارح وجود خبرين بهما، و لم نعثر عليهما، نعم عبّر بكلّ واحد منهما غير </w:t>
      </w:r>
    </w:p>
    <w:p>
      <w:pPr>
        <w:pStyle w:val="BookText"/>
        <w:rPr/>
      </w:pPr>
      <w:r>
        <w:rPr>
          <w:rFonts w:ascii="IRNazanin" w:hAnsi="IRNazanin" w:eastAsia="IRNazanin"/>
          <w:color w:val="111111"/>
          <w:sz w:val="28"/>
          <w:sz w:val="28"/>
          <w:szCs w:val="28"/>
          <w:rtl w:val="true"/>
          <w:lang w:bidi="fa-IR"/>
        </w:rPr>
        <w:t xml:space="preserve">واحد </w:t>
      </w:r>
      <w:r>
        <w:rPr>
          <w:rStyle w:val="FootnoteAnchor"/>
          <w:rtl w:val="true"/>
        </w:rPr>
        <w:footnoteReference w:id="3117"/>
      </w:r>
      <w:r>
        <w:rPr>
          <w:rFonts w:ascii="Amiri" w:hAnsi="Amiri" w:eastAsia="Amiri" w:cs="Amiri"/>
          <w:color w:val="111111"/>
          <w:sz w:val="28"/>
          <w:sz w:val="28"/>
          <w:szCs w:val="28"/>
          <w:rtl w:val="true"/>
          <w:lang w:bidi="ar-SA"/>
        </w:rPr>
        <w:t xml:space="preserve">، و ظاهرهم أنّ المراد بالتقنيع هو التغطية، و لعلّ هناك خبراً آخراً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بالرِّجل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الشيخ </w:t>
      </w:r>
      <w:r>
        <w:rPr>
          <w:rStyle w:val="FootnoteAnchor"/>
          <w:rtl w:val="true"/>
        </w:rPr>
        <w:footnoteReference w:id="3119"/>
      </w:r>
      <w:r>
        <w:rPr>
          <w:rFonts w:ascii="Amiri" w:hAnsi="Amiri" w:eastAsia="Amiri" w:cs="Amiri"/>
          <w:color w:val="111111"/>
          <w:sz w:val="28"/>
          <w:sz w:val="28"/>
          <w:szCs w:val="28"/>
          <w:rtl w:val="true"/>
          <w:lang w:bidi="ar-SA"/>
        </w:rPr>
        <w:t xml:space="preserve">و جماعة </w:t>
      </w:r>
      <w:r>
        <w:rPr>
          <w:rStyle w:val="FootnoteAnchor"/>
          <w:rtl w:val="true"/>
        </w:rPr>
        <w:footnoteReference w:id="3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ببناء و إلَّا جعلها في غير البناء آخر ما يقدّمه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الجلوس للتخلّي و لو على بناء متّسع من سطح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وصفناه عکس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الشّرطيّة مستفادة من الدّخول و الخروج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مثلهما في النّدبيّة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 استحباب الدّعاء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الدّخول و عند الفعل و رؤية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للاستنجاء لا مطلقاً في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الاستنجاء، و عند مسح بطنه إذا قام من موضعه، و عند الخروج بالمأثور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تجزي التّسمية في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يندب حالة الجلوس للبول و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فتح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البول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طلب براءة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البول بالاجتهاد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نصوصه التي استظهر منها البعض وجوبه فحكم به كابني </w:t>
      </w:r>
    </w:p>
    <w:p>
      <w:pPr>
        <w:pStyle w:val="BookText"/>
        <w:rPr/>
      </w:pPr>
      <w:r>
        <w:rPr>
          <w:rFonts w:ascii="Amiri" w:hAnsi="Amiri" w:eastAsia="Amiri" w:cs="Amiri"/>
          <w:color w:val="111111"/>
          <w:sz w:val="28"/>
          <w:sz w:val="28"/>
          <w:szCs w:val="28"/>
          <w:rtl w:val="true"/>
          <w:lang w:bidi="ar-SA"/>
        </w:rPr>
        <w:t xml:space="preserve">زُهرة </w:t>
      </w:r>
      <w:r>
        <w:rPr>
          <w:rStyle w:val="FootnoteAnchor"/>
          <w:rtl w:val="true"/>
        </w:rPr>
        <w:footnoteReference w:id="3121"/>
      </w:r>
      <w:r>
        <w:rPr>
          <w:rFonts w:ascii="Amiri" w:hAnsi="Amiri" w:eastAsia="Amiri" w:cs="Amiri"/>
          <w:color w:val="111111"/>
          <w:sz w:val="28"/>
          <w:sz w:val="28"/>
          <w:szCs w:val="28"/>
          <w:rtl w:val="true"/>
          <w:lang w:bidi="ar-SA"/>
        </w:rPr>
        <w:t xml:space="preserve">و حمزة </w:t>
      </w:r>
      <w:r>
        <w:rPr>
          <w:rStyle w:val="FootnoteAnchor"/>
          <w:rtl w:val="true"/>
        </w:rPr>
        <w:footnoteReference w:id="3122"/>
      </w:r>
      <w:r>
        <w:rPr>
          <w:rFonts w:ascii="Amiri" w:hAnsi="Amiri" w:eastAsia="Amiri" w:cs="Amiri"/>
          <w:color w:val="111111"/>
          <w:sz w:val="28"/>
          <w:sz w:val="28"/>
          <w:szCs w:val="28"/>
          <w:rtl w:val="true"/>
          <w:lang w:bidi="ar-SA"/>
        </w:rPr>
        <w:t>، و كأنّهم يرون عدم جواز الدّخول في الصلاة قبله بعد غسل البول؛ لعدم اكمال الطّهارة، و لو أرادوا غير ذلك لم يكن لوجوبه معنىً يحصل، و إرادة هذا المعنى ينافي إطباقهم على طهارة المحلّ قبل خروج البَلَل لغير المستبرئ، فالمتعيّن فيه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المتيقّن من كيفيّته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مسح ما بين المقعدة و أصل القضيب ثلاثاً، ثمّ نتره ثلاثاً، ثمّ عصر الحشفة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عَملاً بأخباره، ففي صحيحة ابن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ينتره ثلاثاً، ثم إنْ سال حتّى يبلغ الساق فلا يبالي</w:t>
      </w:r>
      <w:r>
        <w:rPr>
          <w:rFonts w:eastAsia="Amiri" w:cs="Amiri" w:ascii="Amiri" w:hAnsi="Amiri"/>
          <w:color w:val="111111"/>
          <w:sz w:val="28"/>
          <w:szCs w:val="28"/>
          <w:rtl w:val="true"/>
          <w:lang w:bidi="ar-SA"/>
        </w:rPr>
        <w:t xml:space="preserve">) </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يعصر أصل ذكره إلى طرفه ثلاث عصرات، و ينتر طرفه، فإن خرج بعد ذلك شيء فليس من البول</w:t>
      </w:r>
      <w:r>
        <w:rPr>
          <w:rFonts w:eastAsia="Amiri" w:cs="Amiri" w:ascii="Amiri" w:hAnsi="Amiri"/>
          <w:color w:val="111111"/>
          <w:sz w:val="28"/>
          <w:szCs w:val="28"/>
          <w:rtl w:val="true"/>
          <w:lang w:bidi="ar-SA"/>
        </w:rPr>
        <w:t xml:space="preserve">»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حسنة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فخرط ما بين المقعدة و الانثيين ثلاث مرّات، و غمز ما بينهما، ثمّ استنجى، فإن سالَ حتّى يبلغ الساق فلا يبالي</w:t>
      </w:r>
      <w:r>
        <w:rPr>
          <w:rFonts w:eastAsia="Amiri" w:cs="Amiri" w:ascii="Amiri" w:hAnsi="Amiri"/>
          <w:color w:val="111111"/>
          <w:sz w:val="28"/>
          <w:szCs w:val="28"/>
          <w:rtl w:val="true"/>
          <w:lang w:bidi="ar-SA"/>
        </w:rPr>
        <w:t xml:space="preserve">» </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و إن اختلفت من حيث الاكتفاء بجذب الذَّكَر ثلاثاً في الأوّلى، و عصره ثلاثاً و جذب طرفه في الثانية، و خرط ما بين المقعد و الانثيين مع الغمز في الثالثة، لكن من فعل العصرات التّسع عمل بها توافقت أم لا؛ و لذا اختاره المصنّف </w:t>
      </w:r>
      <w:r>
        <w:rPr>
          <w:rStyle w:val="FootnoteAnchor"/>
          <w:rtl w:val="true"/>
        </w:rPr>
        <w:footnoteReference w:id="3126"/>
      </w:r>
      <w:r>
        <w:rPr>
          <w:rFonts w:ascii="IRNazanin" w:hAnsi="IRNazanin" w:eastAsia="IRNazanin"/>
          <w:color w:val="111111"/>
          <w:sz w:val="28"/>
          <w:sz w:val="28"/>
          <w:szCs w:val="28"/>
          <w:rtl w:val="true"/>
          <w:lang w:bidi="fa-IR"/>
        </w:rPr>
        <w:t xml:space="preserve">و الشارح </w:t>
      </w:r>
      <w:r>
        <w:rPr>
          <w:rStyle w:val="FootnoteAnchor"/>
          <w:rtl w:val="true"/>
        </w:rPr>
        <w:footnoteReference w:id="3127"/>
      </w:r>
      <w:r>
        <w:rPr>
          <w:rFonts w:ascii="Amiri" w:hAnsi="Amiri" w:eastAsia="Amiri" w:cs="Amiri"/>
          <w:color w:val="111111"/>
          <w:sz w:val="28"/>
          <w:sz w:val="28"/>
          <w:szCs w:val="28"/>
          <w:rtl w:val="true"/>
          <w:lang w:bidi="ar-SA"/>
        </w:rPr>
        <w:t xml:space="preserve">هنا و بغيره، و المفيد رحمه الله </w:t>
      </w:r>
      <w:r>
        <w:rPr>
          <w:rStyle w:val="FootnoteAnchor"/>
          <w:rtl w:val="true"/>
        </w:rPr>
        <w:footnoteReference w:id="3128"/>
      </w:r>
      <w:r>
        <w:rPr>
          <w:rFonts w:ascii="Amiri" w:hAnsi="Amiri" w:eastAsia="Amiri" w:cs="Amiri"/>
          <w:color w:val="111111"/>
          <w:sz w:val="28"/>
          <w:sz w:val="28"/>
          <w:szCs w:val="28"/>
          <w:rtl w:val="true"/>
          <w:lang w:bidi="ar-SA"/>
        </w:rPr>
        <w:t xml:space="preserve">جمع كذلك لكنّه ثنّى المسح و النتر و اكتفى بعصر متّصل إلى رأس الحشفة كبني </w:t>
      </w:r>
    </w:p>
    <w:p>
      <w:pPr>
        <w:pStyle w:val="BookText"/>
        <w:rPr/>
      </w:pPr>
      <w:r>
        <w:rPr>
          <w:rFonts w:ascii="Amiri" w:hAnsi="Amiri" w:eastAsia="Amiri" w:cs="Amiri"/>
          <w:color w:val="111111"/>
          <w:sz w:val="28"/>
          <w:sz w:val="28"/>
          <w:szCs w:val="28"/>
          <w:rtl w:val="true"/>
          <w:lang w:bidi="ar-SA"/>
        </w:rPr>
        <w:t xml:space="preserve">زهرة </w:t>
      </w:r>
      <w:r>
        <w:rPr>
          <w:rStyle w:val="FootnoteAnchor"/>
          <w:rtl w:val="true"/>
        </w:rPr>
        <w:footnoteReference w:id="3129"/>
      </w:r>
      <w:r>
        <w:rPr>
          <w:rFonts w:ascii="Amiri" w:hAnsi="Amiri" w:eastAsia="Amiri" w:cs="Amiri"/>
          <w:color w:val="111111"/>
          <w:sz w:val="28"/>
          <w:sz w:val="28"/>
          <w:szCs w:val="28"/>
          <w:rtl w:val="true"/>
          <w:lang w:bidi="ar-SA"/>
        </w:rPr>
        <w:t xml:space="preserve">و إدريس </w:t>
      </w:r>
      <w:r>
        <w:rPr>
          <w:rStyle w:val="FootnoteAnchor"/>
          <w:rtl w:val="true"/>
        </w:rPr>
        <w:footnoteReference w:id="3130"/>
      </w:r>
      <w:r>
        <w:rPr>
          <w:rFonts w:ascii="Amiri" w:hAnsi="Amiri" w:eastAsia="Amiri" w:cs="Amiri"/>
          <w:color w:val="111111"/>
          <w:sz w:val="28"/>
          <w:sz w:val="28"/>
          <w:szCs w:val="28"/>
          <w:rtl w:val="true"/>
          <w:lang w:bidi="ar-SA"/>
        </w:rPr>
        <w:t xml:space="preserve">و حمزة </w:t>
      </w:r>
      <w:r>
        <w:rPr>
          <w:rStyle w:val="FootnoteAnchor"/>
          <w:rtl w:val="true"/>
        </w:rPr>
        <w:footnoteReference w:id="3131"/>
      </w:r>
      <w:r>
        <w:rPr>
          <w:rFonts w:ascii="Amiri" w:hAnsi="Amiri" w:eastAsia="Amiri" w:cs="Amiri"/>
          <w:color w:val="111111"/>
          <w:sz w:val="28"/>
          <w:sz w:val="28"/>
          <w:szCs w:val="28"/>
          <w:rtl w:val="true"/>
          <w:lang w:bidi="ar-SA"/>
        </w:rPr>
        <w:t xml:space="preserve">في الأخير، و اقتصر ابن بابويه </w:t>
      </w:r>
      <w:r>
        <w:rPr>
          <w:rStyle w:val="FootnoteAnchor"/>
          <w:rtl w:val="true"/>
        </w:rPr>
        <w:footnoteReference w:id="3132"/>
      </w:r>
      <w:r>
        <w:rPr>
          <w:rFonts w:ascii="Amiri" w:hAnsi="Amiri" w:eastAsia="Amiri" w:cs="Amiri"/>
          <w:color w:val="111111"/>
          <w:sz w:val="28"/>
          <w:sz w:val="28"/>
          <w:szCs w:val="28"/>
          <w:rtl w:val="true"/>
          <w:lang w:bidi="ar-SA"/>
        </w:rPr>
        <w:t xml:space="preserve">على خرط الثالثة، و عَلَم الهُدى </w:t>
      </w:r>
      <w:r>
        <w:rPr>
          <w:rStyle w:val="FootnoteAnchor"/>
          <w:rtl w:val="true"/>
        </w:rPr>
        <w:footnoteReference w:id="3133"/>
      </w:r>
      <w:r>
        <w:rPr>
          <w:rFonts w:ascii="Amiri" w:hAnsi="Amiri" w:eastAsia="Amiri" w:cs="Amiri"/>
          <w:color w:val="111111"/>
          <w:sz w:val="28"/>
          <w:sz w:val="28"/>
          <w:szCs w:val="28"/>
          <w:rtl w:val="true"/>
          <w:lang w:bidi="ar-SA"/>
        </w:rPr>
        <w:t>على عصر الثانية، و الأوجه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التنحنح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قبله و لا بعده، و غيره لم يوقّت،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نسبه المصنّف في الذكرى </w:t>
      </w:r>
      <w:r>
        <w:rPr>
          <w:rStyle w:val="FootnoteAnchor"/>
          <w:rtl w:val="true"/>
        </w:rPr>
        <w:footnoteReference w:id="3134"/>
      </w:r>
      <w:r>
        <w:rPr>
          <w:rFonts w:ascii="Amiri" w:hAnsi="Amiri" w:eastAsia="Amiri" w:cs="Amiri"/>
          <w:color w:val="111111"/>
          <w:sz w:val="28"/>
          <w:sz w:val="28"/>
          <w:szCs w:val="28"/>
          <w:rtl w:val="true"/>
          <w:lang w:bidi="ar-SA"/>
        </w:rPr>
        <w:t xml:space="preserve">إلى سلّار </w:t>
      </w:r>
      <w:r>
        <w:rPr>
          <w:rStyle w:val="FootnoteAnchor"/>
          <w:rtl w:val="true"/>
        </w:rPr>
        <w:footnoteReference w:id="3135"/>
      </w:r>
      <w:r>
        <w:rPr>
          <w:rFonts w:ascii="Amiri" w:hAnsi="Amiri" w:eastAsia="Amiri" w:cs="Amiri"/>
          <w:color w:val="111111"/>
          <w:sz w:val="28"/>
          <w:sz w:val="28"/>
          <w:szCs w:val="28"/>
          <w:rtl w:val="true"/>
          <w:lang w:bidi="ar-SA"/>
        </w:rPr>
        <w:t>لعدم وقوفه على مأخذه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عبارته غير صريحة في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 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بالماء و الأحجار؛ للتأسّي،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موضوعة للأدنى، كما أنّ اليمنى للأعلى كالأكل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الغائط في المقدّم، و يمكن جعلهما مثالاً للأعلى</w:t>
      </w:r>
      <w:r>
        <w:rPr>
          <w:rFonts w:eastAsia="Amiri" w:cs="Amiri" w:ascii="Amiri" w:hAnsi="Amiri"/>
          <w:color w:val="111111"/>
          <w:sz w:val="28"/>
          <w:szCs w:val="28"/>
          <w:rtl w:val="true"/>
          <w:lang w:bidi="ar-SA"/>
        </w:rPr>
        <w:t xml:space="preserve">. </w:t>
      </w:r>
      <w:bookmarkStart w:id="258" w:name="pg9146_86424"/>
    </w:p>
    <w:p>
      <w:pPr>
        <w:pStyle w:val="Heading2"/>
        <w:numPr>
          <w:ilvl w:val="1"/>
          <w:numId w:val="1"/>
        </w:numPr>
        <w:rPr/>
      </w:pPr>
      <w:bookmarkStart w:id="259" w:name="__RefHeading___Toc3322700_2870459653"/>
      <w:bookmarkStart w:id="260" w:name="_Toc88"/>
      <w:bookmarkEnd w:id="258"/>
      <w:bookmarkEnd w:id="259"/>
      <w:r>
        <w:rPr>
          <w:rtl w:val="true"/>
        </w:rPr>
        <w:t>[</w:t>
      </w:r>
      <w:r>
        <w:rPr>
          <w:rtl w:val="true"/>
        </w:rPr>
        <w:t>مكروهات التخلي</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باليمنى </w:t>
      </w:r>
      <w:r>
        <w:rPr>
          <w:rStyle w:val="FootnoteAnchor"/>
          <w:rtl w:val="true"/>
        </w:rPr>
        <w:footnoteReference w:id="3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لشرافتها،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البُعد عن الآداب، و لو اعتاد الأكل و الوضوء باليسار انقلبت الكراهة و إن تمكّن من التّرك كما في بعض الناس؛ للعلّة في شرفها، و لا يغني الاستحباب الأوّل عن الكراهة الثانية؛ لأنهما حكمان محتاجان إلى نهي و أمر ، فلا مؤاخذة عليه في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البول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الجفاء،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من تخيل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للنصّين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مطمحاً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مُرميّاً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السّطح أو كلّ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الصّدوق </w:t>
      </w:r>
      <w:r>
        <w:rPr>
          <w:rStyle w:val="FootnoteAnchor"/>
          <w:rtl w:val="true"/>
        </w:rPr>
        <w:footnoteReference w:id="3138"/>
      </w:r>
      <w:r>
        <w:rPr>
          <w:rFonts w:ascii="IRNazanin" w:hAnsi="IRNazanin" w:eastAsia="IRNazanin"/>
          <w:color w:val="111111"/>
          <w:sz w:val="28"/>
          <w:sz w:val="28"/>
          <w:szCs w:val="28"/>
          <w:rtl w:val="true"/>
          <w:lang w:bidi="fa-IR"/>
        </w:rPr>
        <w:t xml:space="preserve">و خبر مسمع </w:t>
      </w:r>
      <w:r>
        <w:rPr>
          <w:rStyle w:val="FootnoteAnchor"/>
          <w:rtl w:val="true"/>
        </w:rPr>
        <w:footnoteReference w:id="3139"/>
      </w:r>
      <w:r>
        <w:rPr>
          <w:rFonts w:ascii="Amiri" w:hAnsi="Amiri" w:eastAsia="Amiri" w:cs="Amiri"/>
          <w:color w:val="111111"/>
          <w:sz w:val="28"/>
          <w:sz w:val="28"/>
          <w:szCs w:val="28"/>
          <w:rtl w:val="true"/>
          <w:lang w:bidi="ar-SA"/>
        </w:rPr>
        <w:t>، و هو ينافي استحباب تحرّي المرتفع فيه؛ للأمن من الردّ، و الجمع أنّ المكروه إيجاد سبب يورِث الطمح كرفع ذكره بيده و غيره، لا مجرّد البول على مرتفع في الهواء، أو يجمع باختصاص الكراهة حال الهواء و الندب في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جارياً و راكداً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الثاني فقط، دون التغوّط فيهما أو في الأوّل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للتعليل في أخبار النّهي بأنّ للماء أهْلاً فلا تؤذوهم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الشامل بإطلاقه لهما، لكنّه عليل؛ لعدم معلوميّة الاشتراك، و لأنه ورد في خبر مسمع ، و هو في خصوص الجاري، </w:t>
      </w:r>
    </w:p>
    <w:p>
      <w:pPr>
        <w:pStyle w:val="BookText"/>
        <w:rPr/>
      </w:pPr>
      <w:r>
        <w:rPr>
          <w:rFonts w:ascii="IRNazanin" w:hAnsi="IRNazanin" w:eastAsia="IRNazanin"/>
          <w:color w:val="111111"/>
          <w:sz w:val="28"/>
          <w:sz w:val="28"/>
          <w:szCs w:val="28"/>
          <w:rtl w:val="true"/>
          <w:lang w:bidi="fa-IR"/>
        </w:rPr>
        <w:t>فقوله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للماء أهلاً</w:t>
      </w:r>
      <w:r>
        <w:rPr>
          <w:rFonts w:eastAsia="IRNazanin" w:cs="IRNazanin"/>
          <w:color w:val="111111"/>
          <w:sz w:val="28"/>
          <w:szCs w:val="28"/>
          <w:rtl w:val="true"/>
          <w:lang w:bidi="fa-IR"/>
        </w:rPr>
        <w:t xml:space="preserve">» </w:t>
      </w:r>
      <w:r>
        <w:rPr>
          <w:rStyle w:val="FootnoteAnchor"/>
          <w:rtl w:val="true"/>
        </w:rPr>
        <w:footnoteReference w:id="3140"/>
      </w:r>
      <w:r>
        <w:rPr>
          <w:rFonts w:ascii="IRNazanin" w:hAnsi="IRNazanin" w:eastAsia="IRNazanin"/>
          <w:color w:val="111111"/>
          <w:sz w:val="28"/>
          <w:sz w:val="28"/>
          <w:szCs w:val="28"/>
          <w:rtl w:val="true"/>
          <w:lang w:bidi="fa-IR"/>
        </w:rPr>
        <w:t>، ظاهر في العهد؛ لرجوعه إلى صدر الخبر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صلّی الله علیه و آله أن يبول الرّجل في الماء الجاري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في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الطّريق المسلوك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أُعدّ للسّلوك من دون استطراق، و الكراهة مقصورة على المسلوك النافذ؛ إذ المرفوع ملك أربابه فيحرم إلَّا بإذنهم فيه، إلَّا أن تكون بعض منازله وقفاً عامّاً فيلحق النافذ على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طريق الماء للواردة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المقنعة </w:t>
      </w:r>
      <w:r>
        <w:rPr>
          <w:rStyle w:val="FootnoteAnchor"/>
          <w:rtl w:val="true"/>
        </w:rPr>
        <w:footnoteReference w:id="3141"/>
      </w:r>
      <w:r>
        <w:rPr>
          <w:rFonts w:ascii="Amiri" w:hAnsi="Amiri" w:eastAsia="Amiri" w:cs="Amiri"/>
          <w:color w:val="111111"/>
          <w:sz w:val="28"/>
          <w:sz w:val="28"/>
          <w:szCs w:val="28"/>
          <w:rtl w:val="true"/>
          <w:lang w:bidi="ar-SA"/>
        </w:rPr>
        <w:t>عدم الجواز فيهما، و لعلّه لجهة الإيذاء المحرّم، و هو متين إن استلزمه لمرور الخلق فيه ليلاً و نهاراً، و عدم إمكان التحرّز المورث للإيذاء المحظور، فيكون حكمه التّحريم في غير ما يحصل به الإيذاء، و القصر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 xml:space="preserve">] </w:t>
      </w:r>
      <w:r>
        <w:rPr>
          <w:rStyle w:val="FootnoteAnchor"/>
          <w:rtl w:val="true"/>
        </w:rPr>
        <w:footnoteReference w:id="3142"/>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w:t>
      </w:r>
      <w:r>
        <w:rPr>
          <w:rStyle w:val="FootnoteAnchor"/>
          <w:rtl w:val="true"/>
        </w:rPr>
        <w:footnoteReference w:id="3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امتدّ من جوانب الدار، و هو حريمها خارج المملوك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في غير داره و الجائز فيها، و فناء المسجد كذلك بالنّص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مجمع الناس، أو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قارعة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أبواب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جميعها؛ لأنها مظنّة للعن المتخلّي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لو حذف التاء منهما كان أحسن؛ لعدم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غير المثمر حين الاستنجاء، فالمراد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شأنها أن تكون مثمرة و إن لم تكن كذلك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 في الكراهة النخلة العقيمة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الكراهة ما يمكن أن تبلغه الثمار عادةً و إن لم يكن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امتدّت أغصانها إليه إن فهم الإطلاق من النّص كما 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 النُّزُال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موضع الظلّ المُعدّ لنزولهم، أو ما هو أعمّ منه كالمحلّ الذي يرجعون إليه و ينزلون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فاء يفيء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شاع استعماله في الظلّ بعد الزّوال؛ لأنه يفيء إلى الزّيادة، فيشمل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الحاء و الراء المهملتين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بالضمّ و السّكون، و هي بيوت الحشار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في الخلاء،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الحَدَث؛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يورث البخر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3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إلَّا بذكر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الحلبي </w:t>
      </w:r>
      <w:r>
        <w:rPr>
          <w:rStyle w:val="FootnoteAnchor"/>
          <w:rtl w:val="true"/>
        </w:rPr>
        <w:footnoteReference w:id="3145"/>
      </w:r>
      <w:r>
        <w:rPr>
          <w:rFonts w:eastAsia="Times New Roman" w:cs="Times New Roman" w:ascii="Times New Roman" w:hAnsi="Times New Roman"/>
          <w:color w:val="111111"/>
          <w:sz w:val="28"/>
          <w:szCs w:val="28"/>
          <w:rtl w:val="true"/>
          <w:lang w:val="en-US" w:bidi="en-US"/>
        </w:rPr>
        <w:t xml:space="preserve">. </w:t>
      </w:r>
      <w:bookmarkStart w:id="261" w:name="pg9146_86427"/>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الأكل 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للطّعام الذي هو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أرسله الصّدوق رحمه الله </w:t>
      </w:r>
      <w:r>
        <w:rPr>
          <w:rStyle w:val="FootnoteAnchor"/>
          <w:rtl w:val="true"/>
        </w:rPr>
        <w:footnoteReference w:id="3146"/>
      </w:r>
      <w:r>
        <w:rPr>
          <w:rFonts w:ascii="Amiri" w:hAnsi="Amiri" w:eastAsia="Amiri" w:cs="Amiri"/>
          <w:color w:val="111111"/>
          <w:sz w:val="28"/>
          <w:sz w:val="28"/>
          <w:szCs w:val="28"/>
          <w:rtl w:val="true"/>
          <w:lang w:bidi="ar-SA"/>
        </w:rPr>
        <w:t xml:space="preserve">الظاهر منه تأخير الأكل إلى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الشهرة، و لأجلها أيضاً</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3322702_2870459653"/>
      <w:bookmarkStart w:id="263" w:name="_Toc89"/>
      <w:bookmarkEnd w:id="262"/>
      <w:r>
        <w:rPr>
          <w:rtl w:val="true"/>
        </w:rPr>
        <w:t>[</w:t>
      </w:r>
      <w:r>
        <w:rPr>
          <w:rtl w:val="true"/>
        </w:rPr>
        <w:t>مباحات التّخلي</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حكاية الأذان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الخلاء مطلقاً، و للنصوص التي تقضي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فهمه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نقيّة السند، و لا يرد دخوله بذكر الله تعالى فيكون تكريراً كدخول جملة من المكروهات غيره في الملعن،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تعالى لا يشمله أجمع؛ لخروج الحيعلات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تشتمل عليه في اللّفظ دون المعنى المراد الذي لأجله أطلق الفاضل الذكر عليه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استثناؤه أجمع من مكروه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ثمة </w:t>
      </w:r>
      <w:r>
        <w:rPr>
          <w:rStyle w:val="FootnoteAnchor"/>
          <w:rtl w:val="true"/>
        </w:rPr>
        <w:footnoteReference w:id="3147"/>
      </w:r>
      <w:r>
        <w:rPr>
          <w:rFonts w:ascii="Amiri" w:hAnsi="Amiri" w:eastAsia="Amiri" w:cs="Amiri"/>
          <w:color w:val="111111"/>
          <w:sz w:val="28"/>
          <w:sz w:val="28"/>
          <w:szCs w:val="28"/>
          <w:rtl w:val="true"/>
          <w:lang w:bidi="ar-SA"/>
        </w:rPr>
        <w:t xml:space="preserve">حكاه المصنّف في الذكرى </w:t>
      </w:r>
      <w:r>
        <w:rPr>
          <w:rStyle w:val="FootnoteAnchor"/>
          <w:rtl w:val="true"/>
        </w:rPr>
        <w:footnoteReference w:id="314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فنسبَ استثناء مطلقه إلى القيل المُشعِر بتمريضه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الشارح استثنى من استثنائه الحيعلات بكتبه </w:t>
      </w:r>
      <w:r>
        <w:rPr>
          <w:rStyle w:val="FootnoteAnchor"/>
          <w:rtl w:val="true"/>
        </w:rPr>
        <w:footnoteReference w:id="3149"/>
      </w:r>
      <w:r>
        <w:rPr>
          <w:rFonts w:ascii="IRNazanin" w:hAnsi="IRNazanin" w:eastAsia="IRNazanin"/>
          <w:color w:val="111111"/>
          <w:sz w:val="28"/>
          <w:sz w:val="28"/>
          <w:szCs w:val="28"/>
          <w:rtl w:val="true"/>
          <w:lang w:bidi="fa-IR"/>
        </w:rPr>
        <w:t xml:space="preserve">، و بروضه </w:t>
      </w:r>
      <w:r>
        <w:rPr>
          <w:rStyle w:val="FootnoteAnchor"/>
          <w:rtl w:val="true"/>
        </w:rPr>
        <w:footnoteReference w:id="3150"/>
      </w:r>
      <w:r>
        <w:rPr>
          <w:rFonts w:ascii="Amiri" w:hAnsi="Amiri" w:eastAsia="Amiri" w:cs="Amiri"/>
          <w:color w:val="111111"/>
          <w:sz w:val="28"/>
          <w:sz w:val="28"/>
          <w:szCs w:val="28"/>
          <w:rtl w:val="true"/>
          <w:lang w:bidi="ar-SA"/>
        </w:rPr>
        <w:t xml:space="preserve">احتمل تبديلها بالحوقلات، ولكن لو أخذ بخبري حكايته فظهورها بحكايته أجمع، و التعليل في رواية أبي بصير </w:t>
      </w:r>
      <w:r>
        <w:rPr>
          <w:rStyle w:val="FootnoteAnchor"/>
          <w:rtl w:val="true"/>
        </w:rPr>
        <w:footnoteReference w:id="3151"/>
      </w:r>
      <w:r>
        <w:rPr>
          <w:rFonts w:ascii="Amiri" w:hAnsi="Amiri" w:eastAsia="Amiri" w:cs="Amiri"/>
          <w:color w:val="111111"/>
          <w:sz w:val="28"/>
          <w:sz w:val="28"/>
          <w:szCs w:val="28"/>
          <w:rtl w:val="true"/>
          <w:lang w:bidi="ar-SA"/>
        </w:rPr>
        <w:t>محمول على التغليب</w:t>
      </w:r>
      <w:r>
        <w:rPr>
          <w:rFonts w:eastAsia="Amiri" w:cs="Amiri" w:ascii="Amiri" w:hAnsi="Amiri"/>
          <w:color w:val="111111"/>
          <w:sz w:val="28"/>
          <w:szCs w:val="28"/>
          <w:rtl w:val="true"/>
          <w:lang w:bidi="ar-SA"/>
        </w:rPr>
        <w:t xml:space="preserve">. </w:t>
      </w:r>
      <w:bookmarkStart w:id="264" w:name="pg9146_86428"/>
    </w:p>
    <w:p>
      <w:pPr>
        <w:pStyle w:val="BookText"/>
        <w:rPr/>
      </w:pPr>
      <w:bookmarkEnd w:id="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آية الكرسي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مطلق حمد الله و شكره و ذكره؛ لأنه حسن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للضّرورة </w:t>
      </w:r>
      <w:r>
        <w:rPr>
          <w:rStyle w:val="FootnoteAnchor"/>
          <w:rtl w:val="true"/>
        </w:rPr>
        <w:footnoteReference w:id="3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تجوّز غيره من حرام و مكروه بشرط أن لا تندفع بغيره مطلقا، فيتعيّن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يستثنى أيضاً الصلاة على النبي صلّی الله علیه و آله و آله علیهم السلام عند سماع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الحمدلة عند العطاس منه، و العطاس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غيره، و هو من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إلى استثنائه بعده، و كرّروه للتوضيح، و للخبر بخصوصه،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النهاية </w:t>
      </w:r>
      <w:r>
        <w:rPr>
          <w:rStyle w:val="FootnoteAnchor"/>
          <w:rtl w:val="true"/>
        </w:rPr>
        <w:footnoteReference w:id="3153"/>
      </w:r>
      <w:r>
        <w:rPr>
          <w:rFonts w:ascii="IRNazanin" w:hAnsi="IRNazanin" w:eastAsia="IRNazanin"/>
          <w:color w:val="111111"/>
          <w:sz w:val="28"/>
          <w:sz w:val="28"/>
          <w:szCs w:val="28"/>
          <w:rtl w:val="true"/>
          <w:lang w:bidi="fa-IR"/>
        </w:rPr>
        <w:t xml:space="preserve">و المنتهى </w:t>
      </w:r>
      <w:r>
        <w:rPr>
          <w:rStyle w:val="FootnoteAnchor"/>
          <w:rtl w:val="true"/>
        </w:rPr>
        <w:footnoteReference w:id="3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باستحباب التّسميت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 المعجمة، و الاختيار للسين 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بندبيّته مطلقاً، فتخصّص أخبار كراهة الكلام، هذا</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3322704_2870459653"/>
      <w:bookmarkStart w:id="266" w:name="_Toc90"/>
      <w:bookmarkEnd w:id="265"/>
      <w:r>
        <w:rPr>
          <w:rtl w:val="true"/>
        </w:rPr>
        <w:t>[</w:t>
      </w:r>
      <w:r>
        <w:rPr>
          <w:rtl w:val="true"/>
        </w:rPr>
        <w:t>وجوب ردّ السّلام على المتخلي</w:t>
      </w:r>
      <w:r>
        <w:rPr>
          <w:rtl w:val="true"/>
        </w:rPr>
        <w:t>]</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وجوب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بالجواز؛ للضرورة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كره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أو منه على غيره؛ للخبر في الأوّل، و لكونه من الكلام في الثاني، إلَّا أن يكون من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كراهة ردّه مع تأدّي الواجب بردّ غيره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الردّ مطلقاً فكالتسميت، و من عموم كراهة الكلام</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المراد بالجواز في حكاية الأذان و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يشبه الحكاية في الندب من قراءة آية الكرسي و مطلق الذِّكر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للأحكام الثلاثة المقابل للكراهة و الحرمة، لا معناه الأخصّ، أعني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و المندوب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 إرادة الأخصّ منه، و قد وقع مقابلاً للكراهة هنا فلم يرد منه ما يعمّها، فالأعمّ بالنسبة إلى الثلاثة للقرينة</w:t>
      </w:r>
      <w:r>
        <w:rPr>
          <w:rFonts w:eastAsia="Amiri" w:cs="Amiri" w:ascii="Amiri" w:hAnsi="Amiri"/>
          <w:color w:val="111111"/>
          <w:sz w:val="28"/>
          <w:szCs w:val="28"/>
          <w:rtl w:val="true"/>
          <w:lang w:bidi="ar-SA"/>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ذكر، أو الوجوب، و الثاني ظاهر 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عبادة، و العبادة لا تقع إلّا راجحة و إن وقعت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مكان خاص أو زمان كذلك، و معنى كراهتها أنّها دون غيرها في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انتفت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صرف النظر عن المعنى الأخصّ و إرادة الأعمّ الخارج فرده للقرينة، فتأمّل</w:t>
      </w:r>
      <w:r>
        <w:rPr>
          <w:rFonts w:eastAsia="Amiri" w:cs="Amiri" w:ascii="Amiri" w:hAnsi="Amiri"/>
          <w:color w:val="111111"/>
          <w:sz w:val="28"/>
          <w:szCs w:val="28"/>
          <w:rtl w:val="true"/>
          <w:lang w:bidi="ar-SA"/>
        </w:rPr>
        <w:t xml:space="preserve">. </w:t>
      </w:r>
      <w:bookmarkStart w:id="267" w:name="pg9146_86430"/>
    </w:p>
    <w:p>
      <w:pPr>
        <w:pStyle w:val="Heading2"/>
        <w:numPr>
          <w:ilvl w:val="1"/>
          <w:numId w:val="1"/>
        </w:numPr>
        <w:rPr/>
      </w:pPr>
      <w:bookmarkStart w:id="268" w:name="__RefHeading___Toc3322706_2870459653"/>
      <w:bookmarkStart w:id="269" w:name="_Toc91"/>
      <w:bookmarkEnd w:id="267"/>
      <w:bookmarkEnd w:id="268"/>
      <w:r>
        <w:rPr>
          <w:rtl w:val="true"/>
        </w:rPr>
        <w:t>(</w:t>
      </w:r>
      <w:r>
        <w:rPr>
          <w:rtl w:val="true"/>
        </w:rPr>
        <w:t>الفصل الثاني في الغسل</w:t>
      </w:r>
      <w:r>
        <w:rPr>
          <w:rtl w:val="true"/>
        </w:rPr>
        <w:t>)</w:t>
      </w:r>
      <w:bookmarkEnd w:id="269"/>
    </w:p>
    <w:p>
      <w:pPr>
        <w:pStyle w:val="Heading2"/>
        <w:numPr>
          <w:ilvl w:val="1"/>
          <w:numId w:val="1"/>
        </w:numPr>
        <w:rPr/>
      </w:pPr>
      <w:bookmarkStart w:id="270" w:name="__RefHeading___Toc3322708_2870459653"/>
      <w:bookmarkStart w:id="271" w:name="_Toc92"/>
      <w:bookmarkEnd w:id="270"/>
      <w:r>
        <w:rPr>
          <w:rtl w:val="true"/>
        </w:rPr>
        <w:t>[</w:t>
      </w:r>
      <w:r>
        <w:rPr>
          <w:rtl w:val="true"/>
        </w:rPr>
        <w:t>موجبات الغسل</w:t>
      </w:r>
      <w:r>
        <w:rPr>
          <w:rtl w:val="true"/>
        </w:rPr>
        <w:t>]</w:t>
      </w:r>
      <w:bookmarkEnd w:id="271"/>
    </w:p>
    <w:p>
      <w:pPr>
        <w:pStyle w:val="BookText"/>
        <w:rPr/>
      </w:pPr>
      <w:r>
        <w:rPr>
          <w:rFonts w:ascii="Amiri" w:hAnsi="Amiri" w:eastAsia="Amiri" w:cs="Amiri"/>
          <w:color w:val="111111"/>
          <w:sz w:val="28"/>
          <w:sz w:val="28"/>
          <w:szCs w:val="28"/>
          <w:rtl w:val="true"/>
          <w:lang w:bidi="ar-SA"/>
        </w:rPr>
        <w:t>بالضمّ أو الفتح، و الأوّل أظهر،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 نفل، و 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Style w:val="FootnoteAnchor"/>
          <w:rtl w:val="true"/>
        </w:rPr>
        <w:footnoteReference w:id="3155"/>
      </w:r>
      <w:r>
        <w:rPr>
          <w:rFonts w:ascii="Amiri" w:hAnsi="Amiri" w:eastAsia="Amiri" w:cs="Amiri"/>
          <w:color w:val="111111"/>
          <w:sz w:val="28"/>
          <w:sz w:val="28"/>
          <w:szCs w:val="28"/>
          <w:rtl w:val="true"/>
          <w:lang w:bidi="ar-SA"/>
        </w:rPr>
        <w:t xml:space="preserve">في غير الخامس و النّص </w:t>
      </w:r>
      <w:r>
        <w:rPr>
          <w:rStyle w:val="FootnoteAnchor"/>
          <w:rtl w:val="true"/>
        </w:rPr>
        <w:footnoteReference w:id="3156"/>
      </w:r>
      <w:r>
        <w:rPr>
          <w:rFonts w:ascii="Amiri" w:hAnsi="Amiri" w:eastAsia="Amiri" w:cs="Amiri"/>
          <w:color w:val="111111"/>
          <w:sz w:val="28"/>
          <w:sz w:val="28"/>
          <w:szCs w:val="28"/>
          <w:rtl w:val="true"/>
          <w:lang w:bidi="ar-SA"/>
        </w:rPr>
        <w:t xml:space="preserve">فيها، و زاد سلّار </w:t>
      </w:r>
      <w:r>
        <w:rPr>
          <w:rStyle w:val="FootnoteAnchor"/>
          <w:rtl w:val="true"/>
        </w:rPr>
        <w:footnoteReference w:id="3157"/>
      </w:r>
      <w:r>
        <w:rPr>
          <w:rFonts w:ascii="Amiri" w:hAnsi="Amiri" w:eastAsia="Amiri" w:cs="Amiri"/>
          <w:color w:val="111111"/>
          <w:sz w:val="28"/>
          <w:sz w:val="28"/>
          <w:szCs w:val="28"/>
          <w:rtl w:val="true"/>
          <w:lang w:bidi="ar-SA"/>
        </w:rPr>
        <w:t xml:space="preserve">غسل التارك لصلاة الكسوف تعمّداً عند احتراق الجرم كلّه سابعاً، و غيره </w:t>
      </w:r>
      <w:r>
        <w:rPr>
          <w:rStyle w:val="FootnoteAnchor"/>
          <w:rtl w:val="true"/>
        </w:rPr>
        <w:footnoteReference w:id="3158"/>
      </w:r>
      <w:r>
        <w:rPr>
          <w:rFonts w:ascii="Amiri" w:hAnsi="Amiri" w:eastAsia="Amiri" w:cs="Amiri"/>
          <w:color w:val="111111"/>
          <w:sz w:val="28"/>
          <w:sz w:val="28"/>
          <w:szCs w:val="28"/>
          <w:rtl w:val="true"/>
          <w:lang w:bidi="ar-SA"/>
        </w:rPr>
        <w:t>غسل الساعي لمصلوب عامداً بعد أقلّ جمع الكثرة من الأيّام ثامناً، و هما مزيّفان بما سيجيء كوجوب غسل الجمعة و الإحرام تاسعاً و عاشراً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غمس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ثقب الكُرسُف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سالَ عنها أم لا؛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لغسل واحد،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 أنّه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و فتحه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الميّت النجس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كونه</w:t>
      </w:r>
      <w:r>
        <w:rPr>
          <w:rFonts w:eastAsia="Amiri" w:cs="Amiri" w:ascii="Amiri" w:hAnsi="Amiri"/>
          <w:color w:val="111111"/>
          <w:sz w:val="28"/>
          <w:szCs w:val="28"/>
          <w:rtl w:val="true"/>
          <w:lang w:bidi="ar-SA"/>
        </w:rPr>
        <w:t xml:space="preserve">] </w:t>
      </w:r>
      <w:r>
        <w:rPr>
          <w:rStyle w:val="FootnoteAnchor"/>
          <w:rtl w:val="true"/>
        </w:rPr>
        <w:footnoteReference w:id="3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الشهيد و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نجاستها الملازم لسقوط الغسل عن الماسّ</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يظهر من خبر تغسيل رسول الله صلّی الله علیه و آله ما يقضي بعدم الملازمة؛ ففيه النّبي صلّی الله علیه و آله طاهر ولكن أمير المؤمنين علیه السلام اغتسل و جَرَت به السنة </w:t>
      </w:r>
      <w:r>
        <w:rPr>
          <w:rStyle w:val="FootnoteAnchor"/>
          <w:rtl w:val="true"/>
        </w:rPr>
        <w:footnoteReference w:id="3160"/>
      </w:r>
      <w:r>
        <w:rPr>
          <w:rFonts w:ascii="IRNazanin" w:hAnsi="IRNazanin" w:eastAsia="IRNazanin"/>
          <w:color w:val="111111"/>
          <w:sz w:val="28"/>
          <w:sz w:val="28"/>
          <w:szCs w:val="28"/>
          <w:rtl w:val="true"/>
          <w:lang w:bidi="fa-IR"/>
        </w:rPr>
        <w:t>، فعساه غير منوط بنجاسة الميّت، بل هو حكمٌ تعبّديّ كنفس تغسيله، بل هو ظاهر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يكون ذلك من الأوصاف المنقصة لعلوّ شأنه فيحرم غسل ما مسّه؛ و يلحق به في الحكم ابنته علیها السلام و ولِدُها المعصومون؛ </w:t>
      </w:r>
    </w:p>
    <w:p>
      <w:pPr>
        <w:pStyle w:val="BookText"/>
        <w:rPr/>
      </w:pPr>
      <w:r>
        <w:rPr>
          <w:rFonts w:ascii="IRNazanin" w:hAnsi="IRNazanin" w:eastAsia="IRNazanin"/>
          <w:color w:val="111111"/>
          <w:sz w:val="28"/>
          <w:sz w:val="28"/>
          <w:szCs w:val="28"/>
          <w:rtl w:val="true"/>
          <w:lang w:bidi="fa-IR"/>
        </w:rPr>
        <w:t>لعدم الفارق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لا ملازمة بين سقوط الغسل و وجوبه في المسّ، و لا بينه و بين طهارة من لا يجب تغسيله؛ فالشهيد و إن لم يجب تغسيله إلَّا أنّ الحكم بطهارته و عدم وجوب الغسل لماسّه محتاج إلى البرهان، فكما أنّ بعض الطاهر يغسل كالنبيّ و المعصوم، فكذا بعض النجس لا يغسل كالشهيد، و سيجيء له مزيد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 غسله الصحيح و إن كان مقدّماً </w:t>
      </w:r>
      <w:r>
        <w:rPr>
          <w:rStyle w:val="FootnoteAnchor"/>
          <w:rtl w:val="true"/>
        </w:rPr>
        <w:footnoteReference w:id="3161"/>
      </w:r>
      <w:r>
        <w:rPr>
          <w:rFonts w:ascii="Amiri" w:hAnsi="Amiri" w:eastAsia="Amiri" w:cs="Amiri"/>
          <w:color w:val="111111"/>
          <w:sz w:val="28"/>
          <w:sz w:val="28"/>
          <w:szCs w:val="28"/>
          <w:rtl w:val="true"/>
          <w:lang w:bidi="ar-SA"/>
        </w:rPr>
        <w:t>على الموت 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و تحنطّ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 ليقتل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في قود أو رَجم اتّفاقاً </w:t>
      </w:r>
      <w:r>
        <w:rPr>
          <w:rStyle w:val="FootnoteAnchor"/>
          <w:rtl w:val="true"/>
        </w:rPr>
        <w:footnoteReference w:id="3162"/>
      </w:r>
      <w:r>
        <w:rPr>
          <w:rFonts w:ascii="Amiri" w:hAnsi="Amiri" w:eastAsia="Amiri" w:cs="Amiri"/>
          <w:color w:val="111111"/>
          <w:sz w:val="28"/>
          <w:sz w:val="28"/>
          <w:szCs w:val="28"/>
          <w:rtl w:val="true"/>
          <w:lang w:bidi="ar-SA"/>
        </w:rPr>
        <w:t xml:space="preserve">فيهما، و مختار جملة في سواهما،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بالسّبب الذي اغتسل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يغسل بعد، فإن مات حتف أنفه أو قتل بسبب آخر لم يكفه ذلك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سقوط غسل المسّ حينئذٍ وجهان، من طهارته فالسقوط، و هو مختار هما </w:t>
      </w:r>
      <w:r>
        <w:rPr>
          <w:rStyle w:val="FootnoteAnchor"/>
          <w:rtl w:val="true"/>
        </w:rPr>
        <w:footnoteReference w:id="3163"/>
      </w:r>
      <w:r>
        <w:rPr>
          <w:rFonts w:ascii="IRNazanin" w:hAnsi="IRNazanin" w:eastAsia="IRNazanin"/>
          <w:color w:val="111111"/>
          <w:sz w:val="28"/>
          <w:sz w:val="28"/>
          <w:szCs w:val="28"/>
          <w:rtl w:val="true"/>
          <w:lang w:bidi="fa-IR"/>
        </w:rPr>
        <w:t xml:space="preserve">بعد الفاضل </w:t>
      </w:r>
      <w:r>
        <w:rPr>
          <w:rStyle w:val="FootnoteAnchor"/>
          <w:rtl w:val="true"/>
        </w:rPr>
        <w:footnoteReference w:id="3164"/>
      </w:r>
      <w:r>
        <w:rPr>
          <w:rFonts w:ascii="IRNazanin" w:hAnsi="IRNazanin" w:eastAsia="IRNazanin"/>
          <w:color w:val="111111"/>
          <w:sz w:val="28"/>
          <w:sz w:val="28"/>
          <w:szCs w:val="28"/>
          <w:rtl w:val="true"/>
          <w:lang w:bidi="fa-IR"/>
        </w:rPr>
        <w:t xml:space="preserve">و مستقرب المحقّق </w:t>
      </w:r>
      <w:r>
        <w:rPr>
          <w:rStyle w:val="FootnoteAnchor"/>
          <w:rtl w:val="true"/>
        </w:rPr>
        <w:footnoteReference w:id="3165"/>
      </w:r>
      <w:r>
        <w:rPr>
          <w:rFonts w:ascii="Amiri" w:hAnsi="Amiri" w:eastAsia="Amiri" w:cs="Amiri"/>
          <w:color w:val="111111"/>
          <w:sz w:val="28"/>
          <w:sz w:val="28"/>
          <w:szCs w:val="28"/>
          <w:rtl w:val="true"/>
          <w:lang w:bidi="ar-SA"/>
        </w:rPr>
        <w:t xml:space="preserve">بعد التردد، و من عدمه و إن سقط تغسيله، و به جزم الحلّي </w:t>
      </w:r>
      <w:r>
        <w:rPr>
          <w:rStyle w:val="FootnoteAnchor"/>
          <w:rtl w:val="true"/>
        </w:rPr>
        <w:footnoteReference w:id="3166"/>
      </w:r>
      <w:r>
        <w:rPr>
          <w:rFonts w:ascii="Amiri" w:hAnsi="Amiri" w:eastAsia="Amiri" w:cs="Amiri"/>
          <w:color w:val="111111"/>
          <w:sz w:val="28"/>
          <w:sz w:val="28"/>
          <w:szCs w:val="28"/>
          <w:rtl w:val="true"/>
          <w:lang w:bidi="ar-SA"/>
        </w:rPr>
        <w:t>، و لعلّه أوفق؛ لأنّ الطهارة لا يدور مدارها، بل المحقّق في سقوطه أن يكون بعد التغسيل الذي هو بعد الموت لا مطلقاً، و غيره مشكوك فيه، فيلحقه حكم الماس لميت قبل تغسيله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استفيد من النصوص سقوطه بعد الغسل مطلقاً اتّجه الآخر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بالآدمي غيره من الميتات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 إن كانت نجسة إلَّا أنّ مسّها لا يوجب غسلاً، بل هي كغيرها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ينجس ملاقيها مع الرطوبة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272" w:name="pg9146_86432"/>
    </w:p>
    <w:p>
      <w:pPr>
        <w:pStyle w:val="BookText"/>
        <w:rPr/>
      </w:pPr>
      <w:bookmarkEnd w:id="272"/>
      <w:r>
        <w:rPr>
          <w:rFonts w:ascii="Amiri" w:hAnsi="Amiri" w:eastAsia="Amiri" w:cs="Amiri"/>
          <w:color w:val="111111"/>
          <w:sz w:val="28"/>
          <w:sz w:val="28"/>
          <w:szCs w:val="28"/>
          <w:rtl w:val="true"/>
          <w:lang w:bidi="ar-SA"/>
        </w:rPr>
        <w:t>أصحّ القولين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ما مسّها و إن لم يكن برطوبة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سلف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إيجابه للغُسل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أوجب تقدّم الغسل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للغسل من 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المؤمن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الطفل و المجنون المحكوم عليهما بحكم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الشهيد</w:t>
      </w:r>
      <w:r>
        <w:rPr>
          <w:rFonts w:eastAsia="Amiri" w:cs="Amiri" w:ascii="Amiri" w:hAnsi="Amiri"/>
          <w:color w:val="111111"/>
          <w:sz w:val="28"/>
          <w:szCs w:val="28"/>
          <w:rtl w:val="true"/>
          <w:lang w:bidi="ar-SA"/>
        </w:rPr>
        <w:t xml:space="preserve">) </w:t>
      </w:r>
      <w:r>
        <w:rPr>
          <w:rStyle w:val="FootnoteAnchor"/>
          <w:rtl w:val="true"/>
        </w:rPr>
        <w:footnoteReference w:id="3167"/>
      </w:r>
      <w:r>
        <w:rPr>
          <w:rFonts w:ascii="Amiri" w:hAnsi="Amiri" w:eastAsia="Amiri" w:cs="Amiri"/>
          <w:color w:val="111111"/>
          <w:sz w:val="28"/>
          <w:sz w:val="28"/>
          <w:szCs w:val="28"/>
          <w:rtl w:val="true"/>
          <w:lang w:bidi="ar-SA"/>
        </w:rPr>
        <w:t xml:space="preserve">، إمّا حال من المسلم و ما عطف عليه، أو استثناء، أو صفة لا بأس في تنكيرها؛ لأنّ لام المسلم للعهد فهو بمنزلة المنكر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عليها فتفيد الغيريّة استثناء من أحرز الشهادة، فهذه ستّة</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3322710_2870459653"/>
      <w:bookmarkStart w:id="274" w:name="_Toc93"/>
      <w:bookmarkEnd w:id="273"/>
      <w:r>
        <w:rPr>
          <w:rtl w:val="true"/>
        </w:rPr>
        <w:t>[</w:t>
      </w:r>
      <w:r>
        <w:rPr>
          <w:rtl w:val="true"/>
        </w:rPr>
        <w:t>موجبات الجنابة</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به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يقظةً و 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الموضع المعتاد أم من غيره، قارنَ الفتور و أخويه </w:t>
      </w:r>
      <w:r>
        <w:rPr>
          <w:rStyle w:val="FootnoteAnchor"/>
          <w:rtl w:val="true"/>
        </w:rPr>
        <w:footnoteReference w:id="3168"/>
      </w:r>
      <w:r>
        <w:rPr>
          <w:rFonts w:ascii="Amiri" w:hAnsi="Amiri" w:eastAsia="Amiri" w:cs="Amiri"/>
          <w:color w:val="111111"/>
          <w:sz w:val="28"/>
          <w:sz w:val="28"/>
          <w:szCs w:val="28"/>
          <w:rtl w:val="true"/>
          <w:lang w:bidi="ar-SA"/>
        </w:rPr>
        <w:t>أو لا، من الرّجل أو المرأة أو المشتبه على الأصحّ و المشهور و المروي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المقنع </w:t>
      </w:r>
      <w:r>
        <w:rPr>
          <w:rStyle w:val="FootnoteAnchor"/>
          <w:rtl w:val="true"/>
        </w:rPr>
        <w:footnoteReference w:id="3169"/>
      </w:r>
      <w:r>
        <w:rPr>
          <w:rFonts w:ascii="Amiri" w:hAnsi="Amiri" w:eastAsia="Amiri" w:cs="Amiri"/>
          <w:color w:val="111111"/>
          <w:sz w:val="28"/>
          <w:sz w:val="28"/>
          <w:szCs w:val="28"/>
          <w:rtl w:val="true"/>
          <w:lang w:bidi="ar-SA"/>
        </w:rPr>
        <w:t xml:space="preserve">الخلاف في خصوص المرأة إذا أنزَلَت، و هو خلاف الصّواب إن أراد ما يعمّ المنيّ المقطوع به، و إن أراد به المشتبه أو المذّي فكذلك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بعض النّصوص ما يقضي بقول الصّدوق </w:t>
      </w:r>
      <w:r>
        <w:rPr>
          <w:rStyle w:val="FootnoteAnchor"/>
          <w:rtl w:val="true"/>
        </w:rPr>
        <w:footnoteReference w:id="3170"/>
      </w:r>
      <w:r>
        <w:rPr>
          <w:rFonts w:ascii="Amiri" w:hAnsi="Amiri" w:eastAsia="Amiri" w:cs="Amiri"/>
          <w:color w:val="111111"/>
          <w:sz w:val="28"/>
          <w:sz w:val="28"/>
          <w:szCs w:val="28"/>
          <w:rtl w:val="true"/>
          <w:lang w:bidi="ar-SA"/>
        </w:rPr>
        <w:t xml:space="preserve">ظاهراً، نحو صحيحة ابن يزيد </w:t>
      </w:r>
      <w:r>
        <w:rPr>
          <w:rStyle w:val="FootnoteAnchor"/>
          <w:rtl w:val="true"/>
        </w:rPr>
        <w:footnoteReference w:id="3171"/>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3172"/>
      </w:r>
      <w:r>
        <w:rPr>
          <w:rFonts w:ascii="Amiri" w:hAnsi="Amiri" w:eastAsia="Amiri" w:cs="Amiri"/>
          <w:color w:val="111111"/>
          <w:sz w:val="28"/>
          <w:sz w:val="28"/>
          <w:szCs w:val="28"/>
          <w:rtl w:val="true"/>
          <w:lang w:bidi="ar-SA"/>
        </w:rPr>
        <w:t xml:space="preserve">، فلا بدّ من أن تؤوّل أو تُطرَح؛ لمخالفتها للصّحاح المعمول بها كصحيحة و </w:t>
      </w:r>
      <w:r>
        <w:rPr>
          <w:rStyle w:val="FootnoteAnchor"/>
          <w:rtl w:val="true"/>
        </w:rPr>
        <w:footnoteReference w:id="3173"/>
      </w:r>
      <w:r>
        <w:rPr>
          <w:rFonts w:ascii="IRNazanin" w:hAnsi="IRNazanin" w:eastAsia="IRNazanin"/>
          <w:color w:val="111111"/>
          <w:sz w:val="28"/>
          <w:sz w:val="28"/>
          <w:szCs w:val="28"/>
          <w:rtl w:val="true"/>
          <w:lang w:bidi="fa-IR"/>
        </w:rPr>
        <w:t xml:space="preserve">ابن سنان </w:t>
      </w:r>
      <w:r>
        <w:rPr>
          <w:rStyle w:val="FootnoteAnchor"/>
          <w:rtl w:val="true"/>
        </w:rPr>
        <w:footnoteReference w:id="3174"/>
      </w:r>
      <w:r>
        <w:rPr>
          <w:rFonts w:ascii="Amiri" w:hAnsi="Amiri" w:eastAsia="Amiri" w:cs="Amiri"/>
          <w:color w:val="111111"/>
          <w:sz w:val="28"/>
          <w:sz w:val="28"/>
          <w:szCs w:val="28"/>
          <w:rtl w:val="true"/>
          <w:lang w:bidi="ar-SA"/>
        </w:rPr>
        <w:t xml:space="preserve">و محمّد بن إسماعيل </w:t>
      </w:r>
      <w:r>
        <w:rPr>
          <w:rStyle w:val="FootnoteAnchor"/>
          <w:rtl w:val="true"/>
        </w:rPr>
        <w:footnoteReference w:id="3175"/>
      </w:r>
      <w:r>
        <w:rPr>
          <w:rFonts w:ascii="Amiri" w:hAnsi="Amiri" w:eastAsia="Amiri" w:cs="Amiri"/>
          <w:color w:val="111111"/>
          <w:sz w:val="28"/>
          <w:sz w:val="28"/>
          <w:szCs w:val="28"/>
          <w:rtl w:val="true"/>
          <w:lang w:bidi="ar-SA"/>
        </w:rPr>
        <w:t>عن السادس و الثامن، فهو في المقطوع به منه مقطوع به مقطوع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المشكوك به المشتبه منه تعتبر المقارنة للفتور و الشهوة و الدّفق، فيحكم به معها في القول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بعضهم </w:t>
      </w:r>
      <w:r>
        <w:rPr>
          <w:rStyle w:val="FootnoteAnchor"/>
          <w:rtl w:val="true"/>
        </w:rPr>
        <w:footnoteReference w:id="3176"/>
      </w:r>
      <w:r>
        <w:rPr>
          <w:rFonts w:ascii="Amiri" w:hAnsi="Amiri" w:eastAsia="Amiri" w:cs="Amiri"/>
          <w:color w:val="111111"/>
          <w:sz w:val="28"/>
          <w:sz w:val="28"/>
          <w:szCs w:val="28"/>
          <w:rtl w:val="true"/>
          <w:lang w:bidi="ar-SA"/>
        </w:rPr>
        <w:t xml:space="preserve">الرائحة كرائحة الطلع أو العجين رطباً، أو بياض البيض جافّاً، معها، فاعتبر الأربعة، و يظهر من المحقّق الثاني </w:t>
      </w:r>
      <w:r>
        <w:rPr>
          <w:rStyle w:val="FootnoteAnchor"/>
          <w:rtl w:val="true"/>
        </w:rPr>
        <w:footnoteReference w:id="3177"/>
      </w:r>
      <w:r>
        <w:rPr>
          <w:rFonts w:ascii="IRNazanin" w:hAnsi="IRNazanin" w:eastAsia="IRNazanin"/>
          <w:color w:val="111111"/>
          <w:sz w:val="28"/>
          <w:sz w:val="28"/>
          <w:szCs w:val="28"/>
          <w:rtl w:val="true"/>
          <w:lang w:bidi="fa-IR"/>
        </w:rPr>
        <w:t xml:space="preserve">و روض الشارح </w:t>
      </w:r>
      <w:r>
        <w:rPr>
          <w:rStyle w:val="FootnoteAnchor"/>
          <w:rtl w:val="true"/>
        </w:rPr>
        <w:footnoteReference w:id="3178"/>
      </w:r>
      <w:r>
        <w:rPr>
          <w:rFonts w:ascii="Amiri" w:hAnsi="Amiri" w:eastAsia="Amiri" w:cs="Amiri"/>
          <w:color w:val="111111"/>
          <w:sz w:val="28"/>
          <w:sz w:val="28"/>
          <w:szCs w:val="28"/>
          <w:rtl w:val="true"/>
          <w:lang w:bidi="ar-SA"/>
        </w:rPr>
        <w:t xml:space="preserve">كفاية الأخير، و من النهاية </w:t>
      </w:r>
      <w:r>
        <w:rPr>
          <w:rStyle w:val="FootnoteAnchor"/>
          <w:rtl w:val="true"/>
        </w:rPr>
        <w:footnoteReference w:id="3179"/>
      </w:r>
      <w:r>
        <w:rPr>
          <w:rFonts w:ascii="Amiri" w:hAnsi="Amiri" w:eastAsia="Amiri" w:cs="Amiri"/>
          <w:color w:val="111111"/>
          <w:sz w:val="28"/>
          <w:sz w:val="28"/>
          <w:szCs w:val="28"/>
          <w:rtl w:val="true"/>
          <w:lang w:bidi="ar-SA"/>
        </w:rPr>
        <w:t xml:space="preserve">كفاية الثالث فحسب، و من القواعد </w:t>
      </w:r>
      <w:r>
        <w:rPr>
          <w:rStyle w:val="FootnoteAnchor"/>
          <w:rtl w:val="true"/>
        </w:rPr>
        <w:footnoteReference w:id="3180"/>
      </w:r>
      <w:r>
        <w:rPr>
          <w:rFonts w:ascii="Amiri" w:hAnsi="Amiri" w:eastAsia="Amiri" w:cs="Amiri"/>
          <w:color w:val="111111"/>
          <w:sz w:val="28"/>
          <w:sz w:val="28"/>
          <w:szCs w:val="28"/>
          <w:rtl w:val="true"/>
          <w:lang w:bidi="ar-SA"/>
        </w:rPr>
        <w:t xml:space="preserve">الاكتفاء بالثاني و الثالث فقط، و من النافع </w:t>
      </w:r>
      <w:r>
        <w:rPr>
          <w:rStyle w:val="FootnoteAnchor"/>
          <w:rtl w:val="true"/>
        </w:rPr>
        <w:footnoteReference w:id="3181"/>
      </w:r>
      <w:r>
        <w:rPr>
          <w:rFonts w:ascii="Amiri" w:hAnsi="Amiri" w:eastAsia="Amiri" w:cs="Amiri"/>
          <w:color w:val="111111"/>
          <w:sz w:val="28"/>
          <w:sz w:val="28"/>
          <w:szCs w:val="28"/>
          <w:rtl w:val="true"/>
          <w:lang w:bidi="ar-SA"/>
        </w:rPr>
        <w:t xml:space="preserve">كفاية الأوّل و الثالث، و من الشارح في المسالك </w:t>
      </w:r>
      <w:r>
        <w:rPr>
          <w:rStyle w:val="FootnoteAnchor"/>
          <w:rtl w:val="true"/>
        </w:rPr>
        <w:footnoteReference w:id="3182"/>
      </w:r>
      <w:r>
        <w:rPr>
          <w:rFonts w:ascii="Amiri" w:hAnsi="Amiri" w:eastAsia="Amiri" w:cs="Amiri"/>
          <w:color w:val="111111"/>
          <w:sz w:val="28"/>
          <w:sz w:val="28"/>
          <w:szCs w:val="28"/>
          <w:rtl w:val="true"/>
          <w:lang w:bidi="ar-SA"/>
        </w:rPr>
        <w:t>كفاية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الحكم هنا على خلاف الأصل لا جرم بأن نقتصر فيه على القدر المتيقّن، و هو اجتماع الثلاثة فيما شك في كونه منيّاً، فنبني الحكم عليه و يكون مخصّصاً لقاعدة عدم نقض يقين الطّهارة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أنّ معتبر الثلاثة أو الأربعة يقول بكفاية الرائحة في المنيّ المشكوك به على الثوب مع جهل الإنزال، بأن وجد في ثوبه شيئاً شك فيه أنّه ماء أو بول أو منيّ و لم يذكر </w:t>
      </w:r>
    </w:p>
    <w:p>
      <w:pPr>
        <w:pStyle w:val="BookText"/>
        <w:rPr/>
      </w:pPr>
      <w:r>
        <w:rPr>
          <w:rFonts w:ascii="Amiri" w:hAnsi="Amiri" w:eastAsia="Amiri" w:cs="Amiri"/>
          <w:color w:val="111111"/>
          <w:sz w:val="28"/>
          <w:sz w:val="28"/>
          <w:szCs w:val="28"/>
          <w:rtl w:val="true"/>
          <w:lang w:bidi="ar-SA"/>
        </w:rPr>
        <w:t>الإنزال حتّى يراعي بقيّة الأوصاف، أو ابتاعَ ثوباً رأى فيه ذلك، و في الخارج ممّن شكّ في بلوغه بحيث لا يميّز الثلاثة؛ فإذا اكتفى بالرائحة فقط في المقامين و حكم به و وجب غسل الثوب منه الذي يختلف غسله لو كان ما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اغتسال الصّبي الشاك في بلوغه للرائحة، فهم من ذلك أنّها من لوازم وجود المنيّ يدور معها الحكم وجوداً و عدماً، فينبغي أن تكون هي المرجع عند الشكّ فقط، مع أنّ معظمهم لا يعتبرها في المقام؛ فهم بين من جعلها رابع العَلامات و بين من ألغاها أصلاً، فإمّا أن يخصّص كلامهم هنا في من وجد الثلاث من نفسه حين الإنزال لكنّه فقد عين النازل منه، أو يقضى ببطلان قولهم هناك بالاكتفاء بالرائحة فيهما، أو يكتفى بأحد الأمرين تخييراً أو ترتيباً فيلحق الحكم الثلاث مع وجود الرائحة و عدمه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منشأ الخلاف أنّ كُلاً يرى ملازمة ما جعله عَلامَة للمنيّ وجوداً و عدماً فيؤول الأمر إلى وجوب اختبار تلك العلائم بالنسبة إلى المكلّفين؛ فممّن قطع بملازمة بعضها للمني لحقه حكمه في الغَسل و الغُسل؛ و مَن جزم بعدم الملازمة إلَّا باجتماع الجميع انتفى عنه الوجوب لو وجد البعض، و من يرى أنّ الجميع علامة غالبيّة رجع إلى قطعه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يظهر من غير واحد </w:t>
      </w:r>
      <w:r>
        <w:rPr>
          <w:rStyle w:val="FootnoteAnchor"/>
          <w:rtl w:val="true"/>
        </w:rPr>
        <w:footnoteReference w:id="3183"/>
      </w:r>
      <w:r>
        <w:rPr>
          <w:rFonts w:ascii="Amiri" w:hAnsi="Amiri" w:eastAsia="Amiri" w:cs="Amiri"/>
          <w:color w:val="111111"/>
          <w:sz w:val="28"/>
          <w:sz w:val="28"/>
          <w:szCs w:val="28"/>
          <w:rtl w:val="true"/>
          <w:lang w:bidi="ar-SA"/>
        </w:rPr>
        <w:t>اعتبار الثلاثة عند الاشتباه و إن لم يفد اليقين بكون الخارج منيّاً؛ و لعلّه للصحيح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يلعب مع المرأة و يُقبّلها و يخرج المنيّ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الشهوة و دفع و فتر لخروجه فعليه الغُسل، و إن كان إنّما هو شيء لم يجد له فترة و لا شهوة فلا بأس</w:t>
      </w:r>
      <w:r>
        <w:rPr>
          <w:rFonts w:eastAsia="Amiri" w:cs="Amiri" w:ascii="Amiri" w:hAnsi="Amiri"/>
          <w:color w:val="111111"/>
          <w:sz w:val="28"/>
          <w:szCs w:val="28"/>
          <w:rtl w:val="true"/>
          <w:lang w:bidi="ar-SA"/>
        </w:rPr>
        <w:t xml:space="preserve">» </w:t>
      </w:r>
      <w:r>
        <w:rPr>
          <w:rStyle w:val="FootnoteAnchor"/>
          <w:rtl w:val="true"/>
        </w:rPr>
        <w:footnoteReference w:id="3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اعتبار الثلاث و الاكتفاء بها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يقدح فيها ظهورها في اشتراط الثلاث مع كون الخارج منيّاً الذي لا يقوله أحد، و لا تخيّل معارضة صدرها الظاهر في عدم الجنابة لو فقد أحد الثلاث؛ لذيلها القاضي بنفي الجنابة بنفي الفترة و الشهوة و إن تحقّق الدّفق، و ثبوتها بحصول أحدهما بالمفهوم لإبدال المَنيّ </w:t>
      </w:r>
    </w:p>
    <w:p>
      <w:pPr>
        <w:pStyle w:val="BookText"/>
        <w:rPr/>
      </w:pPr>
      <w:r>
        <w:rPr>
          <w:rFonts w:ascii="Amiri" w:hAnsi="Amiri" w:eastAsia="Amiri" w:cs="Amiri"/>
          <w:color w:val="111111"/>
          <w:sz w:val="28"/>
          <w:sz w:val="28"/>
          <w:szCs w:val="28"/>
          <w:rtl w:val="true"/>
          <w:lang w:bidi="ar-SA"/>
        </w:rPr>
        <w:t xml:space="preserve">بالشيء في بعض النسخ </w:t>
      </w:r>
      <w:r>
        <w:rPr>
          <w:rStyle w:val="FootnoteAnchor"/>
          <w:rtl w:val="true"/>
        </w:rPr>
        <w:footnoteReference w:id="3185"/>
      </w:r>
      <w:r>
        <w:rPr>
          <w:rFonts w:ascii="Amiri" w:hAnsi="Amiri" w:eastAsia="Amiri" w:cs="Amiri"/>
          <w:color w:val="111111"/>
          <w:sz w:val="28"/>
          <w:sz w:val="28"/>
          <w:szCs w:val="28"/>
          <w:rtl w:val="true"/>
          <w:lang w:bidi="ar-SA"/>
        </w:rPr>
        <w:t>، أو لظنّ خروج المَنيّ بقرينة الملاعبة التي لا تفيد القطع فجاء الجواب مفصّلاً، و لتلازم الفترة و الشهوة فهو من عطف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فبانتفاء أحدهما ينتفي الآخر، و لذلك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خمسة؛ لجهة التلازم </w:t>
      </w:r>
      <w:r>
        <w:rPr>
          <w:rStyle w:val="FootnoteAnchor"/>
          <w:rtl w:val="true"/>
        </w:rPr>
        <w:footnoteReference w:id="3186"/>
      </w:r>
      <w:r>
        <w:rPr>
          <w:rFonts w:ascii="Amiri" w:hAnsi="Amiri" w:eastAsia="Amiri" w:cs="Amiri"/>
          <w:color w:val="111111"/>
          <w:sz w:val="28"/>
          <w:sz w:val="28"/>
          <w:szCs w:val="28"/>
          <w:rtl w:val="true"/>
          <w:lang w:bidi="ar-SA"/>
        </w:rPr>
        <w:t xml:space="preserve">، فيعلم بهذا أنّ الشرط الثاني بعض ما يقتضيه الأوّل لا أنّه شرط مستقلّ، فالأقوى اعتبار الثلاثة في الحكم بالغَسل و الغُسل، و لو انتفى أحدها يرجع إلى الأصل أو الرائحة مع فقدها و عدمه؛ لعدم الخلاف في الاكتفاء بها كما في جامع المقاصد </w:t>
      </w:r>
      <w:r>
        <w:rPr>
          <w:rStyle w:val="FootnoteAnchor"/>
          <w:rtl w:val="true"/>
        </w:rPr>
        <w:footnoteReference w:id="3187"/>
      </w:r>
      <w:r>
        <w:rPr>
          <w:rFonts w:ascii="Amiri" w:hAnsi="Amiri" w:eastAsia="Amiri" w:cs="Amiri"/>
          <w:color w:val="111111"/>
          <w:sz w:val="28"/>
          <w:sz w:val="28"/>
          <w:szCs w:val="28"/>
          <w:rtl w:val="true"/>
          <w:lang w:bidi="ar-SA"/>
        </w:rPr>
        <w:t>لأنها علامة معيّنة للمني دون غيرها لو انفرد، لكن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اعتبار الوصف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الأخبار، فيقوى الظنّ بعدم مدخليّته؛ لضعف القول به منضّماً و منفرداً </w:t>
      </w:r>
      <w:r>
        <w:rPr>
          <w:rStyle w:val="FootnoteAnchor"/>
          <w:rtl w:val="true"/>
        </w:rPr>
        <w:footnoteReference w:id="318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استغرب ما نقلناه عن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خلافه مستظهر من جملة مسائل حكم بها الأصحاب و إن لم ينبّهوا عليه بخصوصه، فقد ذكروا أنّ من وجد في ثوبه أو بدنه منيّاً وجب الغَسل و الغُسل إذا لم يشاركه فيه أحد، و لم يذكر الاحتلام كما في المبسوط </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رأى المَنيّ على جسده أو ثوبه وجب الغسل إجماعاً؛ لأنه منه و إن لم يذكر الاحتلام </w:t>
      </w:r>
      <w:r>
        <w:rPr>
          <w:rStyle w:val="FootnoteAnchor"/>
          <w:rtl w:val="true"/>
        </w:rPr>
        <w:footnoteReference w:id="3190"/>
      </w:r>
      <w:r>
        <w:rPr>
          <w:rFonts w:ascii="Amiri" w:hAnsi="Amiri" w:eastAsia="Amiri" w:cs="Amiri"/>
          <w:color w:val="111111"/>
          <w:sz w:val="28"/>
          <w:sz w:val="28"/>
          <w:szCs w:val="28"/>
          <w:rtl w:val="true"/>
          <w:lang w:bidi="ar-SA"/>
        </w:rPr>
        <w:t xml:space="preserve">، و هو نصّ موثقتي سماعة </w:t>
      </w:r>
      <w:r>
        <w:rPr>
          <w:rStyle w:val="FootnoteAnchor"/>
          <w:rtl w:val="true"/>
        </w:rPr>
        <w:footnoteReference w:id="3191"/>
      </w:r>
      <w:r>
        <w:rPr>
          <w:rFonts w:ascii="Amiri" w:hAnsi="Amiri" w:eastAsia="Amiri" w:cs="Amiri"/>
          <w:color w:val="111111"/>
          <w:sz w:val="28"/>
          <w:sz w:val="28"/>
          <w:szCs w:val="28"/>
          <w:rtl w:val="true"/>
          <w:lang w:bidi="ar-SA"/>
        </w:rPr>
        <w:t>، فإنّ وجدان المَنيّ و رؤيته و الحكم به مع الجهل بالاحتلام مقصور على استفادته من الرائحة أو اللّون، و الثاني لا يفيد قطعاً؛ لاشتراكه مع غيره، فتعيّن الأوّل و عادت الرائحة من العلائم اللّازمة التي يتميّز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هنا بالمني لجهة القطع به الحاصل من أيّ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كان لا من جهة الرائحة المعيّنة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استفدنا من خارج انحصار سبب العلم بكونه منيّاً بالرائحة تحقّق أنّ الرائحة كذلك مفيدة للعلم العادي به، و هو المطلوب، فكأنَّ كون الشيء الذي له رائحة الطلع و العجين و البيض هو المَنيّ أمرٌ مفروغ منه؛ للسبر </w:t>
      </w:r>
      <w:r>
        <w:rPr>
          <w:rStyle w:val="FootnoteAnchor"/>
          <w:rtl w:val="true"/>
        </w:rPr>
        <w:footnoteReference w:id="3192"/>
      </w:r>
      <w:r>
        <w:rPr>
          <w:rFonts w:ascii="Amiri" w:hAnsi="Amiri" w:eastAsia="Amiri" w:cs="Amiri"/>
          <w:color w:val="111111"/>
          <w:sz w:val="28"/>
          <w:sz w:val="28"/>
          <w:szCs w:val="28"/>
          <w:rtl w:val="true"/>
          <w:lang w:bidi="ar-SA"/>
        </w:rPr>
        <w:t>بأنّ ما له هذه الرائحة من المائع ليس إلَّا المنيّ، و حينئذٍ هي و الثلاث عَلامات أيُّها حصل كفى في الحكم بكون الشيء مَنيّا، بل هي أقوى منها، فلا معنى للتعجّب، و عليٌّ مع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غيبوبة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قُبُل المرأة و إن لم يكن في المحلّ المعتاد بالإجماع، و هو المعبّر عنه بالتقاء الختانين بالنصّ الصحيح، و في صحيحة 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لا بدَّ من التجوّز في الختان إنْ أُريد به ما يمسّه الذَّكَر عند دخوله؛ لأَنّ مَدْخَل الذكر أسفل منه و بينهما ثقبة البول، أو في الالتقاء إنْ أُريد به التحاذي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فظهر أنّ مجرّد الالتقاء من دون إدخال لا يقضي بوجوب الغسل، و أنّ الأخبار المتضمّنة للالتقاء كلّها كناية عن الإدخال المستلزم له؛ لتفسير الإمام علیه السلام له بذلك، فلا يحكم بالجنابة إلَّا بعد إدخال الحشفة كلّاً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في حكمها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يصدق عليه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كقدرها من مقطوعها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تكوّنها، أو فاقدها بأصل الخلقة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ابتناء الجنابة على غيبوبتها فللنصّ كما عرفت، و أمّا ابتناؤها على مقدارها لو فقدت دون تمام الباقي أو المسمّى منه فللدليل؛ إذ بعد فرض كون نصوص الالتقاء كناية عن الإدخال، و نصوص الإدخال مقصورة على دخول الحشفة، فيدور الأمر بين الحكم بعدم الجنابة عند فَقْد الحشفة لتعلّق الحكم عليها، و لم يزعمه أحد، و بين الأخذ بإطلاق الالتقاء أو الإدخال في غير واجد الحشفة، و هو باطل أيضاً؛ لعدم الدّليل عليه، بل هو تصرّف غير </w:t>
      </w:r>
    </w:p>
    <w:p>
      <w:pPr>
        <w:pStyle w:val="BookText"/>
        <w:rPr/>
      </w:pPr>
      <w:r>
        <w:rPr>
          <w:rFonts w:ascii="Amiri" w:hAnsi="Amiri" w:eastAsia="Amiri" w:cs="Amiri"/>
          <w:color w:val="111111"/>
          <w:sz w:val="28"/>
          <w:sz w:val="28"/>
          <w:szCs w:val="28"/>
          <w:rtl w:val="true"/>
          <w:lang w:bidi="ar-SA"/>
        </w:rPr>
        <w:t>مرضيّ، و لم لا يجري ذلك فيهما فيلغى اعتبار دخول الحشفة فيتعيّن اعتبار قدر الحشفة؛ حملاً له على الصحيح الظاهر في أنّ حصول الجنابة يكفي فيه غيبوبة هذا المقدار من الذكر و إن بقي منه ذلك المقدار، و أنّ الحشفة في الخبر لتحديد ما يحصل به الجنابة الموجبة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مقطوع الحشفة حشفته قبل القطع كمّاً و كيفاً، و يكفيه الظّن، و يعمل بالأصل في الشك، و يرجع فاقدها لمستوي الخلقة فيها، و لو بقي من الذكر أقل منها لا جنابة في الغيبوبة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تتحقّق إلَّا بالإدخال بشرطه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أو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مشهوراً سواء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 اللّحم و غيره، و سواء كان الواطئ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العكس بأن كان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توسّعاً في حمل الفاعل على الميّت بالتغليب أو التشبيه، فيشمل تعميمه الإيلاج في دُبر المرأة و دُبر الذكر و الخُنثى، و قُبُل الحيوان مطلقاً و دُبره قبل الموت و بعده في الجميع، و استدخال آلة الميّت مطلقاً في القُبل و الدُّبر مطلقاً، و حصول الجنابة للوالج أو المولوج فيه مطلقاً؛ إذ لو حملنا إطلاقه على حصولها للمكلّف فقط انتقض علينا بالصّبي و المجنون المحكوم بجنابتهما في الأصحّ عندهما، و التفكيك منافٍ لتعميمه، و هو على عمومه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المتّبع و الأصحّ الأقوى تحقّق الجنابة و وجوب الغسل بالإدخال في دبر الأُنثى و الذكر و الخُنثى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تحقّقها في غيرها من دون إنزال مطلقاً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على الأوّل الإجماع </w:t>
      </w:r>
      <w:r>
        <w:rPr>
          <w:rStyle w:val="FootnoteAnchor"/>
          <w:rtl w:val="true"/>
        </w:rPr>
        <w:footnoteReference w:id="3194"/>
      </w:r>
      <w:r>
        <w:rPr>
          <w:rFonts w:ascii="IRNazanin" w:hAnsi="IRNazanin" w:eastAsia="IRNazanin"/>
          <w:color w:val="111111"/>
          <w:sz w:val="28"/>
          <w:sz w:val="28"/>
          <w:szCs w:val="28"/>
          <w:rtl w:val="true"/>
          <w:lang w:bidi="fa-IR"/>
        </w:rPr>
        <w:t>بسيطاً أو مركباً، و صدق اسم الفرج،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المأتيين، فيه الغُسل</w:t>
      </w:r>
      <w:r>
        <w:rPr>
          <w:rFonts w:eastAsia="IRNazanin" w:cs="IRNazanin"/>
          <w:color w:val="111111"/>
          <w:sz w:val="28"/>
          <w:szCs w:val="28"/>
          <w:rtl w:val="true"/>
          <w:lang w:bidi="fa-IR"/>
        </w:rPr>
        <w:t xml:space="preserve">» </w:t>
      </w:r>
      <w:r>
        <w:rPr>
          <w:rStyle w:val="FootnoteAnchor"/>
          <w:rtl w:val="true"/>
        </w:rPr>
        <w:footnoteReference w:id="3195"/>
      </w:r>
      <w:r>
        <w:rPr>
          <w:rFonts w:ascii="Amiri" w:hAnsi="Amiri" w:eastAsia="Amiri" w:cs="Amiri"/>
          <w:color w:val="111111"/>
          <w:sz w:val="28"/>
          <w:sz w:val="28"/>
          <w:szCs w:val="28"/>
          <w:rtl w:val="true"/>
          <w:lang w:bidi="ar-SA"/>
        </w:rPr>
        <w:t xml:space="preserve">، فتحكم على الأصل، و على ظاهر مرفوعة البرقي </w:t>
      </w:r>
      <w:r>
        <w:rPr>
          <w:rStyle w:val="FootnoteAnchor"/>
          <w:rtl w:val="true"/>
        </w:rPr>
        <w:footnoteReference w:id="3196"/>
      </w:r>
      <w:r>
        <w:rPr>
          <w:rFonts w:ascii="Amiri" w:hAnsi="Amiri" w:eastAsia="Amiri" w:cs="Amiri"/>
          <w:color w:val="111111"/>
          <w:sz w:val="28"/>
          <w:sz w:val="28"/>
          <w:szCs w:val="28"/>
          <w:rtl w:val="true"/>
          <w:lang w:bidi="ar-SA"/>
        </w:rPr>
        <w:t xml:space="preserve">و صحيحة </w:t>
      </w:r>
    </w:p>
    <w:p>
      <w:pPr>
        <w:pStyle w:val="BookText"/>
        <w:rPr/>
      </w:pPr>
      <w:r>
        <w:rPr>
          <w:rFonts w:ascii="Amiri" w:hAnsi="Amiri" w:eastAsia="Amiri" w:cs="Amiri"/>
          <w:color w:val="111111"/>
          <w:sz w:val="28"/>
          <w:sz w:val="28"/>
          <w:szCs w:val="28"/>
          <w:rtl w:val="true"/>
          <w:lang w:bidi="ar-SA"/>
        </w:rPr>
        <w:t xml:space="preserve">الحلبي </w:t>
      </w:r>
      <w:r>
        <w:rPr>
          <w:rStyle w:val="FootnoteAnchor"/>
          <w:rtl w:val="true"/>
        </w:rPr>
        <w:footnoteReference w:id="3197"/>
      </w:r>
      <w:r>
        <w:rPr>
          <w:rFonts w:ascii="Amiri" w:hAnsi="Amiri" w:eastAsia="Amiri" w:cs="Amiri"/>
          <w:color w:val="111111"/>
          <w:sz w:val="28"/>
          <w:sz w:val="28"/>
          <w:szCs w:val="28"/>
          <w:rtl w:val="true"/>
          <w:lang w:bidi="ar-SA"/>
        </w:rPr>
        <w:t xml:space="preserve">في نفي الغسل، و روايتي عليّ بن الحكم </w:t>
      </w:r>
      <w:r>
        <w:rPr>
          <w:rStyle w:val="FootnoteAnchor"/>
          <w:rtl w:val="true"/>
        </w:rPr>
        <w:footnoteReference w:id="3198"/>
      </w:r>
      <w:r>
        <w:rPr>
          <w:rFonts w:ascii="IRNazanin" w:hAnsi="IRNazanin" w:eastAsia="IRNazanin"/>
          <w:color w:val="111111"/>
          <w:sz w:val="28"/>
          <w:sz w:val="28"/>
          <w:szCs w:val="28"/>
          <w:rtl w:val="true"/>
          <w:lang w:bidi="fa-IR"/>
        </w:rPr>
        <w:t xml:space="preserve">و أحمد بن محمد </w:t>
      </w:r>
      <w:r>
        <w:rPr>
          <w:rStyle w:val="FootnoteAnchor"/>
          <w:rtl w:val="true"/>
        </w:rPr>
        <w:footnoteReference w:id="3199"/>
      </w:r>
      <w:r>
        <w:rPr>
          <w:rFonts w:ascii="Amiri" w:hAnsi="Amiri" w:eastAsia="Amiri" w:cs="Amiri"/>
          <w:color w:val="111111"/>
          <w:sz w:val="28"/>
          <w:sz w:val="28"/>
          <w:szCs w:val="28"/>
          <w:rtl w:val="true"/>
          <w:lang w:bidi="ar-SA"/>
        </w:rPr>
        <w:t xml:space="preserve">في عدم فساد الصّوم العامل بها البعض </w:t>
      </w:r>
      <w:r>
        <w:rPr>
          <w:rStyle w:val="FootnoteAnchor"/>
          <w:rtl w:val="true"/>
        </w:rPr>
        <w:footnoteReference w:id="3200"/>
      </w:r>
      <w:r>
        <w:rPr>
          <w:rFonts w:ascii="Amiri" w:hAnsi="Amiri" w:eastAsia="Amiri" w:cs="Amiri"/>
          <w:color w:val="111111"/>
          <w:sz w:val="28"/>
          <w:sz w:val="28"/>
          <w:szCs w:val="28"/>
          <w:rtl w:val="true"/>
          <w:lang w:bidi="ar-SA"/>
        </w:rPr>
        <w:t xml:space="preserve">، بل هو صريح الاستبصار </w:t>
      </w:r>
      <w:r>
        <w:rPr>
          <w:rStyle w:val="FootnoteAnchor"/>
          <w:rtl w:val="true"/>
        </w:rPr>
        <w:footnoteReference w:id="3201"/>
      </w:r>
      <w:r>
        <w:rPr>
          <w:rFonts w:ascii="Amiri" w:hAnsi="Amiri" w:eastAsia="Amiri" w:cs="Amiri"/>
          <w:color w:val="111111"/>
          <w:sz w:val="28"/>
          <w:sz w:val="28"/>
          <w:szCs w:val="28"/>
          <w:rtl w:val="true"/>
          <w:lang w:bidi="ar-SA"/>
        </w:rPr>
        <w:t xml:space="preserve">و النزهة </w:t>
      </w:r>
      <w:r>
        <w:rPr>
          <w:rStyle w:val="FootnoteAnchor"/>
          <w:rtl w:val="true"/>
        </w:rPr>
        <w:footnoteReference w:id="3202"/>
      </w:r>
      <w:r>
        <w:rPr>
          <w:rFonts w:ascii="Amiri" w:hAnsi="Amiri" w:eastAsia="Amiri" w:cs="Amiri"/>
          <w:color w:val="111111"/>
          <w:sz w:val="28"/>
          <w:sz w:val="28"/>
          <w:szCs w:val="28"/>
          <w:rtl w:val="true"/>
          <w:lang w:bidi="ar-SA"/>
        </w:rPr>
        <w:t xml:space="preserve">، لكن مع إعراض الجَمّ الغفير عنها لزم طرحها أو تأويل بعضها على عدم غيبوبة الحشفة أو إرادة التفخيذ من الدُّبر؛ لأنه من معانيه لغةً </w:t>
      </w:r>
      <w:r>
        <w:rPr>
          <w:rStyle w:val="FootnoteAnchor"/>
          <w:rtl w:val="true"/>
        </w:rPr>
        <w:footnoteReference w:id="3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يجب الغسل على غير المكلّف من المجنون و شبهه </w:t>
      </w:r>
      <w:r>
        <w:rPr>
          <w:rStyle w:val="FootnoteAnchor"/>
          <w:rtl w:val="true"/>
        </w:rPr>
        <w:footnoteReference w:id="3204"/>
      </w:r>
      <w:r>
        <w:rPr>
          <w:rFonts w:ascii="Amiri" w:hAnsi="Amiri" w:eastAsia="Amiri" w:cs="Amiri"/>
          <w:color w:val="111111"/>
          <w:sz w:val="28"/>
          <w:sz w:val="28"/>
          <w:szCs w:val="28"/>
          <w:rtl w:val="true"/>
          <w:lang w:bidi="ar-SA"/>
        </w:rPr>
        <w:t xml:space="preserve">و الميّت و نحوه </w:t>
      </w:r>
      <w:r>
        <w:rPr>
          <w:rStyle w:val="FootnoteAnchor"/>
          <w:rtl w:val="true"/>
        </w:rPr>
        <w:footnoteReference w:id="3205"/>
      </w:r>
      <w:r>
        <w:rPr>
          <w:rFonts w:ascii="Amiri" w:hAnsi="Amiri" w:eastAsia="Amiri" w:cs="Amiri"/>
          <w:color w:val="111111"/>
          <w:sz w:val="28"/>
          <w:sz w:val="28"/>
          <w:szCs w:val="28"/>
          <w:rtl w:val="true"/>
          <w:lang w:bidi="ar-SA"/>
        </w:rPr>
        <w:t>فاعلاً و قابلاً، فإنّ الإدخال مقتضٍ للوجوب ما لم يمنع مانع، بل و لا يجب على الوليّ، بل و لا سائر المكلّفين؛ للأصل، لكن تجري عليهم أحكام الجنب من عدم إدخالهم المسجد و عدم مَسّ المصحف بشيءٍ من أبدانهم؛ لأنه من لوازم الجنابة، و هي محقّقة فيهم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كأنّه لا شبهة فيه و إن تردّد في المعتبر </w:t>
      </w:r>
      <w:r>
        <w:rPr>
          <w:rStyle w:val="FootnoteAnchor"/>
          <w:rtl w:val="true"/>
        </w:rPr>
        <w:footnoteReference w:id="3206"/>
      </w:r>
      <w:r>
        <w:rPr>
          <w:rFonts w:ascii="Amiri" w:hAnsi="Amiri" w:eastAsia="Amiri" w:cs="Amiri"/>
          <w:color w:val="111111"/>
          <w:sz w:val="28"/>
          <w:sz w:val="28"/>
          <w:szCs w:val="28"/>
          <w:rtl w:val="true"/>
          <w:lang w:bidi="ar-SA"/>
        </w:rPr>
        <w:t xml:space="preserve">و جعل العدم أشبه بالنسبة إلى دُبُر الغلام كالفاضل في المنتهى </w:t>
      </w:r>
      <w:r>
        <w:rPr>
          <w:rStyle w:val="FootnoteAnchor"/>
          <w:rtl w:val="true"/>
        </w:rPr>
        <w:footnoteReference w:id="3207"/>
      </w:r>
      <w:r>
        <w:rPr>
          <w:rFonts w:ascii="Amiri" w:hAnsi="Amiri" w:eastAsia="Amiri" w:cs="Amiri"/>
          <w:color w:val="111111"/>
          <w:sz w:val="28"/>
          <w:sz w:val="28"/>
          <w:szCs w:val="28"/>
          <w:rtl w:val="true"/>
          <w:lang w:bidi="ar-SA"/>
        </w:rPr>
        <w:t>دون باقي كتبه، و تردّد الأخير و المصنّف دون غيرهم في استدخال آلة الميِّت، و ربّما جنحوا لعدم تحقّق الجنابة بذلك، و لا أرى لهم برهاناً واضحاً عليه بعد حكمهم بحصول الجنابة بالإدخال في الميّت للفاعل و المفعول فيه، و حكمهم بحصولها باستدخال آلة السكران و المغمى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لنا على الثاني الأصل مع عدم المعارض؛ لانصراف الحكم الناطق في كلّ مطلق يحتمل فيه العموم لغيره؛ لأنه الغالب، بل في بعض النّصوص التصريح بالإنسان، فتكون قرينة على إرادته في غيرها، ثمّ التفكيك بين الفاعل و المفعول في تحقّق الجنابة بأحدهما دون الآخر لا دليل عليه سوى رفع التكليف عن الآخر، و هو لا يوجب عدم الحكم بالجنابة كما غبر، و لا قائل بعدم جواز إدخال الحيوان المسجد لأجل الإيلاج فيه، بل و لا ادّعى أحد بحصول الجنابة له، ثمّ المعظم عليه كالشيخ في موضع من المبسوط </w:t>
      </w:r>
      <w:r>
        <w:rPr>
          <w:rStyle w:val="FootnoteAnchor"/>
          <w:rtl w:val="true"/>
        </w:rPr>
        <w:footnoteReference w:id="3208"/>
      </w:r>
      <w:r>
        <w:rPr>
          <w:rFonts w:ascii="Amiri" w:hAnsi="Amiri" w:eastAsia="Amiri" w:cs="Amiri"/>
          <w:color w:val="111111"/>
          <w:sz w:val="28"/>
          <w:sz w:val="28"/>
          <w:szCs w:val="28"/>
          <w:rtl w:val="true"/>
          <w:lang w:bidi="ar-SA"/>
        </w:rPr>
        <w:t xml:space="preserve">و الفاضلين </w:t>
      </w:r>
      <w:r>
        <w:rPr>
          <w:rStyle w:val="FootnoteAnchor"/>
          <w:rtl w:val="true"/>
        </w:rPr>
        <w:footnoteReference w:id="3209"/>
      </w:r>
      <w:r>
        <w:rPr>
          <w:rFonts w:ascii="IRNazanin" w:hAnsi="IRNazanin" w:eastAsia="IRNazanin"/>
          <w:color w:val="111111"/>
          <w:sz w:val="28"/>
          <w:sz w:val="28"/>
          <w:szCs w:val="28"/>
          <w:rtl w:val="true"/>
          <w:lang w:bidi="fa-IR"/>
        </w:rPr>
        <w:t xml:space="preserve">، و هو ظاهر سلّار </w:t>
      </w:r>
      <w:r>
        <w:rPr>
          <w:rStyle w:val="FootnoteAnchor"/>
          <w:rtl w:val="true"/>
        </w:rPr>
        <w:footnoteReference w:id="3210"/>
      </w:r>
      <w:r>
        <w:rPr>
          <w:rFonts w:ascii="Amiri" w:hAnsi="Amiri" w:eastAsia="Amiri" w:cs="Amiri"/>
          <w:color w:val="111111"/>
          <w:sz w:val="28"/>
          <w:sz w:val="28"/>
          <w:szCs w:val="28"/>
          <w:rtl w:val="true"/>
          <w:lang w:bidi="ar-SA"/>
        </w:rPr>
        <w:t xml:space="preserve">و ابني حمزة </w:t>
      </w:r>
      <w:r>
        <w:rPr>
          <w:rStyle w:val="FootnoteAnchor"/>
          <w:rtl w:val="true"/>
        </w:rPr>
        <w:footnoteReference w:id="3211"/>
      </w:r>
      <w:r>
        <w:rPr>
          <w:rFonts w:ascii="Amiri" w:hAnsi="Amiri" w:eastAsia="Amiri" w:cs="Amiri"/>
          <w:color w:val="111111"/>
          <w:sz w:val="28"/>
          <w:sz w:val="28"/>
          <w:szCs w:val="28"/>
          <w:rtl w:val="true"/>
          <w:lang w:bidi="ar-SA"/>
        </w:rPr>
        <w:t xml:space="preserve">و إدريس </w:t>
      </w:r>
      <w:r>
        <w:rPr>
          <w:rStyle w:val="FootnoteAnchor"/>
          <w:rtl w:val="true"/>
        </w:rPr>
        <w:footnoteReference w:id="3212"/>
      </w:r>
      <w:r>
        <w:rPr>
          <w:rFonts w:ascii="Amiri" w:hAnsi="Amiri" w:eastAsia="Amiri" w:cs="Amiri"/>
          <w:color w:val="111111"/>
          <w:sz w:val="28"/>
          <w:sz w:val="28"/>
          <w:szCs w:val="28"/>
          <w:rtl w:val="true"/>
          <w:lang w:bidi="ar-SA"/>
        </w:rPr>
        <w:t>، حيث اشترطوا الإيلاج في فرج الآدمي</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تردّد في النهاية </w:t>
      </w:r>
      <w:r>
        <w:rPr>
          <w:rStyle w:val="FootnoteAnchor"/>
          <w:rtl w:val="true"/>
        </w:rPr>
        <w:footnoteReference w:id="3213"/>
      </w:r>
      <w:r>
        <w:rPr>
          <w:rFonts w:ascii="Amiri" w:hAnsi="Amiri" w:eastAsia="Amiri" w:cs="Amiri"/>
          <w:color w:val="111111"/>
          <w:sz w:val="28"/>
          <w:sz w:val="28"/>
          <w:szCs w:val="28"/>
          <w:rtl w:val="true"/>
          <w:lang w:bidi="ar-SA"/>
        </w:rPr>
        <w:t xml:space="preserve">و البيان </w:t>
      </w:r>
      <w:r>
        <w:rPr>
          <w:rStyle w:val="FootnoteAnchor"/>
          <w:rtl w:val="true"/>
        </w:rPr>
        <w:footnoteReference w:id="3214"/>
      </w:r>
      <w:r>
        <w:rPr>
          <w:rFonts w:ascii="Amiri" w:hAnsi="Amiri" w:eastAsia="Amiri" w:cs="Amiri"/>
          <w:color w:val="111111"/>
          <w:sz w:val="28"/>
          <w:sz w:val="28"/>
          <w:szCs w:val="28"/>
          <w:rtl w:val="true"/>
          <w:lang w:bidi="ar-SA"/>
        </w:rPr>
        <w:t>، 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أحوط </w:t>
      </w:r>
      <w:r>
        <w:rPr>
          <w:rStyle w:val="FootnoteAnchor"/>
          <w:rtl w:val="true"/>
        </w:rPr>
        <w:footnoteReference w:id="3215"/>
      </w:r>
      <w:r>
        <w:rPr>
          <w:rFonts w:ascii="Amiri" w:hAnsi="Amiri" w:eastAsia="Amiri" w:cs="Amiri"/>
          <w:color w:val="111111"/>
          <w:sz w:val="28"/>
          <w:sz w:val="28"/>
          <w:szCs w:val="28"/>
          <w:rtl w:val="true"/>
          <w:lang w:bidi="ar-SA"/>
        </w:rPr>
        <w:t xml:space="preserve">، و في الذكرى قوّاه </w:t>
      </w:r>
      <w:r>
        <w:rPr>
          <w:rStyle w:val="FootnoteAnchor"/>
          <w:rtl w:val="true"/>
        </w:rPr>
        <w:footnoteReference w:id="3216"/>
      </w:r>
      <w:r>
        <w:rPr>
          <w:rFonts w:ascii="Amiri" w:hAnsi="Amiri" w:eastAsia="Amiri" w:cs="Amiri"/>
          <w:color w:val="111111"/>
          <w:sz w:val="28"/>
          <w:sz w:val="28"/>
          <w:szCs w:val="28"/>
          <w:rtl w:val="true"/>
          <w:lang w:bidi="ar-SA"/>
        </w:rPr>
        <w:t xml:space="preserve">، و في الجواهر </w:t>
      </w:r>
      <w:r>
        <w:rPr>
          <w:rStyle w:val="FootnoteAnchor"/>
          <w:rtl w:val="true"/>
        </w:rPr>
        <w:footnoteReference w:id="3217"/>
      </w:r>
      <w:r>
        <w:rPr>
          <w:rFonts w:ascii="Amiri" w:hAnsi="Amiri" w:eastAsia="Amiri" w:cs="Amiri"/>
          <w:color w:val="111111"/>
          <w:sz w:val="28"/>
          <w:sz w:val="28"/>
          <w:szCs w:val="28"/>
          <w:rtl w:val="true"/>
          <w:lang w:bidi="ar-SA"/>
        </w:rPr>
        <w:t xml:space="preserve">نسب العدم إلى الشارح في المسالك </w:t>
      </w:r>
      <w:r>
        <w:rPr>
          <w:rStyle w:val="FootnoteAnchor"/>
          <w:rtl w:val="true"/>
        </w:rPr>
        <w:footnoteReference w:id="3218"/>
      </w:r>
      <w:r>
        <w:rPr>
          <w:rFonts w:ascii="Amiri" w:hAnsi="Amiri" w:eastAsia="Amiri" w:cs="Amiri"/>
          <w:color w:val="111111"/>
          <w:sz w:val="28"/>
          <w:sz w:val="28"/>
          <w:szCs w:val="28"/>
          <w:rtl w:val="true"/>
          <w:lang w:bidi="ar-SA"/>
        </w:rPr>
        <w:t xml:space="preserve">و الرّوض </w:t>
      </w:r>
      <w:r>
        <w:rPr>
          <w:rStyle w:val="FootnoteAnchor"/>
          <w:rtl w:val="true"/>
        </w:rPr>
        <w:footnoteReference w:id="3219"/>
      </w:r>
      <w:r>
        <w:rPr>
          <w:rFonts w:ascii="IRNazanin" w:hAnsi="IRNazanin" w:eastAsia="IRNazanin"/>
          <w:color w:val="111111"/>
          <w:sz w:val="28"/>
          <w:sz w:val="28"/>
          <w:szCs w:val="28"/>
          <w:rtl w:val="true"/>
          <w:lang w:bidi="fa-IR"/>
        </w:rPr>
        <w:t>و هو من خطأ القلم؛ للتصريح بموافقة الذكرى في الأوّل، و لميله إليه في الثاني، فإنّه استدلّ بالفحوى و بما ورد في خبر آخر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أوجبَ الحدّ أوجب الغسل </w:t>
      </w:r>
      <w:r>
        <w:rPr>
          <w:rStyle w:val="FootnoteAnchor"/>
          <w:rtl w:val="true"/>
        </w:rPr>
        <w:footnoteReference w:id="3220"/>
      </w:r>
      <w:r>
        <w:rPr>
          <w:rFonts w:ascii="Amiri" w:hAnsi="Amiri" w:eastAsia="Amiri" w:cs="Amiri"/>
          <w:color w:val="111111"/>
          <w:sz w:val="28"/>
          <w:sz w:val="28"/>
          <w:szCs w:val="28"/>
          <w:rtl w:val="true"/>
          <w:lang w:bidi="ar-SA"/>
        </w:rPr>
        <w:t>،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bookmarkStart w:id="275" w:name="pg9146_86440"/>
    </w:p>
    <w:p>
      <w:pPr>
        <w:pStyle w:val="BookText"/>
        <w:rPr/>
      </w:pPr>
      <w:bookmarkEnd w:id="275"/>
      <w:r>
        <w:rPr>
          <w:rFonts w:ascii="Amiri" w:hAnsi="Amiri" w:eastAsia="Amiri" w:cs="Amiri"/>
          <w:color w:val="111111"/>
          <w:sz w:val="28"/>
          <w:sz w:val="28"/>
          <w:szCs w:val="28"/>
          <w:rtl w:val="true"/>
          <w:lang w:bidi="ar-SA"/>
        </w:rPr>
        <w:t xml:space="preserve">كانت من صيغ العموم، إلَّا أنّها مخصوصة بأحد الأسباب الموجبة للحدّ الذي أجمع على عدم إيجابها الغسل، فيدخل ما نحن فيه في العموم، أو يكون المعنى ما أوجب الحدّ من الوطء بقرينة مقاميّة أو مقاليّة، و هذا الدليل قويّ إنْ صحّت الرّواية </w:t>
      </w:r>
      <w:r>
        <w:rPr>
          <w:rStyle w:val="FootnoteAnchor"/>
          <w:rtl w:val="true"/>
        </w:rPr>
        <w:footnoteReference w:id="32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ظاهر في الخلاف، كالشيخ في صوم المبسوط </w:t>
      </w:r>
      <w:r>
        <w:rPr>
          <w:rStyle w:val="FootnoteAnchor"/>
          <w:rtl w:val="true"/>
        </w:rPr>
        <w:footnoteReference w:id="3222"/>
      </w:r>
      <w:r>
        <w:rPr>
          <w:rFonts w:ascii="Amiri" w:hAnsi="Amiri" w:eastAsia="Amiri" w:cs="Amiri"/>
          <w:color w:val="111111"/>
          <w:sz w:val="28"/>
          <w:sz w:val="28"/>
          <w:szCs w:val="28"/>
          <w:rtl w:val="true"/>
          <w:lang w:bidi="ar-SA"/>
        </w:rPr>
        <w:t xml:space="preserve">، و الفاضل في المختلف </w:t>
      </w:r>
      <w:r>
        <w:rPr>
          <w:rStyle w:val="FootnoteAnchor"/>
          <w:rtl w:val="true"/>
        </w:rPr>
        <w:footnoteReference w:id="3223"/>
      </w:r>
      <w:r>
        <w:rPr>
          <w:rFonts w:ascii="IRNazanin" w:hAnsi="IRNazanin" w:eastAsia="IRNazanin"/>
          <w:color w:val="111111"/>
          <w:sz w:val="28"/>
          <w:sz w:val="28"/>
          <w:szCs w:val="28"/>
          <w:rtl w:val="true"/>
          <w:lang w:bidi="fa-IR"/>
        </w:rPr>
        <w:t xml:space="preserve">، و ربّما استظهر من المرتضى </w:t>
      </w:r>
      <w:r>
        <w:rPr>
          <w:rStyle w:val="FootnoteAnchor"/>
          <w:rtl w:val="true"/>
        </w:rPr>
        <w:footnoteReference w:id="3224"/>
      </w:r>
      <w:r>
        <w:rPr>
          <w:rFonts w:ascii="Amiri" w:hAnsi="Amiri" w:eastAsia="Amiri" w:cs="Amiri"/>
          <w:color w:val="111111"/>
          <w:sz w:val="28"/>
          <w:sz w:val="28"/>
          <w:szCs w:val="28"/>
          <w:rtl w:val="true"/>
          <w:lang w:bidi="ar-SA"/>
        </w:rPr>
        <w:t xml:space="preserve">الإجماع إليه </w:t>
      </w:r>
      <w:r>
        <w:rPr>
          <w:rStyle w:val="FootnoteAnchor"/>
          <w:rtl w:val="true"/>
        </w:rPr>
        <w:footnoteReference w:id="3225"/>
      </w:r>
      <w:r>
        <w:rPr>
          <w:rFonts w:ascii="Amiri" w:hAnsi="Amiri" w:eastAsia="Amiri" w:cs="Amiri"/>
          <w:color w:val="111111"/>
          <w:sz w:val="28"/>
          <w:sz w:val="28"/>
          <w:szCs w:val="28"/>
          <w:rtl w:val="true"/>
          <w:lang w:bidi="ar-SA"/>
        </w:rPr>
        <w:t>، و مع ذلك فالعدم أوجه و أقوى، مثله في قُبل الخُنثى؛ للشكّ في أنّه قُبل أم لا، فهو بالعدم أَولى</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3322712_2870459653"/>
      <w:bookmarkStart w:id="277" w:name="_Toc94"/>
      <w:bookmarkEnd w:id="276"/>
      <w:r>
        <w:rPr>
          <w:rtl w:val="true"/>
        </w:rPr>
        <w:t>[</w:t>
      </w:r>
      <w:r>
        <w:rPr>
          <w:rtl w:val="true"/>
        </w:rPr>
        <w:t>المحرّمات على الجنب</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حصلت الجنابة 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أو كافر تقدّم تكليفه عليها أو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تعلّقت به الأحكام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فيحرم عليه قراءة العزائم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السّور المشتملة على السجدات كألم تنزيل و حم السّجدة و النجم و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آية السّجدة فقط و لا مجموعها فحسب، و إن أوهمه إطلاق العزيمة في بعض الكلمات و إطلاق السّور من دون ذِكر الأبعاض؛ إذ الظاهر عدم إرادة نفس الآية و لا شرطيّة الاتمام للسورة، بل لا فرق في الحرمة بين سائر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البسملة 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بالبعض المقروء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تبعّض القصد حرم البعض و جاز الباقي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قاصداً إنّه من بسملة أحدى الأربع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ناوياً أنّها من بسملة الفاتحة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الحكم كذلك مشهور و منقول عليه الإجماع و به نصوص، و رواه المحقّق في المعتبر </w:t>
      </w:r>
      <w:r>
        <w:rPr>
          <w:rStyle w:val="FootnoteAnchor"/>
          <w:rtl w:val="true"/>
        </w:rPr>
        <w:footnoteReference w:id="3226"/>
      </w:r>
      <w:r>
        <w:rPr>
          <w:rFonts w:ascii="IRNazanin" w:hAnsi="IRNazanin" w:eastAsia="IRNazanin"/>
          <w:color w:val="111111"/>
          <w:sz w:val="28"/>
          <w:sz w:val="28"/>
          <w:szCs w:val="28"/>
          <w:rtl w:val="true"/>
          <w:lang w:bidi="fa-IR"/>
        </w:rPr>
        <w:t xml:space="preserve">عن البزنطي في جامعه، فلا مَسرَح للتأمّل فيه و إن استثنى الباقر علیه السلام في خبر العلل </w:t>
      </w:r>
      <w:r>
        <w:rPr>
          <w:rStyle w:val="FootnoteAnchor"/>
          <w:rtl w:val="true"/>
        </w:rPr>
        <w:footnoteReference w:id="3227"/>
      </w:r>
      <w:r>
        <w:rPr>
          <w:rFonts w:ascii="Amiri" w:hAnsi="Amiri" w:eastAsia="Amiri" w:cs="Amiri"/>
          <w:color w:val="111111"/>
          <w:sz w:val="28"/>
          <w:sz w:val="28"/>
          <w:szCs w:val="28"/>
          <w:rtl w:val="true"/>
          <w:lang w:bidi="ar-SA"/>
        </w:rPr>
        <w:t>السجدةَ، فإنّهم فهموا منها عموم السورة، لكن لولا الإجماع لكان قصر الحرمة على قراءة تمام السورة له وجهٌ قويّ؛ حيث لم تتّضح حرمة البعض من غيره، و الاحتياط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أيضاً على المُجْنِب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أراضي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أخصّ المسجدين، و يحتمل أنّ الإطلاق لشمول المساجد الواقعة في أرض الخراج أيضاً، لكنّه بعيد أو مشكل، و الحكم متفق عليه، 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اتفق عليه الأصحاب سوى سلّار </w:t>
      </w:r>
      <w:r>
        <w:rPr>
          <w:rStyle w:val="FootnoteAnchor"/>
          <w:rtl w:val="true"/>
        </w:rPr>
        <w:footnoteReference w:id="3228"/>
      </w:r>
      <w:r>
        <w:rPr>
          <w:rFonts w:ascii="Amiri" w:hAnsi="Amiri" w:eastAsia="Amiri" w:cs="Amiri"/>
          <w:color w:val="111111"/>
          <w:sz w:val="28"/>
          <w:sz w:val="28"/>
          <w:szCs w:val="28"/>
          <w:rtl w:val="true"/>
          <w:lang w:bidi="ar-SA"/>
        </w:rPr>
        <w:t xml:space="preserve">فإنّه كرهه، و للمفيد رحمه الله </w:t>
      </w:r>
      <w:r>
        <w:rPr>
          <w:rStyle w:val="FootnoteAnchor"/>
          <w:rtl w:val="true"/>
        </w:rPr>
        <w:footnoteReference w:id="3229"/>
      </w:r>
      <w:r>
        <w:rPr>
          <w:rFonts w:ascii="Amiri" w:hAnsi="Amiri" w:eastAsia="Amiri" w:cs="Amiri"/>
          <w:color w:val="111111"/>
          <w:sz w:val="28"/>
          <w:sz w:val="28"/>
          <w:szCs w:val="28"/>
          <w:rtl w:val="true"/>
          <w:lang w:bidi="ar-SA"/>
        </w:rPr>
        <w:t>كلام يحتمل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باللّبث هنا و بغيره كالمَكث مطلق الدّخول لغير الاجتياز كما قال الباقر علیه السلام في خبر 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و الجنب لا يدخلان المسجد إلَّا مجتازين</w:t>
      </w:r>
      <w:r>
        <w:rPr>
          <w:rFonts w:eastAsia="IRNazanin" w:cs="IRNazanin"/>
          <w:color w:val="111111"/>
          <w:sz w:val="28"/>
          <w:szCs w:val="28"/>
          <w:rtl w:val="true"/>
          <w:lang w:bidi="fa-IR"/>
        </w:rPr>
        <w:t xml:space="preserve">» </w:t>
      </w:r>
      <w:r>
        <w:rPr>
          <w:rStyle w:val="FootnoteAnchor"/>
          <w:rtl w:val="true"/>
        </w:rPr>
        <w:footnoteReference w:id="3230"/>
      </w:r>
      <w:r>
        <w:rPr>
          <w:rFonts w:ascii="Amiri" w:hAnsi="Amiri" w:eastAsia="Amiri" w:cs="Amiri"/>
          <w:color w:val="111111"/>
          <w:sz w:val="28"/>
          <w:sz w:val="28"/>
          <w:szCs w:val="28"/>
          <w:rtl w:val="true"/>
          <w:lang w:bidi="ar-SA"/>
        </w:rPr>
        <w:t xml:space="preserve">، ثمّ ذكر الآية </w:t>
      </w:r>
      <w:r>
        <w:rPr>
          <w:rStyle w:val="FootnoteAnchor"/>
          <w:rtl w:val="true"/>
        </w:rPr>
        <w:footnoteReference w:id="3231"/>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فاستفيد من تفسيره أنّ المراد بالنسبة إلى الجنب مواضع الصلاة و هي المساجد مضافاً إلى عدّة أخبار فُهمَ منها الحرمة و إن اشتملت على لفظ الكراهة كما ورد 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كره لي ستّاً و كرهتهن</w:t>
      </w:r>
      <w:r>
        <w:rPr>
          <w:rFonts w:eastAsia="IRNazanin" w:cs="IRNazanin"/>
          <w:color w:val="111111"/>
          <w:sz w:val="28"/>
          <w:szCs w:val="28"/>
          <w:rtl w:val="true"/>
          <w:lang w:bidi="fa-IR"/>
        </w:rPr>
        <w:t xml:space="preserve">» </w:t>
      </w:r>
      <w:r>
        <w:rPr>
          <w:rStyle w:val="FootnoteAnchor"/>
          <w:rtl w:val="true"/>
        </w:rPr>
        <w:footnoteReference w:id="3232"/>
      </w:r>
      <w:r>
        <w:rPr>
          <w:rFonts w:ascii="IRNazanin" w:hAnsi="IRNazanin" w:eastAsia="IRNazanin"/>
          <w:color w:val="111111"/>
          <w:sz w:val="28"/>
          <w:sz w:val="28"/>
          <w:szCs w:val="28"/>
          <w:rtl w:val="true"/>
          <w:lang w:bidi="fa-IR"/>
        </w:rPr>
        <w:t>و عَدّ منها إتيان المساجد جُنباً، و لعلّ سلّار فهم من الأخير الكراهة و من الآية أنّ المراد بعبور السّبيل هو السّفر، فكأنّه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الصلاة جُنباً إلَّا في السفر مع التيمّم، و جُمعَ بين خبر الباقر علیه السلام السابق و رواية ابن القاسم عن أبي الحسن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الجنب ينام في المسجد؟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و لا بأس أن ينام في المسجد و يمرّ فيه</w:t>
      </w:r>
      <w:r>
        <w:rPr>
          <w:rFonts w:eastAsia="IRNazanin" w:cs="IRNazanin"/>
          <w:color w:val="111111"/>
          <w:sz w:val="28"/>
          <w:szCs w:val="28"/>
          <w:rtl w:val="true"/>
          <w:lang w:bidi="fa-IR"/>
        </w:rPr>
        <w:t xml:space="preserve">» </w:t>
      </w:r>
      <w:r>
        <w:rPr>
          <w:rStyle w:val="FootnoteAnchor"/>
          <w:rtl w:val="true"/>
        </w:rPr>
        <w:footnoteReference w:id="3233"/>
      </w:r>
      <w:r>
        <w:rPr>
          <w:rFonts w:ascii="Amiri" w:hAnsi="Amiri" w:eastAsia="Amiri" w:cs="Amiri"/>
          <w:color w:val="111111"/>
          <w:sz w:val="28"/>
          <w:sz w:val="28"/>
          <w:szCs w:val="28"/>
          <w:rtl w:val="true"/>
          <w:lang w:bidi="ar-SA"/>
        </w:rPr>
        <w:t>بالحمل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مَرضيّ بعد ذهاب المعظم إلى عدمه و إمكان حمل الرواية على التّقية، و لبُعد إرادة هذا المعنى من الآية، فلو حمل أوّلها عليه كان تكراراً و للزوم الإضمار فيها، و هو كون المسافر عادماً للماء و قد تيمّم، و لا يلزمنا إلَّا التجوّز في الصلاة فهو أَولى إلى غير ذلك، فالمتّجه الحرمة فيها و في الضرائح المشرّفة مطلقاً؛ للحوقها بها مطلقاً حتّى في أرض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على مخالف ممّن ذكر ذلك، إنّما الإشكال في لحوق الحائض و النفساء للجنب في الحكم المذكور و إن تساووا في جملة من الأحكام، و إذا كانت العلّة هي التعظيم جَرَت، فهما سواء إلَّا أنّ الإلحاق أشبه شيءٍ بالقياس، كعدم إلحاق غير الروضة بها من الرواق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في المسجدين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الأعظمين بمكّة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للجُنب أيضاً إجماعاً كما في الغنية </w:t>
      </w:r>
      <w:r>
        <w:rPr>
          <w:rStyle w:val="FootnoteAnchor"/>
          <w:rtl w:val="true"/>
        </w:rPr>
        <w:footnoteReference w:id="3234"/>
      </w:r>
      <w:r>
        <w:rPr>
          <w:rFonts w:ascii="Amiri" w:hAnsi="Amiri" w:eastAsia="Amiri" w:cs="Amiri"/>
          <w:color w:val="111111"/>
          <w:sz w:val="28"/>
          <w:sz w:val="28"/>
          <w:szCs w:val="28"/>
          <w:rtl w:val="true"/>
          <w:lang w:bidi="ar-SA"/>
        </w:rPr>
        <w:t xml:space="preserve">و التذكرة </w:t>
      </w:r>
      <w:r>
        <w:rPr>
          <w:rStyle w:val="FootnoteAnchor"/>
          <w:rtl w:val="true"/>
        </w:rPr>
        <w:footnoteReference w:id="3235"/>
      </w:r>
      <w:r>
        <w:rPr>
          <w:rFonts w:ascii="IRNazanin" w:hAnsi="IRNazanin" w:eastAsia="IRNazanin"/>
          <w:color w:val="111111"/>
          <w:sz w:val="28"/>
          <w:sz w:val="28"/>
          <w:szCs w:val="28"/>
          <w:rtl w:val="true"/>
          <w:lang w:bidi="fa-IR"/>
        </w:rPr>
        <w:t xml:space="preserve">و المعتبر </w:t>
      </w:r>
      <w:r>
        <w:rPr>
          <w:rStyle w:val="FootnoteAnchor"/>
          <w:rtl w:val="true"/>
        </w:rPr>
        <w:footnoteReference w:id="3236"/>
      </w:r>
      <w:r>
        <w:rPr>
          <w:rFonts w:ascii="Amiri" w:hAnsi="Amiri" w:eastAsia="Amiri" w:cs="Amiri"/>
          <w:color w:val="111111"/>
          <w:sz w:val="28"/>
          <w:sz w:val="28"/>
          <w:szCs w:val="28"/>
          <w:rtl w:val="true"/>
          <w:lang w:bidi="ar-SA"/>
        </w:rPr>
        <w:t xml:space="preserve">، و لم نظفر في كلام الصدوقين </w:t>
      </w:r>
      <w:r>
        <w:rPr>
          <w:rStyle w:val="FootnoteAnchor"/>
          <w:rtl w:val="true"/>
        </w:rPr>
        <w:footnoteReference w:id="3237"/>
      </w:r>
      <w:r>
        <w:rPr>
          <w:rFonts w:ascii="Amiri" w:hAnsi="Amiri" w:eastAsia="Amiri" w:cs="Amiri"/>
          <w:color w:val="111111"/>
          <w:sz w:val="28"/>
          <w:sz w:val="28"/>
          <w:szCs w:val="28"/>
          <w:rtl w:val="true"/>
          <w:lang w:bidi="ar-SA"/>
        </w:rPr>
        <w:t xml:space="preserve">و المفيد </w:t>
      </w:r>
      <w:r>
        <w:rPr>
          <w:rStyle w:val="FootnoteAnchor"/>
          <w:rtl w:val="true"/>
        </w:rPr>
        <w:footnoteReference w:id="3238"/>
      </w:r>
      <w:r>
        <w:rPr>
          <w:rFonts w:ascii="Amiri" w:hAnsi="Amiri" w:eastAsia="Amiri" w:cs="Amiri"/>
          <w:color w:val="111111"/>
          <w:sz w:val="28"/>
          <w:sz w:val="28"/>
          <w:szCs w:val="28"/>
          <w:rtl w:val="true"/>
          <w:lang w:bidi="ar-SA"/>
        </w:rPr>
        <w:t xml:space="preserve">بالفرق بينهما و بين غيرهما، و سلّار </w:t>
      </w:r>
      <w:r>
        <w:rPr>
          <w:rStyle w:val="FootnoteAnchor"/>
          <w:rtl w:val="true"/>
        </w:rPr>
        <w:footnoteReference w:id="3239"/>
      </w:r>
      <w:r>
        <w:rPr>
          <w:rFonts w:ascii="Amiri" w:hAnsi="Amiri" w:eastAsia="Amiri" w:cs="Amiri"/>
          <w:color w:val="111111"/>
          <w:sz w:val="28"/>
          <w:sz w:val="28"/>
          <w:szCs w:val="28"/>
          <w:rtl w:val="true"/>
          <w:lang w:bidi="ar-SA"/>
        </w:rPr>
        <w:t>أطلق الكراهة و لم يستثنِ، ولكن كان ذلك لا شبهة فيه؛ لصراحة النصوص به المقيّدة لإطلاق الاجتياز في المساجد المعمول بها، و للمعتبرة المجوّزة للاجتياز في المساجد إلَّا هما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يفهم من مطاوي كلماتهم مع بعض الأخبار عدم جواز الدخول مطلقاً حتّى لأخذ </w:t>
      </w:r>
    </w:p>
    <w:p>
      <w:pPr>
        <w:pStyle w:val="BookText"/>
        <w:rPr/>
      </w:pPr>
      <w:r>
        <w:rPr>
          <w:rFonts w:ascii="Amiri" w:hAnsi="Amiri" w:eastAsia="Amiri" w:cs="Amiri"/>
          <w:color w:val="111111"/>
          <w:sz w:val="28"/>
          <w:sz w:val="28"/>
          <w:szCs w:val="28"/>
          <w:rtl w:val="true"/>
          <w:lang w:bidi="ar-SA"/>
        </w:rPr>
        <w:t xml:space="preserve">المتاع الجائز في غيرهما، و في الغنية </w:t>
      </w:r>
      <w:r>
        <w:rPr>
          <w:rStyle w:val="FootnoteAnchor"/>
          <w:rtl w:val="true"/>
        </w:rPr>
        <w:footnoteReference w:id="3240"/>
      </w:r>
      <w:r>
        <w:rPr>
          <w:rFonts w:ascii="Amiri" w:hAnsi="Amiri" w:eastAsia="Amiri" w:cs="Amiri"/>
          <w:color w:val="111111"/>
          <w:sz w:val="28"/>
          <w:sz w:val="28"/>
          <w:szCs w:val="28"/>
          <w:rtl w:val="true"/>
          <w:lang w:bidi="ar-SA"/>
        </w:rPr>
        <w:t>ليس له دخولها على حال، إلَّا أنّه مشكل؛ لعدم قضاء المنع من الاجتياز للمنع من التناول الجائز في المساجد مطلقاً، و لا مخرج له غيره، و هو يقصر على مورده من حرمة الاجتياز فقط أو تخصّ حرمة الاجتياز بهما بما قضى بجواز تناول المتاع في المساجد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أنّ الاجتياز إذا حرم فالدخول للتناول يُحرَم بالأولويّة، فيلزم صرف ما ظاهره الجواز لغيرهما،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شيء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المسجدين و غيرهما بالنصّ و الفتوى و إجماع الغنية </w:t>
      </w:r>
      <w:r>
        <w:rPr>
          <w:rStyle w:val="FootnoteAnchor"/>
          <w:rtl w:val="true"/>
        </w:rPr>
        <w:footnoteReference w:id="3241"/>
      </w:r>
      <w:r>
        <w:rPr>
          <w:rFonts w:ascii="Amiri" w:hAnsi="Amiri" w:eastAsia="Amiri" w:cs="Amiri"/>
          <w:color w:val="111111"/>
          <w:sz w:val="28"/>
          <w:sz w:val="28"/>
          <w:szCs w:val="28"/>
          <w:rtl w:val="true"/>
          <w:lang w:bidi="ar-SA"/>
        </w:rPr>
        <w:t xml:space="preserve">، خلافاً لسلّار </w:t>
      </w:r>
      <w:r>
        <w:rPr>
          <w:rStyle w:val="FootnoteAnchor"/>
          <w:rtl w:val="true"/>
        </w:rPr>
        <w:footnoteReference w:id="3242"/>
      </w:r>
      <w:r>
        <w:rPr>
          <w:rFonts w:ascii="Amiri" w:hAnsi="Amiri" w:eastAsia="Amiri" w:cs="Amiri"/>
          <w:color w:val="111111"/>
          <w:sz w:val="28"/>
          <w:sz w:val="28"/>
          <w:szCs w:val="28"/>
          <w:rtl w:val="true"/>
          <w:lang w:bidi="ar-SA"/>
        </w:rPr>
        <w:t xml:space="preserve">إذ كرهه، و لظاهر الخلاف </w:t>
      </w:r>
      <w:r>
        <w:rPr>
          <w:rStyle w:val="FootnoteAnchor"/>
          <w:rtl w:val="true"/>
        </w:rPr>
        <w:footnoteReference w:id="3243"/>
      </w:r>
      <w:r>
        <w:rPr>
          <w:rFonts w:ascii="Amiri" w:hAnsi="Amiri" w:eastAsia="Amiri" w:cs="Amiri"/>
          <w:color w:val="111111"/>
          <w:sz w:val="28"/>
          <w:sz w:val="28"/>
          <w:szCs w:val="28"/>
          <w:rtl w:val="true"/>
          <w:lang w:bidi="ar-SA"/>
        </w:rPr>
        <w:t>المحجوج بصحيحة ابن سنان،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يضعان في المسجد شيئاً</w:t>
      </w:r>
      <w:r>
        <w:rPr>
          <w:rFonts w:eastAsia="Amiri" w:cs="Amiri" w:ascii="Amiri" w:hAnsi="Amiri"/>
          <w:color w:val="111111"/>
          <w:sz w:val="28"/>
          <w:szCs w:val="28"/>
          <w:rtl w:val="true"/>
          <w:lang w:bidi="ar-SA"/>
        </w:rPr>
        <w:t xml:space="preserve">» </w:t>
      </w:r>
      <w:r>
        <w:rPr>
          <w:rStyle w:val="FootnoteAnchor"/>
          <w:rtl w:val="true"/>
        </w:rPr>
        <w:footnoteReference w:id="3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زرارة </w:t>
      </w:r>
      <w:r>
        <w:rPr>
          <w:rStyle w:val="FootnoteAnchor"/>
          <w:rtl w:val="true"/>
        </w:rPr>
        <w:footnoteReference w:id="3245"/>
      </w:r>
      <w:r>
        <w:rPr>
          <w:rFonts w:ascii="Amiri" w:hAnsi="Amiri" w:eastAsia="Amiri" w:cs="Amiri"/>
          <w:color w:val="111111"/>
          <w:sz w:val="28"/>
          <w:sz w:val="28"/>
          <w:szCs w:val="28"/>
          <w:rtl w:val="true"/>
          <w:lang w:bidi="ar-SA"/>
        </w:rPr>
        <w:t xml:space="preserve">كذلك، فلا شبهة في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يستلزم الوضع اللّبث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طرحه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أيضاً؛ لصدق الوضع المحرّم عليه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بعدم الصدق أوّلاً، و بدعوى الإجماع كما في المهذّب </w:t>
      </w:r>
      <w:r>
        <w:rPr>
          <w:rStyle w:val="FootnoteAnchor"/>
          <w:rtl w:val="true"/>
        </w:rPr>
        <w:footnoteReference w:id="3246"/>
      </w:r>
      <w:r>
        <w:rPr>
          <w:rFonts w:ascii="Amiri" w:hAnsi="Amiri" w:eastAsia="Amiri" w:cs="Amiri"/>
          <w:color w:val="111111"/>
          <w:sz w:val="28"/>
          <w:sz w:val="28"/>
          <w:szCs w:val="28"/>
          <w:rtl w:val="true"/>
          <w:lang w:bidi="ar-SA"/>
        </w:rPr>
        <w:t xml:space="preserve">على عدم الحرمة لو ألْقَت الحائض في المسجد شيئاً من وراء الجدار أو حذفته من الباب، و هو المستفاد من الشيخ </w:t>
      </w:r>
      <w:r>
        <w:rPr>
          <w:rStyle w:val="FootnoteAnchor"/>
          <w:rtl w:val="true"/>
        </w:rPr>
        <w:footnoteReference w:id="3247"/>
      </w:r>
    </w:p>
    <w:p>
      <w:pPr>
        <w:pStyle w:val="BookText"/>
        <w:rPr/>
      </w:pPr>
      <w:r>
        <w:rPr>
          <w:rFonts w:ascii="Amiri" w:hAnsi="Amiri" w:eastAsia="Amiri" w:cs="Amiri"/>
          <w:color w:val="111111"/>
          <w:sz w:val="28"/>
          <w:sz w:val="28"/>
          <w:szCs w:val="28"/>
          <w:rtl w:val="true"/>
          <w:lang w:bidi="ar-SA"/>
        </w:rPr>
        <w:t xml:space="preserve">حيث اعتبر الدخول، و المنتهى </w:t>
      </w:r>
      <w:r>
        <w:rPr>
          <w:rStyle w:val="FootnoteAnchor"/>
          <w:rtl w:val="true"/>
        </w:rPr>
        <w:footnoteReference w:id="3248"/>
      </w:r>
      <w:r>
        <w:rPr>
          <w:rFonts w:ascii="Amiri" w:hAnsi="Amiri" w:eastAsia="Amiri" w:cs="Amiri"/>
          <w:color w:val="111111"/>
          <w:sz w:val="28"/>
          <w:sz w:val="28"/>
          <w:szCs w:val="28"/>
          <w:rtl w:val="true"/>
          <w:lang w:bidi="ar-SA"/>
        </w:rPr>
        <w:t xml:space="preserve">كالمعتبر </w:t>
      </w:r>
      <w:r>
        <w:rPr>
          <w:rStyle w:val="FootnoteAnchor"/>
          <w:rtl w:val="true"/>
        </w:rPr>
        <w:footnoteReference w:id="3249"/>
      </w:r>
      <w:r>
        <w:rPr>
          <w:rFonts w:ascii="Amiri" w:hAnsi="Amiri" w:eastAsia="Amiri" w:cs="Amiri"/>
          <w:color w:val="111111"/>
          <w:sz w:val="28"/>
          <w:sz w:val="28"/>
          <w:szCs w:val="28"/>
          <w:rtl w:val="true"/>
          <w:lang w:bidi="ar-SA"/>
        </w:rPr>
        <w:t>استدلّا على الحرمة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عٰابِرِي سَبِيلٍ</w:t>
      </w:r>
      <w:r>
        <w:rPr>
          <w:rFonts w:eastAsia="Amiri" w:cs="Amiri" w:ascii="Amiri" w:hAnsi="Amiri"/>
          <w:color w:val="111111"/>
          <w:sz w:val="28"/>
          <w:szCs w:val="28"/>
          <w:rtl w:val="true"/>
          <w:lang w:bidi="ar-SA"/>
        </w:rPr>
        <w:t xml:space="preserve">) </w:t>
      </w:r>
      <w:r>
        <w:rPr>
          <w:rStyle w:val="FootnoteAnchor"/>
          <w:rtl w:val="true"/>
        </w:rPr>
        <w:footnoteReference w:id="3250"/>
      </w:r>
      <w:r>
        <w:rPr>
          <w:rFonts w:ascii="Amiri" w:hAnsi="Amiri" w:eastAsia="Amiri" w:cs="Amiri"/>
          <w:color w:val="111111"/>
          <w:sz w:val="28"/>
          <w:sz w:val="28"/>
          <w:szCs w:val="28"/>
          <w:rtl w:val="true"/>
          <w:lang w:bidi="ar-SA"/>
        </w:rPr>
        <w:t xml:space="preserve">، فيظهر منهما الدّخول لغير العبور محرّم لا الإلقاء من خارج، و حينئذٍ فيجوز الإلقاء فيهما من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الأخذ منهما </w:t>
      </w:r>
      <w:r>
        <w:rPr>
          <w:rStyle w:val="FootnoteAnchor"/>
          <w:rtl w:val="true"/>
        </w:rPr>
        <w:footnoteReference w:id="3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للأخبار الناهية عن الوضع المشتملة على جواز الأخذ كالصحيحتين الغابرتين، و لعلّه لا خلاف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أيضاً على الجنب و تابعه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خطّ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الكتب المنزلة، و هو ما بين الدّفتين لا غيره ممّا ورد إنّه من القرآن إذا لم يحتوِ على اسم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المنقوشة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حروفه المفردة و ما قام مقامها كالشدّة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الإعراب و الحروف التي تخالف رسم المصحف في رأي </w:t>
      </w:r>
      <w:r>
        <w:rPr>
          <w:rStyle w:val="FootnoteAnchor"/>
          <w:rtl w:val="true"/>
        </w:rPr>
        <w:footnoteReference w:id="3252"/>
      </w:r>
      <w:r>
        <w:rPr>
          <w:rFonts w:ascii="Amiri" w:hAnsi="Amiri" w:eastAsia="Amiri" w:cs="Amiri"/>
          <w:color w:val="111111"/>
          <w:sz w:val="28"/>
          <w:sz w:val="28"/>
          <w:szCs w:val="28"/>
          <w:rtl w:val="true"/>
          <w:lang w:bidi="ar-SA"/>
        </w:rPr>
        <w:t xml:space="preserve">، و الحرمة معروفة عندنا و عند غيرنا </w:t>
      </w:r>
      <w:r>
        <w:rPr>
          <w:rStyle w:val="FootnoteAnchor"/>
          <w:rtl w:val="true"/>
        </w:rPr>
        <w:footnoteReference w:id="3253"/>
      </w:r>
      <w:r>
        <w:rPr>
          <w:rFonts w:ascii="IRNazanin" w:hAnsi="IRNazanin" w:eastAsia="IRNazanin"/>
          <w:color w:val="111111"/>
          <w:sz w:val="28"/>
          <w:sz w:val="28"/>
          <w:szCs w:val="28"/>
          <w:rtl w:val="true"/>
          <w:lang w:bidi="fa-IR"/>
        </w:rPr>
        <w:t xml:space="preserve">بل الإجماع </w:t>
      </w:r>
      <w:r>
        <w:rPr>
          <w:rStyle w:val="FootnoteAnchor"/>
          <w:rtl w:val="true"/>
        </w:rPr>
        <w:footnoteReference w:id="3254"/>
      </w:r>
      <w:r>
        <w:rPr>
          <w:rFonts w:ascii="Amiri" w:hAnsi="Amiri" w:eastAsia="Amiri" w:cs="Amiri"/>
          <w:color w:val="111111"/>
          <w:sz w:val="28"/>
          <w:sz w:val="28"/>
          <w:szCs w:val="28"/>
          <w:rtl w:val="true"/>
          <w:lang w:bidi="ar-SA"/>
        </w:rPr>
        <w:t xml:space="preserve">عليه، و تحمل الكراهة في كلام ابن الجنيد </w:t>
      </w:r>
      <w:r>
        <w:rPr>
          <w:rStyle w:val="FootnoteAnchor"/>
          <w:rtl w:val="true"/>
        </w:rPr>
        <w:footnoteReference w:id="3255"/>
      </w:r>
      <w:r>
        <w:rPr>
          <w:rFonts w:ascii="Amiri" w:hAnsi="Amiri" w:eastAsia="Amiri" w:cs="Amiri"/>
          <w:color w:val="111111"/>
          <w:sz w:val="28"/>
          <w:sz w:val="28"/>
          <w:szCs w:val="28"/>
          <w:rtl w:val="true"/>
          <w:lang w:bidi="ar-SA"/>
        </w:rPr>
        <w:t>على الحرمة فلا مخالف</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استند أيضاً إلى الآية </w:t>
      </w:r>
      <w:r>
        <w:rPr>
          <w:rStyle w:val="FootnoteAnchor"/>
          <w:rtl w:val="true"/>
        </w:rPr>
        <w:footnoteReference w:id="3256"/>
      </w:r>
      <w:r>
        <w:rPr>
          <w:rFonts w:ascii="IRNazanin" w:hAnsi="IRNazanin" w:eastAsia="IRNazanin"/>
          <w:color w:val="111111"/>
          <w:sz w:val="28"/>
          <w:sz w:val="28"/>
          <w:szCs w:val="28"/>
          <w:rtl w:val="true"/>
          <w:lang w:bidi="fa-IR"/>
        </w:rPr>
        <w:t xml:space="preserve">، و إلى النصوص القاضية بعدم جواز الَمسّ لمن فقد الطهور بناءً على رجوع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القرآن و أنّ النفي بمعنى النّهي، لكن لولا هذا الاتّفاق لكان للكلام مجال فلا يصلح غيره دليلاً، فإنّ الآية و ما رووا 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يمسّ القرآن </w:t>
      </w:r>
    </w:p>
    <w:p>
      <w:pPr>
        <w:pStyle w:val="BookText"/>
        <w:rPr/>
      </w:pPr>
      <w:r>
        <w:rPr>
          <w:rFonts w:ascii="Amiri" w:hAnsi="Amiri" w:eastAsia="Amiri" w:cs="Amiri"/>
          <w:color w:val="111111"/>
          <w:sz w:val="28"/>
          <w:sz w:val="28"/>
          <w:szCs w:val="28"/>
          <w:rtl w:val="true"/>
          <w:lang w:bidi="ar-SA"/>
        </w:rPr>
        <w:t>إلَّا طاهر</w:t>
      </w:r>
      <w:r>
        <w:rPr>
          <w:rFonts w:eastAsia="Amiri" w:cs="Amiri" w:ascii="Amiri" w:hAnsi="Amiri"/>
          <w:color w:val="111111"/>
          <w:sz w:val="28"/>
          <w:szCs w:val="28"/>
          <w:rtl w:val="true"/>
          <w:lang w:bidi="ar-SA"/>
        </w:rPr>
        <w:t xml:space="preserve">» </w:t>
      </w:r>
      <w:r>
        <w:rPr>
          <w:rStyle w:val="FootnoteAnchor"/>
          <w:rtl w:val="true"/>
        </w:rPr>
        <w:footnoteReference w:id="3257"/>
      </w:r>
      <w:r>
        <w:rPr>
          <w:rFonts w:ascii="Amiri" w:hAnsi="Amiri" w:eastAsia="Amiri" w:cs="Amiri"/>
          <w:color w:val="111111"/>
          <w:sz w:val="28"/>
          <w:sz w:val="28"/>
          <w:szCs w:val="28"/>
          <w:rtl w:val="true"/>
          <w:lang w:bidi="ar-SA"/>
        </w:rPr>
        <w:t>، لا ينهض بالمدّعى؛ لعدم العلم بالمراد من الطهارة، فلو أُريد بها رفع الخَبَث سقط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يختصّ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بجزء من بدنه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يعمّ حتّى ما لا تحلّه الحياة من البدن؟ وجهان، اختار ابن فهد </w:t>
      </w:r>
      <w:r>
        <w:rPr>
          <w:rStyle w:val="FootnoteAnchor"/>
          <w:rtl w:val="true"/>
        </w:rPr>
        <w:footnoteReference w:id="3258"/>
      </w:r>
      <w:r>
        <w:rPr>
          <w:rFonts w:ascii="Amiri" w:hAnsi="Amiri" w:eastAsia="Amiri" w:cs="Amiri"/>
          <w:color w:val="111111"/>
          <w:sz w:val="28"/>
          <w:sz w:val="28"/>
          <w:szCs w:val="28"/>
          <w:rtl w:val="true"/>
          <w:lang w:bidi="ar-SA"/>
        </w:rPr>
        <w:t xml:space="preserve">و جماعة منهم الشارح الأوّل، و استقرب الفاضلان </w:t>
      </w:r>
      <w:r>
        <w:rPr>
          <w:rStyle w:val="FootnoteAnchor"/>
          <w:rtl w:val="true"/>
        </w:rPr>
        <w:footnoteReference w:id="3259"/>
      </w:r>
      <w:r>
        <w:rPr>
          <w:rFonts w:ascii="Amiri" w:hAnsi="Amiri" w:eastAsia="Amiri" w:cs="Amiri"/>
          <w:color w:val="111111"/>
          <w:sz w:val="28"/>
          <w:sz w:val="28"/>
          <w:szCs w:val="28"/>
          <w:rtl w:val="true"/>
          <w:lang w:bidi="ar-SA"/>
        </w:rPr>
        <w:t xml:space="preserve">الأخير، و تردّد فيه في التذكرة </w:t>
      </w:r>
      <w:r>
        <w:rPr>
          <w:rStyle w:val="FootnoteAnchor"/>
          <w:rtl w:val="true"/>
        </w:rPr>
        <w:footnoteReference w:id="3260"/>
      </w:r>
      <w:r>
        <w:rPr>
          <w:rFonts w:ascii="Amiri" w:hAnsi="Amiri" w:eastAsia="Amiri" w:cs="Amiri"/>
          <w:color w:val="111111"/>
          <w:sz w:val="28"/>
          <w:sz w:val="28"/>
          <w:szCs w:val="28"/>
          <w:rtl w:val="true"/>
          <w:lang w:bidi="ar-SA"/>
        </w:rPr>
        <w:t>و يقوى ابتناء الحرمة على ما يجب غسله من حدث الجنابة و لو ممّا لا تحلّه الحياة، بل لا يبعد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مَسَّ غير القرآن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 في غيره، قُصدَ بالكتابة أو لا، بأن كان جزء علم كعبد الله، أو يريد بإطلاقه إدخال مثل الرّحمن ممّا لم يكن علماً و كان مختصّاً، و الحكم في لفظ الجلالة كأنّه لا إشكال فيه، بل الإجماع عليه، و هو صريح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 الجنب درهماً و لا ديناراً عليه اسم الله تعالى</w:t>
      </w:r>
      <w:r>
        <w:rPr>
          <w:rFonts w:eastAsia="IRNazanin" w:cs="IRNazanin"/>
          <w:color w:val="111111"/>
          <w:sz w:val="28"/>
          <w:szCs w:val="28"/>
          <w:rtl w:val="true"/>
          <w:lang w:bidi="fa-IR"/>
        </w:rPr>
        <w:t xml:space="preserve">» </w:t>
      </w:r>
      <w:r>
        <w:rPr>
          <w:rStyle w:val="FootnoteAnchor"/>
          <w:rtl w:val="true"/>
        </w:rPr>
        <w:footnoteReference w:id="3261"/>
      </w:r>
      <w:r>
        <w:rPr>
          <w:rFonts w:ascii="Amiri" w:hAnsi="Amiri" w:eastAsia="Amiri" w:cs="Amiri"/>
          <w:color w:val="111111"/>
          <w:sz w:val="28"/>
          <w:sz w:val="28"/>
          <w:szCs w:val="28"/>
          <w:rtl w:val="true"/>
          <w:lang w:bidi="ar-SA"/>
        </w:rPr>
        <w:t>، بل هو المناسب للتعظيم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توقّفُ البعض </w:t>
      </w:r>
      <w:r>
        <w:rPr>
          <w:rStyle w:val="FootnoteAnchor"/>
          <w:rtl w:val="true"/>
        </w:rPr>
        <w:footnoteReference w:id="3262"/>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للمعارضة برواية الحسن بن محبوب </w:t>
      </w:r>
      <w:r>
        <w:rPr>
          <w:rStyle w:val="FootnoteAnchor"/>
          <w:rtl w:val="true"/>
        </w:rPr>
        <w:footnoteReference w:id="3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يُعتنى بها </w:t>
      </w:r>
      <w:r>
        <w:rPr>
          <w:rStyle w:val="FootnoteAnchor"/>
          <w:rtl w:val="true"/>
        </w:rPr>
        <w:footnoteReference w:id="3264"/>
      </w:r>
      <w:r>
        <w:rPr>
          <w:rFonts w:ascii="IRNazanin" w:hAnsi="IRNazanin" w:eastAsia="IRNazanin"/>
          <w:color w:val="111111"/>
          <w:sz w:val="28"/>
          <w:sz w:val="28"/>
          <w:szCs w:val="28"/>
          <w:rtl w:val="true"/>
          <w:lang w:bidi="fa-IR"/>
        </w:rPr>
        <w:t xml:space="preserve">بعد ذهاب الكلّ إلى الحرمة، إنّما الكلام في لحوق غير لفظ الجلالة من أسمائه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النبي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بلا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الاثني عشر بالحكم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هل تقصر الحرمة على مَسّ نفس الاسم فيجوز مَسّ ما عليه الاسم من الجسم أو لا؟ إشكالٌ نَصَّ ابن فهد </w:t>
      </w:r>
      <w:r>
        <w:rPr>
          <w:rStyle w:val="FootnoteAnchor"/>
          <w:rtl w:val="true"/>
        </w:rPr>
        <w:footnoteReference w:id="3265"/>
      </w:r>
      <w:r>
        <w:rPr>
          <w:rFonts w:ascii="Amiri" w:hAnsi="Amiri" w:eastAsia="Amiri" w:cs="Amiri"/>
          <w:color w:val="111111"/>
          <w:sz w:val="28"/>
          <w:sz w:val="28"/>
          <w:szCs w:val="28"/>
          <w:rtl w:val="true"/>
          <w:lang w:bidi="ar-SA"/>
        </w:rPr>
        <w:t xml:space="preserve">على اختصاصها بلفظ الجلالة اقتصاراً على مورد الرواية، و طرد غيرُه الحكمَ في أسمائه مطلقاً كما في النهاية </w:t>
      </w:r>
      <w:r>
        <w:rPr>
          <w:rStyle w:val="FootnoteAnchor"/>
          <w:rtl w:val="true"/>
        </w:rPr>
        <w:footnoteReference w:id="3266"/>
      </w:r>
      <w:r>
        <w:rPr>
          <w:rFonts w:ascii="IRNazanin" w:hAnsi="IRNazanin" w:eastAsia="IRNazanin"/>
          <w:color w:val="111111"/>
          <w:sz w:val="28"/>
          <w:sz w:val="28"/>
          <w:szCs w:val="28"/>
          <w:rtl w:val="true"/>
          <w:lang w:bidi="fa-IR"/>
        </w:rPr>
        <w:t xml:space="preserve">و المصباح </w:t>
      </w:r>
      <w:r>
        <w:rPr>
          <w:rStyle w:val="FootnoteAnchor"/>
          <w:rtl w:val="true"/>
        </w:rPr>
        <w:footnoteReference w:id="3267"/>
      </w:r>
      <w:r>
        <w:rPr>
          <w:rFonts w:ascii="Amiri" w:hAnsi="Amiri" w:eastAsia="Amiri" w:cs="Amiri"/>
          <w:color w:val="111111"/>
          <w:sz w:val="28"/>
          <w:sz w:val="28"/>
          <w:szCs w:val="28"/>
          <w:rtl w:val="true"/>
          <w:lang w:bidi="ar-SA"/>
        </w:rPr>
        <w:t xml:space="preserve">و غيرهما </w:t>
      </w:r>
      <w:r>
        <w:rPr>
          <w:rStyle w:val="FootnoteAnchor"/>
          <w:rtl w:val="true"/>
        </w:rPr>
        <w:footnoteReference w:id="3268"/>
      </w:r>
      <w:r>
        <w:rPr>
          <w:rFonts w:ascii="Amiri" w:hAnsi="Amiri" w:eastAsia="Amiri" w:cs="Amiri"/>
          <w:color w:val="111111"/>
          <w:sz w:val="28"/>
          <w:sz w:val="28"/>
          <w:szCs w:val="28"/>
          <w:rtl w:val="true"/>
          <w:lang w:bidi="ar-SA"/>
        </w:rPr>
        <w:t xml:space="preserve">، حيث عبّروا باسم من أسمائه لزعمهم عموم الاسم المضاف إليه لجميع ذلك، و بعضٌ </w:t>
      </w:r>
      <w:r>
        <w:rPr>
          <w:rStyle w:val="FootnoteAnchor"/>
          <w:rtl w:val="true"/>
        </w:rPr>
        <w:footnoteReference w:id="3269"/>
      </w:r>
      <w:r>
        <w:rPr>
          <w:rFonts w:ascii="Amiri" w:hAnsi="Amiri" w:eastAsia="Amiri" w:cs="Amiri"/>
          <w:color w:val="111111"/>
          <w:sz w:val="28"/>
          <w:sz w:val="28"/>
          <w:szCs w:val="28"/>
          <w:rtl w:val="true"/>
          <w:lang w:bidi="ar-SA"/>
        </w:rPr>
        <w:t xml:space="preserve">قصره على ما اختصّ الله به مثل الرّحمن دون الرّحيم، و عبارة المصنّف هنا و بغيره </w:t>
      </w:r>
      <w:r>
        <w:rPr>
          <w:rStyle w:val="FootnoteAnchor"/>
          <w:rtl w:val="true"/>
        </w:rPr>
        <w:footnoteReference w:id="3270"/>
      </w:r>
      <w:r>
        <w:rPr>
          <w:rFonts w:ascii="Amiri" w:hAnsi="Amiri" w:eastAsia="Amiri" w:cs="Amiri"/>
          <w:color w:val="111111"/>
          <w:sz w:val="28"/>
          <w:sz w:val="28"/>
          <w:szCs w:val="28"/>
          <w:rtl w:val="true"/>
          <w:lang w:bidi="ar-SA"/>
        </w:rPr>
        <w:t xml:space="preserve">كعبارة الشيخ في المبسوط و الجمل </w:t>
      </w:r>
      <w:r>
        <w:rPr>
          <w:rStyle w:val="FootnoteAnchor"/>
          <w:rtl w:val="true"/>
        </w:rPr>
        <w:footnoteReference w:id="3271"/>
      </w:r>
      <w:r>
        <w:rPr>
          <w:rFonts w:ascii="Amiri" w:hAnsi="Amiri" w:eastAsia="Amiri" w:cs="Amiri"/>
          <w:color w:val="111111"/>
          <w:sz w:val="28"/>
          <w:sz w:val="28"/>
          <w:szCs w:val="28"/>
          <w:rtl w:val="true"/>
          <w:lang w:bidi="ar-SA"/>
        </w:rPr>
        <w:t xml:space="preserve">و الفاضلين </w:t>
      </w:r>
      <w:r>
        <w:rPr>
          <w:rStyle w:val="FootnoteAnchor"/>
          <w:rtl w:val="true"/>
        </w:rPr>
        <w:footnoteReference w:id="3272"/>
      </w:r>
      <w:r>
        <w:rPr>
          <w:rFonts w:ascii="Amiri" w:hAnsi="Amiri" w:eastAsia="Amiri" w:cs="Amiri"/>
          <w:color w:val="111111"/>
          <w:sz w:val="28"/>
          <w:sz w:val="28"/>
          <w:szCs w:val="28"/>
          <w:rtl w:val="true"/>
          <w:lang w:bidi="ar-SA"/>
        </w:rPr>
        <w:t>في جملة من كتبهما تحتمل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احتياج التعدّي إلى غير لفظ الجلالة من أسمائه تعالى و اسم النبيّ صلّی الله علیه و آله و الأئمّة علیهم السلام إلى الدّليل، و ليس هناك نصّ صحيح يوجد به و إن كان الأحوط هو التعدّي؛ لذهاب جملة من الأصحاب إليه، و لأنه المناسب لجلالة قدرهم، بل لا يبعد الحرمة في المختصّ من أسمائه تعالى غير الله جلّ اسمه في كلّ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الظاهر حرمة مَسّ نفس الاسم لا مطلق الجسم و إن اقتضاه إطلاق الخبر؛ لوجوب صرفه إلى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المحرّم مَسّه من اسم النبيّ صلّی الله علیه و آله و ولده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لا مجرّد الاسم المطابق</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إرجاع القيد إلى الجميع فلا يشمل التحريم لما جعل جزء اسم كعبد الله علماً، و الأوّل أظهر، و يظهر من الشارح إطلاق حرمة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 الفرقان أو هذه الأسماء </w:t>
      </w:r>
      <w:bookmarkStart w:id="278" w:name="pg9146_86447"/>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درهم أو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استثناهما الخبري البزنطي </w:t>
      </w:r>
      <w:r>
        <w:rPr>
          <w:rStyle w:val="FootnoteAnchor"/>
          <w:rtl w:val="true"/>
        </w:rPr>
        <w:footnoteReference w:id="3273"/>
      </w:r>
      <w:r>
        <w:rPr>
          <w:rFonts w:ascii="IRNazanin" w:hAnsi="IRNazanin" w:eastAsia="IRNazanin"/>
          <w:color w:val="111111"/>
          <w:sz w:val="28"/>
          <w:sz w:val="28"/>
          <w:szCs w:val="28"/>
          <w:rtl w:val="true"/>
          <w:lang w:bidi="fa-IR"/>
        </w:rPr>
        <w:t xml:space="preserve">و ابن محبوب </w:t>
      </w:r>
      <w:r>
        <w:rPr>
          <w:rStyle w:val="FootnoteAnchor"/>
          <w:rtl w:val="true"/>
        </w:rPr>
        <w:footnoteReference w:id="3274"/>
      </w:r>
      <w:r>
        <w:rPr>
          <w:rFonts w:ascii="Amiri" w:hAnsi="Amiri" w:eastAsia="Amiri" w:cs="Amiri"/>
          <w:color w:val="111111"/>
          <w:sz w:val="28"/>
          <w:sz w:val="28"/>
          <w:szCs w:val="28"/>
          <w:rtl w:val="true"/>
          <w:lang w:bidi="ar-SA"/>
        </w:rPr>
        <w:t>، و كأنّ منشأه الجمع بين الموثّقة و بينهما بجعل الحرمة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لأنه لا يجري على قواعد الجمع في المتباينين؛ إذ بعد التكافؤ و الطّرح يتجه الجواز مطلقاً لو كان الدليل على الحرمة الموثّقة، و إن كان الإجماع اتّجهت الحرمة كذلك، فالقصر غير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و إن لم يتّضح لنا دليل الحرمة لكنّا نحكم بها تبعاً لها، و لأنّ الحكم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نزيغ عن الجمهور</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3322714_2870459653"/>
      <w:bookmarkStart w:id="280" w:name="_Toc95"/>
      <w:bookmarkEnd w:id="279"/>
      <w:r>
        <w:rPr>
          <w:rtl w:val="true"/>
        </w:rPr>
        <w:t>[</w:t>
      </w:r>
      <w:r>
        <w:rPr>
          <w:rtl w:val="true"/>
        </w:rPr>
        <w:t>يكره للجنب أمور</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يتمضمض و يستنشق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نسبه في المعتبر </w:t>
      </w:r>
      <w:r>
        <w:rPr>
          <w:rStyle w:val="FootnoteAnchor"/>
          <w:rtl w:val="true"/>
        </w:rPr>
        <w:footnoteReference w:id="3275"/>
      </w:r>
      <w:r>
        <w:rPr>
          <w:rFonts w:ascii="Amiri" w:hAnsi="Amiri" w:eastAsia="Amiri" w:cs="Amiri"/>
          <w:color w:val="111111"/>
          <w:sz w:val="28"/>
          <w:sz w:val="28"/>
          <w:szCs w:val="28"/>
          <w:rtl w:val="true"/>
          <w:lang w:bidi="ar-SA"/>
        </w:rPr>
        <w:t xml:space="preserve">إلى الخمسة و 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أكمل للنّصوص </w:t>
      </w:r>
      <w:r>
        <w:rPr>
          <w:rStyle w:val="FootnoteAnchor"/>
          <w:rtl w:val="true"/>
        </w:rPr>
        <w:footnoteReference w:id="3276"/>
      </w:r>
      <w:r>
        <w:rPr>
          <w:rFonts w:ascii="Amiri" w:hAnsi="Amiri" w:eastAsia="Amiri" w:cs="Amiri"/>
          <w:color w:val="111111"/>
          <w:sz w:val="28"/>
          <w:sz w:val="28"/>
          <w:szCs w:val="28"/>
          <w:rtl w:val="true"/>
          <w:lang w:bidi="ar-SA"/>
        </w:rPr>
        <w:t xml:space="preserve">، و الفضل في التّرك حتّى 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أكل قبل ذلك خِيفَ عليه البرص</w:t>
      </w:r>
      <w:r>
        <w:rPr>
          <w:rFonts w:eastAsia="Amiri" w:cs="Amiri" w:ascii="Amiri" w:hAnsi="Amiri"/>
          <w:color w:val="111111"/>
          <w:sz w:val="28"/>
          <w:szCs w:val="28"/>
          <w:rtl w:val="true"/>
          <w:lang w:bidi="ar-SA"/>
        </w:rPr>
        <w:t xml:space="preserve">) </w:t>
      </w:r>
      <w:r>
        <w:rPr>
          <w:rStyle w:val="FootnoteAnchor"/>
          <w:rtl w:val="true"/>
        </w:rPr>
        <w:footnoteReference w:id="3277"/>
      </w:r>
      <w:r>
        <w:rPr>
          <w:rFonts w:ascii="Amiri" w:hAnsi="Amiri" w:eastAsia="Amiri" w:cs="Amiri"/>
          <w:color w:val="111111"/>
          <w:sz w:val="28"/>
          <w:sz w:val="28"/>
          <w:szCs w:val="28"/>
          <w:rtl w:val="true"/>
          <w:lang w:bidi="ar-SA"/>
        </w:rPr>
        <w:t xml:space="preserve">، و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الوضح</w:t>
      </w:r>
      <w:r>
        <w:rPr>
          <w:rFonts w:eastAsia="Amiri" w:cs="Amiri" w:ascii="Amiri" w:hAnsi="Amiri"/>
          <w:color w:val="111111"/>
          <w:sz w:val="28"/>
          <w:szCs w:val="28"/>
          <w:rtl w:val="true"/>
          <w:lang w:bidi="ar-SA"/>
        </w:rPr>
        <w:t xml:space="preserve">» </w:t>
      </w:r>
      <w:r>
        <w:rPr>
          <w:rStyle w:val="FootnoteAnchor"/>
          <w:rtl w:val="true"/>
        </w:rPr>
        <w:footnoteReference w:id="3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علیه و آله نهى عن الأكل على الجنابة، و قال 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يورث الفقر</w:t>
      </w:r>
      <w:r>
        <w:rPr>
          <w:rFonts w:eastAsia="IRNazanin" w:cs="IRNazanin"/>
          <w:color w:val="111111"/>
          <w:sz w:val="28"/>
          <w:szCs w:val="28"/>
          <w:rtl w:val="true"/>
          <w:lang w:bidi="fa-IR"/>
        </w:rPr>
        <w:t xml:space="preserve">» </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الرّواية أنّه يورث ذلك و لو كان بعد الوضوء، أو بعدهما، فلا يرتفع ذلك إلَّا بالغسل، و لعلّ الشارح أو ما إليه و إن أوهَم سَوْقَه الارتفاع بهما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أو ما قبله بتعدّد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التّراخي عادةً لا مع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تعدّد فيه عرفاً، و احتمل بعضهم </w:t>
      </w:r>
      <w:r>
        <w:rPr>
          <w:rStyle w:val="FootnoteAnchor"/>
          <w:rtl w:val="true"/>
        </w:rPr>
        <w:footnoteReference w:id="3280"/>
      </w:r>
      <w:r>
        <w:rPr>
          <w:rFonts w:ascii="Amiri" w:hAnsi="Amiri" w:eastAsia="Amiri" w:cs="Amiri"/>
          <w:color w:val="111111"/>
          <w:sz w:val="28"/>
          <w:sz w:val="28"/>
          <w:szCs w:val="28"/>
          <w:rtl w:val="true"/>
          <w:lang w:bidi="ar-SA"/>
        </w:rPr>
        <w:t xml:space="preserve">التعدّد عند تخلّل الحَدَث لا تعدّد الأكل، و اجتزأ آخر </w:t>
      </w:r>
      <w:r>
        <w:rPr>
          <w:rStyle w:val="FootnoteAnchor"/>
          <w:rtl w:val="true"/>
        </w:rPr>
        <w:footnoteReference w:id="3281"/>
      </w:r>
      <w:r>
        <w:rPr>
          <w:rFonts w:ascii="IRNazanin" w:hAnsi="IRNazanin" w:eastAsia="IRNazanin"/>
          <w:color w:val="111111"/>
          <w:sz w:val="28"/>
          <w:sz w:val="28"/>
          <w:szCs w:val="28"/>
          <w:rtl w:val="true"/>
          <w:lang w:bidi="fa-IR"/>
        </w:rPr>
        <w:t xml:space="preserve">بواحد مطلقاً، و زعم ثالث </w:t>
      </w:r>
      <w:r>
        <w:rPr>
          <w:rStyle w:val="FootnoteAnchor"/>
          <w:rtl w:val="true"/>
        </w:rPr>
        <w:footnoteReference w:id="3282"/>
      </w:r>
      <w:r>
        <w:rPr>
          <w:rFonts w:ascii="Amiri" w:hAnsi="Amiri" w:eastAsia="Amiri" w:cs="Amiri"/>
          <w:color w:val="111111"/>
          <w:sz w:val="28"/>
          <w:sz w:val="28"/>
          <w:szCs w:val="28"/>
          <w:rtl w:val="true"/>
          <w:lang w:bidi="ar-SA"/>
        </w:rPr>
        <w:t xml:space="preserve">التعدّد للأكل و الشرب الممتزج، و اكتفى رابع </w:t>
      </w:r>
      <w:r>
        <w:rPr>
          <w:rStyle w:val="FootnoteAnchor"/>
          <w:rtl w:val="true"/>
        </w:rPr>
        <w:footnoteReference w:id="3283"/>
      </w:r>
      <w:r>
        <w:rPr>
          <w:rFonts w:ascii="Amiri" w:hAnsi="Amiri" w:eastAsia="Amiri" w:cs="Amiri"/>
          <w:color w:val="111111"/>
          <w:sz w:val="28"/>
          <w:sz w:val="28"/>
          <w:szCs w:val="28"/>
          <w:rtl w:val="true"/>
          <w:lang w:bidi="ar-SA"/>
        </w:rPr>
        <w:t>بواحد للمتّصلين، و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الحلبي </w:t>
      </w:r>
      <w:r>
        <w:rPr>
          <w:rStyle w:val="FootnoteAnchor"/>
          <w:rtl w:val="true"/>
        </w:rPr>
        <w:footnoteReference w:id="3284"/>
      </w:r>
      <w:r>
        <w:rPr>
          <w:rFonts w:ascii="Amiri" w:hAnsi="Amiri" w:eastAsia="Amiri" w:cs="Amiri"/>
          <w:color w:val="111111"/>
          <w:sz w:val="28"/>
          <w:sz w:val="28"/>
          <w:szCs w:val="28"/>
          <w:rtl w:val="true"/>
          <w:lang w:bidi="ar-SA"/>
        </w:rPr>
        <w:t>، و الظاهر أنّه يخفّف الكراهة لا يرفعها لرواية عبد الرحمن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فليغتسل</w:t>
      </w:r>
      <w:r>
        <w:rPr>
          <w:rFonts w:eastAsia="Amiri" w:cs="Amiri" w:ascii="Amiri" w:hAnsi="Amiri"/>
          <w:color w:val="111111"/>
          <w:sz w:val="28"/>
          <w:szCs w:val="28"/>
          <w:rtl w:val="true"/>
          <w:lang w:bidi="ar-SA"/>
        </w:rPr>
        <w:t xml:space="preserve">» </w:t>
      </w:r>
      <w:r>
        <w:rPr>
          <w:rStyle w:val="FootnoteAnchor"/>
          <w:rtl w:val="true"/>
        </w:rPr>
        <w:footnoteReference w:id="3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 النوم على الوجه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لتوقّفها عليه مثل الاستباحة في الوضوء المبيح، و لو نوى مكانها رفع الحَدَث أو جمع بينهما جاز له، و قد نصّ الفاضلان </w:t>
      </w:r>
      <w:r>
        <w:rPr>
          <w:rStyle w:val="FootnoteAnchor"/>
          <w:rtl w:val="true"/>
        </w:rPr>
        <w:footnoteReference w:id="3286"/>
      </w:r>
      <w:r>
        <w:rPr>
          <w:rFonts w:ascii="Amiri" w:hAnsi="Amiri" w:eastAsia="Amiri" w:cs="Amiri"/>
          <w:color w:val="111111"/>
          <w:sz w:val="28"/>
          <w:sz w:val="28"/>
          <w:szCs w:val="28"/>
          <w:rtl w:val="true"/>
          <w:lang w:bidi="ar-SA"/>
        </w:rPr>
        <w:t xml:space="preserve">على جعله غاية، لكن في الذكرى </w:t>
      </w:r>
      <w:r>
        <w:rPr>
          <w:rStyle w:val="FootnoteAnchor"/>
          <w:rtl w:val="true"/>
        </w:rPr>
        <w:footnoteReference w:id="3287"/>
      </w:r>
      <w:r>
        <w:rPr>
          <w:rFonts w:ascii="Amiri" w:hAnsi="Amiri" w:eastAsia="Amiri" w:cs="Amiri"/>
          <w:color w:val="111111"/>
          <w:sz w:val="28"/>
          <w:sz w:val="28"/>
          <w:szCs w:val="28"/>
          <w:rtl w:val="true"/>
          <w:lang w:bidi="ar-SA"/>
        </w:rPr>
        <w:t>و في نيّة النوم للوضوء نظر؛ لأنه نوى وضوءاً لحدثٍ</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المنوي هو رفع الحَدَث قبل النوم أو استباحته ليقع على الوجه الأكمل، و تحصل هذه النّية بنيّة الوضوء للنوم، فالناوي إن جمع بينهما فقد نوى الغاية و غاية الغاية و هي الرفع، و إن أفرد نوى نفس الغاية، و كون الحَدَث لا يرفعه غير الغسل غير مضرّ؛ لأنّ المراد به الحكم المترتّب على الجنابة من الممنوع، و المنع من النوم على وجه الكراهة يرتفع </w:t>
      </w:r>
    </w:p>
    <w:p>
      <w:pPr>
        <w:pStyle w:val="BookText"/>
        <w:rPr/>
      </w:pPr>
      <w:r>
        <w:rPr>
          <w:rFonts w:ascii="Amiri" w:hAnsi="Amiri" w:eastAsia="Amiri" w:cs="Amiri"/>
          <w:color w:val="111111"/>
          <w:sz w:val="28"/>
          <w:sz w:val="28"/>
          <w:szCs w:val="28"/>
          <w:rtl w:val="true"/>
          <w:lang w:bidi="ar-SA"/>
        </w:rPr>
        <w:t xml:space="preserve">بالوضوء، و يصحّ نيّة رفعه أو رفع شدّته على ما اخترنا، فهو رافع و مبيح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و نحوها ممّا كان شرطه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المنويّة هي النوم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إيقاعه، فلا يراد به رفع الحَدَث المبيح، و الاستباحة لا تحصل إلَّا برفع تمام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المبيح للجنب هو الغسل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الوضوء و الغسل كما في الحائض، فلو منع كون الغاية هنا حَدَثاً، بأن كانت الغاية كمال النّوم لا نفسه ليكون حدثاً أيضاً لا ينفع؛ لانحصار المبيح للجنب بالغسل فقط، هذا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إيقاع النّوم لا يلزمها عدم إمكان نيّة رفع الحَدَث؛ إذ لا مانع من أنّ ينوي رفع حدثه ليستبيح به إيقاع النوم، و لا فساد في أن يكون رفع الحَدَث شرطاً لإباحة حدث آخر، و لو أراد بعدم الإباحة نفي أن يكون مبيحاً للعبادة المشروطة بالطهارة من جهة هذا الحَدَث المراد إيقاعه يتوجه عليه أنّه لا مانع من أنّ ينوي رفع تمام أحداثه؛ ليوقع النوم على الوجه المباح، فيكون حينئذٍ مبيحاً قبل إيقاعه لكلّ عبادة؛ لأنّ الناقض وجوده لا نفس نيته، و على الأخير إنَّ المبيح للجنب في الصلاة منحصر بما ذكر، و أمّا مبيح النّوم فالوضوء، فلا مانع من كونه مبيحاً بالاعتبارين، و لا موجب للحصر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بالحنّاء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 </w:t>
      </w:r>
      <w:r>
        <w:rPr>
          <w:rStyle w:val="FootnoteAnchor"/>
          <w:rtl w:val="true"/>
        </w:rPr>
        <w:footnoteReference w:id="3288"/>
      </w:r>
      <w:r>
        <w:rPr>
          <w:rFonts w:ascii="Amiri" w:hAnsi="Amiri" w:eastAsia="Amiri" w:cs="Amiri"/>
          <w:color w:val="111111"/>
          <w:sz w:val="28"/>
          <w:sz w:val="28"/>
          <w:szCs w:val="28"/>
          <w:rtl w:val="true"/>
          <w:lang w:bidi="ar-SA"/>
        </w:rPr>
        <w:t xml:space="preserve">، و خصّه سلّار </w:t>
      </w:r>
      <w:r>
        <w:rPr>
          <w:rStyle w:val="FootnoteAnchor"/>
          <w:rtl w:val="true"/>
        </w:rPr>
        <w:footnoteReference w:id="3289"/>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بعلاقة الأول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يجنب و هو مختضب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يأخذ الخضاب مأخذه كما في النّص </w:t>
      </w:r>
      <w:r>
        <w:rPr>
          <w:rStyle w:val="FootnoteAnchor"/>
          <w:rtl w:val="true"/>
        </w:rPr>
        <w:footnoteReference w:id="3290"/>
      </w:r>
      <w:r>
        <w:rPr>
          <w:rFonts w:ascii="Amiri" w:hAnsi="Amiri" w:eastAsia="Amiri" w:cs="Amiri"/>
          <w:color w:val="111111"/>
          <w:sz w:val="28"/>
          <w:sz w:val="28"/>
          <w:szCs w:val="28"/>
          <w:rtl w:val="true"/>
          <w:lang w:bidi="ar-SA"/>
        </w:rPr>
        <w:t xml:space="preserve">، و الحكم معلن به، مجمع </w:t>
      </w:r>
      <w:r>
        <w:rPr>
          <w:rStyle w:val="FootnoteAnchor"/>
          <w:rtl w:val="true"/>
        </w:rPr>
        <w:footnoteReference w:id="3291"/>
      </w:r>
      <w:r>
        <w:rPr>
          <w:rFonts w:ascii="Amiri" w:hAnsi="Amiri" w:eastAsia="Amiri" w:cs="Amiri"/>
          <w:color w:val="111111"/>
          <w:sz w:val="28"/>
          <w:sz w:val="28"/>
          <w:szCs w:val="28"/>
          <w:rtl w:val="true"/>
          <w:lang w:bidi="ar-SA"/>
        </w:rPr>
        <w:t xml:space="preserve">عليه، مطلق بالنسبة إلى الكفّ </w:t>
      </w:r>
    </w:p>
    <w:p>
      <w:pPr>
        <w:pStyle w:val="BookText"/>
        <w:rPr/>
      </w:pPr>
      <w:r>
        <w:rPr>
          <w:rFonts w:ascii="Amiri" w:hAnsi="Amiri" w:eastAsia="Amiri" w:cs="Amiri"/>
          <w:color w:val="111111"/>
          <w:sz w:val="28"/>
          <w:sz w:val="28"/>
          <w:szCs w:val="28"/>
          <w:rtl w:val="true"/>
          <w:lang w:bidi="ar-SA"/>
        </w:rPr>
        <w:t xml:space="preserve">و غيره، و هو الذي يقتضيه الجمع بين النّصوص، إلَّا أنّه في الأوّل آكَد و أجلى، لكن احتمل في عبارة المفيد </w:t>
      </w:r>
      <w:r>
        <w:rPr>
          <w:rStyle w:val="FootnoteAnchor"/>
          <w:rtl w:val="true"/>
        </w:rPr>
        <w:footnoteReference w:id="3292"/>
      </w:r>
      <w:r>
        <w:rPr>
          <w:rFonts w:ascii="Amiri" w:hAnsi="Amiri" w:eastAsia="Amiri" w:cs="Amiri"/>
          <w:color w:val="111111"/>
          <w:sz w:val="28"/>
          <w:sz w:val="28"/>
          <w:szCs w:val="28"/>
          <w:rtl w:val="true"/>
          <w:lang w:bidi="ar-SA"/>
        </w:rPr>
        <w:t xml:space="preserve">الحرمة، و الصدوق </w:t>
      </w:r>
      <w:r>
        <w:rPr>
          <w:rStyle w:val="FootnoteAnchor"/>
          <w:rtl w:val="true"/>
        </w:rPr>
        <w:footnoteReference w:id="3293"/>
      </w:r>
      <w:r>
        <w:rPr>
          <w:rFonts w:ascii="Amiri" w:hAnsi="Amiri" w:eastAsia="Amiri" w:cs="Amiri"/>
          <w:color w:val="111111"/>
          <w:sz w:val="28"/>
          <w:sz w:val="28"/>
          <w:szCs w:val="28"/>
          <w:rtl w:val="true"/>
          <w:lang w:bidi="ar-SA"/>
        </w:rPr>
        <w:t>عدم الكراهة، و التأمّل فيهما يُعطي غير المحتمل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أيضاً في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العزائم، بل هو المشهور </w:t>
      </w:r>
      <w:r>
        <w:rPr>
          <w:rStyle w:val="FootnoteAnchor"/>
          <w:rtl w:val="true"/>
        </w:rPr>
        <w:footnoteReference w:id="3294"/>
      </w:r>
      <w:r>
        <w:rPr>
          <w:rFonts w:ascii="Amiri" w:hAnsi="Amiri" w:eastAsia="Amiri" w:cs="Amiri"/>
          <w:color w:val="111111"/>
          <w:sz w:val="28"/>
          <w:sz w:val="28"/>
          <w:szCs w:val="28"/>
          <w:rtl w:val="true"/>
          <w:lang w:bidi="ar-SA"/>
        </w:rPr>
        <w:t>، فلا كراهة في السبع</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المفيد </w:t>
      </w:r>
      <w:r>
        <w:rPr>
          <w:rStyle w:val="FootnoteAnchor"/>
          <w:rtl w:val="true"/>
        </w:rPr>
        <w:footnoteReference w:id="3295"/>
      </w:r>
      <w:r>
        <w:rPr>
          <w:rFonts w:ascii="Amiri" w:hAnsi="Amiri" w:eastAsia="Amiri" w:cs="Amiri"/>
          <w:color w:val="111111"/>
          <w:sz w:val="28"/>
          <w:sz w:val="28"/>
          <w:szCs w:val="28"/>
          <w:rtl w:val="true"/>
          <w:lang w:bidi="ar-SA"/>
        </w:rPr>
        <w:t xml:space="preserve">و النهاية </w:t>
      </w:r>
      <w:r>
        <w:rPr>
          <w:rStyle w:val="FootnoteAnchor"/>
          <w:rtl w:val="true"/>
        </w:rPr>
        <w:footnoteReference w:id="3296"/>
      </w:r>
      <w:r>
        <w:rPr>
          <w:rFonts w:ascii="Amiri" w:hAnsi="Amiri" w:eastAsia="Amiri" w:cs="Amiri"/>
          <w:color w:val="111111"/>
          <w:sz w:val="28"/>
          <w:sz w:val="28"/>
          <w:szCs w:val="28"/>
          <w:rtl w:val="true"/>
          <w:lang w:bidi="ar-SA"/>
        </w:rPr>
        <w:t xml:space="preserve">وجود البأس في السبع و عدمه في السّت ممّا دون، و هو محتمل الكراهة و الحرمة، و في الذكرى </w:t>
      </w:r>
      <w:r>
        <w:rPr>
          <w:rStyle w:val="FootnoteAnchor"/>
          <w:rtl w:val="true"/>
        </w:rPr>
        <w:footnoteReference w:id="3297"/>
      </w:r>
      <w:r>
        <w:rPr>
          <w:rFonts w:ascii="Amiri" w:hAnsi="Amiri" w:eastAsia="Amiri" w:cs="Amiri"/>
          <w:color w:val="111111"/>
          <w:sz w:val="28"/>
          <w:sz w:val="28"/>
          <w:szCs w:val="28"/>
          <w:rtl w:val="true"/>
          <w:lang w:bidi="ar-SA"/>
        </w:rPr>
        <w:t xml:space="preserve">عن سلّار تحريم القراءة مطلقاً، و عن ابن البرّاج </w:t>
      </w:r>
      <w:r>
        <w:rPr>
          <w:rStyle w:val="FootnoteAnchor"/>
          <w:rtl w:val="true"/>
        </w:rPr>
        <w:footnoteReference w:id="3298"/>
      </w:r>
      <w:r>
        <w:rPr>
          <w:rFonts w:ascii="Amiri" w:hAnsi="Amiri" w:eastAsia="Amiri" w:cs="Amiri"/>
          <w:color w:val="111111"/>
          <w:sz w:val="28"/>
          <w:sz w:val="28"/>
          <w:szCs w:val="28"/>
          <w:rtl w:val="true"/>
          <w:lang w:bidi="ar-SA"/>
        </w:rPr>
        <w:t xml:space="preserve">تحريم الزائد على العدد المذكور، و الشيخ </w:t>
      </w:r>
      <w:r>
        <w:rPr>
          <w:rStyle w:val="FootnoteAnchor"/>
          <w:rtl w:val="true"/>
        </w:rPr>
        <w:footnoteReference w:id="3299"/>
      </w:r>
      <w:r>
        <w:rPr>
          <w:rFonts w:ascii="Amiri" w:hAnsi="Amiri" w:eastAsia="Amiri" w:cs="Amiri"/>
          <w:color w:val="111111"/>
          <w:sz w:val="28"/>
          <w:sz w:val="28"/>
          <w:szCs w:val="28"/>
          <w:rtl w:val="true"/>
          <w:lang w:bidi="ar-SA"/>
        </w:rPr>
        <w:t xml:space="preserve">نقله عن بعض الأصحاب، و في التهذيب </w:t>
      </w:r>
      <w:r>
        <w:rPr>
          <w:rStyle w:val="FootnoteAnchor"/>
          <w:rtl w:val="true"/>
        </w:rPr>
        <w:footnoteReference w:id="3300"/>
      </w:r>
      <w:r>
        <w:rPr>
          <w:rFonts w:ascii="Amiri" w:hAnsi="Amiri" w:eastAsia="Amiri" w:cs="Amiri"/>
          <w:color w:val="111111"/>
          <w:sz w:val="28"/>
          <w:sz w:val="28"/>
          <w:szCs w:val="28"/>
          <w:rtl w:val="true"/>
          <w:lang w:bidi="ar-SA"/>
        </w:rPr>
        <w:t xml:space="preserve">قصر الإباحة على السبع من أيّ سورة عدا الأربع و بذلك فسّر الأخبار، و الفاضل </w:t>
      </w:r>
      <w:r>
        <w:rPr>
          <w:rStyle w:val="FootnoteAnchor"/>
          <w:rtl w:val="true"/>
        </w:rPr>
        <w:footnoteReference w:id="3301"/>
      </w:r>
      <w:r>
        <w:rPr>
          <w:rFonts w:ascii="Amiri" w:hAnsi="Amiri" w:eastAsia="Amiri" w:cs="Amiri"/>
          <w:color w:val="111111"/>
          <w:sz w:val="28"/>
          <w:sz w:val="28"/>
          <w:szCs w:val="28"/>
          <w:rtl w:val="true"/>
          <w:lang w:bidi="ar-SA"/>
        </w:rPr>
        <w:t xml:space="preserve">نقل حرمة ما زاد على السبعين عن بعض الأصحاب في المنتهى، و أطلق جواز قراءة غير العزائم، و هو ظاهر الحلّي </w:t>
      </w:r>
      <w:r>
        <w:rPr>
          <w:rStyle w:val="FootnoteAnchor"/>
          <w:rtl w:val="true"/>
        </w:rPr>
        <w:footnoteReference w:id="3302"/>
      </w:r>
      <w:r>
        <w:rPr>
          <w:rFonts w:ascii="Amiri" w:hAnsi="Amiri" w:eastAsia="Amiri" w:cs="Amiri"/>
          <w:color w:val="111111"/>
          <w:sz w:val="28"/>
          <w:sz w:val="28"/>
          <w:szCs w:val="28"/>
          <w:rtl w:val="true"/>
          <w:lang w:bidi="ar-SA"/>
        </w:rPr>
        <w:t>، فترتقي لستّ أشهرها ما عليه هما بعد الفاضلين، و أقواهما الحرمة فيما زاد على السبعين، و الكراهة فيما زاد على السبع، و الجواز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لنا على الأوّل موثّقة سماعة </w:t>
      </w:r>
      <w:r>
        <w:rPr>
          <w:rStyle w:val="FootnoteAnchor"/>
          <w:rtl w:val="true"/>
        </w:rPr>
        <w:footnoteReference w:id="3303"/>
      </w:r>
      <w:r>
        <w:rPr>
          <w:rFonts w:ascii="Amiri" w:hAnsi="Amiri" w:eastAsia="Amiri" w:cs="Amiri"/>
          <w:color w:val="111111"/>
          <w:sz w:val="28"/>
          <w:sz w:val="28"/>
          <w:szCs w:val="28"/>
          <w:rtl w:val="true"/>
          <w:lang w:bidi="ar-SA"/>
        </w:rPr>
        <w:t xml:space="preserve">و رواية زرعة </w:t>
      </w:r>
      <w:r>
        <w:rPr>
          <w:rStyle w:val="FootnoteAnchor"/>
          <w:rtl w:val="true"/>
        </w:rPr>
        <w:footnoteReference w:id="3304"/>
      </w:r>
      <w:r>
        <w:rPr>
          <w:rFonts w:ascii="Amiri" w:hAnsi="Amiri" w:eastAsia="Amiri" w:cs="Amiri"/>
          <w:color w:val="111111"/>
          <w:sz w:val="28"/>
          <w:sz w:val="28"/>
          <w:szCs w:val="28"/>
          <w:rtl w:val="true"/>
          <w:lang w:bidi="ar-SA"/>
        </w:rPr>
        <w:t>، فيقيّد بها جميع ما دلّ على جواز قراءة ما شاء من القرآن إِلَّا السجدة، و الجمع بينهما يوجب تحكيم الثانية على الأُولى بعد تعارض مفهوميهما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زرعة و سماعة واقفيّان، و إنّ الرّواية مرسلة منافية لعموم الروايات </w:t>
      </w:r>
      <w:r>
        <w:rPr>
          <w:rStyle w:val="FootnoteAnchor"/>
          <w:rtl w:val="true"/>
        </w:rPr>
        <w:footnoteReference w:id="3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موهن أيضاً لدلالتهما على الكراهة، و لا دليل سواهما عليها، فيلزمه أن يجوّز مطلقاً، أو يحرّم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الثاني خروج الزائد عن السبعة عن الاستحباب، فهو إما مباح أو مكروه، و الإباحة في العبادة تجامع الاستحباب، فيساوي السبعة ما زاد و يلغى العدد الخاص، فإذا انتفت المساواة بين العددين كان الزائد إمّا مكروهاً أو حراماً، لا سبيل إلى الثاني؛ للشك في الحرمة من حيث احتمال أنّ المحرّم هو الزائد على السبعين، فيجري الأصل و ينجم الجواز مع الكراهة، و بذلك يجمع بين ما قضى بالحرمة و الجواز من النصوص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لنا على الثالث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بينه و بين سبع آيات</w:t>
      </w:r>
      <w:r>
        <w:rPr>
          <w:rFonts w:eastAsia="IRNazanin" w:cs="IRNazanin"/>
          <w:color w:val="111111"/>
          <w:sz w:val="28"/>
          <w:szCs w:val="28"/>
          <w:rtl w:val="true"/>
          <w:lang w:bidi="fa-IR"/>
        </w:rPr>
        <w:t xml:space="preserve">» </w:t>
      </w:r>
      <w:r>
        <w:rPr>
          <w:rStyle w:val="FootnoteAnchor"/>
          <w:rtl w:val="true"/>
        </w:rPr>
        <w:footnoteReference w:id="3306"/>
      </w:r>
      <w:r>
        <w:rPr>
          <w:rFonts w:ascii="Amiri" w:hAnsi="Amiri" w:eastAsia="Amiri" w:cs="Amiri"/>
          <w:color w:val="111111"/>
          <w:sz w:val="28"/>
          <w:sz w:val="28"/>
          <w:szCs w:val="28"/>
          <w:rtl w:val="true"/>
          <w:lang w:bidi="ar-SA"/>
        </w:rPr>
        <w:t xml:space="preserve">، الظاهر في كراهة 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أوقات جنابته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السبعة إلى السّبعين، و جواز السّبعة كذلك بضميمة رواية السبعين، فلا فرق بين قراءة ما زاد مجتمعاً أو متفرِّقاً بعد جنابة واحدة و إن بعد الفاضل </w:t>
      </w:r>
      <w:r>
        <w:rPr>
          <w:rStyle w:val="FootnoteAnchor"/>
          <w:rtl w:val="true"/>
        </w:rPr>
        <w:footnoteReference w:id="3307"/>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أجنب و كان فرضه التيمّم عدّ ما قرأه في غير حال التيمّم كراهة و حرمة، فلو تخلّل تيممّ بين القراءتين يعدّ السابق و اللّاحق عليه دون ما كان في حاله؛ لكون الجنابة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يصدق العدد بالآية المكرّرة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فيكره تكريرها زائداً أو قراءة غيرها بعد التكرير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العدد مع التماثل، و من أنّ الظاهر في السّبع التغاير، و المعتمد </w:t>
      </w:r>
    </w:p>
    <w:p>
      <w:pPr>
        <w:pStyle w:val="BookText"/>
        <w:rPr/>
      </w:pPr>
      <w:r>
        <w:rPr>
          <w:rFonts w:ascii="Amiri" w:hAnsi="Amiri" w:eastAsia="Amiri" w:cs="Amiri"/>
          <w:color w:val="111111"/>
          <w:sz w:val="28"/>
          <w:sz w:val="28"/>
          <w:szCs w:val="28"/>
          <w:rtl w:val="true"/>
          <w:lang w:bidi="ar-SA"/>
        </w:rPr>
        <w:t>الثاني؛ للانصراف، فيجوز التكرير مطلقاً و إن كرّرت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طوال الآيات و قصارها، و آية الكرسي آية في الأثر غير آية؛ للفصل، فإن كان آية جاز قراءتها و تكريرها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غلّظ المحقّق </w:t>
      </w:r>
      <w:r>
        <w:rPr>
          <w:rStyle w:val="FootnoteAnchor"/>
          <w:rtl w:val="true"/>
        </w:rPr>
        <w:footnoteReference w:id="3308"/>
      </w:r>
      <w:r>
        <w:rPr>
          <w:rFonts w:ascii="Amiri" w:hAnsi="Amiri" w:eastAsia="Amiri" w:cs="Amiri"/>
          <w:color w:val="111111"/>
          <w:sz w:val="28"/>
          <w:sz w:val="28"/>
          <w:szCs w:val="28"/>
          <w:rtl w:val="true"/>
          <w:lang w:bidi="ar-SA"/>
        </w:rPr>
        <w:t>كراهة السّبعين،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زاد على السّبع في مرتبة واحدة من الكراهة و إن كثُر فعل المكروه </w:t>
      </w:r>
      <w:r>
        <w:rPr>
          <w:rStyle w:val="FootnoteAnchor"/>
          <w:rtl w:val="true"/>
        </w:rPr>
        <w:footnoteReference w:id="3309"/>
      </w:r>
      <w:r>
        <w:rPr>
          <w:rFonts w:ascii="Amiri" w:hAnsi="Amiri" w:eastAsia="Amiri" w:cs="Amiri"/>
          <w:color w:val="111111"/>
          <w:sz w:val="28"/>
          <w:sz w:val="28"/>
          <w:szCs w:val="28"/>
          <w:rtl w:val="true"/>
          <w:lang w:bidi="ar-SA"/>
        </w:rPr>
        <w:t>، و مدرك الأوّل غير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على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المعهودين فإنّه محرّم كما غبر، و يظهر من الشيخ في المصباح </w:t>
      </w:r>
      <w:r>
        <w:rPr>
          <w:rStyle w:val="FootnoteAnchor"/>
          <w:rtl w:val="true"/>
        </w:rPr>
        <w:footnoteReference w:id="3310"/>
      </w:r>
      <w:r>
        <w:rPr>
          <w:rFonts w:ascii="IRNazanin" w:hAnsi="IRNazanin" w:eastAsia="IRNazanin"/>
          <w:color w:val="111111"/>
          <w:sz w:val="28"/>
          <w:sz w:val="28"/>
          <w:szCs w:val="28"/>
          <w:rtl w:val="true"/>
          <w:lang w:bidi="fa-IR"/>
        </w:rPr>
        <w:t xml:space="preserve">و ظاهر المقنع </w:t>
      </w:r>
      <w:r>
        <w:rPr>
          <w:rStyle w:val="FootnoteAnchor"/>
          <w:rtl w:val="true"/>
        </w:rPr>
        <w:footnoteReference w:id="3311"/>
      </w:r>
      <w:r>
        <w:rPr>
          <w:rFonts w:ascii="Amiri" w:hAnsi="Amiri" w:eastAsia="Amiri" w:cs="Amiri"/>
          <w:color w:val="111111"/>
          <w:sz w:val="28"/>
          <w:sz w:val="28"/>
          <w:szCs w:val="28"/>
          <w:rtl w:val="true"/>
          <w:lang w:bidi="ar-SA"/>
        </w:rPr>
        <w:t>الحرمة مطلقاً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في ظاهر الخلاف </w:t>
      </w:r>
      <w:r>
        <w:rPr>
          <w:rStyle w:val="FootnoteAnchor"/>
          <w:rtl w:val="true"/>
        </w:rPr>
        <w:footnoteReference w:id="3312"/>
      </w:r>
      <w:r>
        <w:rPr>
          <w:rFonts w:ascii="Amiri" w:hAnsi="Amiri" w:eastAsia="Amiri" w:cs="Amiri"/>
          <w:color w:val="111111"/>
          <w:sz w:val="28"/>
          <w:sz w:val="28"/>
          <w:szCs w:val="28"/>
          <w:rtl w:val="true"/>
          <w:lang w:bidi="ar-SA"/>
        </w:rPr>
        <w:t xml:space="preserve">كالفاضل في النهاية </w:t>
      </w:r>
      <w:r>
        <w:rPr>
          <w:rStyle w:val="FootnoteAnchor"/>
          <w:rtl w:val="true"/>
        </w:rPr>
        <w:footnoteReference w:id="3313"/>
      </w:r>
      <w:r>
        <w:rPr>
          <w:rFonts w:ascii="Amiri" w:hAnsi="Amiri" w:eastAsia="Amiri" w:cs="Amiri"/>
          <w:color w:val="111111"/>
          <w:sz w:val="28"/>
          <w:sz w:val="28"/>
          <w:szCs w:val="28"/>
          <w:rtl w:val="true"/>
          <w:lang w:bidi="ar-SA"/>
        </w:rPr>
        <w:t xml:space="preserve">الكراهة إن لم يتعلّق بالجواز غرض و عدمها لغرض لا يبلغ حدّ الضرورة، و حكى في المعتبر </w:t>
      </w:r>
      <w:r>
        <w:rPr>
          <w:rStyle w:val="FootnoteAnchor"/>
          <w:rtl w:val="true"/>
        </w:rPr>
        <w:footnoteReference w:id="3314"/>
      </w:r>
      <w:r>
        <w:rPr>
          <w:rFonts w:ascii="Amiri" w:hAnsi="Amiri" w:eastAsia="Amiri" w:cs="Amiri"/>
          <w:color w:val="111111"/>
          <w:sz w:val="28"/>
          <w:sz w:val="28"/>
          <w:szCs w:val="28"/>
          <w:rtl w:val="true"/>
          <w:lang w:bidi="ar-SA"/>
        </w:rPr>
        <w:t xml:space="preserve">الإباحة مطلقاً عن السّيد و الشيخ في المبسوط </w:t>
      </w:r>
      <w:r>
        <w:rPr>
          <w:rStyle w:val="FootnoteAnchor"/>
          <w:rtl w:val="true"/>
        </w:rPr>
        <w:footnoteReference w:id="3315"/>
      </w:r>
      <w:r>
        <w:rPr>
          <w:rFonts w:ascii="IRNazanin" w:hAnsi="IRNazanin" w:eastAsia="IRNazanin"/>
          <w:color w:val="111111"/>
          <w:sz w:val="28"/>
          <w:sz w:val="28"/>
          <w:szCs w:val="28"/>
          <w:rtl w:val="true"/>
          <w:lang w:bidi="fa-IR"/>
        </w:rPr>
        <w:t xml:space="preserve">و المصباح </w:t>
      </w:r>
      <w:r>
        <w:rPr>
          <w:rStyle w:val="FootnoteAnchor"/>
          <w:rtl w:val="true"/>
        </w:rPr>
        <w:footnoteReference w:id="3316"/>
      </w:r>
      <w:r>
        <w:rPr>
          <w:rFonts w:ascii="Amiri" w:hAnsi="Amiri" w:eastAsia="Amiri" w:cs="Amiri"/>
          <w:color w:val="111111"/>
          <w:sz w:val="28"/>
          <w:sz w:val="28"/>
          <w:szCs w:val="28"/>
          <w:rtl w:val="true"/>
          <w:lang w:bidi="ar-SA"/>
        </w:rPr>
        <w:t xml:space="preserve">، و أشهر الأربعة الكراهة، و عليه الفاضلان </w:t>
      </w:r>
      <w:r>
        <w:rPr>
          <w:rStyle w:val="FootnoteAnchor"/>
          <w:rtl w:val="true"/>
        </w:rPr>
        <w:footnoteReference w:id="3317"/>
      </w:r>
      <w:r>
        <w:rPr>
          <w:rFonts w:ascii="Amiri" w:hAnsi="Amiri" w:eastAsia="Amiri" w:cs="Amiri"/>
          <w:color w:val="111111"/>
          <w:sz w:val="28"/>
          <w:sz w:val="28"/>
          <w:szCs w:val="28"/>
          <w:rtl w:val="true"/>
          <w:lang w:bidi="ar-SA"/>
        </w:rPr>
        <w:t xml:space="preserve">و المصنّف </w:t>
      </w:r>
      <w:r>
        <w:rPr>
          <w:rStyle w:val="FootnoteAnchor"/>
          <w:rtl w:val="true"/>
        </w:rPr>
        <w:footnoteReference w:id="3318"/>
      </w:r>
      <w:r>
        <w:rPr>
          <w:rFonts w:ascii="IRNazanin" w:hAnsi="IRNazanin" w:eastAsia="IRNazanin"/>
          <w:color w:val="111111"/>
          <w:sz w:val="28"/>
          <w:sz w:val="28"/>
          <w:szCs w:val="28"/>
          <w:rtl w:val="true"/>
          <w:lang w:bidi="fa-IR"/>
        </w:rPr>
        <w:t xml:space="preserve">و ظاهر </w:t>
      </w:r>
    </w:p>
    <w:p>
      <w:pPr>
        <w:pStyle w:val="BookText"/>
        <w:rPr/>
      </w:pPr>
      <w:r>
        <w:rPr>
          <w:rFonts w:ascii="Amiri" w:hAnsi="Amiri" w:eastAsia="Amiri" w:cs="Amiri"/>
          <w:color w:val="111111"/>
          <w:sz w:val="28"/>
          <w:sz w:val="28"/>
          <w:szCs w:val="28"/>
          <w:rtl w:val="true"/>
          <w:lang w:bidi="ar-SA"/>
        </w:rPr>
        <w:t xml:space="preserve">البيان </w:t>
      </w:r>
      <w:r>
        <w:rPr>
          <w:rStyle w:val="FootnoteAnchor"/>
          <w:rtl w:val="true"/>
        </w:rPr>
        <w:footnoteReference w:id="3319"/>
      </w:r>
      <w:r>
        <w:rPr>
          <w:rFonts w:ascii="Amiri" w:hAnsi="Amiri" w:eastAsia="Amiri" w:cs="Amiri"/>
          <w:color w:val="111111"/>
          <w:sz w:val="28"/>
          <w:sz w:val="28"/>
          <w:szCs w:val="28"/>
          <w:rtl w:val="true"/>
          <w:lang w:bidi="ar-SA"/>
        </w:rPr>
        <w:t xml:space="preserve">و الشارح في زبره </w:t>
      </w:r>
      <w:r>
        <w:rPr>
          <w:rStyle w:val="FootnoteAnchor"/>
          <w:rtl w:val="true"/>
        </w:rPr>
        <w:footnoteReference w:id="3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لكنّي لم أقف على نصّ صريح بها، بل و لا ظاهر سوى خبر محمّد بن يحيى،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نائماً في المسجد الحرام أو مسجد الرسول فأصابته جنابة فليتيمّم، و لا يمرّ في المسجد إِلّا مُتيمِّماً</w:t>
      </w:r>
      <w:r>
        <w:rPr>
          <w:rFonts w:eastAsia="Amiri" w:cs="Amiri" w:ascii="Amiri" w:hAnsi="Amiri"/>
          <w:color w:val="111111"/>
          <w:sz w:val="28"/>
          <w:szCs w:val="28"/>
          <w:rtl w:val="true"/>
          <w:lang w:bidi="ar-SA"/>
        </w:rPr>
        <w:t xml:space="preserve">» </w:t>
      </w:r>
      <w:r>
        <w:rPr>
          <w:rStyle w:val="FootnoteAnchor"/>
          <w:rtl w:val="true"/>
        </w:rPr>
        <w:footnoteReference w:id="3321"/>
      </w:r>
      <w:r>
        <w:rPr>
          <w:rFonts w:ascii="Amiri" w:hAnsi="Amiri" w:eastAsia="Amiri" w:cs="Amiri"/>
          <w:color w:val="111111"/>
          <w:sz w:val="28"/>
          <w:sz w:val="28"/>
          <w:szCs w:val="28"/>
          <w:rtl w:val="true"/>
          <w:lang w:bidi="ar-SA"/>
        </w:rPr>
        <w:t>، الخبر، بناءً على عموم المسجد و أنّ التيمّم لرفع الكراهة، و لكنّه ذلك لا يصلح لإثباتها، فالأقوى جواز الجواز بلا كراهة للنصوص التي لا تفيد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يصدق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للمسجد بابان فيدخل من أحدهما و يخرج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صدقه بالواحد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السالك من حيث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الحركتين ينافيه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استوجهه بروضه </w:t>
      </w:r>
      <w:r>
        <w:rPr>
          <w:rStyle w:val="FootnoteAnchor"/>
          <w:rtl w:val="true"/>
        </w:rPr>
        <w:footnoteReference w:id="3322"/>
      </w:r>
      <w:r>
        <w:rPr>
          <w:rFonts w:ascii="Amiri" w:hAnsi="Amiri" w:eastAsia="Amiri" w:cs="Amiri"/>
          <w:color w:val="111111"/>
          <w:sz w:val="28"/>
          <w:sz w:val="28"/>
          <w:szCs w:val="28"/>
          <w:rtl w:val="true"/>
          <w:lang w:bidi="ar-SA"/>
        </w:rPr>
        <w:t>إمّا لرواية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اللجُنب أن يمشي في المساجد كلّها</w:t>
      </w:r>
      <w:r>
        <w:rPr>
          <w:rFonts w:eastAsia="Amiri" w:cs="Amiri" w:ascii="Amiri" w:hAnsi="Amiri"/>
          <w:color w:val="111111"/>
          <w:sz w:val="28"/>
          <w:szCs w:val="28"/>
          <w:rtl w:val="true"/>
          <w:lang w:bidi="ar-SA"/>
        </w:rPr>
        <w:t xml:space="preserve">» </w:t>
      </w:r>
      <w:r>
        <w:rPr>
          <w:rStyle w:val="FootnoteAnchor"/>
          <w:rtl w:val="true"/>
        </w:rPr>
        <w:footnoteReference w:id="3323"/>
      </w:r>
      <w:r>
        <w:rPr>
          <w:rFonts w:ascii="Amiri" w:hAnsi="Amiri" w:eastAsia="Amiri" w:cs="Amiri"/>
          <w:color w:val="111111"/>
          <w:sz w:val="28"/>
          <w:sz w:val="28"/>
          <w:szCs w:val="28"/>
          <w:rtl w:val="true"/>
          <w:lang w:bidi="ar-SA"/>
        </w:rPr>
        <w:t>، أو لصدق الجواز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الفاضل في النهاية </w:t>
      </w:r>
      <w:r>
        <w:rPr>
          <w:rStyle w:val="FootnoteAnchor"/>
          <w:rtl w:val="true"/>
        </w:rPr>
        <w:footnoteReference w:id="3324"/>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التردّد في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يخرج من </w:t>
      </w:r>
      <w:r>
        <w:rPr>
          <w:rStyle w:val="FootnoteAnchor"/>
          <w:rtl w:val="true"/>
        </w:rPr>
        <w:footnoteReference w:id="3325"/>
      </w:r>
      <w:r>
        <w:rPr>
          <w:rFonts w:ascii="Amiri" w:hAnsi="Amiri" w:eastAsia="Amiri" w:cs="Amiri"/>
          <w:color w:val="111111"/>
          <w:sz w:val="28"/>
          <w:sz w:val="28"/>
          <w:szCs w:val="28"/>
          <w:rtl w:val="true"/>
          <w:lang w:bidi="ar-SA"/>
        </w:rPr>
        <w:t>حدّ المجتاز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الصدق، فيشمله النّهي، و الأوجه المنع فيهما إذا </w:t>
      </w:r>
      <w:r>
        <w:rPr>
          <w:rStyle w:val="FootnoteAnchor"/>
          <w:rtl w:val="true"/>
        </w:rPr>
        <w:footnoteReference w:id="3326"/>
      </w:r>
      <w:r>
        <w:rPr>
          <w:rFonts w:ascii="Amiri" w:hAnsi="Amiri" w:eastAsia="Amiri" w:cs="Amiri"/>
          <w:color w:val="111111"/>
          <w:sz w:val="28"/>
          <w:sz w:val="28"/>
          <w:szCs w:val="28"/>
          <w:rtl w:val="true"/>
          <w:lang w:bidi="ar-SA"/>
        </w:rPr>
        <w:t>الجواز لا يرادف المشي، بل هو أخصّ منه، و كذا المرور، لا أقلّ من الشك في صدقه لو اتّحد المدخل و المخرج فيحرم؛ لإطلاق النّهي في غير ما يصدق عليه الاجتياز يقيناً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الخارج من عموم النّهي إن كان مطلق الاجتياز فلا يدخل المشكوك فيه بالعام؛ لأنّ شمول العام له ليس بأَولى من شمول الخاص، فتعارض أصالة عدم دخوله في </w:t>
      </w:r>
      <w:bookmarkStart w:id="281" w:name="pg9146_86454"/>
    </w:p>
    <w:p>
      <w:pPr>
        <w:pStyle w:val="BookText"/>
        <w:rPr/>
      </w:pPr>
      <w:bookmarkEnd w:id="281"/>
      <w:r>
        <w:rPr>
          <w:rFonts w:ascii="Amiri" w:hAnsi="Amiri" w:eastAsia="Amiri" w:cs="Amiri"/>
          <w:color w:val="111111"/>
          <w:sz w:val="28"/>
          <w:sz w:val="28"/>
          <w:szCs w:val="28"/>
          <w:rtl w:val="true"/>
          <w:lang w:bidi="ar-SA"/>
        </w:rPr>
        <w:t>الخاص لأصالة عدم اندراجه في العام، و مجرّد شمول العام للمشكوك غيرُ كافٍ بعد خروج ما يحتمل صدقه على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قبح على الحكيم في عدم بيانه بعد استثنائه لشيء يمكن معرفته، فلا مناص عن الرّجوع حينئذٍ إلى أصل آخر من إباحة أو حظر، و إن كان الخارج فرداً خاصّاً يصدق الاجتياز عليه لا مطلقه اتّجه دخول غيره المشكوك في لحوق حكم ذلك الفرد له بالعام الصادق عليه قبل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المقام من الثاني؛ لظهور الاتّفاق على عدم جواز السّلوك مطلقاً إلَّا للمجتاز الظاهر في اختلاف المخرج و المدخل في المسجد فلا يولج المسجد ذو الباب الواحد إلَّا بعد الغسل</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3322716_2870459653"/>
      <w:bookmarkStart w:id="283" w:name="_Toc96"/>
      <w:bookmarkEnd w:id="282"/>
      <w:r>
        <w:rPr>
          <w:rtl w:val="true"/>
        </w:rPr>
        <w:t>[</w:t>
      </w:r>
      <w:r>
        <w:rPr>
          <w:rtl w:val="true"/>
        </w:rPr>
        <w:t>واجبات الغسل</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واجبه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القصد إلى فعله 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كالوضوء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الوجوب و الاستباحة </w:t>
      </w:r>
      <w:r>
        <w:rPr>
          <w:rStyle w:val="FootnoteAnchor"/>
          <w:rtl w:val="true"/>
        </w:rPr>
        <w:footnoteReference w:id="3327"/>
      </w:r>
      <w:r>
        <w:rPr>
          <w:rFonts w:ascii="Amiri" w:hAnsi="Amiri" w:eastAsia="Amiri" w:cs="Amiri"/>
          <w:color w:val="111111"/>
          <w:sz w:val="28"/>
          <w:sz w:val="28"/>
          <w:szCs w:val="28"/>
          <w:rtl w:val="true"/>
          <w:lang w:bidi="ar-SA"/>
        </w:rPr>
        <w:t>و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عدم اعتبارها مطلقاً أو 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الوضوء</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عدم وجوب غير القربة مطلقاً فتكفي إلَّا في المشترك فيلزم التعيين، و قوّى بعضهم </w:t>
      </w:r>
      <w:r>
        <w:rPr>
          <w:rStyle w:val="FootnoteAnchor"/>
          <w:rtl w:val="true"/>
        </w:rPr>
        <w:footnoteReference w:id="3328"/>
      </w:r>
      <w:r>
        <w:rPr>
          <w:rFonts w:ascii="Amiri" w:hAnsi="Amiri" w:eastAsia="Amiri" w:cs="Amiri"/>
          <w:color w:val="111111"/>
          <w:sz w:val="28"/>
          <w:sz w:val="28"/>
          <w:szCs w:val="28"/>
          <w:rtl w:val="true"/>
          <w:lang w:bidi="ar-SA"/>
        </w:rPr>
        <w:t xml:space="preserve">هنا اعتبار نيّة الوجه و الرفع أو الاستباحة حتّى في مستدام الحَدَث فينوي رفع الحكم المترتّب على المانع لا نفس المانع، و فرّق آخر </w:t>
      </w:r>
      <w:r>
        <w:rPr>
          <w:rStyle w:val="FootnoteAnchor"/>
          <w:rtl w:val="true"/>
        </w:rPr>
        <w:footnoteReference w:id="3329"/>
      </w:r>
      <w:r>
        <w:rPr>
          <w:rFonts w:ascii="Amiri" w:hAnsi="Amiri" w:eastAsia="Amiri" w:cs="Amiri"/>
          <w:color w:val="111111"/>
          <w:sz w:val="28"/>
          <w:sz w:val="28"/>
          <w:szCs w:val="28"/>
          <w:rtl w:val="true"/>
          <w:lang w:bidi="ar-SA"/>
        </w:rPr>
        <w:t>بهذا فلم يعتبر نيّة الرفع في المستدام من المستحاضة و المبطون و يجوز للحائض أن تنوي استباحة الوطء؛ لأنها متوقّفة على ارتفاع حَدَثها</w:t>
      </w:r>
      <w:r>
        <w:rPr>
          <w:rFonts w:eastAsia="Amiri" w:cs="Amiri" w:ascii="Amiri" w:hAnsi="Amiri"/>
          <w:color w:val="111111"/>
          <w:sz w:val="28"/>
          <w:szCs w:val="28"/>
          <w:rtl w:val="true"/>
          <w:lang w:bidi="ar-SA"/>
        </w:rPr>
        <w:t xml:space="preserve">. </w:t>
      </w:r>
      <w:bookmarkStart w:id="284" w:name="pg9146_86455"/>
    </w:p>
    <w:p>
      <w:pPr>
        <w:pStyle w:val="Heading2"/>
        <w:numPr>
          <w:ilvl w:val="1"/>
          <w:numId w:val="1"/>
        </w:numPr>
        <w:rPr/>
      </w:pPr>
      <w:bookmarkStart w:id="285" w:name="__RefHeading___Toc3322718_2870459653"/>
      <w:bookmarkStart w:id="286" w:name="_Toc97"/>
      <w:bookmarkEnd w:id="284"/>
      <w:bookmarkEnd w:id="285"/>
      <w:r>
        <w:rPr>
          <w:rtl w:val="true"/>
        </w:rPr>
        <w:t>[</w:t>
      </w:r>
      <w:r>
        <w:rPr>
          <w:rtl w:val="true"/>
        </w:rPr>
        <w:t>وقت النّية</w:t>
      </w:r>
      <w:r>
        <w:rPr>
          <w:rtl w:val="true"/>
        </w:rPr>
        <w:t>]</w:t>
      </w:r>
      <w:bookmarkEnd w:id="286"/>
    </w:p>
    <w:p>
      <w:pPr>
        <w:pStyle w:val="BookText"/>
        <w:rPr/>
      </w:pPr>
      <w:r>
        <w:rPr>
          <w:rFonts w:ascii="Amiri" w:hAnsi="Amiri" w:eastAsia="Amiri" w:cs="Amiri"/>
          <w:color w:val="111111"/>
          <w:sz w:val="28"/>
          <w:sz w:val="28"/>
          <w:szCs w:val="28"/>
          <w:rtl w:val="true"/>
          <w:lang w:bidi="ar-SA"/>
        </w:rPr>
        <w:t xml:space="preserve">و لا بدّ أن تكون النيّة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لجزء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الأعلى منه، أو لجزء الوجه، أو الرّقبة؛ إذ منه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لإطلاقه عليهما و على منابت الشعر اشتراكاً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خصّها الشارح بالذِّكر؛ لأنّ في إدخالها به يدخل الوجه و الأُذنان و ما فوق الصماخين، فتكفي المقارنة لأيّ جزء من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أو المغتسل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التاء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صحّحنا البدأة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لجزء من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الغسل مرتمَساً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فيه مصدراً اسميّاً منصوباً على الظرفيّة؛ أي يكفي مقارنتها لجزء البدن حال الارتماس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يتبعه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أوّله و الباء أو كسرها و ضَمّ حرف المضارعة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ليصدق الارتماس و الدّفعة عرفاً، و اعتبر بالنيّة المقارنة لتمام البدن إن كان مرتمساً، و هو أبرأ للذَّمّة و أحوط، و يكون معنى الوحدة مقارنة النيّة لشمول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الشارح بشرح الألفيّة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مقارنتها الجزء البدن أيّ جزء كان، و حيث كان الواجب مراعاة الوحدة عرفاً، و التعجيل باتباع الباقي، و كان جميع أجزاء البدن سواء في النيّة، تجوّز المصنّف في جعل النيّة مقارنة لجميع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جميع أجزاء البدن سواء في جواز إيقاع النيّة عندها أطلق المقارنة لها، و لا بُعد في إرادة هذا المعنى و إن تأخّر بعض أجزاء البدن عن النيّة؛ لأنّ الوحدة ملحوظة على كلّ حال </w:t>
      </w:r>
      <w:r>
        <w:rPr>
          <w:rStyle w:val="FootnoteAnchor"/>
          <w:rtl w:val="true"/>
        </w:rPr>
        <w:footnoteReference w:id="3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المصنّف ما ذكرناه من مقارنة النيّة للشمول، لا كما ظنّه من وجوب أن يقع الارتماس لا عند شمول الماء كان كما ظنّه من وجوب أن يقع الارتماس من أوّله إلى آخره في آنٍ واحد، و هو غير ممكن، ففزع إلى التأويل</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أوجبنا النيّة أوّل أزمنة الارتماس لا عند شمول الماء كان كما قال من عدم </w:t>
      </w:r>
    </w:p>
    <w:p>
      <w:pPr>
        <w:pStyle w:val="BookText"/>
        <w:rPr/>
      </w:pPr>
      <w:r>
        <w:rPr>
          <w:rFonts w:ascii="Amiri" w:hAnsi="Amiri" w:eastAsia="Amiri" w:cs="Amiri"/>
          <w:color w:val="111111"/>
          <w:sz w:val="28"/>
          <w:sz w:val="28"/>
          <w:szCs w:val="28"/>
          <w:rtl w:val="true"/>
          <w:lang w:bidi="ar-SA"/>
        </w:rPr>
        <w:t>إمكان الوحدة، لكنّا لا نقوله و لا برهان على اعتباره، بل متى اعتقد المغتسل أو ظنّ شمول الماء لبدنه نوى ارتماسي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مقارنة النيّة لما يستحبّ من غسل اليدين أو المضمضة في الغسلين و عدمه وجهان سبق المختار منهما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النيّة في الترتيبي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الرأس 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الجانبين إجماعاً </w:t>
      </w:r>
      <w:r>
        <w:rPr>
          <w:rStyle w:val="FootnoteAnchor"/>
          <w:rtl w:val="true"/>
        </w:rPr>
        <w:footnoteReference w:id="3331"/>
      </w:r>
      <w:r>
        <w:rPr>
          <w:rFonts w:ascii="Amiri" w:hAnsi="Amiri" w:eastAsia="Amiri" w:cs="Amiri"/>
          <w:color w:val="111111"/>
          <w:sz w:val="28"/>
          <w:sz w:val="28"/>
          <w:szCs w:val="28"/>
          <w:rtl w:val="true"/>
          <w:lang w:bidi="ar-SA"/>
        </w:rPr>
        <w:t xml:space="preserve">في وجوب تقديم الأوّل على سائر الأعضاء، و هو المستفاد من النصوص </w:t>
      </w:r>
      <w:r>
        <w:rPr>
          <w:rStyle w:val="FootnoteAnchor"/>
          <w:rtl w:val="true"/>
        </w:rPr>
        <w:footnoteReference w:id="3332"/>
      </w:r>
      <w:r>
        <w:rPr>
          <w:rFonts w:ascii="Amiri" w:hAnsi="Amiri" w:eastAsia="Amiri" w:cs="Amiri"/>
          <w:color w:val="111111"/>
          <w:sz w:val="28"/>
          <w:sz w:val="28"/>
          <w:szCs w:val="28"/>
          <w:rtl w:val="true"/>
          <w:lang w:bidi="ar-SA"/>
        </w:rPr>
        <w:t xml:space="preserve">و المصرّح الأكثر، فلا ينبغي الشكّ فيه، و ما يُوهِم من كلام الصّدوقين </w:t>
      </w:r>
      <w:r>
        <w:rPr>
          <w:rStyle w:val="FootnoteAnchor"/>
          <w:rtl w:val="true"/>
        </w:rPr>
        <w:footnoteReference w:id="3333"/>
      </w:r>
      <w:r>
        <w:rPr>
          <w:rFonts w:ascii="Amiri" w:hAnsi="Amiri" w:eastAsia="Amiri" w:cs="Amiri"/>
          <w:color w:val="111111"/>
          <w:sz w:val="28"/>
          <w:sz w:val="28"/>
          <w:szCs w:val="28"/>
          <w:rtl w:val="true"/>
          <w:lang w:bidi="ar-SA"/>
        </w:rPr>
        <w:t>من العدم لا يلتفت إليه أو يؤوّل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الرأس و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يجب غسله قبلها و لا يبدأ بالأعلى منه و منها؛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نصّ عليه جماعة منهم المفيد </w:t>
      </w:r>
      <w:r>
        <w:rPr>
          <w:rStyle w:val="FootnoteAnchor"/>
          <w:rtl w:val="true"/>
        </w:rPr>
        <w:footnoteReference w:id="3334"/>
      </w:r>
      <w:r>
        <w:rPr>
          <w:rFonts w:ascii="Amiri" w:hAnsi="Amiri" w:eastAsia="Amiri" w:cs="Amiri"/>
          <w:color w:val="111111"/>
          <w:sz w:val="28"/>
          <w:sz w:val="28"/>
          <w:szCs w:val="28"/>
          <w:rtl w:val="true"/>
          <w:lang w:bidi="ar-SA"/>
        </w:rPr>
        <w:t xml:space="preserve">و ابنا زُهرة </w:t>
      </w:r>
      <w:r>
        <w:rPr>
          <w:rStyle w:val="FootnoteAnchor"/>
          <w:rtl w:val="true"/>
        </w:rPr>
        <w:footnoteReference w:id="3335"/>
      </w:r>
      <w:r>
        <w:rPr>
          <w:rFonts w:ascii="Amiri" w:hAnsi="Amiri" w:eastAsia="Amiri" w:cs="Amiri"/>
          <w:color w:val="111111"/>
          <w:sz w:val="28"/>
          <w:sz w:val="28"/>
          <w:szCs w:val="28"/>
          <w:rtl w:val="true"/>
          <w:lang w:bidi="ar-SA"/>
        </w:rPr>
        <w:t xml:space="preserve">و إدريس </w:t>
      </w:r>
      <w:r>
        <w:rPr>
          <w:rStyle w:val="FootnoteAnchor"/>
          <w:rtl w:val="true"/>
        </w:rPr>
        <w:footnoteReference w:id="3336"/>
      </w:r>
      <w:r>
        <w:rPr>
          <w:rFonts w:ascii="Amiri" w:hAnsi="Amiri" w:eastAsia="Amiri" w:cs="Amiri"/>
          <w:color w:val="111111"/>
          <w:sz w:val="28"/>
          <w:sz w:val="28"/>
          <w:szCs w:val="28"/>
          <w:rtl w:val="true"/>
          <w:lang w:bidi="ar-SA"/>
        </w:rPr>
        <w:t xml:space="preserve">و الفاضل في التحرير </w:t>
      </w:r>
      <w:r>
        <w:rPr>
          <w:rStyle w:val="FootnoteAnchor"/>
          <w:rtl w:val="true"/>
        </w:rPr>
        <w:footnoteReference w:id="3337"/>
      </w:r>
      <w:r>
        <w:rPr>
          <w:rFonts w:ascii="Amiri" w:hAnsi="Amiri" w:eastAsia="Amiri" w:cs="Amiri"/>
          <w:color w:val="111111"/>
          <w:sz w:val="28"/>
          <w:sz w:val="28"/>
          <w:szCs w:val="28"/>
          <w:rtl w:val="true"/>
          <w:lang w:bidi="ar-SA"/>
        </w:rPr>
        <w:t xml:space="preserve">، و المصنّف هنا و في غيره </w:t>
      </w:r>
      <w:r>
        <w:rPr>
          <w:rStyle w:val="FootnoteAnchor"/>
          <w:rtl w:val="true"/>
        </w:rPr>
        <w:footnoteReference w:id="3338"/>
      </w:r>
      <w:r>
        <w:rPr>
          <w:rFonts w:ascii="Amiri" w:hAnsi="Amiri" w:eastAsia="Amiri" w:cs="Amiri"/>
          <w:color w:val="111111"/>
          <w:sz w:val="28"/>
          <w:sz w:val="28"/>
          <w:szCs w:val="28"/>
          <w:rtl w:val="true"/>
          <w:lang w:bidi="ar-SA"/>
        </w:rPr>
        <w:t xml:space="preserve">عطف عليه الرّقبة، و هو يقتضي المغايرة إلَّا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الشارح في شرح الألفيّة </w:t>
      </w:r>
      <w:r>
        <w:rPr>
          <w:rStyle w:val="FootnoteAnchor"/>
          <w:rtl w:val="true"/>
        </w:rPr>
        <w:footnoteReference w:id="3339"/>
      </w:r>
      <w:r>
        <w:rPr>
          <w:rFonts w:ascii="Amiri" w:hAnsi="Amiri" w:eastAsia="Amiri" w:cs="Amiri"/>
          <w:color w:val="111111"/>
          <w:sz w:val="28"/>
          <w:sz w:val="28"/>
          <w:szCs w:val="28"/>
          <w:rtl w:val="true"/>
          <w:lang w:bidi="ar-SA"/>
        </w:rPr>
        <w:t xml:space="preserve">زعم أنّ العطف إشارة إلى أنّ الرأس ليس مقولاً في باب </w:t>
      </w:r>
    </w:p>
    <w:p>
      <w:pPr>
        <w:pStyle w:val="BookText"/>
        <w:rPr/>
      </w:pPr>
      <w:r>
        <w:rPr>
          <w:rFonts w:ascii="Amiri" w:hAnsi="Amiri" w:eastAsia="Amiri" w:cs="Amiri"/>
          <w:color w:val="111111"/>
          <w:sz w:val="28"/>
          <w:sz w:val="28"/>
          <w:szCs w:val="28"/>
          <w:rtl w:val="true"/>
          <w:lang w:bidi="ar-SA"/>
        </w:rPr>
        <w:t>الغسل على المجموع، بحيث يكون مشتركاً بين هذا المعنى و بين منابت الشعر بالاشتراك اللّفظي؛ لأنه خلاف الأصل، و المفهوم من الرأس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التجوّز في إطلاقه على الجميع في عبارة بعض الأصحاب، حيث يجعلون أعضاء المغتسل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 الجانبين أَولى؛ لأنّ المجاز أرجح من الاشتراك، و لو ثبت الاشتراك أمكن تنزيل العبارة على كونه من باب عطف الخاص على العام، لا لكونه أشرف أفراده، بل لدفع توهّم إرادة بعض أفراد المشترك غير المقصود، انتهى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عدم كون المشترك اللّفظي عامّاً بالنسبة إلى معانيه أو معاني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اشتراك للفظ الرأس بين ما فوق الرّقبة و الرقبة، و إنّما هي جزء لبعض أفراده، فإنّما هو من عطف الجزء على الكلّ، لا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يريد بالعام الكلّ و بالخاص الجزء خلاف الاصطلاح، و له وجه، و محطّ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شمول الرأس للرقبة هنا، و عساه لظهور حسنة زرارة،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رأسه ثلاث أكفّ، ثمّ على منكبه الأيمن مرّتين، و على منكبه الأيسر مرّتين</w:t>
      </w:r>
      <w:r>
        <w:rPr>
          <w:rFonts w:eastAsia="Amiri" w:cs="Amiri" w:ascii="Amiri" w:hAnsi="Amiri"/>
          <w:color w:val="111111"/>
          <w:sz w:val="28"/>
          <w:szCs w:val="28"/>
          <w:rtl w:val="true"/>
          <w:lang w:bidi="ar-SA"/>
        </w:rPr>
        <w:t xml:space="preserve">» </w:t>
      </w:r>
      <w:r>
        <w:rPr>
          <w:rStyle w:val="FootnoteAnchor"/>
          <w:rtl w:val="true"/>
        </w:rPr>
        <w:footnoteReference w:id="3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سماعة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يصبّ على رأسه ثلاث مرّات ملء كفّه، ثمّ يضرب بكفّ من ماء على صدره و كَفّ بين كتفيه، ثمّ يفيض الماء على جسده كلّه</w:t>
      </w:r>
      <w:r>
        <w:rPr>
          <w:rFonts w:eastAsia="Amiri" w:cs="Amiri" w:ascii="Amiri" w:hAnsi="Amiri"/>
          <w:color w:val="111111"/>
          <w:sz w:val="28"/>
          <w:szCs w:val="28"/>
          <w:rtl w:val="true"/>
          <w:lang w:bidi="ar-SA"/>
        </w:rPr>
        <w:t xml:space="preserve">» </w:t>
      </w:r>
      <w:r>
        <w:rPr>
          <w:rStyle w:val="FootnoteAnchor"/>
          <w:rtl w:val="true"/>
        </w:rPr>
        <w:footnoteReference w:id="3341"/>
      </w:r>
      <w:r>
        <w:rPr>
          <w:rFonts w:ascii="Amiri" w:hAnsi="Amiri" w:eastAsia="Amiri" w:cs="Amiri"/>
          <w:color w:val="111111"/>
          <w:sz w:val="28"/>
          <w:sz w:val="28"/>
          <w:szCs w:val="28"/>
          <w:rtl w:val="true"/>
          <w:lang w:bidi="ar-SA"/>
        </w:rPr>
        <w:t>، فإنّ الصبّ و الضرب بعد الرأس على غير الرّقبة يقضي بدخولها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بمثلها عبّر كثير من أساطين </w:t>
      </w:r>
      <w:r>
        <w:rPr>
          <w:rStyle w:val="FootnoteAnchor"/>
          <w:rtl w:val="true"/>
        </w:rPr>
        <w:footnoteReference w:id="3342"/>
      </w:r>
      <w:r>
        <w:rPr>
          <w:rFonts w:ascii="Amiri" w:hAnsi="Amiri" w:eastAsia="Amiri" w:cs="Amiri"/>
          <w:color w:val="111111"/>
          <w:sz w:val="28"/>
          <w:sz w:val="28"/>
          <w:szCs w:val="28"/>
          <w:rtl w:val="true"/>
          <w:lang w:bidi="ar-SA"/>
        </w:rPr>
        <w:t>الفقهاء، لكن ذلك موقوف على لزوم الترتيب في أعضاء الغسل؛ إذ من الجائز أن يصبّ الماء على الكتف ثمّ يغسل الرّقبة، فلا نصّ فيهما على المراد، بل و لا ظهور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فالأَحْرى وجوب غسلها مع الرأس أولاً ثمّ تنصيفها مع الجانبين إن حكمنا بالترتيب بينهما، و إلَّا فلا ضَيْر في عدم إعادة نصفها الأيسر، و في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الرأس حتّى يبلغ الماء </w:t>
      </w:r>
    </w:p>
    <w:p>
      <w:pPr>
        <w:pStyle w:val="BookText"/>
        <w:rPr/>
      </w:pPr>
      <w:r>
        <w:rPr>
          <w:rFonts w:ascii="Amiri" w:hAnsi="Amiri" w:eastAsia="Amiri" w:cs="Amiri"/>
          <w:color w:val="111111"/>
          <w:sz w:val="28"/>
          <w:sz w:val="28"/>
          <w:szCs w:val="28"/>
          <w:rtl w:val="true"/>
          <w:lang w:bidi="ar-SA"/>
        </w:rPr>
        <w:t xml:space="preserve">أُصول شعره، و غسل الجانب الإيمن من رأس العنق، و كذا الأيسر </w:t>
      </w:r>
      <w:r>
        <w:rPr>
          <w:rStyle w:val="FootnoteAnchor"/>
          <w:rtl w:val="true"/>
        </w:rPr>
        <w:footnoteReference w:id="334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رأسه أعلاه لا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شهرة جواز غسلها قبلهما ليس ناظراً إلى كونها من الرأس بل هي كالرأس، في جواز التقديم لا لزومه، و لو قصرنا الرأس على منابت الشعر فقط جرى ذلك في الوجه و الأُذنين و ما فوق الصّماخين، لكن كأنّ دخولها في الرأس مسلّم عندهم؛ إذ لم يذكر أحد الإشكال في غير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الأبرأ للذّمة قصر الرأس على منابت الشعر و تنصيف ما عداه مع الجانبين، بل هو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لا ترتيب بين الرقبة و الرأس عنده؛ 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ترتيب في نفس أعضاء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ندب غسل الأعلى فالأعلى؛ للاتباع، و لأنه أقرب إلى التحفّظ من النسيان، بل استظهر وجوبه من المفيد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يغسل جانبه الأيمن من أصل عنقه إلى تحت قدمه اليمنى، ثمّ يغسل جانبه الأيسر كذلك </w:t>
      </w:r>
      <w:r>
        <w:rPr>
          <w:rStyle w:val="FootnoteAnchor"/>
          <w:rtl w:val="true"/>
        </w:rPr>
        <w:footnoteReference w:id="3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عبارة الشيخ في النهاية و ابن الجنيد،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ضرر في نكس غسل اليد هنا </w:t>
      </w:r>
      <w:r>
        <w:rPr>
          <w:rStyle w:val="FootnoteAnchor"/>
          <w:rtl w:val="true"/>
        </w:rPr>
        <w:footnoteReference w:id="3345"/>
      </w:r>
      <w:r>
        <w:rPr>
          <w:rFonts w:ascii="Amiri" w:hAnsi="Amiri" w:eastAsia="Amiri" w:cs="Amiri"/>
          <w:color w:val="111111"/>
          <w:sz w:val="28"/>
          <w:sz w:val="28"/>
          <w:szCs w:val="28"/>
          <w:rtl w:val="true"/>
          <w:lang w:bidi="ar-SA"/>
        </w:rPr>
        <w:t>لظهوره في عدم جواز النكس في غيرها القاضي بالتّرتيب، لكن الأشهر العدم، و من و إلى في كلام الأوّلين لتحديد المغسول لا للغسل، و الثالث لا يضرّ خلافه، و لا صراحة في كلامه على الوجوب</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العدم صحيحة ابن سنان الناطقة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بمسح اللّمعة المنسيّة بعد تمام الغسل</w:t>
      </w:r>
      <w:r>
        <w:rPr>
          <w:rFonts w:eastAsia="Amiri" w:cs="Amiri" w:ascii="Amiri" w:hAnsi="Amiri"/>
          <w:color w:val="111111"/>
          <w:sz w:val="28"/>
          <w:szCs w:val="28"/>
          <w:rtl w:val="true"/>
          <w:lang w:bidi="ar-SA"/>
        </w:rPr>
        <w:t xml:space="preserve">» </w:t>
      </w:r>
      <w:r>
        <w:rPr>
          <w:rStyle w:val="FootnoteAnchor"/>
          <w:rtl w:val="true"/>
        </w:rPr>
        <w:footnoteReference w:id="3346"/>
      </w:r>
      <w:r>
        <w:rPr>
          <w:rFonts w:ascii="IRNazanin" w:hAnsi="IRNazanin" w:eastAsia="IRNazanin"/>
          <w:color w:val="111111"/>
          <w:sz w:val="28"/>
          <w:sz w:val="28"/>
          <w:szCs w:val="28"/>
          <w:rtl w:val="true"/>
          <w:lang w:bidi="fa-IR"/>
        </w:rPr>
        <w:t xml:space="preserve">، حكى ذلك الصّادق علیه السلام عن أبيه علیه السلام، فيقوى عدم لزوم التّرتيب في نفس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الترتيب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فيغسل الرأس قبل الشقّ الأيمن، و هو قبل الأيسر،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كأعضاء مسح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إصابة الماسح للممسوح من أيّ طرف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أعضاء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الوجه و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يغسل الأعلى فالأعلى، و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كما سَلَف بيانه و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ذلك في غير الرأس و الرقبة متّجه، و أمّا فيهما فلا، بل يلزم البدأة في الغسل به و لو كانت الرّقبة منه؛ للنّصوص المبيّنة لكيفيّة الغسل، و لم يظهر من ظاهر نصّ فضلاً عن صريحه جواز البدأة في الرقبة حتّى الخبرين اللذين استظهر منهما شمول الرأس، فيتعيّن الابتداء بالغسل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جزء منه ابتداء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الابتداء بالأعلى فيه، و يلزم أن لا يقدّم الأيسر على الأيمن من غير عذر و إن جوّزه جماعة </w:t>
      </w:r>
      <w:r>
        <w:rPr>
          <w:rStyle w:val="FootnoteAnchor"/>
          <w:rtl w:val="true"/>
        </w:rPr>
        <w:footnoteReference w:id="3347"/>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الأشهر عدمه؛ للإجماع المركّب بين الطهارتين، و لأنّ كلّ مَن أوجب تقديم الرأس على الجانبين أوجب الترتيب بينهما، و لظهور الوضوء البياني فيه إذ لو كان في غيره لذكر، و لأنّ غسل الميّت كغسل الجنابة في النصّ </w:t>
      </w:r>
      <w:r>
        <w:rPr>
          <w:rStyle w:val="FootnoteAnchor"/>
          <w:rtl w:val="true"/>
        </w:rPr>
        <w:footnoteReference w:id="3348"/>
      </w:r>
      <w:r>
        <w:rPr>
          <w:rFonts w:ascii="Amiri" w:hAnsi="Amiri" w:eastAsia="Amiri" w:cs="Amiri"/>
          <w:color w:val="111111"/>
          <w:sz w:val="28"/>
          <w:sz w:val="28"/>
          <w:szCs w:val="28"/>
          <w:rtl w:val="true"/>
          <w:lang w:bidi="ar-SA"/>
        </w:rPr>
        <w:t xml:space="preserve">، و الترتيب واجب في الأوّل فيلزم في الثاني؛ و لحسنة زرارة </w:t>
      </w:r>
      <w:r>
        <w:rPr>
          <w:rStyle w:val="FootnoteAnchor"/>
          <w:rtl w:val="true"/>
        </w:rPr>
        <w:footnoteReference w:id="3349"/>
      </w:r>
      <w:r>
        <w:rPr>
          <w:rFonts w:ascii="Amiri" w:hAnsi="Amiri" w:eastAsia="Amiri" w:cs="Amiri"/>
          <w:color w:val="111111"/>
          <w:sz w:val="28"/>
          <w:sz w:val="28"/>
          <w:szCs w:val="28"/>
          <w:rtl w:val="true"/>
          <w:lang w:bidi="ar-SA"/>
        </w:rPr>
        <w:t>التي فيها عطف الأيسر بالواو على الأيمن لا على الرأس؛ لبُعده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مفيدة للترتيب بنصّ جماعة </w:t>
      </w:r>
      <w:r>
        <w:rPr>
          <w:rStyle w:val="FootnoteAnchor"/>
          <w:rtl w:val="true"/>
        </w:rPr>
        <w:footnoteReference w:id="3350"/>
      </w:r>
      <w:r>
        <w:rPr>
          <w:rFonts w:ascii="Amiri" w:hAnsi="Amiri" w:eastAsia="Amiri" w:cs="Amiri"/>
          <w:color w:val="111111"/>
          <w:sz w:val="28"/>
          <w:sz w:val="28"/>
          <w:szCs w:val="28"/>
          <w:rtl w:val="true"/>
          <w:lang w:bidi="ar-SA"/>
        </w:rPr>
        <w:t xml:space="preserve">، و للاحتياط، و تحصيل اليقين بزوال الحَدَث و تحصيل شرط الصلاة، فالأوجه لزوم الترتيب بين الأعضاء الثلاثة خلافاً لمن </w:t>
      </w:r>
      <w:r>
        <w:rPr>
          <w:rStyle w:val="FootnoteAnchor"/>
          <w:rtl w:val="true"/>
        </w:rPr>
        <w:footnoteReference w:id="3351"/>
      </w:r>
      <w:r>
        <w:rPr>
          <w:rFonts w:ascii="Amiri" w:hAnsi="Amiri" w:eastAsia="Amiri" w:cs="Amiri"/>
          <w:color w:val="111111"/>
          <w:sz w:val="28"/>
          <w:sz w:val="28"/>
          <w:szCs w:val="28"/>
          <w:rtl w:val="true"/>
          <w:lang w:bidi="ar-SA"/>
        </w:rPr>
        <w:t>نفاه مطلقاً، أو بين الجانبين؛ استضعافاً لما قضى به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قُبل المرأة و قَضيب الرّجل و أنثياه و حَلَقة الدُّبر كالسّرّة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تابعة </w:t>
      </w:r>
    </w:p>
    <w:p>
      <w:pPr>
        <w:pStyle w:val="BookText"/>
        <w:rPr/>
      </w:pPr>
      <w:r>
        <w:rPr>
          <w:rFonts w:ascii="Amiri" w:hAnsi="Amiri" w:eastAsia="Amiri" w:cs="Amiri"/>
          <w:color w:val="111111"/>
          <w:sz w:val="28"/>
          <w:sz w:val="28"/>
          <w:szCs w:val="28"/>
          <w:rtl w:val="true"/>
          <w:lang w:bidi="ar-SA"/>
        </w:rPr>
        <w:t>للجانبين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داعي لذكرها، و حينئذٍ فتُغْسَل معهما، و ليست بأعضاء منفردة ليجوز غسلها قبل الجانبين، أو بعدهما، أو في أثنائها، كما صحّحه البعض </w:t>
      </w:r>
      <w:r>
        <w:rPr>
          <w:rStyle w:val="FootnoteAnchor"/>
          <w:rtl w:val="true"/>
        </w:rPr>
        <w:footnoteReference w:id="3352"/>
      </w:r>
      <w:r>
        <w:rPr>
          <w:rFonts w:ascii="Amiri" w:hAnsi="Amiri" w:eastAsia="Amiri" w:cs="Amiri"/>
          <w:color w:val="111111"/>
          <w:sz w:val="28"/>
          <w:sz w:val="28"/>
          <w:szCs w:val="28"/>
          <w:rtl w:val="true"/>
          <w:lang w:bidi="ar-SA"/>
        </w:rPr>
        <w:t>، بل المتّجه أنّ نصفها ملحق بالميامن و نصفها بالمياسر، لكن في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يتخيّر في غسل العورتين مع أيّ جانبٍ شاء، و الأَولى غسلهما مع الجانبين </w:t>
      </w:r>
      <w:r>
        <w:rPr>
          <w:rStyle w:val="FootnoteAnchor"/>
          <w:rtl w:val="true"/>
        </w:rPr>
        <w:footnoteReference w:id="3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مفصل محسوساً في الجانبين، فالأَولى غسل الحَدّ المشترك معهما، و كذا العورة، و لو غسلها مع أحدهما فالظاهر الإجزاء؛ لعدم المفصل المحسوس، و امتناع إيجاب غسلها مرّتين </w:t>
      </w:r>
      <w:r>
        <w:rPr>
          <w:rStyle w:val="FootnoteAnchor"/>
          <w:rtl w:val="true"/>
        </w:rPr>
        <w:footnoteReference w:id="335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يعطي إمّا إلحاقها بأحد الجانبين، أو كونها عضواً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فإنّ النصوص و كلام الأصحاب يأبى ذلك و إنْ ظهر من أخبار </w:t>
      </w:r>
      <w:r>
        <w:rPr>
          <w:rStyle w:val="FootnoteAnchor"/>
          <w:rtl w:val="true"/>
        </w:rPr>
        <w:footnoteReference w:id="3355"/>
      </w:r>
      <w:r>
        <w:rPr>
          <w:rFonts w:ascii="Amiri" w:hAnsi="Amiri" w:eastAsia="Amiri" w:cs="Amiri"/>
          <w:color w:val="111111"/>
          <w:sz w:val="28"/>
          <w:sz w:val="28"/>
          <w:szCs w:val="28"/>
          <w:rtl w:val="true"/>
          <w:lang w:bidi="ar-SA"/>
        </w:rPr>
        <w:t>غسل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إدخال جزء من حدود كلّ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المتّصل به إذا لم يكن بين العضوين مفصل محسوس؛ ليحصل القطع بغسله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المقدّمة كالوضوء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يلزم أيضاً تكرير شقّ الرقبة المغسولة مع الرأس في اليسار؛ لاحتمال أنّها ليست منه فيفوت الترتيب، بل الأَولى تكرير شقّ الوجه معها من منابت الشعر عند غسل الجانب الأيسر؛ لاحتمال انصراف الرأس إلى أقصى منابت الشعر كما غبر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تخليل مانع وصول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أو خاتم، مقدّمة لحصول </w:t>
      </w:r>
      <w:bookmarkStart w:id="287" w:name="pg9146_86461"/>
    </w:p>
    <w:p>
      <w:pPr>
        <w:pStyle w:val="BookText"/>
        <w:rPr/>
      </w:pPr>
      <w:bookmarkEnd w:id="287"/>
      <w:r>
        <w:rPr>
          <w:rFonts w:ascii="Amiri" w:hAnsi="Amiri" w:eastAsia="Amiri" w:cs="Amiri"/>
          <w:color w:val="111111"/>
          <w:sz w:val="28"/>
          <w:sz w:val="28"/>
          <w:szCs w:val="28"/>
          <w:rtl w:val="true"/>
          <w:lang w:bidi="ar-SA"/>
        </w:rPr>
        <w:t xml:space="preserve">غسلها المدلول عليه بالسُّنة </w:t>
      </w:r>
      <w:r>
        <w:rPr>
          <w:rStyle w:val="FootnoteAnchor"/>
          <w:rtl w:val="true"/>
        </w:rPr>
        <w:footnoteReference w:id="3356"/>
      </w:r>
      <w:r>
        <w:rPr>
          <w:rFonts w:ascii="Amiri" w:hAnsi="Amiri" w:eastAsia="Amiri" w:cs="Amiri"/>
          <w:color w:val="111111"/>
          <w:sz w:val="28"/>
          <w:sz w:val="28"/>
          <w:szCs w:val="28"/>
          <w:rtl w:val="true"/>
          <w:lang w:bidi="ar-SA"/>
        </w:rPr>
        <w:t xml:space="preserve">و الإجماع المحصّل، فلا يجتزئ بعشر الشعر عنها كالوضوء خفيفة و كثيفة، و لا يتحقّق الغسل و لا يصح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يدخل الماء خلاله إلى البشرة على وجه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المسح بلا شبهة في ذلك، و لا فرق في ذلك بين سائر شعر البدن</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3322720_2870459653"/>
      <w:bookmarkStart w:id="289" w:name="_Toc98"/>
      <w:bookmarkEnd w:id="288"/>
      <w:r>
        <w:rPr>
          <w:rtl w:val="true"/>
        </w:rPr>
        <w:t>[</w:t>
      </w:r>
      <w:r>
        <w:rPr>
          <w:rtl w:val="true"/>
        </w:rPr>
        <w:t>مستحبات الغسل</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 الهُدى </w:t>
      </w:r>
      <w:r>
        <w:rPr>
          <w:rStyle w:val="FootnoteAnchor"/>
          <w:rtl w:val="true"/>
        </w:rPr>
        <w:footnoteReference w:id="3357"/>
      </w:r>
      <w:r>
        <w:rPr>
          <w:rFonts w:ascii="Amiri" w:hAnsi="Amiri" w:eastAsia="Amiri" w:cs="Amiri"/>
          <w:color w:val="111111"/>
          <w:sz w:val="28"/>
          <w:sz w:val="28"/>
          <w:szCs w:val="28"/>
          <w:rtl w:val="true"/>
          <w:lang w:bidi="ar-SA"/>
        </w:rPr>
        <w:t xml:space="preserve">و الحلّي </w:t>
      </w:r>
      <w:r>
        <w:rPr>
          <w:rStyle w:val="FootnoteAnchor"/>
          <w:rtl w:val="true"/>
        </w:rPr>
        <w:footnoteReference w:id="3358"/>
      </w:r>
      <w:r>
        <w:rPr>
          <w:rFonts w:ascii="Amiri" w:hAnsi="Amiri" w:eastAsia="Amiri" w:cs="Amiri"/>
          <w:color w:val="111111"/>
          <w:sz w:val="28"/>
          <w:sz w:val="28"/>
          <w:szCs w:val="28"/>
          <w:rtl w:val="true"/>
          <w:lang w:bidi="ar-SA"/>
        </w:rPr>
        <w:t xml:space="preserve">و الفاضلين </w:t>
      </w:r>
      <w:r>
        <w:rPr>
          <w:rStyle w:val="FootnoteAnchor"/>
          <w:rtl w:val="true"/>
        </w:rPr>
        <w:footnoteReference w:id="3359"/>
      </w:r>
      <w:r>
        <w:rPr>
          <w:rFonts w:ascii="Amiri" w:hAnsi="Amiri" w:eastAsia="Amiri" w:cs="Amiri"/>
          <w:color w:val="111111"/>
          <w:sz w:val="28"/>
          <w:sz w:val="28"/>
          <w:szCs w:val="28"/>
          <w:rtl w:val="true"/>
          <w:lang w:bidi="ar-SA"/>
        </w:rPr>
        <w:t xml:space="preserve">و أكثر من تأخّر </w:t>
      </w:r>
      <w:r>
        <w:rPr>
          <w:rStyle w:val="FootnoteAnchor"/>
          <w:rtl w:val="true"/>
        </w:rPr>
        <w:footnoteReference w:id="3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للمُنزِل لا لمطلق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يحتمل الإنزال كما في البيان </w:t>
      </w:r>
      <w:r>
        <w:rPr>
          <w:rStyle w:val="FootnoteAnchor"/>
          <w:rtl w:val="true"/>
        </w:rPr>
        <w:footnoteReference w:id="3361"/>
      </w:r>
      <w:r>
        <w:rPr>
          <w:rFonts w:ascii="IRNazanin" w:hAnsi="IRNazanin" w:eastAsia="IRNazanin"/>
          <w:color w:val="111111"/>
          <w:sz w:val="28"/>
          <w:sz w:val="28"/>
          <w:szCs w:val="28"/>
          <w:rtl w:val="true"/>
          <w:lang w:bidi="fa-IR"/>
        </w:rPr>
        <w:t xml:space="preserve">، و نفاه بروضه </w:t>
      </w:r>
      <w:r>
        <w:rPr>
          <w:rStyle w:val="FootnoteAnchor"/>
          <w:rtl w:val="true"/>
        </w:rPr>
        <w:footnoteReference w:id="3362"/>
      </w:r>
      <w:r>
        <w:rPr>
          <w:rFonts w:ascii="Amiri" w:hAnsi="Amiri" w:eastAsia="Amiri" w:cs="Amiri"/>
          <w:color w:val="111111"/>
          <w:sz w:val="28"/>
          <w:sz w:val="28"/>
          <w:szCs w:val="28"/>
          <w:rtl w:val="true"/>
          <w:lang w:bidi="ar-SA"/>
        </w:rPr>
        <w:t xml:space="preserve">في المحتمل، و أوجبه الشيخ </w:t>
      </w:r>
      <w:r>
        <w:rPr>
          <w:rStyle w:val="FootnoteAnchor"/>
          <w:rtl w:val="true"/>
        </w:rPr>
        <w:footnoteReference w:id="3363"/>
      </w:r>
      <w:r>
        <w:rPr>
          <w:rFonts w:ascii="Amiri" w:hAnsi="Amiri" w:eastAsia="Amiri" w:cs="Amiri"/>
          <w:color w:val="111111"/>
          <w:sz w:val="28"/>
          <w:sz w:val="28"/>
          <w:szCs w:val="28"/>
          <w:rtl w:val="true"/>
          <w:lang w:bidi="ar-SA"/>
        </w:rPr>
        <w:t xml:space="preserve">و بنو حمزة </w:t>
      </w:r>
      <w:r>
        <w:rPr>
          <w:rStyle w:val="FootnoteAnchor"/>
          <w:rtl w:val="true"/>
        </w:rPr>
        <w:footnoteReference w:id="3364"/>
      </w:r>
      <w:r>
        <w:rPr>
          <w:rFonts w:ascii="Amiri" w:hAnsi="Amiri" w:eastAsia="Amiri" w:cs="Amiri"/>
          <w:color w:val="111111"/>
          <w:sz w:val="28"/>
          <w:sz w:val="28"/>
          <w:szCs w:val="28"/>
          <w:rtl w:val="true"/>
          <w:lang w:bidi="ar-SA"/>
        </w:rPr>
        <w:t xml:space="preserve">و زهرة </w:t>
      </w:r>
      <w:r>
        <w:rPr>
          <w:rStyle w:val="FootnoteAnchor"/>
          <w:rtl w:val="true"/>
        </w:rPr>
        <w:footnoteReference w:id="3365"/>
      </w:r>
      <w:r>
        <w:rPr>
          <w:rFonts w:ascii="Amiri" w:hAnsi="Amiri" w:eastAsia="Amiri" w:cs="Amiri"/>
          <w:color w:val="111111"/>
          <w:sz w:val="28"/>
          <w:sz w:val="28"/>
          <w:szCs w:val="28"/>
          <w:rtl w:val="true"/>
          <w:lang w:bidi="ar-SA"/>
        </w:rPr>
        <w:t xml:space="preserve">و البرّاج </w:t>
      </w:r>
      <w:r>
        <w:rPr>
          <w:rStyle w:val="FootnoteAnchor"/>
          <w:rtl w:val="true"/>
        </w:rPr>
        <w:footnoteReference w:id="3366"/>
      </w:r>
      <w:r>
        <w:rPr>
          <w:rFonts w:ascii="Amiri" w:hAnsi="Amiri" w:eastAsia="Amiri" w:cs="Amiri"/>
          <w:color w:val="111111"/>
          <w:sz w:val="28"/>
          <w:sz w:val="28"/>
          <w:szCs w:val="28"/>
          <w:rtl w:val="true"/>
          <w:lang w:bidi="ar-SA"/>
        </w:rPr>
        <w:t xml:space="preserve">و سلّار </w:t>
      </w:r>
      <w:r>
        <w:rPr>
          <w:rStyle w:val="FootnoteAnchor"/>
          <w:rtl w:val="true"/>
        </w:rPr>
        <w:footnoteReference w:id="3367"/>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الأوجه الأوّل، فإنّ ما قضى بوجوب إعادة الغسل لغير المستبرئ بخروج البَلَل المشتبه ما كان ليقضي بالوجوب مع وجود الأصل السالم عن المعارض القاضي بعدمه، و يلزمه أن </w:t>
      </w:r>
    </w:p>
    <w:p>
      <w:pPr>
        <w:pStyle w:val="BookText"/>
        <w:rPr/>
      </w:pPr>
      <w:r>
        <w:rPr>
          <w:rFonts w:ascii="Amiri" w:hAnsi="Amiri" w:eastAsia="Amiri" w:cs="Amiri"/>
          <w:color w:val="111111"/>
          <w:sz w:val="28"/>
          <w:sz w:val="28"/>
          <w:szCs w:val="28"/>
          <w:rtl w:val="true"/>
          <w:lang w:bidi="ar-SA"/>
        </w:rPr>
        <w:t xml:space="preserve">يستبرئ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المَنيّ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عينه نحو غسل المخرَج بالماء الذي يزول به العين و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بالاجتهاد بما تقدّم من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بعده كما تُوْهمه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استحب بعد البول أيضاً فالمراد أنّ من لا يمكنه البول يستبرئ،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زال به العين دون الأثر إلّا أنّه يفيد مفاده، أو فيه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الاستبراء مطلقاً، و هو مع عدم التمكّن من البول و بعده مصرّح به، و أمّا مع التمكّن من البول و الإعراض عنه فقد يظهر من بعض العبائر استحبابه مطلقاً كعبارة المبسوط،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بالبول أو الاجتهاد </w:t>
      </w:r>
      <w:r>
        <w:rPr>
          <w:rStyle w:val="FootnoteAnchor"/>
          <w:rtl w:val="true"/>
        </w:rPr>
        <w:footnoteReference w:id="3368"/>
      </w:r>
      <w:r>
        <w:rPr>
          <w:rFonts w:ascii="Amiri" w:hAnsi="Amiri" w:eastAsia="Amiri" w:cs="Amiri"/>
          <w:color w:val="111111"/>
          <w:sz w:val="28"/>
          <w:sz w:val="28"/>
          <w:szCs w:val="28"/>
          <w:rtl w:val="true"/>
          <w:lang w:bidi="ar-SA"/>
        </w:rPr>
        <w:t>، إلَّا أنّ الأظهر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استحبابه للمرأة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 به عنده، 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فتستبرئ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بالبول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و لا يندب عنده و إن صرّح به غيره </w:t>
      </w:r>
      <w:r>
        <w:rPr>
          <w:rStyle w:val="FootnoteAnchor"/>
          <w:rtl w:val="true"/>
        </w:rPr>
        <w:footnoteReference w:id="3369"/>
      </w:r>
      <w:r>
        <w:rPr>
          <w:rFonts w:ascii="Amiri" w:hAnsi="Amiri" w:eastAsia="Amiri" w:cs="Amiri"/>
          <w:color w:val="111111"/>
          <w:sz w:val="28"/>
          <w:sz w:val="28"/>
          <w:szCs w:val="28"/>
          <w:rtl w:val="true"/>
          <w:lang w:bidi="ar-SA"/>
        </w:rPr>
        <w:t xml:space="preserve">، بل عساه أشهر من ندبيّة الاجتهاد لها، لكنّه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المخرجين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العلّة مشتركة لكنّها في الرّجل أقرب، فلو عبّر بالأقربيّة كان أَولى، و الأوجه اختصاصه بالرّجل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و الاستنشاق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الصحيحة زرارة </w:t>
      </w:r>
      <w:r>
        <w:rPr>
          <w:rStyle w:val="FootnoteAnchor"/>
          <w:rtl w:val="true"/>
        </w:rPr>
        <w:footnoteReference w:id="3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غسل اليدين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أو الأوّل، و يستحبّ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الزندين، و عليه المصنّف في الذكرى </w:t>
      </w:r>
      <w:r>
        <w:rPr>
          <w:rStyle w:val="FootnoteAnchor"/>
          <w:rtl w:val="true"/>
        </w:rPr>
        <w:footnoteReference w:id="3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الفاضل في زبره </w:t>
      </w:r>
      <w:r>
        <w:rPr>
          <w:rStyle w:val="FootnoteAnchor"/>
          <w:rtl w:val="true"/>
        </w:rPr>
        <w:footnoteReference w:id="3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المرفقين، و اختاره في النفليّة </w:t>
      </w:r>
      <w:r>
        <w:rPr>
          <w:rStyle w:val="FootnoteAnchor"/>
          <w:rtl w:val="true"/>
        </w:rPr>
        <w:footnoteReference w:id="3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p>
    <w:p>
      <w:pPr>
        <w:pStyle w:val="BookText"/>
        <w:rPr/>
      </w:pPr>
      <w:r>
        <w:rPr>
          <w:rFonts w:ascii="Amiri" w:hAnsi="Amiri" w:eastAsia="Amiri" w:cs="Amiri"/>
          <w:color w:val="111111"/>
          <w:sz w:val="28"/>
          <w:sz w:val="28"/>
          <w:szCs w:val="28"/>
          <w:rtl w:val="true"/>
          <w:lang w:bidi="ar-SA"/>
        </w:rPr>
        <w:t xml:space="preserve">للجُعفي </w:t>
      </w:r>
      <w:r>
        <w:rPr>
          <w:rStyle w:val="FootnoteAnchor"/>
          <w:rtl w:val="true"/>
        </w:rPr>
        <w:footnoteReference w:id="33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هما </w:t>
      </w:r>
      <w:r>
        <w:rPr>
          <w:rStyle w:val="FootnoteAnchor"/>
          <w:rtl w:val="true"/>
        </w:rPr>
        <w:footnoteReference w:id="3375"/>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مؤدِّ للسنّة و إن كان الثاني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أبلغ في التنظيف و العمل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كلّما فرغ من عضو شرعَ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غسل نفس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يشرع في الجزء اللّاحق بعد الفراغ من سابقه بلا مُهْلَة أو يغمره في الماء جملةً، و ندبيّته بالخصوص و إن فقدت نصّاً مخصوصاً، لكنّها تندب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المسارعة إلى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التحفّظ من طريان المفسد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المعلوم فعله للقائمين بالشرع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المشهور </w:t>
      </w:r>
      <w:r>
        <w:rPr>
          <w:rStyle w:val="FootnoteAnchor"/>
          <w:rtl w:val="true"/>
        </w:rPr>
        <w:footnoteReference w:id="3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لم نقف على خلاف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لعارض كضيق وقت العبادة المشروطة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ينتقل التكليف إلى التيمّم و خوف فوت الماء على رأي </w:t>
      </w:r>
      <w:r>
        <w:rPr>
          <w:rStyle w:val="FootnoteAnchor"/>
          <w:rtl w:val="true"/>
        </w:rPr>
        <w:footnoteReference w:id="3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 فجأة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إن أبطل الأصغر الغسل أو الأكبر فقط، كخوف طروّ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للمستحاضة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كالجنب الذي يخاف فجأة الجنابة أو الحيض أو الاستحاضة محافظة على سلامة العمل من الإبطال إن تحقّق موضوعه؛ إذ هو بالبطلان أشبه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مستمرّاً فالأقوى اشتراطها في صحّة العمل؛ لعدم العفو عمّا سوى الضروري، وفاقاً للشيخ علي </w:t>
      </w:r>
      <w:r>
        <w:rPr>
          <w:rStyle w:val="FootnoteAnchor"/>
          <w:rtl w:val="true"/>
        </w:rPr>
        <w:footnoteReference w:id="3378"/>
      </w:r>
      <w:r>
        <w:rPr>
          <w:rFonts w:ascii="IRNazanin" w:hAnsi="IRNazanin" w:eastAsia="IRNazanin"/>
          <w:color w:val="111111"/>
          <w:sz w:val="28"/>
          <w:sz w:val="28"/>
          <w:szCs w:val="28"/>
          <w:rtl w:val="true"/>
          <w:lang w:bidi="fa-IR"/>
        </w:rPr>
        <w:t xml:space="preserve">و الحدائق </w:t>
      </w:r>
      <w:r>
        <w:rPr>
          <w:rStyle w:val="FootnoteAnchor"/>
          <w:rtl w:val="true"/>
        </w:rPr>
        <w:footnoteReference w:id="3379"/>
      </w:r>
      <w:r>
        <w:rPr>
          <w:rFonts w:ascii="Amiri" w:hAnsi="Amiri" w:eastAsia="Amiri" w:cs="Amiri"/>
          <w:color w:val="111111"/>
          <w:sz w:val="28"/>
          <w:sz w:val="28"/>
          <w:szCs w:val="28"/>
          <w:rtl w:val="true"/>
          <w:lang w:bidi="ar-SA"/>
        </w:rPr>
        <w:t xml:space="preserve">و غيرهما </w:t>
      </w:r>
      <w:r>
        <w:rPr>
          <w:rStyle w:val="FootnoteAnchor"/>
          <w:rtl w:val="true"/>
        </w:rPr>
        <w:footnoteReference w:id="3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راجح يشرع نذره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المرأة الظفائر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ظَفيرة، و هي العقيصة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الخصلة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المُحْكَمَة الفَتل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للتنبيه على خلاف المفيد </w:t>
      </w:r>
      <w:r>
        <w:rPr>
          <w:rStyle w:val="FootnoteAnchor"/>
          <w:rtl w:val="true"/>
        </w:rPr>
        <w:footnoteReference w:id="3381"/>
      </w:r>
      <w:r>
        <w:rPr>
          <w:rFonts w:ascii="Amiri" w:hAnsi="Amiri" w:eastAsia="Amiri" w:cs="Amiri"/>
          <w:color w:val="111111"/>
          <w:sz w:val="28"/>
          <w:sz w:val="28"/>
          <w:szCs w:val="28"/>
          <w:rtl w:val="true"/>
          <w:lang w:bidi="ar-SA"/>
        </w:rPr>
        <w:t xml:space="preserve">فيها حيث أوجبه في ظاهر كلامه، فنفاه و أبطله؛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بالندبيّة مثل حسنة جميل </w:t>
      </w:r>
      <w:r>
        <w:rPr>
          <w:rStyle w:val="FootnoteAnchor"/>
          <w:rtl w:val="true"/>
        </w:rPr>
        <w:footnoteReference w:id="3382"/>
      </w:r>
      <w:r>
        <w:rPr>
          <w:rFonts w:ascii="IRNazanin" w:hAnsi="IRNazanin" w:eastAsia="IRNazanin"/>
          <w:color w:val="111111"/>
          <w:sz w:val="28"/>
          <w:sz w:val="28"/>
          <w:szCs w:val="28"/>
          <w:rtl w:val="true"/>
          <w:lang w:bidi="fa-IR"/>
        </w:rPr>
        <w:t xml:space="preserve">و خبر محمّد بن مسلم </w:t>
      </w:r>
      <w:r>
        <w:rPr>
          <w:rStyle w:val="FootnoteAnchor"/>
          <w:rtl w:val="true"/>
        </w:rPr>
        <w:footnoteReference w:id="3383"/>
      </w:r>
      <w:r>
        <w:rPr>
          <w:rFonts w:ascii="IRNazanin" w:hAnsi="IRNazanin" w:eastAsia="IRNazanin"/>
          <w:color w:val="111111"/>
          <w:sz w:val="28"/>
          <w:sz w:val="28"/>
          <w:szCs w:val="28"/>
          <w:rtl w:val="true"/>
          <w:lang w:bidi="fa-IR"/>
        </w:rPr>
        <w:t>المُشْعِرَين بعدم النقض، و القاضي بعدم الوجوب كقول الصادق علیه السلام في رواية الحلبي و غياث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المرأة شعرها إذا اغتسلت من الجنابة</w:t>
      </w:r>
      <w:r>
        <w:rPr>
          <w:rFonts w:eastAsia="IRNazanin" w:cs="IRNazanin"/>
          <w:color w:val="111111"/>
          <w:sz w:val="28"/>
          <w:szCs w:val="28"/>
          <w:rtl w:val="true"/>
          <w:lang w:bidi="fa-IR"/>
        </w:rPr>
        <w:t xml:space="preserve">» </w:t>
      </w:r>
      <w:r>
        <w:rPr>
          <w:rStyle w:val="FootnoteAnchor"/>
          <w:rtl w:val="true"/>
        </w:rPr>
        <w:footnoteReference w:id="3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فالرجل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و يندب في كلّ غسل إلَّا غسل الميّت، و إنّما لم يجب النقض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الواجب غسل البشرة دون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رواية نقض الحائض الشعر بالمشط محمولة على تأكّد الاستحباب فهو علّة لأصل الحكم لا المساواة و إن اقتضاه سَوْق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دليلاً على المساواة؛ إذ المدّعى مشتمل على المساواة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الوجوب و الرّجحان، فاستدلّ على أحد الجزأين و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استحب النّقض للاستظهار و النصّ، مفصولاً عمّا قبله و دليلاً على أصل المسألة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المجموع دليلاً على المساواة، و معناه أنّ الرجل كالمرأة في عدم وجوب النقض عليه و استحبابه له؛ لوجوب غسل البشرة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Style w:val="FootnoteAnchor"/>
          <w:rtl w:val="true"/>
        </w:rPr>
        <w:footnoteReference w:id="3385"/>
      </w:r>
      <w:r>
        <w:rPr>
          <w:rFonts w:ascii="IRNazanin" w:hAnsi="IRNazanin" w:eastAsia="IRNazanin"/>
          <w:color w:val="111111"/>
          <w:sz w:val="28"/>
          <w:sz w:val="28"/>
          <w:szCs w:val="28"/>
          <w:rtl w:val="true"/>
          <w:lang w:bidi="fa-IR"/>
        </w:rPr>
        <w:t xml:space="preserve">استحباب </w:t>
      </w:r>
      <w:r>
        <w:rPr>
          <w:rStyle w:val="FootnoteAnchor"/>
          <w:rtl w:val="true"/>
        </w:rPr>
        <w:footnoteReference w:id="3386"/>
      </w:r>
    </w:p>
    <w:p>
      <w:pPr>
        <w:pStyle w:val="BookText"/>
        <w:rPr/>
      </w:pPr>
      <w:r>
        <w:rPr>
          <w:rFonts w:ascii="Amiri" w:hAnsi="Amiri" w:eastAsia="Amiri" w:cs="Amiri"/>
          <w:color w:val="111111"/>
          <w:sz w:val="28"/>
          <w:sz w:val="28"/>
          <w:szCs w:val="28"/>
          <w:rtl w:val="true"/>
          <w:lang w:bidi="ar-SA"/>
        </w:rPr>
        <w:t>النقض للاستظهار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لشيء آخر يخصّ المرأة، و الاستظهار شامل لهما، و النّص و إن اختصّ إلَّا أنّه لا يفيد نفي الحكم عن غير المرأة، و اختصاصه لكونه مورد السؤال، و أوجه الاحتمالات الأوّل، و هو إبطال توهّم الوجوب أوّلاً، ثمّ إثبات الرجحان؛ للاستظهار و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عضو من أعضاء البدن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الرأس و الجانبان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كاستحباب المرّتين في الوضوء، و لا نصّ يفيد إلَّا ظاهراً، لكن صرّح به جماعة </w:t>
      </w:r>
      <w:r>
        <w:rPr>
          <w:rStyle w:val="FootnoteAnchor"/>
          <w:rtl w:val="true"/>
        </w:rPr>
        <w:footnoteReference w:id="3387"/>
      </w:r>
      <w:r>
        <w:rPr>
          <w:rFonts w:ascii="IRNazanin" w:hAnsi="IRNazanin" w:eastAsia="IRNazanin"/>
          <w:color w:val="111111"/>
          <w:sz w:val="28"/>
          <w:sz w:val="28"/>
          <w:szCs w:val="28"/>
          <w:rtl w:val="true"/>
          <w:lang w:bidi="fa-IR"/>
        </w:rPr>
        <w:t>فتبعناهم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لا التثليث و إن سبق إلى الذهن، فيفعل واجباً أو ندباً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و المندوبة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 جملته تثليثه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خبر لمحذوف أو صفة للجميع إن جوّزنا أنّ الظرف صفة له، و الضمير الأخير عائد للغُسل بالضمّ لا له بالفتح، و إن ذكر كضمير فعله و إن صلح المعنى بعودهما له بنوع تمحّل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المعنى أنّه يندب الغسل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كما قَضَت به جملة من الأخبار </w:t>
      </w:r>
      <w:r>
        <w:rPr>
          <w:rStyle w:val="FootnoteAnchor"/>
          <w:rtl w:val="true"/>
        </w:rPr>
        <w:footnoteReference w:id="3388"/>
      </w:r>
      <w:r>
        <w:rPr>
          <w:rFonts w:ascii="IRNazanin" w:hAnsi="IRNazanin" w:eastAsia="IRNazanin"/>
          <w:color w:val="111111"/>
          <w:sz w:val="28"/>
          <w:sz w:val="28"/>
          <w:szCs w:val="28"/>
          <w:rtl w:val="true"/>
          <w:lang w:bidi="fa-IR"/>
        </w:rPr>
        <w:t xml:space="preserve">، بل الاتّفاق </w:t>
      </w:r>
      <w:r>
        <w:rPr>
          <w:rStyle w:val="FootnoteAnchor"/>
          <w:rtl w:val="true"/>
        </w:rPr>
        <w:footnoteReference w:id="3389"/>
      </w:r>
      <w:r>
        <w:rPr>
          <w:rFonts w:ascii="IRNazanin" w:hAnsi="IRNazanin" w:eastAsia="IRNazanin"/>
          <w:color w:val="111111"/>
          <w:sz w:val="28"/>
          <w:sz w:val="28"/>
          <w:szCs w:val="28"/>
          <w:rtl w:val="true"/>
          <w:lang w:bidi="fa-IR"/>
        </w:rPr>
        <w:t>على استحبابه بالصاع لا أزيد منه، و قد ورد عن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بمُدّ و الغسل بصاع، و سيأتي أقوام يستقلّون ذلك فأُولئك على خلاف سُنّتي، و الثابت على سُنّتي معي في حظيرة القدس</w:t>
      </w:r>
      <w:r>
        <w:rPr>
          <w:rFonts w:eastAsia="IRNazanin" w:cs="IRNazanin"/>
          <w:color w:val="111111"/>
          <w:sz w:val="28"/>
          <w:szCs w:val="28"/>
          <w:rtl w:val="true"/>
          <w:lang w:bidi="fa-IR"/>
        </w:rPr>
        <w:t xml:space="preserve">» </w:t>
      </w:r>
      <w:r>
        <w:rPr>
          <w:rStyle w:val="FootnoteAnchor"/>
          <w:rtl w:val="true"/>
        </w:rPr>
        <w:footnoteReference w:id="3390"/>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الصاع ستّة أرطال بالمَدَني و تسعة بالعراقي؛ لخَبري عليّ بن بلال </w:t>
      </w:r>
      <w:r>
        <w:rPr>
          <w:rStyle w:val="FootnoteAnchor"/>
          <w:rtl w:val="true"/>
        </w:rPr>
        <w:footnoteReference w:id="3391"/>
      </w:r>
      <w:r>
        <w:rPr>
          <w:rFonts w:ascii="Amiri" w:hAnsi="Amiri" w:eastAsia="Amiri" w:cs="Amiri"/>
          <w:color w:val="111111"/>
          <w:sz w:val="28"/>
          <w:sz w:val="28"/>
          <w:szCs w:val="28"/>
          <w:rtl w:val="true"/>
          <w:lang w:bidi="ar-SA"/>
        </w:rPr>
        <w:t xml:space="preserve">و جعفر بن إبراهيم </w:t>
      </w:r>
      <w:bookmarkStart w:id="290" w:name="pg9146_86466"/>
    </w:p>
    <w:p>
      <w:pPr>
        <w:pStyle w:val="BookText"/>
        <w:rPr/>
      </w:pPr>
      <w:bookmarkEnd w:id="290"/>
      <w:r>
        <w:rPr>
          <w:rFonts w:ascii="Amiri" w:hAnsi="Amiri" w:eastAsia="Amiri" w:cs="Amiri"/>
          <w:color w:val="111111"/>
          <w:sz w:val="28"/>
          <w:sz w:val="28"/>
          <w:szCs w:val="28"/>
          <w:rtl w:val="true"/>
          <w:lang w:bidi="ar-SA"/>
        </w:rPr>
        <w:t xml:space="preserve">الهمداني </w:t>
      </w:r>
      <w:r>
        <w:rPr>
          <w:rStyle w:val="FootnoteAnchor"/>
          <w:rtl w:val="true"/>
        </w:rPr>
        <w:footnoteReference w:id="3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خمسة أرطال، و غيره سنّة برطل الكوفة </w:t>
      </w:r>
      <w:r>
        <w:rPr>
          <w:rStyle w:val="FootnoteAnchor"/>
          <w:rtl w:val="true"/>
        </w:rPr>
        <w:footnoteReference w:id="3393"/>
      </w:r>
      <w:r>
        <w:rPr>
          <w:rFonts w:ascii="Amiri" w:hAnsi="Amiri" w:eastAsia="Amiri" w:cs="Amiri"/>
          <w:color w:val="111111"/>
          <w:sz w:val="28"/>
          <w:sz w:val="28"/>
          <w:szCs w:val="28"/>
          <w:rtl w:val="true"/>
          <w:lang w:bidi="ar-SA"/>
        </w:rPr>
        <w:t xml:space="preserve">، و هو خلاف المشهور في تقديره كتصريح جماعة </w:t>
      </w:r>
      <w:r>
        <w:rPr>
          <w:rStyle w:val="FootnoteAnchor"/>
          <w:rtl w:val="true"/>
        </w:rPr>
        <w:footnoteReference w:id="3394"/>
      </w:r>
      <w:r>
        <w:rPr>
          <w:rFonts w:ascii="Amiri" w:hAnsi="Amiri" w:eastAsia="Amiri" w:cs="Amiri"/>
          <w:color w:val="111111"/>
          <w:sz w:val="28"/>
          <w:sz w:val="28"/>
          <w:szCs w:val="28"/>
          <w:rtl w:val="true"/>
          <w:lang w:bidi="ar-SA"/>
        </w:rPr>
        <w:t>بندبيّته بصاع فما زاد، و الخبر يردّهم</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3322722_2870459653"/>
      <w:bookmarkStart w:id="292" w:name="_Toc99"/>
      <w:bookmarkEnd w:id="291"/>
      <w:r>
        <w:rPr>
          <w:rtl w:val="true"/>
        </w:rPr>
        <w:t>[</w:t>
      </w:r>
      <w:r>
        <w:rPr>
          <w:rtl w:val="true"/>
        </w:rPr>
        <w:t>أحكام الجنابة</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بالإيلاج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فإن عيّنه مَنيّاً وجب إعادة الغسل، أو عيّنه غيره لم يلتفت استبرأ أو لا، و إن وجده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مشكوكاً فيه عنده؛ فإن كان ذلك البَلَل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بالبول، أو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البول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يجزم بصحّة غسله، و هو مع البول مقطوع به، و مع الاجتهاد و تعذّر البول مصرّح به في زبر جملة من المحقّقين </w:t>
      </w:r>
      <w:r>
        <w:rPr>
          <w:rStyle w:val="FootnoteAnchor"/>
          <w:rtl w:val="true"/>
        </w:rPr>
        <w:footnoteReference w:id="3395"/>
      </w:r>
      <w:r>
        <w:rPr>
          <w:rFonts w:ascii="Amiri" w:hAnsi="Amiri" w:eastAsia="Amiri" w:cs="Amiri"/>
          <w:color w:val="111111"/>
          <w:sz w:val="28"/>
          <w:sz w:val="28"/>
          <w:szCs w:val="28"/>
          <w:rtl w:val="true"/>
          <w:lang w:bidi="ar-SA"/>
        </w:rPr>
        <w:t>غير الصدوق، فإنّه لم يذكر الاجتهاد، بل نَصَّ على الإعادة إن لم يَبُل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المتّجه الإعادة مع التعذّر و الإمكان؛ لعدم مستند صالح لعدمها، و قياس المني على البول لا ينجم، فالقول بالتفصيل بين البائل و المجنب أحوط و أَولى، فإنّ الأخبار الناصّة على عدم الإعادة عند عدم البول غير نقيّة السّند فلا تصلح سنداً للحكم، مع معارضتها بما قضى بالإعادة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3396"/>
      </w:r>
      <w:r>
        <w:rPr>
          <w:rFonts w:ascii="Amiri" w:hAnsi="Amiri" w:eastAsia="Amiri" w:cs="Amiri"/>
          <w:color w:val="111111"/>
          <w:sz w:val="28"/>
          <w:sz w:val="28"/>
          <w:szCs w:val="28"/>
          <w:rtl w:val="true"/>
          <w:lang w:bidi="ar-SA"/>
        </w:rPr>
        <w:t>يبل مطلقاً، مضافاً إلى الفرق بين البول و المَنيّ؛ إذ الأوّل تزول أجزاؤه بالجفاف دون الثاني</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بدون الاستبراء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أو الاجتهاد مع </w:t>
      </w:r>
    </w:p>
    <w:p>
      <w:pPr>
        <w:pStyle w:val="BookText"/>
        <w:rPr/>
      </w:pPr>
      <w:r>
        <w:rPr>
          <w:rFonts w:ascii="Amiri" w:hAnsi="Amiri" w:eastAsia="Amiri" w:cs="Amiri"/>
          <w:color w:val="111111"/>
          <w:sz w:val="28"/>
          <w:sz w:val="28"/>
          <w:szCs w:val="28"/>
          <w:rtl w:val="true"/>
          <w:lang w:bidi="ar-SA"/>
        </w:rPr>
        <w:t xml:space="preserve">تعذّره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و يحكم بمنيّه المشتبه، و تلحقه باقي أحكام المَنيّ من نجاسته و نجاسة ملاقيه، كالخارج بعد البول و قبل الاستبراء سواء تعمّد ذلك أو نسيه، و يظهر من بعض الأخبار </w:t>
      </w:r>
      <w:r>
        <w:rPr>
          <w:rStyle w:val="FootnoteAnchor"/>
          <w:rtl w:val="true"/>
        </w:rPr>
        <w:footnoteReference w:id="3397"/>
      </w:r>
      <w:r>
        <w:rPr>
          <w:rFonts w:ascii="Amiri" w:hAnsi="Amiri" w:eastAsia="Amiri" w:cs="Amiri"/>
          <w:color w:val="111111"/>
          <w:sz w:val="28"/>
          <w:sz w:val="28"/>
          <w:szCs w:val="28"/>
          <w:rtl w:val="true"/>
          <w:lang w:bidi="ar-SA"/>
        </w:rPr>
        <w:t>عدم إعادة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الشيخ في النهاية </w:t>
      </w:r>
      <w:r>
        <w:rPr>
          <w:rStyle w:val="FootnoteAnchor"/>
          <w:rtl w:val="true"/>
        </w:rPr>
        <w:footnoteReference w:id="3398"/>
      </w:r>
      <w:r>
        <w:rPr>
          <w:rFonts w:ascii="Amiri" w:hAnsi="Amiri" w:eastAsia="Amiri" w:cs="Amiri"/>
          <w:color w:val="111111"/>
          <w:sz w:val="28"/>
          <w:sz w:val="28"/>
          <w:szCs w:val="28"/>
          <w:rtl w:val="true"/>
          <w:lang w:bidi="ar-SA"/>
        </w:rPr>
        <w:t>أنّه مع التعرّض للبول و لم يبل لا يعيد و إن لم يجتهد، و هما مزيّفان، أو محمولان على غير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البَلَل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وجده بعد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الوضوء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هو حكم مَن لم يستبرئ مِن البول، و النصوص </w:t>
      </w:r>
      <w:r>
        <w:rPr>
          <w:rStyle w:val="FootnoteAnchor"/>
          <w:rtl w:val="true"/>
        </w:rPr>
        <w:footnoteReference w:id="3399"/>
      </w:r>
      <w:r>
        <w:rPr>
          <w:rFonts w:ascii="Amiri" w:hAnsi="Amiri" w:eastAsia="Amiri" w:cs="Amiri"/>
          <w:color w:val="111111"/>
          <w:sz w:val="28"/>
          <w:sz w:val="28"/>
          <w:szCs w:val="28"/>
          <w:rtl w:val="true"/>
          <w:lang w:bidi="ar-SA"/>
        </w:rPr>
        <w:t>ناطقة بالحكم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الاجتهاد بدون البول مع إمكانه فلا حكم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المتيقّن من شرعيّة الاجتهاد أنّه مع تعدّر البول، فيقتصر عليه و يجب إعادة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خروج البَلَل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لبعضهم </w:t>
      </w:r>
      <w:r>
        <w:rPr>
          <w:rStyle w:val="FootnoteAnchor"/>
          <w:rtl w:val="true"/>
        </w:rPr>
        <w:footnoteReference w:id="3400"/>
      </w:r>
      <w:r>
        <w:rPr>
          <w:rFonts w:ascii="IRNazanin" w:hAnsi="IRNazanin" w:eastAsia="IRNazanin"/>
          <w:color w:val="111111"/>
          <w:sz w:val="28"/>
          <w:sz w:val="28"/>
          <w:szCs w:val="28"/>
          <w:rtl w:val="true"/>
          <w:lang w:bidi="fa-IR"/>
        </w:rPr>
        <w:t xml:space="preserve">فأفسدها لخبر </w:t>
      </w:r>
      <w:r>
        <w:rPr>
          <w:rStyle w:val="FootnoteAnchor"/>
          <w:rtl w:val="true"/>
        </w:rPr>
        <w:footnoteReference w:id="3401"/>
      </w:r>
      <w:r>
        <w:rPr>
          <w:rFonts w:ascii="Amiri" w:hAnsi="Amiri" w:eastAsia="Amiri" w:cs="Amiri"/>
          <w:color w:val="111111"/>
          <w:sz w:val="28"/>
          <w:sz w:val="28"/>
          <w:szCs w:val="28"/>
          <w:rtl w:val="true"/>
          <w:lang w:bidi="ar-SA"/>
        </w:rPr>
        <w:t xml:space="preserve">متروك، و إنّما 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لارتفاع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حَدَث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يقتضي الغسل، و من خروجه لا قبله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خرج عن محلّه إلى محلّ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تبدّل المحلّ لا يثبت الغسل الموقوف </w:t>
      </w:r>
    </w:p>
    <w:p>
      <w:pPr>
        <w:pStyle w:val="BookText"/>
        <w:rPr/>
      </w:pPr>
      <w:r>
        <w:rPr>
          <w:rFonts w:ascii="IRNazanin" w:hAnsi="IRNazanin" w:eastAsia="IRNazanin"/>
          <w:color w:val="111111"/>
          <w:sz w:val="28"/>
          <w:sz w:val="28"/>
          <w:szCs w:val="28"/>
          <w:rtl w:val="true"/>
          <w:lang w:bidi="fa-IR"/>
        </w:rPr>
        <w:t>على الخروج من المعتاد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 ما لو 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المجنب قبل إنزاله المَنيّ بخروجه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عليه و صلّى ثمّ 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صلاته زمن المدافعة و اغتسل بعد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يرتّب في غسل الجنابة و غيره؛ إذ 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بالارتماس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يتحقّق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البدن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Style w:val="FootnoteAnchor"/>
          <w:rtl w:val="true"/>
        </w:rPr>
        <w:footnoteReference w:id="3402"/>
      </w:r>
      <w:r>
        <w:rPr>
          <w:rFonts w:ascii="Amiri" w:hAnsi="Amiri" w:eastAsia="Amiri" w:cs="Amiri"/>
          <w:color w:val="111111"/>
          <w:sz w:val="28"/>
          <w:sz w:val="28"/>
          <w:szCs w:val="28"/>
          <w:rtl w:val="true"/>
          <w:lang w:bidi="ar-SA"/>
        </w:rPr>
        <w:t>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إمكان الحقيقية، فإنّ الدفعة بهذا المعنى تنافي الترتيب، فيسقط اعتباره، و يكون الغسل بالارتماس في عرض المرتّب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الشيخ رحمه الله </w:t>
      </w:r>
      <w:r>
        <w:rPr>
          <w:rStyle w:val="FootnoteAnchor"/>
          <w:rtl w:val="true"/>
        </w:rPr>
        <w:footnoteReference w:id="3403"/>
      </w:r>
      <w:r>
        <w:rPr>
          <w:rFonts w:ascii="Amiri" w:hAnsi="Amiri" w:eastAsia="Amiri" w:cs="Amiri"/>
          <w:color w:val="111111"/>
          <w:sz w:val="28"/>
          <w:sz w:val="28"/>
          <w:szCs w:val="28"/>
          <w:rtl w:val="true"/>
          <w:lang w:bidi="ar-SA"/>
        </w:rPr>
        <w:t>اعتبار التّرتيب في الارتماس بأن ينويه المرتمس مرتّباً أو أنّ ارتماسي الغسل في حكم المرتّب منه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الثمرة في مَن أغفلَ لمعة من بدنه، فإنّه يعيد على المشهور </w:t>
      </w:r>
      <w:r>
        <w:rPr>
          <w:rStyle w:val="FootnoteAnchor"/>
          <w:rtl w:val="true"/>
        </w:rPr>
        <w:footnoteReference w:id="3404"/>
      </w:r>
      <w:r>
        <w:rPr>
          <w:rFonts w:ascii="Amiri" w:hAnsi="Amiri" w:eastAsia="Amiri" w:cs="Amiri"/>
          <w:color w:val="111111"/>
          <w:sz w:val="28"/>
          <w:sz w:val="28"/>
          <w:szCs w:val="28"/>
          <w:rtl w:val="true"/>
          <w:lang w:bidi="ar-SA"/>
        </w:rPr>
        <w:t>من سقوط الترتيب رأساً؛ لعدم الوحدة، و يعيد ما بعدها على الترتيب الحكميّ و في النذر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بمتابعة النّذر و اليمين للقصد، و مع فقده لا ينصرف الإطلاق إلى مثل ذلك و بأنّ الترتيب الحكميّ على القول به متفرِّع على صدق الارتماس، و مع بقاء اللّمعة المنسية لا يصدق، فلا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يرد بصدق الارتماس العرفي مع بقاء اللّمعة؛ لعدم منافاته للدّفعة العرفيّة</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لزوم إعادة الغسل الارتماسي مع بقاء اللّمعة؛ لعدم وقوع المنوي على وجهه، </w:t>
      </w:r>
    </w:p>
    <w:p>
      <w:pPr>
        <w:pStyle w:val="BookText"/>
        <w:rPr/>
      </w:pPr>
      <w:r>
        <w:rPr>
          <w:rFonts w:ascii="Amiri" w:hAnsi="Amiri" w:eastAsia="Amiri" w:cs="Amiri"/>
          <w:color w:val="111111"/>
          <w:sz w:val="28"/>
          <w:sz w:val="28"/>
          <w:szCs w:val="28"/>
          <w:rtl w:val="true"/>
          <w:lang w:bidi="ar-SA"/>
        </w:rPr>
        <w:t xml:space="preserve">و عدم صدق غسل البدن بارتماسة واحدة و إن صدق الارتماس، و عليه جملة من تأخّر </w:t>
      </w:r>
      <w:r>
        <w:rPr>
          <w:rStyle w:val="FootnoteAnchor"/>
          <w:rtl w:val="true"/>
        </w:rPr>
        <w:footnoteReference w:id="3405"/>
      </w:r>
      <w:r>
        <w:rPr>
          <w:rFonts w:ascii="IRNazanin" w:hAnsi="IRNazanin" w:eastAsia="IRNazanin"/>
          <w:color w:val="111111"/>
          <w:sz w:val="28"/>
          <w:sz w:val="28"/>
          <w:szCs w:val="28"/>
          <w:rtl w:val="true"/>
          <w:lang w:bidi="fa-IR"/>
        </w:rPr>
        <w:t xml:space="preserve">، و قوّى الفاضل </w:t>
      </w:r>
      <w:r>
        <w:rPr>
          <w:rStyle w:val="FootnoteAnchor"/>
          <w:rtl w:val="true"/>
        </w:rPr>
        <w:footnoteReference w:id="3406"/>
      </w:r>
      <w:r>
        <w:rPr>
          <w:rFonts w:ascii="Amiri" w:hAnsi="Amiri" w:eastAsia="Amiri" w:cs="Amiri"/>
          <w:color w:val="111111"/>
          <w:sz w:val="28"/>
          <w:sz w:val="28"/>
          <w:szCs w:val="28"/>
          <w:rtl w:val="true"/>
          <w:lang w:bidi="ar-SA"/>
        </w:rPr>
        <w:t xml:space="preserve">الاكتفاء بغسلها مطلقاً و ثاني المحقّقين </w:t>
      </w:r>
      <w:r>
        <w:rPr>
          <w:rStyle w:val="FootnoteAnchor"/>
          <w:rtl w:val="true"/>
        </w:rPr>
        <w:footnoteReference w:id="3407"/>
      </w:r>
      <w:r>
        <w:rPr>
          <w:rFonts w:ascii="Amiri" w:hAnsi="Amiri" w:eastAsia="Amiri" w:cs="Amiri"/>
          <w:color w:val="111111"/>
          <w:sz w:val="28"/>
          <w:sz w:val="28"/>
          <w:szCs w:val="28"/>
          <w:rtl w:val="true"/>
          <w:lang w:bidi="ar-SA"/>
        </w:rPr>
        <w:t xml:space="preserve">التفصيل بين طول الزمان و قصره، فيعيد في الأوّل، و غيرهما </w:t>
      </w:r>
      <w:r>
        <w:rPr>
          <w:rStyle w:val="FootnoteAnchor"/>
          <w:rtl w:val="true"/>
        </w:rPr>
        <w:footnoteReference w:id="3408"/>
      </w:r>
      <w:r>
        <w:rPr>
          <w:rFonts w:ascii="Amiri" w:hAnsi="Amiri" w:eastAsia="Amiri" w:cs="Amiri"/>
          <w:color w:val="111111"/>
          <w:sz w:val="28"/>
          <w:sz w:val="28"/>
          <w:szCs w:val="28"/>
          <w:rtl w:val="true"/>
          <w:lang w:bidi="ar-SA"/>
        </w:rPr>
        <w:t>بانقلاب الغسل إلى الترتيبي حينئذٍ فيغسل ما بعدهما، و الجميع منظور فيه؛ لوَهْن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ثبت الترتيب الحكمي فالأخير متّجه، و إلَّا فلا معنى للانقلاب</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التّرتيب غير الارتماس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أشبهه كالوقوف تحت المجرى و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وفاقاً للشيخ في المبسوط </w:t>
      </w:r>
      <w:r>
        <w:rPr>
          <w:rStyle w:val="FootnoteAnchor"/>
          <w:rtl w:val="true"/>
        </w:rPr>
        <w:footnoteReference w:id="3409"/>
      </w:r>
      <w:r>
        <w:rPr>
          <w:rFonts w:ascii="Amiri" w:hAnsi="Amiri" w:eastAsia="Amiri" w:cs="Amiri"/>
          <w:color w:val="111111"/>
          <w:sz w:val="28"/>
          <w:sz w:val="28"/>
          <w:szCs w:val="28"/>
          <w:rtl w:val="true"/>
          <w:lang w:bidi="ar-SA"/>
        </w:rPr>
        <w:t xml:space="preserve">و كتابي الحديث </w:t>
      </w:r>
      <w:r>
        <w:rPr>
          <w:rStyle w:val="FootnoteAnchor"/>
          <w:rtl w:val="true"/>
        </w:rPr>
        <w:footnoteReference w:id="3410"/>
      </w:r>
      <w:r>
        <w:rPr>
          <w:rFonts w:ascii="Amiri" w:hAnsi="Amiri" w:eastAsia="Amiri" w:cs="Amiri"/>
          <w:color w:val="111111"/>
          <w:sz w:val="28"/>
          <w:sz w:val="28"/>
          <w:szCs w:val="28"/>
          <w:rtl w:val="true"/>
          <w:lang w:bidi="ar-SA"/>
        </w:rPr>
        <w:t xml:space="preserve">و ظاهر ابن الجنيد </w:t>
      </w:r>
      <w:r>
        <w:rPr>
          <w:rStyle w:val="FootnoteAnchor"/>
          <w:rtl w:val="true"/>
        </w:rPr>
        <w:footnoteReference w:id="3411"/>
      </w:r>
      <w:r>
        <w:rPr>
          <w:rFonts w:ascii="Amiri" w:hAnsi="Amiri" w:eastAsia="Amiri" w:cs="Amiri"/>
          <w:color w:val="111111"/>
          <w:sz w:val="28"/>
          <w:sz w:val="28"/>
          <w:szCs w:val="28"/>
          <w:rtl w:val="true"/>
          <w:lang w:bidi="ar-SA"/>
        </w:rPr>
        <w:t xml:space="preserve">و الصدوق في الأمالي </w:t>
      </w:r>
      <w:r>
        <w:rPr>
          <w:rStyle w:val="FootnoteAnchor"/>
          <w:rtl w:val="true"/>
        </w:rPr>
        <w:footnoteReference w:id="3412"/>
      </w:r>
      <w:r>
        <w:rPr>
          <w:rFonts w:ascii="Amiri" w:hAnsi="Amiri" w:eastAsia="Amiri" w:cs="Amiri"/>
          <w:color w:val="111111"/>
          <w:sz w:val="28"/>
          <w:sz w:val="28"/>
          <w:szCs w:val="28"/>
          <w:rtl w:val="true"/>
          <w:lang w:bidi="ar-SA"/>
        </w:rPr>
        <w:t xml:space="preserve">و الفاضل في كتبه </w:t>
      </w:r>
      <w:r>
        <w:rPr>
          <w:rStyle w:val="FootnoteAnchor"/>
          <w:rtl w:val="true"/>
        </w:rPr>
        <w:footnoteReference w:id="3413"/>
      </w:r>
      <w:r>
        <w:rPr>
          <w:rFonts w:ascii="Amiri" w:hAnsi="Amiri" w:eastAsia="Amiri" w:cs="Amiri"/>
          <w:color w:val="111111"/>
          <w:sz w:val="28"/>
          <w:sz w:val="28"/>
          <w:szCs w:val="28"/>
          <w:rtl w:val="true"/>
          <w:lang w:bidi="ar-SA"/>
        </w:rPr>
        <w:t xml:space="preserve">مع إلحاق الميزاب و شبهه بهما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الشارح هنا و بغيره </w:t>
      </w:r>
      <w:r>
        <w:rPr>
          <w:rStyle w:val="FootnoteAnchor"/>
          <w:rtl w:val="true"/>
        </w:rPr>
        <w:footnoteReference w:id="3414"/>
      </w:r>
      <w:r>
        <w:rPr>
          <w:rFonts w:ascii="Amiri" w:hAnsi="Amiri" w:eastAsia="Amiri" w:cs="Amiri"/>
          <w:color w:val="111111"/>
          <w:sz w:val="28"/>
          <w:sz w:val="28"/>
          <w:szCs w:val="28"/>
          <w:rtl w:val="true"/>
          <w:lang w:bidi="ar-SA"/>
        </w:rPr>
        <w:t xml:space="preserve">، و أنكره مطلقاً الحلّي </w:t>
      </w:r>
      <w:r>
        <w:rPr>
          <w:rStyle w:val="FootnoteAnchor"/>
          <w:rtl w:val="true"/>
        </w:rPr>
        <w:footnoteReference w:id="3415"/>
      </w:r>
      <w:r>
        <w:rPr>
          <w:rFonts w:ascii="Amiri" w:hAnsi="Amiri" w:eastAsia="Amiri" w:cs="Amiri"/>
          <w:color w:val="111111"/>
          <w:sz w:val="28"/>
          <w:sz w:val="28"/>
          <w:szCs w:val="28"/>
          <w:rtl w:val="true"/>
          <w:lang w:bidi="ar-SA"/>
        </w:rPr>
        <w:t xml:space="preserve">و المحقّق </w:t>
      </w:r>
      <w:r>
        <w:rPr>
          <w:rStyle w:val="FootnoteAnchor"/>
          <w:rtl w:val="true"/>
        </w:rPr>
        <w:footnoteReference w:id="3416"/>
      </w:r>
      <w:r>
        <w:rPr>
          <w:rFonts w:ascii="Amiri" w:hAnsi="Amiri" w:eastAsia="Amiri" w:cs="Amiri"/>
          <w:color w:val="111111"/>
          <w:sz w:val="28"/>
          <w:sz w:val="28"/>
          <w:szCs w:val="28"/>
          <w:rtl w:val="true"/>
          <w:lang w:bidi="ar-SA"/>
        </w:rPr>
        <w:t xml:space="preserve">و المصنّف في البيان و الدّروس </w:t>
      </w:r>
      <w:r>
        <w:rPr>
          <w:rStyle w:val="FootnoteAnchor"/>
          <w:rtl w:val="true"/>
        </w:rPr>
        <w:footnoteReference w:id="3417"/>
      </w:r>
      <w:r>
        <w:rPr>
          <w:rFonts w:ascii="Amiri" w:hAnsi="Amiri" w:eastAsia="Amiri" w:cs="Amiri"/>
          <w:color w:val="111111"/>
          <w:sz w:val="28"/>
          <w:sz w:val="28"/>
          <w:szCs w:val="28"/>
          <w:rtl w:val="true"/>
          <w:lang w:bidi="ar-SA"/>
        </w:rPr>
        <w:t xml:space="preserve">، لكن في الذكرى </w:t>
      </w:r>
      <w:r>
        <w:rPr>
          <w:rStyle w:val="FootnoteAnchor"/>
          <w:rtl w:val="true"/>
        </w:rPr>
        <w:footnoteReference w:id="3418"/>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التفصيلُ حسنٌ؛ لتحقّق الوحدة العرفيّة، فتشمله نصوص الارتماس؛ إذ لا معنى له إلَّا التغطّي بالماء دفعة، و هو صادق هنا، و حينئذٍ فلا فرق بين المجرى و المطر بشرطهما و بين ما ينصبّ من الإناء و الميزاب إذا ساواهما، و لعلّه داخل بما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يغمر البدن دفعة واحدة يسقط الترتيب و يدخل في الارتماس؛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البدن يصير به عضواً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رعاية الترتيب فيه مطلقاً، كأحد الثلاثة في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يعاد غسل الجنابة بقسميه إن أمكن في الثاني و غيره من الأغسال بالحَدَث الأكبر في خلاله، و هو في المجانس لا شبهة فيه، و في غيره </w:t>
      </w:r>
      <w:r>
        <w:rPr>
          <w:rStyle w:val="FootnoteAnchor"/>
          <w:rtl w:val="true"/>
        </w:rPr>
        <w:footnoteReference w:id="3419"/>
      </w:r>
      <w:r>
        <w:rPr>
          <w:rFonts w:ascii="Amiri" w:hAnsi="Amiri" w:eastAsia="Amiri" w:cs="Amiri"/>
          <w:color w:val="111111"/>
          <w:sz w:val="28"/>
          <w:sz w:val="28"/>
          <w:szCs w:val="28"/>
          <w:rtl w:val="true"/>
          <w:lang w:bidi="ar-SA"/>
        </w:rPr>
        <w:t>مع الجنابة لا نقض، كما لو اجتمع موجبان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الحيض ناقض للجنابة؛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جاءها ما يفسد الصلاة</w:t>
      </w:r>
      <w:r>
        <w:rPr>
          <w:rFonts w:eastAsia="IRNazanin" w:cs="IRNazanin"/>
          <w:color w:val="111111"/>
          <w:sz w:val="28"/>
          <w:szCs w:val="28"/>
          <w:rtl w:val="true"/>
          <w:lang w:bidi="fa-IR"/>
        </w:rPr>
        <w:t xml:space="preserve">» </w:t>
      </w:r>
      <w:r>
        <w:rPr>
          <w:rStyle w:val="FootnoteAnchor"/>
          <w:rtl w:val="true"/>
        </w:rPr>
        <w:footnoteReference w:id="3421"/>
      </w:r>
      <w:r>
        <w:rPr>
          <w:rFonts w:ascii="Amiri" w:hAnsi="Amiri" w:eastAsia="Amiri" w:cs="Amiri"/>
          <w:color w:val="111111"/>
          <w:sz w:val="28"/>
          <w:sz w:val="28"/>
          <w:szCs w:val="28"/>
          <w:rtl w:val="true"/>
          <w:lang w:bidi="ar-SA"/>
        </w:rPr>
        <w:t>، في الخبر الاكتفاء بغسل واحد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جريان الأقوال الثلاثة الآتية في غير المجانس إذا اجتمع مع الجنابة؛ لإمكان إغنائها عنه كالوضوء، و مع غيرها لا، بل لكلٍّ غسل</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الأغسال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w:t>
      </w:r>
      <w:r>
        <w:rPr>
          <w:rStyle w:val="FootnoteAnchor"/>
          <w:rtl w:val="true"/>
        </w:rPr>
        <w:footnoteReference w:id="3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كالصدوقين </w:t>
      </w:r>
      <w:r>
        <w:rPr>
          <w:rStyle w:val="FootnoteAnchor"/>
          <w:rtl w:val="true"/>
        </w:rPr>
        <w:footnoteReference w:id="3423"/>
      </w:r>
      <w:r>
        <w:rPr>
          <w:rFonts w:ascii="Amiri" w:hAnsi="Amiri" w:eastAsia="Amiri" w:cs="Amiri"/>
          <w:color w:val="111111"/>
          <w:sz w:val="28"/>
          <w:sz w:val="28"/>
          <w:szCs w:val="28"/>
          <w:rtl w:val="true"/>
          <w:lang w:bidi="ar-SA"/>
        </w:rPr>
        <w:t xml:space="preserve">و الشيخ </w:t>
      </w:r>
      <w:r>
        <w:rPr>
          <w:rStyle w:val="FootnoteAnchor"/>
          <w:rtl w:val="true"/>
        </w:rPr>
        <w:footnoteReference w:id="3424"/>
      </w:r>
      <w:r>
        <w:rPr>
          <w:rFonts w:ascii="IRNazanin" w:hAnsi="IRNazanin" w:eastAsia="IRNazanin"/>
          <w:color w:val="111111"/>
          <w:sz w:val="28"/>
          <w:sz w:val="28"/>
          <w:szCs w:val="28"/>
          <w:rtl w:val="true"/>
          <w:lang w:bidi="fa-IR"/>
        </w:rPr>
        <w:t xml:space="preserve">و الفاضل </w:t>
      </w:r>
      <w:r>
        <w:rPr>
          <w:rStyle w:val="FootnoteAnchor"/>
          <w:rtl w:val="true"/>
        </w:rPr>
        <w:footnoteReference w:id="3425"/>
      </w:r>
      <w:r>
        <w:rPr>
          <w:rFonts w:ascii="IRNazanin" w:hAnsi="IRNazanin" w:eastAsia="IRNazanin"/>
          <w:color w:val="111111"/>
          <w:sz w:val="28"/>
          <w:sz w:val="28"/>
          <w:szCs w:val="28"/>
          <w:rtl w:val="true"/>
          <w:lang w:bidi="fa-IR"/>
        </w:rPr>
        <w:t xml:space="preserve">و الفخر </w:t>
      </w:r>
      <w:r>
        <w:rPr>
          <w:rStyle w:val="FootnoteAnchor"/>
          <w:rtl w:val="true"/>
        </w:rPr>
        <w:footnoteReference w:id="3426"/>
      </w:r>
      <w:r>
        <w:rPr>
          <w:rFonts w:ascii="Amiri" w:hAnsi="Amiri" w:eastAsia="Amiri" w:cs="Amiri"/>
          <w:color w:val="111111"/>
          <w:sz w:val="28"/>
          <w:sz w:val="28"/>
          <w:szCs w:val="28"/>
          <w:rtl w:val="true"/>
          <w:lang w:bidi="ar-SA"/>
        </w:rPr>
        <w:t xml:space="preserve">و غيرهم </w:t>
      </w:r>
      <w:r>
        <w:rPr>
          <w:rStyle w:val="FootnoteAnchor"/>
          <w:rtl w:val="true"/>
        </w:rPr>
        <w:footnoteReference w:id="3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كونه بالنيّة السابقة أو بنيّة أُخرى، وجهان، و ظاهر إطلاقه الثاني، و الأقوى التخيير على هذا القول؛ لعدم الإخلال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ابنا إدريس </w:t>
      </w:r>
      <w:r>
        <w:rPr>
          <w:rStyle w:val="FootnoteAnchor"/>
          <w:rtl w:val="true"/>
        </w:rPr>
        <w:footnoteReference w:id="3428"/>
      </w:r>
      <w:r>
        <w:rPr>
          <w:rFonts w:ascii="Amiri" w:hAnsi="Amiri" w:eastAsia="Amiri" w:cs="Amiri"/>
          <w:color w:val="111111"/>
          <w:sz w:val="28"/>
          <w:sz w:val="28"/>
          <w:szCs w:val="28"/>
          <w:rtl w:val="true"/>
          <w:lang w:bidi="ar-SA"/>
        </w:rPr>
        <w:t xml:space="preserve">و البرّاج </w:t>
      </w:r>
      <w:r>
        <w:rPr>
          <w:rStyle w:val="FootnoteAnchor"/>
          <w:rtl w:val="true"/>
        </w:rPr>
        <w:footnoteReference w:id="3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إعادة الغسل و لا إيجاب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 به عَلَم الهُدى </w:t>
      </w:r>
      <w:r>
        <w:rPr>
          <w:rStyle w:val="FootnoteAnchor"/>
          <w:rtl w:val="true"/>
        </w:rPr>
        <w:footnoteReference w:id="3430"/>
      </w:r>
      <w:r>
        <w:rPr>
          <w:rFonts w:ascii="Amiri" w:hAnsi="Amiri" w:eastAsia="Amiri" w:cs="Amiri"/>
          <w:color w:val="111111"/>
          <w:sz w:val="28"/>
          <w:sz w:val="28"/>
          <w:szCs w:val="28"/>
          <w:rtl w:val="true"/>
          <w:lang w:bidi="ar-SA"/>
        </w:rPr>
        <w:t xml:space="preserve">و المحقّق </w:t>
      </w:r>
      <w:r>
        <w:rPr>
          <w:rStyle w:val="FootnoteAnchor"/>
          <w:rtl w:val="true"/>
        </w:rPr>
        <w:footnoteReference w:id="3431"/>
      </w:r>
      <w:r>
        <w:rPr>
          <w:rFonts w:ascii="Amiri" w:hAnsi="Amiri" w:eastAsia="Amiri" w:cs="Amiri"/>
          <w:color w:val="111111"/>
          <w:sz w:val="28"/>
          <w:sz w:val="28"/>
          <w:szCs w:val="28"/>
          <w:rtl w:val="true"/>
          <w:lang w:bidi="ar-SA"/>
        </w:rPr>
        <w:t xml:space="preserve">في بعض كتبه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الوضوء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فيه بين أن يقدّمه على غسل باقي الأعضاء أو بعد تمام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يساعده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حقّقنا القول في ذلك برسالة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ما فيها استضعاف أدلّة القولين الأوّلين و قوّة الثالث؛ للجمع بين ما دلّ على صحّة مثل هذا الغسل من الاستصحاب و الإطلاقات، و بين ما قضى بإيجاب الأصغر للوضوء مطلقاً إلَّا ما خرج قطعاً، و ليس هذا منها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ما عليه المصنّف؛ إذ جعْلُ هذا الحَدَث كالمتأخِّر ليس بأَوْلى من جعله كالمتقدّم، مع ثبوت جميع أحكام الجنابة لهذا المُحْدِث من حرمة المسّ و لو بالعضو المغسول، و من عدم المَكْث في الجامع و غيرهما، فلا يجري أحكام غير المجنب على ما غسله من الأعضاء قبل الإتمام، و لا يجامع الوضوء الجنابة مع بقائها المفروض، و هو و إن اقتضى أن يخلو هذا الحَدَث من أثر فيقضي بالوسط، فإنّه حَدَث جامع الجنابة و لو قبل آخر الأجزاء؛ لفرض بقائها في جملتها قبل الانتهاء، لكن حيث قَضَت فحاوى الأدلّة بسقوط أثر الأصغر لو وقع قبل نيّة الغسل لزمنا الإعادة و نيّة الغسل مجدّداً كي يسقط، و بعروضه تكون الأعضاء المغسولة كأنّها من غير نيّة غسلت، فلا عِبرَة بها، فحدوثه كالقاطع للعبادة من نجاسة أو غصب أو جنون لو </w:t>
      </w:r>
    </w:p>
    <w:p>
      <w:pPr>
        <w:pStyle w:val="BookText"/>
        <w:rPr/>
      </w:pPr>
      <w:r>
        <w:rPr>
          <w:rFonts w:ascii="Amiri" w:hAnsi="Amiri" w:eastAsia="Amiri" w:cs="Amiri"/>
          <w:color w:val="111111"/>
          <w:sz w:val="28"/>
          <w:sz w:val="28"/>
          <w:szCs w:val="28"/>
          <w:rtl w:val="true"/>
          <w:lang w:bidi="ar-SA"/>
        </w:rPr>
        <w:t>وقع في الأثناء؛ لإفادته لغويّة ما سبق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لزوم إعادة الغسل مقدّمة؛ لحصوله قبله كالحاجب المشكوك في حجبه لا في أصله، و لو أعرضت عمّا حرّرنا و زَعَمت أنّه ضَرْبٌ من الاستحسان الذي لا يناط به الحكم الشرعي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تعبّديّة؛ لخبر عرض المجالس </w:t>
      </w:r>
      <w:r>
        <w:rPr>
          <w:rStyle w:val="FootnoteAnchor"/>
          <w:rtl w:val="true"/>
        </w:rPr>
        <w:footnoteReference w:id="3432"/>
      </w:r>
      <w:r>
        <w:rPr>
          <w:rFonts w:ascii="Amiri" w:hAnsi="Amiri" w:eastAsia="Amiri" w:cs="Amiri"/>
          <w:color w:val="111111"/>
          <w:sz w:val="28"/>
          <w:sz w:val="28"/>
          <w:szCs w:val="28"/>
          <w:rtl w:val="true"/>
          <w:lang w:bidi="ar-SA"/>
        </w:rPr>
        <w:t xml:space="preserve">و الفقه الرضوي </w:t>
      </w:r>
      <w:r>
        <w:rPr>
          <w:rStyle w:val="FootnoteAnchor"/>
          <w:rtl w:val="true"/>
        </w:rPr>
        <w:footnoteReference w:id="3433"/>
      </w:r>
      <w:r>
        <w:rPr>
          <w:rFonts w:ascii="Amiri" w:hAnsi="Amiri" w:eastAsia="Amiri" w:cs="Amiri"/>
          <w:color w:val="111111"/>
          <w:sz w:val="28"/>
          <w:sz w:val="28"/>
          <w:szCs w:val="28"/>
          <w:rtl w:val="true"/>
          <w:lang w:bidi="ar-SA"/>
        </w:rPr>
        <w:t xml:space="preserve">، و كلام من </w:t>
      </w:r>
      <w:r>
        <w:rPr>
          <w:rStyle w:val="FootnoteAnchor"/>
          <w:rtl w:val="true"/>
        </w:rPr>
        <w:footnoteReference w:id="3434"/>
      </w:r>
      <w:r>
        <w:rPr>
          <w:rFonts w:ascii="Amiri" w:hAnsi="Amiri" w:eastAsia="Amiri" w:cs="Amiri"/>
          <w:color w:val="111111"/>
          <w:sz w:val="28"/>
          <w:sz w:val="28"/>
          <w:szCs w:val="28"/>
          <w:rtl w:val="true"/>
          <w:lang w:bidi="ar-SA"/>
        </w:rPr>
        <w:t>ينزّل قولهم منزلة الأخبار عند إعواز النّصوص، و لو احتيطَ بالوضوء بعده معاداً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تخلّل الحَدَثُ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غسل الجنابة من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إتمامه مع الوضوء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خرّج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كظاهر المصنّف هنا و في البيان </w:t>
      </w:r>
      <w:r>
        <w:rPr>
          <w:rStyle w:val="FootnoteAnchor"/>
          <w:rtl w:val="true"/>
        </w:rPr>
        <w:footnoteReference w:id="3435"/>
      </w:r>
      <w:r>
        <w:rPr>
          <w:rFonts w:ascii="Amiri" w:hAnsi="Amiri" w:eastAsia="Amiri" w:cs="Amiri"/>
          <w:color w:val="111111"/>
          <w:sz w:val="28"/>
          <w:sz w:val="28"/>
          <w:szCs w:val="28"/>
          <w:rtl w:val="true"/>
          <w:lang w:bidi="ar-SA"/>
        </w:rPr>
        <w:t xml:space="preserve">و الفاضل في التحرير </w:t>
      </w:r>
      <w:r>
        <w:rPr>
          <w:rStyle w:val="FootnoteAnchor"/>
          <w:rtl w:val="true"/>
        </w:rPr>
        <w:footnoteReference w:id="3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 كالجنابة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 الرافع للحَدَث فيها هو مجموع الغسل و الوضوء، فكلّ منهما علّة ناقصة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فالمتخلّل لا بدّ له من رافع، و الوضوء مع بعض الغسل لا يكفي في رفعه؛ لنقصان أحد العلّتين، فلا بدّ من الإعادة حتّى لو حدث بعد تمام الغسل قبل الوضوء؛ لوجود التخريج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مرّ في 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عدم رفع هذه الأغسال للحَدَث الأصغر فلا مَدْخَل له فيها، فلا يبطلها، و لا يرتفع بغير الوضوء</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بناء الخلاف هنا على أنّ الأحداث الموجبة للوضوء و الغسل هل هي حَدَث واحد أكبر لا يرتفع إلَّا بالوضوء و الغسل، أم حَدَثان أكبر و أصغر فوجب لذلك الوضوء و الغسل؟ و على التقدير هل الوضوء منصرف إلى الأصغر و الغسل </w:t>
      </w:r>
    </w:p>
    <w:p>
      <w:pPr>
        <w:pStyle w:val="BookText"/>
        <w:rPr/>
      </w:pPr>
      <w:r>
        <w:rPr>
          <w:rFonts w:ascii="Amiri" w:hAnsi="Amiri" w:eastAsia="Amiri" w:cs="Amiri"/>
          <w:color w:val="111111"/>
          <w:sz w:val="28"/>
          <w:sz w:val="28"/>
          <w:szCs w:val="28"/>
          <w:rtl w:val="true"/>
          <w:lang w:bidi="ar-SA"/>
        </w:rPr>
        <w:t xml:space="preserve">إلى الأكبر هما معاً يرفعان الحَدَثَين على سبيل الاشتراك؟ كلّ من الثلاثة محتمل و ربّما كان به قائل، و قد نصّوا </w:t>
      </w:r>
      <w:r>
        <w:rPr>
          <w:rStyle w:val="FootnoteAnchor"/>
          <w:rtl w:val="true"/>
        </w:rPr>
        <w:footnoteReference w:id="3437"/>
      </w:r>
      <w:r>
        <w:rPr>
          <w:rFonts w:ascii="Amiri" w:hAnsi="Amiri" w:eastAsia="Amiri" w:cs="Amiri"/>
          <w:color w:val="111111"/>
          <w:sz w:val="28"/>
          <w:sz w:val="28"/>
          <w:szCs w:val="28"/>
          <w:rtl w:val="true"/>
          <w:lang w:bidi="ar-SA"/>
        </w:rPr>
        <w:t>عليه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الوضوء على تقدير تقديمه، أو مطلقاً، فقد قيل </w:t>
      </w:r>
      <w:r>
        <w:rPr>
          <w:rStyle w:val="FootnoteAnchor"/>
          <w:rtl w:val="true"/>
        </w:rPr>
        <w:footnoteReference w:id="3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ينوي الاستباحة؛ لأنه ليس برافع للحَدَث الأكبر، و إنّما الرافع له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3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ما يتوقّف على الطهارة الكبرى خاصّة، كالصّوم و دخول المساجد و قراءة العزائم، و في البيان </w:t>
      </w:r>
      <w:r>
        <w:rPr>
          <w:rStyle w:val="FootnoteAnchor"/>
          <w:rtl w:val="true"/>
        </w:rPr>
        <w:footnoteReference w:id="3440"/>
      </w:r>
      <w:r>
        <w:rPr>
          <w:rFonts w:ascii="Amiri" w:hAnsi="Amiri" w:eastAsia="Amiri" w:cs="Amiri"/>
          <w:color w:val="111111"/>
          <w:sz w:val="28"/>
          <w:sz w:val="28"/>
          <w:szCs w:val="28"/>
          <w:rtl w:val="true"/>
          <w:lang w:bidi="ar-SA"/>
        </w:rPr>
        <w:t xml:space="preserve">في نيّة الوضوء المضموم إلى غسل الاستحاضة مع تقدّمه كالمختلف </w:t>
      </w:r>
      <w:r>
        <w:rPr>
          <w:rStyle w:val="FootnoteAnchor"/>
          <w:rtl w:val="true"/>
        </w:rPr>
        <w:footnoteReference w:id="3441"/>
      </w:r>
      <w:r>
        <w:rPr>
          <w:rFonts w:ascii="Amiri" w:hAnsi="Amiri" w:eastAsia="Amiri" w:cs="Amiri"/>
          <w:color w:val="111111"/>
          <w:sz w:val="28"/>
          <w:sz w:val="28"/>
          <w:szCs w:val="28"/>
          <w:rtl w:val="true"/>
          <w:lang w:bidi="ar-SA"/>
        </w:rPr>
        <w:t>، ففي توزيع الوضوء و الغسل على الحَدَثَين، و أنَّ كلّ واحد منها كجزء الطهارة، و هو محتمل للوجهين الأخيرين، و ظاهرهما اختيار الحَدَثَين، و أنّ كلّ واحد منهما علّة ناقصة لرفعهما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الذكرى </w:t>
      </w:r>
      <w:r>
        <w:rPr>
          <w:rStyle w:val="FootnoteAnchor"/>
          <w:rtl w:val="true"/>
        </w:rPr>
        <w:footnoteReference w:id="3442"/>
      </w:r>
      <w:r>
        <w:rPr>
          <w:rFonts w:ascii="Amiri" w:hAnsi="Amiri" w:eastAsia="Amiri" w:cs="Amiri"/>
          <w:color w:val="111111"/>
          <w:sz w:val="28"/>
          <w:sz w:val="28"/>
          <w:szCs w:val="28"/>
          <w:rtl w:val="true"/>
          <w:lang w:bidi="ar-SA"/>
        </w:rPr>
        <w:t xml:space="preserve">اختيار التوزيع، و يؤيّده اتّفاقهم على جواز الصّوم من منقطعة الدّم إذا اغتسلت و إن لم تتوضّأ </w:t>
      </w:r>
      <w:r>
        <w:rPr>
          <w:rStyle w:val="FootnoteAnchor"/>
          <w:rtl w:val="true"/>
        </w:rPr>
        <w:footnoteReference w:id="3443"/>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أنّه إن ثبت الاتّفاق على صحّة الأفعال الموقوفة على رفع الأكبر بدون الوضوء و القول بالتوزيع متعيّن إذ لولاه لم يتم هذا الحكم و إلَّا فإثبات الحَدَثَين بمجرّد وجوب الطَّهارتين غير واضح، و لكنّا علمنا يقيناً تحقّق الحَدَث بالأسباب المذكورة و وجوب الطهارتين و ارتفاع الحَدَث بهما، و ما زاد على ذلك لا دليل عليه، و يتفرّع على ذلك القول بإجزاء غُسل الجنابة عن غيره، و إجزاء غيره عنه أو عدمه مع اجتماعهما، فإنّهم ادّعوا أنّ غُسل </w:t>
      </w:r>
    </w:p>
    <w:p>
      <w:pPr>
        <w:pStyle w:val="BookText"/>
        <w:rPr/>
      </w:pPr>
      <w:r>
        <w:rPr>
          <w:rFonts w:ascii="Amiri" w:hAnsi="Amiri" w:eastAsia="Amiri" w:cs="Amiri"/>
          <w:color w:val="111111"/>
          <w:sz w:val="28"/>
          <w:sz w:val="28"/>
          <w:szCs w:val="28"/>
          <w:rtl w:val="true"/>
          <w:lang w:bidi="ar-SA"/>
        </w:rPr>
        <w:t>الجنابة أقوى من غيره؛ حيث رفع الحَدَث من غير انضمام إلى الوضوء و توقّف غيره في رفعه على انضمام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مُوجِب الطهارتين حَدَثُ واحد توقّف رفعه عليهما، فهو أقوى من الجنابة، فإنّها ترتفع بالغسل خاصّة، و غير حَدَثها لا يرتفع إلَّا بهما، و إن جعلناهما حَدَثين لا يرتفعان إلَّا بالوضوء و الغسل على سبيل الاشتراك فغير الجنابة أقوى أيضاً فإطلاق كون غسل الجنابة أقوى غير واضح و إن كان لإجزائه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بتوزيع الوضوء و الغسل على الحَدَثَين و صرف كلّ منهما إلى ما يناسبه قوي القول بالاجتزاء بالوضوء بعد الغسل بتخلّل الحَدَث الأصغر؛ لأنه يوجب الوضوء و يدخل مع الواجب الآخر؛ لتماثلهما، و إن قلنا بأنّه حَدَث واحد يوجب الوضو و الغسل احتمل عدم الاجتزاء بالوضوء المتأخِّر؛ لأنه ليس هنا حدث أصغر حتّى يدخل مع هذا الحَدَث المتخلّل، و يحتمل الاجتزاء؛ لما أسلفناه من أنّ المتداخل إنّما هو الطّهارات لا الأحداث، و هنا اجتمع عليه وضوءان أحدهما بسبب الحَدَث الأكبر السابق، و الآخر بسبب الأصغر اللّاحق، فيتداخلان، و إن قلنا بأنّهما حَدَثان لا يرتفعان إلَّا بالطّهارتين، فالوجهان أيضاً من حيث اجتماع الوضوءين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أصل الوضوء له مدخل في رفع الأكبر كما أنّ للغسل مدخلاً في رفع الأصغر كغسل الجنابة المجامع للأصغر، فدخول الحَدَث اللّاحق في الوضوء غير مناسب؛ لأنه لا يرفع الحَدَث اللّاحق بانفراده، و لا في الغسل لذلك، و إذا لم يدخل و وجب له وضوء آخر لزم وجوب وضوءين مع غسل، و هو غير معهود، أو غير جائز، فبقيت الإعادة؛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السابق على الحَدَث من الغسل ارتفعت رافعيّته بالنسبة إلى الحَدَث الأصغر المرتفع به و بالوضوء، و ما بقي من الغسل و ما معه من الوضوء ليس علّة تامّة في الرفع أو الإباحة بالنسبة إلى هذا الحَدَث، فلا بدّ لرفعه من وضوء و غسل تامّين، فبقيت الإعادة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للقول بالإعادة مطلقاً وجهاً و إن كان الاكتفاء بالوضوء مطلقاً أقوى، و القول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 تأثير الأصغر مع الأكبر محتمل هنا أيضاً، انتهى </w:t>
      </w:r>
      <w:r>
        <w:rPr>
          <w:rStyle w:val="FootnoteAnchor"/>
          <w:rtl w:val="true"/>
        </w:rPr>
        <w:footnoteReference w:id="3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مواقع للنظر </w:t>
      </w:r>
      <w:r>
        <w:rPr>
          <w:rStyle w:val="FootnoteAnchor"/>
          <w:rtl w:val="true"/>
        </w:rPr>
        <w:footnoteReference w:id="3445"/>
      </w:r>
      <w:r>
        <w:rPr>
          <w:rFonts w:eastAsia="Times New Roman" w:cs="Times New Roman" w:ascii="Times New Roman" w:hAnsi="Times New Roman"/>
          <w:color w:val="111111"/>
          <w:sz w:val="28"/>
          <w:szCs w:val="28"/>
          <w:rtl w:val="true"/>
          <w:lang w:val="en-US" w:bidi="en-US"/>
        </w:rPr>
        <w:t xml:space="preserve">. </w:t>
      </w:r>
      <w:bookmarkStart w:id="293" w:name="pg9146_86476"/>
    </w:p>
    <w:p>
      <w:pPr>
        <w:pStyle w:val="Heading2"/>
        <w:numPr>
          <w:ilvl w:val="1"/>
          <w:numId w:val="1"/>
        </w:numPr>
        <w:rPr/>
      </w:pPr>
      <w:bookmarkStart w:id="294" w:name="__RefHeading___Toc3322724_2870459653"/>
      <w:bookmarkStart w:id="295" w:name="_Toc100"/>
      <w:bookmarkEnd w:id="293"/>
      <w:bookmarkEnd w:id="294"/>
      <w:r>
        <w:rPr>
          <w:rtl w:val="true"/>
        </w:rPr>
        <w:t>[</w:t>
      </w:r>
      <w:r>
        <w:rPr>
          <w:rtl w:val="true"/>
        </w:rPr>
        <w:t>مبحث الحيض</w:t>
      </w:r>
      <w:r>
        <w:rPr>
          <w:rtl w:val="true"/>
        </w:rPr>
        <w:t>]</w:t>
      </w:r>
      <w:bookmarkEnd w:id="295"/>
    </w:p>
    <w:p>
      <w:pPr>
        <w:pStyle w:val="Heading2"/>
        <w:numPr>
          <w:ilvl w:val="1"/>
          <w:numId w:val="1"/>
        </w:numPr>
        <w:rPr/>
      </w:pPr>
      <w:bookmarkStart w:id="296" w:name="__RefHeading___Toc3322726_2870459653"/>
      <w:bookmarkStart w:id="297" w:name="_Toc101"/>
      <w:bookmarkEnd w:id="296"/>
      <w:r>
        <w:rPr>
          <w:rtl w:val="true"/>
        </w:rPr>
        <w:t>[</w:t>
      </w:r>
      <w:r>
        <w:rPr>
          <w:rtl w:val="true"/>
        </w:rPr>
        <w:t>تعريفه</w:t>
      </w:r>
      <w:r>
        <w:rPr>
          <w:rtl w:val="true"/>
        </w:rPr>
        <w:t>]</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 مطلقاً </w:t>
      </w:r>
      <w:r>
        <w:rPr>
          <w:rStyle w:val="FootnoteAnchor"/>
          <w:rtl w:val="true"/>
        </w:rPr>
        <w:footnoteReference w:id="3446"/>
      </w:r>
      <w:r>
        <w:rPr>
          <w:rFonts w:ascii="Amiri" w:hAnsi="Amiri" w:eastAsia="Amiri" w:cs="Amiri"/>
          <w:color w:val="111111"/>
          <w:sz w:val="28"/>
          <w:sz w:val="28"/>
          <w:szCs w:val="28"/>
          <w:rtl w:val="true"/>
          <w:lang w:bidi="ar-SA"/>
        </w:rPr>
        <w:t xml:space="preserve">أو بقوّة </w:t>
      </w:r>
      <w:r>
        <w:rPr>
          <w:rStyle w:val="FootnoteAnchor"/>
          <w:rtl w:val="true"/>
        </w:rPr>
        <w:footnoteReference w:id="3447"/>
      </w:r>
      <w:r>
        <w:rPr>
          <w:rFonts w:ascii="Amiri" w:hAnsi="Amiri" w:eastAsia="Amiri" w:cs="Amiri"/>
          <w:color w:val="111111"/>
          <w:sz w:val="28"/>
          <w:sz w:val="28"/>
          <w:szCs w:val="28"/>
          <w:rtl w:val="true"/>
          <w:lang w:bidi="ar-SA"/>
        </w:rPr>
        <w:t xml:space="preserve">و مثله المحيض </w:t>
      </w:r>
      <w:r>
        <w:rPr>
          <w:rStyle w:val="FootnoteAnchor"/>
          <w:rtl w:val="true"/>
        </w:rPr>
        <w:footnoteReference w:id="3448"/>
      </w:r>
      <w:r>
        <w:rPr>
          <w:rFonts w:ascii="Amiri" w:hAnsi="Amiri" w:eastAsia="Amiri" w:cs="Amiri"/>
          <w:color w:val="111111"/>
          <w:sz w:val="28"/>
          <w:sz w:val="28"/>
          <w:szCs w:val="28"/>
          <w:rtl w:val="true"/>
          <w:lang w:bidi="ar-SA"/>
        </w:rPr>
        <w:t xml:space="preserve">، و أمّا 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بمنزلة التعريف دون أخذها بمعنى الشيء، لكن الأَوْلى حذف لام الدّم؛ لأنّ متعارف التعاريف التعبير بالجنس الموصوف بفصله، و كأنّه عرّفه لدرج جميع الخصوصيّات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المعنى أن الدّم المعروف بين الفقهاء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 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شمسيّة، تحقيقيّة لا تقريبيّة، حتّى لو كان ما بين رؤية الدّم و استكمال التسع ما لا يسع الحيض و الطّهر يحكم بعدم الحيض إذا تجاوز يومين و في الثلاثة يحكم بالحيضيّة؛ إذ الإجماع قائم على استكمال التسع، و لا يكفي الظنّ في التاسعة؛ له و لخبر عبد الرحمن </w:t>
      </w:r>
      <w:r>
        <w:rPr>
          <w:rStyle w:val="FootnoteAnchor"/>
          <w:rtl w:val="true"/>
        </w:rPr>
        <w:footnoteReference w:id="3449"/>
      </w:r>
      <w:r>
        <w:rPr>
          <w:rFonts w:ascii="Amiri" w:hAnsi="Amiri" w:eastAsia="Amiri" w:cs="Amiri"/>
          <w:color w:val="111111"/>
          <w:sz w:val="28"/>
          <w:sz w:val="28"/>
          <w:szCs w:val="28"/>
          <w:rtl w:val="true"/>
          <w:lang w:bidi="ar-SA"/>
        </w:rPr>
        <w:t xml:space="preserve">و روايته </w:t>
      </w:r>
      <w:r>
        <w:rPr>
          <w:rStyle w:val="FootnoteAnchor"/>
          <w:rtl w:val="true"/>
        </w:rPr>
        <w:footnoteReference w:id="3450"/>
      </w:r>
      <w:r>
        <w:rPr>
          <w:rFonts w:ascii="Amiri" w:hAnsi="Amiri" w:eastAsia="Amiri" w:cs="Amiri"/>
          <w:color w:val="111111"/>
          <w:sz w:val="28"/>
          <w:sz w:val="28"/>
          <w:szCs w:val="28"/>
          <w:rtl w:val="true"/>
          <w:lang w:bidi="ar-SA"/>
        </w:rPr>
        <w:t>، و لعدم صدقها حقيقة بدون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صريح جماعة </w:t>
      </w:r>
      <w:r>
        <w:rPr>
          <w:rStyle w:val="FootnoteAnchor"/>
          <w:rtl w:val="true"/>
        </w:rPr>
        <w:footnoteReference w:id="3451"/>
      </w:r>
      <w:r>
        <w:rPr>
          <w:rFonts w:ascii="Amiri" w:hAnsi="Amiri" w:eastAsia="Amiri" w:cs="Amiri"/>
          <w:color w:val="111111"/>
          <w:sz w:val="28"/>
          <w:sz w:val="28"/>
          <w:szCs w:val="28"/>
          <w:rtl w:val="true"/>
          <w:lang w:bidi="ar-SA"/>
        </w:rPr>
        <w:t>أنّ شرط الحيضيّة إكمال التّسع فيشكل جعلهم الحيض علامة أُخرى للبلوغ؛ للزوم الدّور، و التخلّص بانحصار العلامة ببلوغ التّسع، و الحيض كاشف عنه في مجهولة التاريخ، لا عَلامة مستقلّة، لا يجدي بعد فرض كون الشرط فيه إكمال التسع، أو المانع بقاء الصغر، و المشروط عدم عند فقد شرطه، فيرجع في نفي الشرط و المشروط إلى أصالة عدم تحقّقها، و أصالة استمرار المانع، و عدم تحقّق الحيض</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إجراء قاعدة الإمكان فيه التي لا يحكم عليها قاعدة عدم الحيض قبل التّسع؛ </w:t>
      </w:r>
    </w:p>
    <w:p>
      <w:pPr>
        <w:pStyle w:val="BookText"/>
        <w:rPr/>
      </w:pPr>
      <w:r>
        <w:rPr>
          <w:rFonts w:ascii="Amiri" w:hAnsi="Amiri" w:eastAsia="Amiri" w:cs="Amiri"/>
          <w:color w:val="111111"/>
          <w:sz w:val="28"/>
          <w:sz w:val="28"/>
          <w:szCs w:val="28"/>
          <w:rtl w:val="true"/>
          <w:lang w:bidi="ar-SA"/>
        </w:rPr>
        <w:t xml:space="preserve">إذ بالدّم المرئي المحكوم بأنّه حيض يستكشف فيه بلوغ العدد، مدفوعٌ بأنّ عموم الحكم بالتحيّض بعد إحراز عدم الصّغر فهو في المرأة، و الفرض وجود الشكّ في كون ذات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فمفاد أخبار الأوصاف هو الرّجوع إليها عند الاشتباه بالاستحاضة لا مطلقاً، فهي و إن قضت بالوجود عند الوجود لكن موردها غير الفرض المرقوم؛ فالأوجه عدم توقّف الحكم بالحيضيّة على التسع بعد تحقّق الأوصاف، فهو أحد عَلامَتي البلوغ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و العدد في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يحكم بالحيض إذا 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المرأة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كما في الحدائق </w:t>
      </w:r>
      <w:r>
        <w:rPr>
          <w:rStyle w:val="FootnoteAnchor"/>
          <w:rtl w:val="true"/>
        </w:rPr>
        <w:footnoteReference w:id="34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المنتسبة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أو مع الأمّ، لا بالثاني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النضر بن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عشر أجداد النبيّ صلّی الله علیه و آله، و منه تقرّشت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أعمّ من الهاشميّة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يعرف منهم الآن إلَّا الخاص</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عُلِمَ انتسابها إلى قريش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يفيد العلم أو الظنّ الذي ينزّل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لزمها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بلوغ 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العدم أو كان الانتساب مشكوكاً،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عدم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فتلحق بغير قريش؛ إذ الأصل عدم الانتساب مع الشكّ فيه، المزيل لأصالة عدم ارتفاع الحيض، مع أنّه لا يثبت أنّ الدّم دم حيض و إن ثبت به وجوب الاعتداد؛ لأنه من آثاره، لكن ذلك بعد البناء على إجراء الأُصول العدميّة في الموضوعات الخارجيّة كما هو الحقّ، و بعد تحقّق أخذ العلم موضوعاً في القرشيّة، إذ لو كان طريقاً فاندراجها في غيرها ليس بأَولى من اندراجها فيها، فيتعارض الأصلان، و يفزع حينئذٍ إلى غير أصالة عدم الانتساب؛ و لعلّه لذلك قرّر الأصل في الجماليّة </w:t>
      </w:r>
      <w:r>
        <w:rPr>
          <w:rStyle w:val="FootnoteAnchor"/>
          <w:rtl w:val="true"/>
        </w:rPr>
        <w:footnoteReference w:id="3453"/>
      </w:r>
      <w:r>
        <w:rPr>
          <w:rFonts w:ascii="Amiri" w:hAnsi="Amiri" w:eastAsia="Amiri" w:cs="Amiri"/>
          <w:color w:val="111111"/>
          <w:sz w:val="28"/>
          <w:sz w:val="28"/>
          <w:szCs w:val="28"/>
          <w:rtl w:val="true"/>
          <w:lang w:bidi="ar-SA"/>
        </w:rPr>
        <w:t>طوراً أنّه بمعنى الظاهر الحاصل من غَلَبة عدم كون الشخص قرشيّاً، و أُخرى بأصالة عدم سقوط العبادة الرّاجع إلى استصحاب الحكم مطلقاً قبل رؤية الدّم، و تارةً بأصالة عدم وجوب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 على الجميع و أطال بالنقض و الإبرام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كان العمدة في استثناء القرشيّة من حكم اليأس بالخمسين دعوى الشهرة الناشئة من مرسلة ابن أبي عُمير </w:t>
      </w:r>
      <w:r>
        <w:rPr>
          <w:rStyle w:val="FootnoteAnchor"/>
          <w:rtl w:val="true"/>
        </w:rPr>
        <w:footnoteReference w:id="3454"/>
      </w:r>
      <w:r>
        <w:rPr>
          <w:rFonts w:ascii="IRNazanin" w:hAnsi="IRNazanin" w:eastAsia="IRNazanin"/>
          <w:color w:val="111111"/>
          <w:sz w:val="28"/>
          <w:sz w:val="28"/>
          <w:szCs w:val="28"/>
          <w:rtl w:val="true"/>
          <w:lang w:bidi="fa-IR"/>
        </w:rPr>
        <w:t xml:space="preserve">، و لم يؤخذ العلم فيها قيداً، لا مسرح للأصل المزبور؛ لمعارضته بمثله، فتبقى قاعدة الإمكان سليمة عن المعارض خصوصاً على تفسيره الإمكان بمسالکه </w:t>
      </w:r>
      <w:r>
        <w:rPr>
          <w:rStyle w:val="FootnoteAnchor"/>
          <w:rtl w:val="true"/>
        </w:rPr>
        <w:footnoteReference w:id="3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فالستون غاية اليأس لو كانت قرشيّة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منسوبة إلى النّبط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أنباط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المغرب </w:t>
      </w:r>
      <w:r>
        <w:rPr>
          <w:rStyle w:val="FootnoteAnchor"/>
          <w:rtl w:val="true"/>
        </w:rPr>
        <w:footnoteReference w:id="3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ينزلون سواد العراق،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الجوهري</w:t>
      </w:r>
      <w:r>
        <w:rPr>
          <w:rFonts w:eastAsia="Amiri" w:cs="Amiri" w:ascii="Amiri" w:hAnsi="Amiri"/>
          <w:color w:val="111111"/>
          <w:sz w:val="28"/>
          <w:szCs w:val="28"/>
          <w:rtl w:val="true"/>
          <w:lang w:bidi="ar-SA"/>
        </w:rPr>
        <w:t xml:space="preserve">) </w:t>
      </w:r>
      <w:r>
        <w:rPr>
          <w:rStyle w:val="FootnoteAnchor"/>
          <w:rtl w:val="true"/>
        </w:rPr>
        <w:footnoteReference w:id="3457"/>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3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ينزلون البطائح بين العراقين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فيها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المتأخِّرين </w:t>
      </w:r>
      <w:r>
        <w:rPr>
          <w:rStyle w:val="FootnoteAnchor"/>
          <w:rtl w:val="true"/>
        </w:rPr>
        <w:footnoteReference w:id="3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رواه المفيد مرسلاً في عدد المقنعة </w:t>
      </w:r>
      <w:r>
        <w:rPr>
          <w:rStyle w:val="FootnoteAnchor"/>
          <w:rtl w:val="true"/>
        </w:rPr>
        <w:footnoteReference w:id="3460"/>
      </w:r>
      <w:r>
        <w:rPr>
          <w:rFonts w:ascii="Amiri" w:hAnsi="Amiri" w:eastAsia="Amiri" w:cs="Amiri"/>
          <w:color w:val="111111"/>
          <w:sz w:val="28"/>
          <w:sz w:val="28"/>
          <w:szCs w:val="28"/>
          <w:rtl w:val="true"/>
          <w:lang w:bidi="ar-SA"/>
        </w:rPr>
        <w:t xml:space="preserve">أنّ القرشيّة و النبطيّة تَرَيان الدّم إلى ستّين سنة،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رحمه الله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Style w:val="FootnoteAnchor"/>
          <w:rtl w:val="true"/>
        </w:rPr>
        <w:footnoteReference w:id="3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وقوفه فيها على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استضعف رواية المفيد رحمه الله بها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يقتضي كونها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إذ خروج هذا الفرد من العام غير محقّق و لا تفيد أصالة عدم اليأس كما يتّضح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تفصيل بين العبادة و العدّة، و لا بين الطوائف و لا الأمزجة، و لا البلاد، و لا بين مَن ترى دَماً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إمكان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يحكم باليأس كالتسع بالبلوغ في المشهور بعد الاستثناء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ابن حمزة </w:t>
      </w:r>
      <w:r>
        <w:rPr>
          <w:rStyle w:val="FootnoteAnchor"/>
          <w:rtl w:val="true"/>
        </w:rPr>
        <w:footnoteReference w:id="3462"/>
      </w:r>
      <w:r>
        <w:rPr>
          <w:rFonts w:ascii="Amiri" w:hAnsi="Amiri" w:eastAsia="Amiri" w:cs="Amiri"/>
          <w:color w:val="111111"/>
          <w:sz w:val="28"/>
          <w:sz w:val="28"/>
          <w:szCs w:val="28"/>
          <w:rtl w:val="true"/>
          <w:lang w:bidi="ar-SA"/>
        </w:rPr>
        <w:t xml:space="preserve">و الراوندي </w:t>
      </w:r>
      <w:r>
        <w:rPr>
          <w:rStyle w:val="FootnoteAnchor"/>
          <w:rtl w:val="true"/>
        </w:rPr>
        <w:footnoteReference w:id="3463"/>
      </w:r>
      <w:r>
        <w:rPr>
          <w:rFonts w:ascii="Amiri" w:hAnsi="Amiri" w:eastAsia="Amiri" w:cs="Amiri"/>
          <w:color w:val="111111"/>
          <w:sz w:val="28"/>
          <w:sz w:val="28"/>
          <w:szCs w:val="28"/>
          <w:rtl w:val="true"/>
          <w:lang w:bidi="ar-SA"/>
        </w:rPr>
        <w:t>للجمع بين ما قضى بالخمسين مطلقاً كصحيحة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التي يئست من المَحيض خمسون سنة</w:t>
      </w:r>
      <w:r>
        <w:rPr>
          <w:rFonts w:eastAsia="Amiri" w:cs="Amiri" w:ascii="Amiri" w:hAnsi="Amiri"/>
          <w:color w:val="111111"/>
          <w:sz w:val="28"/>
          <w:szCs w:val="28"/>
          <w:rtl w:val="true"/>
          <w:lang w:bidi="ar-SA"/>
        </w:rPr>
        <w:t xml:space="preserve">» </w:t>
      </w:r>
      <w:r>
        <w:rPr>
          <w:rStyle w:val="FootnoteAnchor"/>
          <w:rtl w:val="true"/>
        </w:rPr>
        <w:footnoteReference w:id="3464"/>
      </w:r>
      <w:r>
        <w:rPr>
          <w:rFonts w:ascii="Amiri" w:hAnsi="Amiri" w:eastAsia="Amiri" w:cs="Amiri"/>
          <w:color w:val="111111"/>
          <w:sz w:val="28"/>
          <w:sz w:val="28"/>
          <w:szCs w:val="28"/>
          <w:rtl w:val="true"/>
          <w:lang w:bidi="ar-SA"/>
        </w:rPr>
        <w:t xml:space="preserve">، و رواية أبي نصر </w:t>
      </w:r>
      <w:r>
        <w:rPr>
          <w:rStyle w:val="FootnoteAnchor"/>
          <w:rtl w:val="true"/>
        </w:rPr>
        <w:footnoteReference w:id="3465"/>
      </w:r>
      <w:r>
        <w:rPr>
          <w:rFonts w:ascii="Amiri" w:hAnsi="Amiri" w:eastAsia="Amiri" w:cs="Amiri"/>
          <w:color w:val="111111"/>
          <w:sz w:val="28"/>
          <w:sz w:val="28"/>
          <w:szCs w:val="28"/>
          <w:rtl w:val="true"/>
          <w:lang w:bidi="ar-SA"/>
        </w:rPr>
        <w:t>، و بين غيرها ممّا قضى بالسّتين مطلقاً و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بها مطلقاً، و عليه الشيخ في النهاية </w:t>
      </w:r>
      <w:r>
        <w:rPr>
          <w:rStyle w:val="FootnoteAnchor"/>
          <w:rtl w:val="true"/>
        </w:rPr>
        <w:footnoteReference w:id="3466"/>
      </w:r>
      <w:r>
        <w:rPr>
          <w:rFonts w:ascii="Amiri" w:hAnsi="Amiri" w:eastAsia="Amiri" w:cs="Amiri"/>
          <w:color w:val="111111"/>
          <w:sz w:val="28"/>
          <w:sz w:val="28"/>
          <w:szCs w:val="28"/>
          <w:rtl w:val="true"/>
          <w:lang w:bidi="ar-SA"/>
        </w:rPr>
        <w:t xml:space="preserve">و الحلّي </w:t>
      </w:r>
      <w:r>
        <w:rPr>
          <w:rStyle w:val="FootnoteAnchor"/>
          <w:rtl w:val="true"/>
        </w:rPr>
        <w:footnoteReference w:id="3467"/>
      </w:r>
      <w:r>
        <w:rPr>
          <w:rFonts w:ascii="Amiri" w:hAnsi="Amiri" w:eastAsia="Amiri" w:cs="Amiri"/>
          <w:color w:val="111111"/>
          <w:sz w:val="28"/>
          <w:sz w:val="28"/>
          <w:szCs w:val="28"/>
          <w:rtl w:val="true"/>
          <w:lang w:bidi="ar-SA"/>
        </w:rPr>
        <w:t xml:space="preserve">، و قيل بالستين مطلقاً، و عليه المحقّق و الفاضل في المنتهى </w:t>
      </w:r>
      <w:r>
        <w:rPr>
          <w:rStyle w:val="FootnoteAnchor"/>
          <w:rtl w:val="true"/>
        </w:rPr>
        <w:footnoteReference w:id="3468"/>
      </w:r>
      <w:r>
        <w:rPr>
          <w:rFonts w:ascii="IRNazanin" w:hAnsi="IRNazanin" w:eastAsia="IRNazanin"/>
          <w:color w:val="111111"/>
          <w:sz w:val="28"/>
          <w:sz w:val="28"/>
          <w:szCs w:val="28"/>
          <w:rtl w:val="true"/>
          <w:lang w:bidi="fa-IR"/>
        </w:rPr>
        <w:t xml:space="preserve">و الشرائع </w:t>
      </w:r>
      <w:r>
        <w:rPr>
          <w:rStyle w:val="FootnoteAnchor"/>
          <w:rtl w:val="true"/>
        </w:rPr>
        <w:footnoteReference w:id="3469"/>
      </w:r>
      <w:r>
        <w:rPr>
          <w:rFonts w:ascii="Amiri" w:hAnsi="Amiri" w:eastAsia="Amiri" w:cs="Amiri"/>
          <w:color w:val="111111"/>
          <w:sz w:val="28"/>
          <w:sz w:val="28"/>
          <w:szCs w:val="28"/>
          <w:rtl w:val="true"/>
          <w:lang w:bidi="ar-SA"/>
        </w:rPr>
        <w:t xml:space="preserve">، و بعضهم قَصَرَها على القرشيّة فقط، و ألحق النبطيّة بغيرها، و هو ظاهر المبسوط </w:t>
      </w:r>
      <w:r>
        <w:rPr>
          <w:rStyle w:val="FootnoteAnchor"/>
          <w:rtl w:val="true"/>
        </w:rPr>
        <w:footnoteReference w:id="3470"/>
      </w:r>
      <w:r>
        <w:rPr>
          <w:rFonts w:ascii="Amiri" w:hAnsi="Amiri" w:eastAsia="Amiri" w:cs="Amiri"/>
          <w:color w:val="111111"/>
          <w:sz w:val="28"/>
          <w:sz w:val="28"/>
          <w:szCs w:val="28"/>
          <w:rtl w:val="true"/>
          <w:lang w:bidi="ar-SA"/>
        </w:rPr>
        <w:t xml:space="preserve">و المقنعة </w:t>
      </w:r>
      <w:r>
        <w:rPr>
          <w:rStyle w:val="FootnoteAnchor"/>
          <w:rtl w:val="true"/>
        </w:rPr>
        <w:footnoteReference w:id="3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الأُصول تقييد إطلاق الخمسين و الستّين بمرسلة ابن أبي عمير الظاهرة في استثناء القرشيّة فقط، و إلحاق النبطّية بغيرها؛ لضعف ما قضى باستثنائها من الخمسين؛ و توهّم انجبار الضّعف ببعض الأُصول، و دعوى الشهرة، و إطلاق رواية الستّين لا يفيد؛ إذ الأُصول لا تصلح للجبر، مع أنّها منقطعة بالنّص المخرج للقرشيّة فقط، و الشهرة لا أثر لها</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رواية الستّين مخصّصة بالمرسلة، و معارضة بإطلاق رواية الخمسين</w:t>
      </w:r>
      <w:r>
        <w:rPr>
          <w:rFonts w:eastAsia="Amiri" w:cs="Amiri" w:ascii="Amiri" w:hAnsi="Amiri"/>
          <w:color w:val="111111"/>
          <w:sz w:val="28"/>
          <w:szCs w:val="28"/>
          <w:rtl w:val="true"/>
          <w:lang w:bidi="ar-SA"/>
        </w:rPr>
        <w:t xml:space="preserve">. </w:t>
      </w:r>
      <w:bookmarkStart w:id="298" w:name="pg9146_86480"/>
    </w:p>
    <w:p>
      <w:pPr>
        <w:pStyle w:val="Heading2"/>
        <w:numPr>
          <w:ilvl w:val="1"/>
          <w:numId w:val="1"/>
        </w:numPr>
        <w:rPr/>
      </w:pPr>
      <w:bookmarkStart w:id="299" w:name="__RefHeading___Toc3322728_2870459653"/>
      <w:bookmarkStart w:id="300" w:name="_Toc102"/>
      <w:bookmarkEnd w:id="298"/>
      <w:bookmarkEnd w:id="299"/>
      <w:r>
        <w:rPr>
          <w:rtl w:val="true"/>
        </w:rPr>
        <w:t>[</w:t>
      </w:r>
      <w:r>
        <w:rPr>
          <w:rtl w:val="true"/>
        </w:rPr>
        <w:t>أقلّ الحيض</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Style w:val="FootnoteAnchor"/>
          <w:rtl w:val="true"/>
        </w:rPr>
        <w:footnoteReference w:id="3472"/>
      </w:r>
      <w:r>
        <w:rPr>
          <w:rFonts w:ascii="Amiri" w:hAnsi="Amiri" w:eastAsia="Amiri" w:cs="Amiri"/>
          <w:color w:val="111111"/>
          <w:sz w:val="28"/>
          <w:sz w:val="28"/>
          <w:szCs w:val="28"/>
          <w:rtl w:val="true"/>
          <w:lang w:bidi="ar-SA"/>
        </w:rPr>
        <w:t xml:space="preserve">، المحقّق فلا حيض إذا انقطع قبلها، و في وجوب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الأكثر الأشهر </w:t>
      </w:r>
      <w:r>
        <w:rPr>
          <w:rStyle w:val="FootnoteAnchor"/>
          <w:rtl w:val="true"/>
        </w:rPr>
        <w:footnoteReference w:id="3473"/>
      </w:r>
      <w:r>
        <w:rPr>
          <w:rFonts w:ascii="Amiri" w:hAnsi="Amiri" w:eastAsia="Amiri" w:cs="Amiri"/>
          <w:color w:val="111111"/>
          <w:sz w:val="28"/>
          <w:sz w:val="28"/>
          <w:szCs w:val="28"/>
          <w:rtl w:val="true"/>
          <w:lang w:bidi="ar-SA"/>
        </w:rPr>
        <w:t xml:space="preserve">على التوالي؛ لإطلاق ظرفيّة الثلاثة القاضي بالاستمرار في الخبر المعتضد بما في فقه الرِّضا </w:t>
      </w:r>
      <w:r>
        <w:rPr>
          <w:rStyle w:val="FootnoteAnchor"/>
          <w:rtl w:val="true"/>
        </w:rPr>
        <w:footnoteReference w:id="3474"/>
      </w:r>
      <w:r>
        <w:rPr>
          <w:rFonts w:ascii="Amiri" w:hAnsi="Amiri" w:eastAsia="Amiri" w:cs="Amiri"/>
          <w:color w:val="111111"/>
          <w:sz w:val="28"/>
          <w:sz w:val="28"/>
          <w:szCs w:val="28"/>
          <w:rtl w:val="true"/>
          <w:lang w:bidi="ar-SA"/>
        </w:rPr>
        <w:t>من التصريح به، و أصالة عدم الحيض السّليمة عن المعارض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نوقش </w:t>
      </w:r>
      <w:r>
        <w:rPr>
          <w:rStyle w:val="FootnoteAnchor"/>
          <w:rtl w:val="true"/>
        </w:rPr>
        <w:footnoteReference w:id="3475"/>
      </w:r>
      <w:r>
        <w:rPr>
          <w:rFonts w:ascii="Amiri" w:hAnsi="Amiri" w:eastAsia="Amiri" w:cs="Amiri"/>
          <w:color w:val="111111"/>
          <w:sz w:val="28"/>
          <w:sz w:val="28"/>
          <w:szCs w:val="28"/>
          <w:rtl w:val="true"/>
          <w:lang w:bidi="ar-SA"/>
        </w:rPr>
        <w:t>بعدم فهم الاستمرار من الإطلاق، و إلَّا لجرى في مثل نذر الصوم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w:t>
      </w:r>
      <w:r>
        <w:rPr>
          <w:rStyle w:val="FootnoteAnchor"/>
          <w:rtl w:val="true"/>
        </w:rPr>
        <w:footnoteReference w:id="3476"/>
      </w:r>
      <w:r>
        <w:rPr>
          <w:rFonts w:ascii="Amiri" w:hAnsi="Amiri" w:eastAsia="Amiri" w:cs="Amiri"/>
          <w:color w:val="111111"/>
          <w:sz w:val="28"/>
          <w:sz w:val="28"/>
          <w:szCs w:val="28"/>
          <w:rtl w:val="true"/>
          <w:lang w:bidi="ar-SA"/>
        </w:rPr>
        <w:t>بأنّ المدّة إذا وقعت ظرفاً للفعل الذي من شأنه الاستمرار يفهم منه أنّ ذكر القيد لبيان مقدار استمراره، كما في الاعتكاف و صوم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عورض </w:t>
      </w:r>
      <w:r>
        <w:rPr>
          <w:rStyle w:val="FootnoteAnchor"/>
          <w:rtl w:val="true"/>
        </w:rPr>
        <w:footnoteReference w:id="3477"/>
      </w:r>
      <w:r>
        <w:rPr>
          <w:rFonts w:ascii="Amiri" w:hAnsi="Amiri" w:eastAsia="Amiri" w:cs="Amiri"/>
          <w:color w:val="111111"/>
          <w:sz w:val="28"/>
          <w:sz w:val="28"/>
          <w:szCs w:val="28"/>
          <w:rtl w:val="true"/>
          <w:lang w:bidi="ar-SA"/>
        </w:rPr>
        <w:t>بجريانه في العشر الذي هو حدّ الأكثر، مع تصريحهم بعدم اعتبار التّوالي و الاستمرار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أُجیب </w:t>
      </w:r>
      <w:r>
        <w:rPr>
          <w:rStyle w:val="FootnoteAnchor"/>
          <w:rtl w:val="true"/>
        </w:rPr>
        <w:footnoteReference w:id="3478"/>
      </w:r>
      <w:r>
        <w:rPr>
          <w:rFonts w:ascii="Amiri" w:hAnsi="Amiri" w:eastAsia="Amiri" w:cs="Amiri"/>
          <w:color w:val="111111"/>
          <w:sz w:val="28"/>
          <w:sz w:val="28"/>
          <w:szCs w:val="28"/>
          <w:rtl w:val="true"/>
          <w:lang w:bidi="ar-SA"/>
        </w:rPr>
        <w:t xml:space="preserve">بالتسليم، لكن الشارح </w:t>
      </w:r>
      <w:r>
        <w:rPr>
          <w:rStyle w:val="FootnoteAnchor"/>
          <w:rtl w:val="true"/>
        </w:rPr>
        <w:footnoteReference w:id="3479"/>
      </w:r>
      <w:r>
        <w:rPr>
          <w:rFonts w:ascii="Amiri" w:hAnsi="Amiri" w:eastAsia="Amiri" w:cs="Amiri"/>
          <w:color w:val="111111"/>
          <w:sz w:val="28"/>
          <w:sz w:val="28"/>
          <w:szCs w:val="28"/>
          <w:rtl w:val="true"/>
          <w:lang w:bidi="ar-SA"/>
        </w:rPr>
        <w:t>جعل النقاء المتخلّل بين الدّمين في العشرة في حكم أيّام الدّم</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الرّضوي فأنكر جماعة </w:t>
      </w:r>
      <w:r>
        <w:rPr>
          <w:rStyle w:val="FootnoteAnchor"/>
          <w:rtl w:val="true"/>
        </w:rPr>
        <w:footnoteReference w:id="3480"/>
      </w:r>
      <w:r>
        <w:rPr>
          <w:rFonts w:ascii="Amiri" w:hAnsi="Amiri" w:eastAsia="Amiri" w:cs="Amiri"/>
          <w:color w:val="111111"/>
          <w:sz w:val="28"/>
          <w:sz w:val="28"/>
          <w:szCs w:val="28"/>
          <w:rtl w:val="true"/>
          <w:lang w:bidi="ar-SA"/>
        </w:rPr>
        <w:t>العمل به، فلا ينهض بإثبات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ردّ </w:t>
      </w:r>
      <w:r>
        <w:rPr>
          <w:rStyle w:val="FootnoteAnchor"/>
          <w:rtl w:val="true"/>
        </w:rPr>
        <w:footnoteReference w:id="3481"/>
      </w:r>
      <w:r>
        <w:rPr>
          <w:rFonts w:ascii="Amiri" w:hAnsi="Amiri" w:eastAsia="Amiri" w:cs="Amiri"/>
          <w:color w:val="111111"/>
          <w:sz w:val="28"/>
          <w:sz w:val="28"/>
          <w:szCs w:val="28"/>
          <w:rtl w:val="true"/>
          <w:lang w:bidi="ar-SA"/>
        </w:rPr>
        <w:t>بانجباره بالشهرة العظيمة،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الثاني بمعارضته بأصالة البراءة و استصحابها، و أوهن بحكومة أصالة عدم الحيض عليهما، أو معارضتهما باستصحاب الأحكام مطلقاً الثابتة قبل رؤية الدّم، فيتساقطان و يبقى أصالة عدم الحيض سليمة عن المعارض، و أبطل بمعارضته بأصالة عدم الاستحاضة و لا مرجّح، و زيّف بثبوت الواسطة بينهما فلا تنافي بين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التنافي في الدّم المردّد بينهما المعلوم أنّه ليس بدم قرحة أو عذرة أو نفاس فلا مانع من حكومة أصالة عدم الحيض على أصالة عدم الاستحاضة؛ إذ المستفاد من الفتاوى </w:t>
      </w:r>
      <w:r>
        <w:rPr>
          <w:rStyle w:val="FootnoteAnchor"/>
          <w:rtl w:val="true"/>
        </w:rPr>
        <w:footnoteReference w:id="3482"/>
      </w:r>
      <w:r>
        <w:rPr>
          <w:rFonts w:ascii="Amiri" w:hAnsi="Amiri" w:eastAsia="Amiri" w:cs="Amiri"/>
          <w:color w:val="111111"/>
          <w:sz w:val="28"/>
          <w:sz w:val="28"/>
          <w:szCs w:val="28"/>
          <w:rtl w:val="true"/>
          <w:lang w:bidi="ar-SA"/>
        </w:rPr>
        <w:t xml:space="preserve">و النّصوص </w:t>
      </w:r>
      <w:r>
        <w:rPr>
          <w:rStyle w:val="FootnoteAnchor"/>
          <w:rtl w:val="true"/>
        </w:rPr>
        <w:footnoteReference w:id="3483"/>
      </w:r>
      <w:r>
        <w:rPr>
          <w:rFonts w:ascii="Amiri" w:hAnsi="Amiri" w:eastAsia="Amiri" w:cs="Amiri"/>
          <w:color w:val="111111"/>
          <w:sz w:val="28"/>
          <w:sz w:val="28"/>
          <w:szCs w:val="28"/>
          <w:rtl w:val="true"/>
          <w:lang w:bidi="ar-SA"/>
        </w:rPr>
        <w:t>أنّه متى حكم على الدّم بأنّه غير حيض شرعاً و لو بالأصل، و لم يعلم أنّه من أحد الثلاثة فهو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مفاد الأصل عدم إجراء أحكام الحيض عليه، لا أنّه غير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كفاية ذلك في ثبوت أحكام الاستحاضة؛ لعدم الواسطة، أو يجري الأصل في أحكامها فيكون من آثار أصالة عدم الحيض و بقاء التكليف بالعبادة الذي لا يرفعه إلَّا تحقّق الحيض، و الرافع مشكوك فالأصل عدمه، و إن وجب حينئذٍ إجراء أحكام الاستحاضة؛ لبطلان الصلاة بدون ذلك من حيث إنّها لوازم لوجوب الصلاة، و متى ثبت الملزوم ثبت اللّازم</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ينتفي اللازم بانتفائه و لو بالأصل دون العكس، فلا ينفى بأصالة عدم الاغتسال وجوبُ الصلاة الثابت بأصالة عدم الحيض الموجب لبقاء التكليف؛ إذ نفي اللازم لا يقتضي نفي ملزومه، بل يلغي أثره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كذا قرّر شيخ أساتيدنا </w:t>
      </w:r>
      <w:r>
        <w:rPr>
          <w:rStyle w:val="FootnoteAnchor"/>
          <w:rtl w:val="true"/>
        </w:rPr>
        <w:footnoteReference w:id="3484"/>
      </w:r>
      <w:r>
        <w:rPr>
          <w:rFonts w:ascii="Amiri" w:hAnsi="Amiri" w:eastAsia="Amiri" w:cs="Amiri"/>
          <w:color w:val="111111"/>
          <w:sz w:val="28"/>
          <w:sz w:val="28"/>
          <w:szCs w:val="28"/>
          <w:rtl w:val="true"/>
          <w:lang w:bidi="ar-SA"/>
        </w:rPr>
        <w:t xml:space="preserve">بحلقة درسه، خلافاً لسيّد الرياض </w:t>
      </w:r>
      <w:r>
        <w:rPr>
          <w:rStyle w:val="FootnoteAnchor"/>
          <w:rtl w:val="true"/>
        </w:rPr>
        <w:footnoteReference w:id="3485"/>
      </w:r>
      <w:r>
        <w:rPr>
          <w:rFonts w:ascii="Amiri" w:hAnsi="Amiri" w:eastAsia="Amiri" w:cs="Amiri"/>
          <w:color w:val="111111"/>
          <w:sz w:val="28"/>
          <w:sz w:val="28"/>
          <w:szCs w:val="28"/>
          <w:rtl w:val="true"/>
          <w:lang w:bidi="ar-SA"/>
        </w:rPr>
        <w:t xml:space="preserve">و غيره </w:t>
      </w:r>
      <w:r>
        <w:rPr>
          <w:rStyle w:val="FootnoteAnchor"/>
          <w:rtl w:val="true"/>
        </w:rPr>
        <w:footnoteReference w:id="3486"/>
      </w:r>
      <w:r>
        <w:rPr>
          <w:rFonts w:ascii="Amiri" w:hAnsi="Amiri" w:eastAsia="Amiri" w:cs="Amiri"/>
          <w:color w:val="111111"/>
          <w:sz w:val="28"/>
          <w:sz w:val="28"/>
          <w:szCs w:val="28"/>
          <w:rtl w:val="true"/>
          <w:lang w:bidi="ar-SA"/>
        </w:rPr>
        <w:t>ممّن لم يعتبر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بعد ثبوت قاعدة الإمكان مطلقاً يشكل الركون لهذا الأصل، مع أنّ ما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من بقاء التكليف بالصلاة مع رؤية الدّم لا يجري على مذهبه في الموضوع المستصحب بأنّه متى فقد بعض الخصوصيّات تغيّر، و لا ريب في تغيير حال المكلّف بالرؤية، فكيف تبقى أحكامه السابقة عليها، لا أقلّ من الشك في بقائه، و هو يكفي في عدم استصحابه، و بذلك أبطل الاستصحاب في البقاء على تقليد الميّت</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لازم كلامه رحمه الله أنّه بعد إجراء أصالة عدم الحيض أنّ الأصل في هذا الدّم أن يكون استحاضة حتّى يتبيّن خلافه، و هو كما ترى لا يساعده شيء من الأدلّة، لكن حيث ذهب المعظم إلى التوالي كالصّدوقين </w:t>
      </w:r>
      <w:r>
        <w:rPr>
          <w:rStyle w:val="FootnoteAnchor"/>
          <w:rtl w:val="true"/>
        </w:rPr>
        <w:footnoteReference w:id="3487"/>
      </w:r>
      <w:r>
        <w:rPr>
          <w:rFonts w:ascii="Amiri" w:hAnsi="Amiri" w:eastAsia="Amiri" w:cs="Amiri"/>
          <w:color w:val="111111"/>
          <w:sz w:val="28"/>
          <w:sz w:val="28"/>
          <w:szCs w:val="28"/>
          <w:rtl w:val="true"/>
          <w:lang w:bidi="ar-SA"/>
        </w:rPr>
        <w:t xml:space="preserve">و السيّد </w:t>
      </w:r>
      <w:r>
        <w:rPr>
          <w:rStyle w:val="FootnoteAnchor"/>
          <w:rtl w:val="true"/>
        </w:rPr>
        <w:footnoteReference w:id="3488"/>
      </w:r>
      <w:r>
        <w:rPr>
          <w:rFonts w:ascii="Amiri" w:hAnsi="Amiri" w:eastAsia="Amiri" w:cs="Amiri"/>
          <w:color w:val="111111"/>
          <w:sz w:val="28"/>
          <w:sz w:val="28"/>
          <w:szCs w:val="28"/>
          <w:rtl w:val="true"/>
          <w:lang w:bidi="ar-SA"/>
        </w:rPr>
        <w:t xml:space="preserve">و الشيخ </w:t>
      </w:r>
      <w:r>
        <w:rPr>
          <w:rStyle w:val="FootnoteAnchor"/>
          <w:rtl w:val="true"/>
        </w:rPr>
        <w:footnoteReference w:id="3489"/>
      </w:r>
      <w:r>
        <w:rPr>
          <w:rFonts w:ascii="Amiri" w:hAnsi="Amiri" w:eastAsia="Amiri" w:cs="Amiri"/>
          <w:color w:val="111111"/>
          <w:sz w:val="28"/>
          <w:sz w:val="28"/>
          <w:szCs w:val="28"/>
          <w:rtl w:val="true"/>
          <w:lang w:bidi="ar-SA"/>
        </w:rPr>
        <w:t xml:space="preserve">و الإسكافي </w:t>
      </w:r>
      <w:r>
        <w:rPr>
          <w:rStyle w:val="FootnoteAnchor"/>
          <w:rtl w:val="true"/>
        </w:rPr>
        <w:footnoteReference w:id="3490"/>
      </w:r>
      <w:r>
        <w:rPr>
          <w:rFonts w:ascii="Amiri" w:hAnsi="Amiri" w:eastAsia="Amiri" w:cs="Amiri"/>
          <w:color w:val="111111"/>
          <w:sz w:val="28"/>
          <w:sz w:val="28"/>
          <w:szCs w:val="28"/>
          <w:rtl w:val="true"/>
          <w:lang w:bidi="ar-SA"/>
        </w:rPr>
        <w:t xml:space="preserve">و الحلبي </w:t>
      </w:r>
      <w:r>
        <w:rPr>
          <w:rStyle w:val="FootnoteAnchor"/>
          <w:rtl w:val="true"/>
        </w:rPr>
        <w:footnoteReference w:id="3491"/>
      </w:r>
      <w:r>
        <w:rPr>
          <w:rFonts w:ascii="Amiri" w:hAnsi="Amiri" w:eastAsia="Amiri" w:cs="Amiri"/>
          <w:color w:val="111111"/>
          <w:sz w:val="28"/>
          <w:sz w:val="28"/>
          <w:szCs w:val="28"/>
          <w:rtl w:val="true"/>
          <w:lang w:bidi="ar-SA"/>
        </w:rPr>
        <w:t xml:space="preserve">و الحلّي </w:t>
      </w:r>
      <w:r>
        <w:rPr>
          <w:rStyle w:val="FootnoteAnchor"/>
          <w:rtl w:val="true"/>
        </w:rPr>
        <w:footnoteReference w:id="3492"/>
      </w:r>
      <w:r>
        <w:rPr>
          <w:rFonts w:ascii="Amiri" w:hAnsi="Amiri" w:eastAsia="Amiri" w:cs="Amiri"/>
          <w:color w:val="111111"/>
          <w:sz w:val="28"/>
          <w:sz w:val="28"/>
          <w:szCs w:val="28"/>
          <w:rtl w:val="true"/>
          <w:lang w:bidi="ar-SA"/>
        </w:rPr>
        <w:t xml:space="preserve">بل و أكثر من تأخّر كالمحقّق </w:t>
      </w:r>
      <w:r>
        <w:rPr>
          <w:rStyle w:val="FootnoteAnchor"/>
          <w:rtl w:val="true"/>
        </w:rPr>
        <w:footnoteReference w:id="3493"/>
      </w:r>
      <w:r>
        <w:rPr>
          <w:rFonts w:ascii="Amiri" w:hAnsi="Amiri" w:eastAsia="Amiri" w:cs="Amiri"/>
          <w:color w:val="111111"/>
          <w:sz w:val="28"/>
          <w:sz w:val="28"/>
          <w:szCs w:val="28"/>
          <w:rtl w:val="true"/>
          <w:lang w:bidi="ar-SA"/>
        </w:rPr>
        <w:t xml:space="preserve">و هما هنا، لم نجد بدّاً من اعتباره، مضافاً إلى استظهار نفي الخلاف فيه من السّرائر </w:t>
      </w:r>
      <w:r>
        <w:rPr>
          <w:rStyle w:val="FootnoteAnchor"/>
          <w:rtl w:val="true"/>
        </w:rPr>
        <w:footnoteReference w:id="3494"/>
      </w:r>
      <w:r>
        <w:rPr>
          <w:rFonts w:ascii="IRNazanin" w:hAnsi="IRNazanin" w:eastAsia="IRNazanin"/>
          <w:color w:val="111111"/>
          <w:sz w:val="28"/>
          <w:sz w:val="28"/>
          <w:szCs w:val="28"/>
          <w:rtl w:val="true"/>
          <w:lang w:bidi="fa-IR"/>
        </w:rPr>
        <w:t xml:space="preserve">و الجامع </w:t>
      </w:r>
      <w:r>
        <w:rPr>
          <w:rStyle w:val="FootnoteAnchor"/>
          <w:rtl w:val="true"/>
        </w:rPr>
        <w:footnoteReference w:id="3495"/>
      </w:r>
      <w:r>
        <w:rPr>
          <w:rFonts w:ascii="Amiri" w:hAnsi="Amiri" w:eastAsia="Amiri" w:cs="Amiri"/>
          <w:color w:val="111111"/>
          <w:sz w:val="28"/>
          <w:sz w:val="28"/>
          <w:szCs w:val="28"/>
          <w:rtl w:val="true"/>
          <w:lang w:bidi="ar-SA"/>
        </w:rPr>
        <w:t xml:space="preserve">و الرّوض </w:t>
      </w:r>
      <w:r>
        <w:rPr>
          <w:rStyle w:val="FootnoteAnchor"/>
          <w:rtl w:val="true"/>
        </w:rPr>
        <w:footnoteReference w:id="3496"/>
      </w:r>
      <w:r>
        <w:rPr>
          <w:rFonts w:ascii="Amiri" w:hAnsi="Amiri" w:eastAsia="Amiri" w:cs="Amiri"/>
          <w:color w:val="111111"/>
          <w:sz w:val="28"/>
          <w:sz w:val="28"/>
          <w:szCs w:val="28"/>
          <w:rtl w:val="true"/>
          <w:lang w:bidi="ar-SA"/>
        </w:rPr>
        <w:t>و إن أمكن حمله على اعتبار الثلاثة من غير 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كونها في جملة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الحامل و غيرها، و لا خلوّ بعض آنات الثلاثة عنه مطلقاً ليلاً 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الدليلين فيها؛ إذ لو حكم بحيضية الثلاثة المتفرِّقة للزم كون المتخلّل طهراً، فينقص عن أقلّه إلَّا أن يكون مرادهم أقلّ المرئي من الدّم ثلاثة و إن كانت العشرة بحكم الحيض شرعاً لا أقلّ الحيض ذلك و الباقي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صريح روضه </w:t>
      </w:r>
      <w:r>
        <w:rPr>
          <w:rStyle w:val="FootnoteAnchor"/>
          <w:rtl w:val="true"/>
        </w:rPr>
        <w:footnoteReference w:id="3497"/>
      </w:r>
      <w:r>
        <w:rPr>
          <w:rFonts w:ascii="Amiri" w:hAnsi="Amiri" w:eastAsia="Amiri" w:cs="Amiri"/>
          <w:color w:val="111111"/>
          <w:sz w:val="28"/>
          <w:sz w:val="28"/>
          <w:szCs w:val="28"/>
          <w:rtl w:val="true"/>
          <w:lang w:bidi="ar-SA"/>
        </w:rPr>
        <w:t xml:space="preserve">تبعاً لابن سعيد </w:t>
      </w:r>
      <w:r>
        <w:rPr>
          <w:rStyle w:val="FootnoteAnchor"/>
          <w:rtl w:val="true"/>
        </w:rPr>
        <w:footnoteReference w:id="3498"/>
      </w:r>
      <w:r>
        <w:rPr>
          <w:rFonts w:ascii="Amiri" w:hAnsi="Amiri" w:eastAsia="Amiri" w:cs="Amiri"/>
          <w:color w:val="111111"/>
          <w:sz w:val="28"/>
          <w:sz w:val="28"/>
          <w:szCs w:val="28"/>
          <w:rtl w:val="true"/>
          <w:lang w:bidi="ar-SA"/>
        </w:rPr>
        <w:t xml:space="preserve">و الفاضل في النهاية </w:t>
      </w:r>
      <w:r>
        <w:rPr>
          <w:rStyle w:val="FootnoteAnchor"/>
          <w:rtl w:val="true"/>
        </w:rPr>
        <w:footnoteReference w:id="3499"/>
      </w:r>
      <w:r>
        <w:rPr>
          <w:rFonts w:ascii="IRNazanin" w:hAnsi="IRNazanin" w:eastAsia="IRNazanin"/>
          <w:color w:val="111111"/>
          <w:sz w:val="28"/>
          <w:sz w:val="28"/>
          <w:szCs w:val="28"/>
          <w:rtl w:val="true"/>
          <w:lang w:bidi="fa-IR"/>
        </w:rPr>
        <w:t xml:space="preserve">و فخر الإسلام </w:t>
      </w:r>
      <w:r>
        <w:rPr>
          <w:rStyle w:val="FootnoteAnchor"/>
          <w:rtl w:val="true"/>
        </w:rPr>
        <w:footnoteReference w:id="3500"/>
      </w:r>
      <w:r>
        <w:rPr>
          <w:rFonts w:ascii="Amiri" w:hAnsi="Amiri" w:eastAsia="Amiri" w:cs="Amiri"/>
          <w:color w:val="111111"/>
          <w:sz w:val="28"/>
          <w:sz w:val="28"/>
          <w:szCs w:val="28"/>
          <w:rtl w:val="true"/>
          <w:lang w:bidi="ar-SA"/>
        </w:rPr>
        <w:t xml:space="preserve">إنّ المتخلّل بينها طهر، و استظهره في الحدائق </w:t>
      </w:r>
      <w:r>
        <w:rPr>
          <w:rStyle w:val="FootnoteAnchor"/>
          <w:rtl w:val="true"/>
        </w:rPr>
        <w:footnoteReference w:id="3501"/>
      </w:r>
      <w:r>
        <w:rPr>
          <w:rFonts w:ascii="Amiri" w:hAnsi="Amiri" w:eastAsia="Amiri" w:cs="Amiri"/>
          <w:color w:val="111111"/>
          <w:sz w:val="28"/>
          <w:sz w:val="28"/>
          <w:szCs w:val="28"/>
          <w:rtl w:val="true"/>
          <w:lang w:bidi="ar-SA"/>
        </w:rPr>
        <w:t xml:space="preserve">من مرسلة يونس </w:t>
      </w:r>
      <w:r>
        <w:rPr>
          <w:rStyle w:val="FootnoteAnchor"/>
          <w:rtl w:val="true"/>
        </w:rPr>
        <w:footnoteReference w:id="3502"/>
      </w:r>
      <w:r>
        <w:rPr>
          <w:rFonts w:ascii="Amiri" w:hAnsi="Amiri" w:eastAsia="Amiri" w:cs="Amiri"/>
          <w:color w:val="111111"/>
          <w:sz w:val="28"/>
          <w:sz w:val="28"/>
          <w:szCs w:val="28"/>
          <w:rtl w:val="true"/>
          <w:lang w:bidi="ar-SA"/>
        </w:rPr>
        <w:t>، و الظهور ممنوع، بل على خلافها الكلّ كما في الجامع لو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فغير الأصحّ قول الشيخ في النّهاية </w:t>
      </w:r>
      <w:r>
        <w:rPr>
          <w:rStyle w:val="FootnoteAnchor"/>
          <w:rtl w:val="true"/>
        </w:rPr>
        <w:footnoteReference w:id="3503"/>
      </w:r>
      <w:r>
        <w:rPr>
          <w:rFonts w:ascii="Amiri" w:hAnsi="Amiri" w:eastAsia="Amiri" w:cs="Amiri"/>
          <w:color w:val="111111"/>
          <w:sz w:val="28"/>
          <w:sz w:val="28"/>
          <w:szCs w:val="28"/>
          <w:rtl w:val="true"/>
          <w:lang w:bidi="ar-SA"/>
        </w:rPr>
        <w:t xml:space="preserve">و كتابي الحديث </w:t>
      </w:r>
      <w:r>
        <w:rPr>
          <w:rStyle w:val="FootnoteAnchor"/>
          <w:rtl w:val="true"/>
        </w:rPr>
        <w:footnoteReference w:id="3504"/>
      </w:r>
      <w:r>
        <w:rPr>
          <w:rFonts w:ascii="Amiri" w:hAnsi="Amiri" w:eastAsia="Amiri" w:cs="Amiri"/>
          <w:color w:val="111111"/>
          <w:sz w:val="28"/>
          <w:sz w:val="28"/>
          <w:szCs w:val="28"/>
          <w:rtl w:val="true"/>
          <w:lang w:bidi="ar-SA"/>
        </w:rPr>
        <w:t xml:space="preserve">و القاضي </w:t>
      </w:r>
      <w:r>
        <w:rPr>
          <w:rStyle w:val="FootnoteAnchor"/>
          <w:rtl w:val="true"/>
        </w:rPr>
        <w:footnoteReference w:id="3505"/>
      </w:r>
      <w:r>
        <w:rPr>
          <w:rFonts w:ascii="Amiri" w:hAnsi="Amiri" w:eastAsia="Amiri" w:cs="Amiri"/>
          <w:color w:val="111111"/>
          <w:sz w:val="28"/>
          <w:sz w:val="28"/>
          <w:szCs w:val="28"/>
          <w:rtl w:val="true"/>
          <w:lang w:bidi="ar-SA"/>
        </w:rPr>
        <w:t xml:space="preserve">و كاشف اللّثام </w:t>
      </w:r>
      <w:r>
        <w:rPr>
          <w:rStyle w:val="FootnoteAnchor"/>
          <w:rtl w:val="true"/>
        </w:rPr>
        <w:footnoteReference w:id="3506"/>
      </w:r>
      <w:r>
        <w:rPr>
          <w:rFonts w:ascii="Amiri" w:hAnsi="Amiri" w:eastAsia="Amiri" w:cs="Amiri"/>
          <w:color w:val="111111"/>
          <w:sz w:val="28"/>
          <w:sz w:val="28"/>
          <w:szCs w:val="28"/>
          <w:rtl w:val="true"/>
          <w:lang w:bidi="ar-SA"/>
        </w:rPr>
        <w:t xml:space="preserve">و الأردبيلي </w:t>
      </w:r>
      <w:r>
        <w:rPr>
          <w:rStyle w:val="FootnoteAnchor"/>
          <w:rtl w:val="true"/>
        </w:rPr>
        <w:footnoteReference w:id="3507"/>
      </w:r>
      <w:r>
        <w:rPr>
          <w:rFonts w:ascii="Amiri" w:hAnsi="Amiri" w:eastAsia="Amiri" w:cs="Amiri"/>
          <w:color w:val="111111"/>
          <w:sz w:val="28"/>
          <w:sz w:val="28"/>
          <w:szCs w:val="28"/>
          <w:rtl w:val="true"/>
          <w:lang w:bidi="ar-SA"/>
        </w:rPr>
        <w:t xml:space="preserve">و الحُرّ برسالته </w:t>
      </w:r>
      <w:r>
        <w:rPr>
          <w:rStyle w:val="FootnoteAnchor"/>
          <w:rtl w:val="true"/>
        </w:rPr>
        <w:footnoteReference w:id="3508"/>
      </w:r>
      <w:r>
        <w:rPr>
          <w:rFonts w:ascii="IRNazanin" w:hAnsi="IRNazanin" w:eastAsia="IRNazanin"/>
          <w:color w:val="111111"/>
          <w:sz w:val="28"/>
          <w:sz w:val="28"/>
          <w:szCs w:val="28"/>
          <w:rtl w:val="true"/>
          <w:lang w:bidi="fa-IR"/>
        </w:rPr>
        <w:t xml:space="preserve">و الحدائق </w:t>
      </w:r>
      <w:r>
        <w:rPr>
          <w:rStyle w:val="FootnoteAnchor"/>
          <w:rtl w:val="true"/>
        </w:rPr>
        <w:footnoteReference w:id="3509"/>
      </w:r>
      <w:r>
        <w:rPr>
          <w:rFonts w:ascii="Amiri" w:hAnsi="Amiri" w:eastAsia="Amiri" w:cs="Amiri"/>
          <w:color w:val="111111"/>
          <w:sz w:val="28"/>
          <w:sz w:val="28"/>
          <w:szCs w:val="28"/>
          <w:rtl w:val="true"/>
          <w:lang w:bidi="ar-SA"/>
        </w:rPr>
        <w:t>بعدم اعتبار التوالي؛ لأصالة البراءة، و قاعدة الإمكان، و إطلاق الأخبار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البراءة و الإمكان بما يزيلهما من أصالة عدم الحيض و الدّليل القاضي </w:t>
      </w:r>
    </w:p>
    <w:p>
      <w:pPr>
        <w:pStyle w:val="BookText"/>
        <w:rPr/>
      </w:pPr>
      <w:r>
        <w:rPr>
          <w:rFonts w:ascii="Amiri" w:hAnsi="Amiri" w:eastAsia="Amiri" w:cs="Amiri"/>
          <w:color w:val="111111"/>
          <w:sz w:val="28"/>
          <w:sz w:val="28"/>
          <w:szCs w:val="28"/>
          <w:rtl w:val="true"/>
          <w:lang w:bidi="ar-SA"/>
        </w:rPr>
        <w:t>بالتّوالي، و الإطلاق منصرف للتوالي، أو مقيّد بالرضوي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يعارضه خصوص مرسلة يونس؛ لصراحتها بعدمه،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انقطع الدّم بعد ما رأته يوماً أو يومين اغتسلت و صلّت و انتظرت من يوم الذي رأت الدّم إلى عشرة أيّام، فإن رأت في تلك العشرة أيّام من يوم رأت الدّم يوماً أو يومين حتّى يتم لها ثلاثة أيّام فذلك الذي رأته من أوّل الأمر هو الذي رأته بعد ذلك في العشرة، هو من الحيض</w:t>
      </w:r>
      <w:r>
        <w:rPr>
          <w:rFonts w:eastAsia="Amiri" w:cs="Amiri" w:ascii="Amiri" w:hAnsi="Amiri"/>
          <w:color w:val="111111"/>
          <w:sz w:val="28"/>
          <w:szCs w:val="28"/>
          <w:rtl w:val="true"/>
          <w:lang w:bidi="ar-SA"/>
        </w:rPr>
        <w:t xml:space="preserve">» </w:t>
      </w:r>
      <w:r>
        <w:rPr>
          <w:rStyle w:val="FootnoteAnchor"/>
          <w:rtl w:val="true"/>
        </w:rPr>
        <w:footnoteReference w:id="351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التّرجيح للمقيد المنجبر بالفتوى؛ لضعف المرسلة سنداً و شذوذها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موثّقة ابن مسلم </w:t>
      </w:r>
      <w:r>
        <w:rPr>
          <w:rStyle w:val="FootnoteAnchor"/>
          <w:rtl w:val="true"/>
        </w:rPr>
        <w:footnoteReference w:id="3511"/>
      </w:r>
      <w:r>
        <w:rPr>
          <w:rFonts w:ascii="IRNazanin" w:hAnsi="IRNazanin" w:eastAsia="IRNazanin"/>
          <w:color w:val="111111"/>
          <w:sz w:val="28"/>
          <w:sz w:val="28"/>
          <w:szCs w:val="28"/>
          <w:rtl w:val="true"/>
          <w:lang w:bidi="fa-IR"/>
        </w:rPr>
        <w:t xml:space="preserve">و حسنته </w:t>
      </w:r>
      <w:r>
        <w:rPr>
          <w:rStyle w:val="FootnoteAnchor"/>
          <w:rtl w:val="true"/>
        </w:rPr>
        <w:footnoteReference w:id="3512"/>
      </w:r>
      <w:r>
        <w:rPr>
          <w:rFonts w:ascii="Amiri" w:hAnsi="Amiri" w:eastAsia="Amiri" w:cs="Amiri"/>
          <w:color w:val="111111"/>
          <w:sz w:val="28"/>
          <w:sz w:val="28"/>
          <w:szCs w:val="28"/>
          <w:rtl w:val="true"/>
          <w:lang w:bidi="ar-SA"/>
        </w:rPr>
        <w:t xml:space="preserve">فما كانا ليدلّان على ذلك كما نبّه عليه في المعتبر </w:t>
      </w:r>
      <w:r>
        <w:rPr>
          <w:rStyle w:val="FootnoteAnchor"/>
          <w:rtl w:val="true"/>
        </w:rPr>
        <w:footnoteReference w:id="3513"/>
      </w:r>
      <w:r>
        <w:rPr>
          <w:rFonts w:ascii="Amiri" w:hAnsi="Amiri" w:eastAsia="Amiri" w:cs="Amiri"/>
          <w:color w:val="111111"/>
          <w:sz w:val="28"/>
          <w:sz w:val="28"/>
          <w:szCs w:val="28"/>
          <w:rtl w:val="true"/>
          <w:lang w:bidi="ar-SA"/>
        </w:rPr>
        <w:t xml:space="preserve">، و قول الراوندي </w:t>
      </w:r>
      <w:r>
        <w:rPr>
          <w:rStyle w:val="FootnoteAnchor"/>
          <w:rtl w:val="true"/>
        </w:rPr>
        <w:footnoteReference w:id="3514"/>
      </w:r>
      <w:r>
        <w:rPr>
          <w:rFonts w:ascii="IRNazanin" w:hAnsi="IRNazanin" w:eastAsia="IRNazanin"/>
          <w:color w:val="111111"/>
          <w:sz w:val="28"/>
          <w:sz w:val="28"/>
          <w:szCs w:val="28"/>
          <w:rtl w:val="true"/>
          <w:lang w:bidi="fa-IR"/>
        </w:rPr>
        <w:t>المفصّل بين الحبلى و غيرها فيخّص المرسلة بالحبلى و غيرها بغيرها، بناءً على ظهورها بالتّوالي ثلاثاً، و حجّته خبر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الحبلى ترى الدّم اليوم و اليومين،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دماً عبيطاً فلا تصلّی</w:t>
      </w:r>
      <w:r>
        <w:rPr>
          <w:rFonts w:eastAsia="IRNazanin" w:cs="IRNazanin"/>
          <w:color w:val="111111"/>
          <w:sz w:val="28"/>
          <w:szCs w:val="28"/>
          <w:rtl w:val="true"/>
          <w:lang w:bidi="fa-IR"/>
        </w:rPr>
        <w:t xml:space="preserve">» </w:t>
      </w:r>
      <w:r>
        <w:rPr>
          <w:rStyle w:val="FootnoteAnchor"/>
          <w:rtl w:val="true"/>
        </w:rPr>
        <w:footnoteReference w:id="35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بترك الصلاة لا يرفع القضاء لو انقطع الدّم عليه أو عليهما، فتترك بالرّؤية، و تقضي إذا لم يتوال الثلاثة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الشارح من كفاية وجود الدّم في كلّ يوم، و قول غيره </w:t>
      </w:r>
      <w:r>
        <w:rPr>
          <w:rStyle w:val="FootnoteAnchor"/>
          <w:rtl w:val="true"/>
        </w:rPr>
        <w:footnoteReference w:id="3516"/>
      </w:r>
      <w:r>
        <w:rPr>
          <w:rFonts w:ascii="IRNazanin" w:hAnsi="IRNazanin" w:eastAsia="IRNazanin"/>
          <w:color w:val="111111"/>
          <w:sz w:val="28"/>
          <w:sz w:val="28"/>
          <w:szCs w:val="28"/>
          <w:rtl w:val="true"/>
          <w:lang w:bidi="fa-IR"/>
        </w:rPr>
        <w:t xml:space="preserve">من وجوده في الثلاثة في الجملة، فإنّهم صرّحوا بأنّه رجوع إلى ما ليس له مرجع، بل قضيّة الاستمرار الذي فهمناه من نصوص أقلّه هو الاتّصال بحيث كلّما وضعت الکُرسُف خرج متلوّثاً و لو باليسير، و هو </w:t>
      </w:r>
    </w:p>
    <w:p>
      <w:pPr>
        <w:pStyle w:val="BookText"/>
        <w:rPr/>
      </w:pPr>
      <w:r>
        <w:rPr>
          <w:rFonts w:ascii="Amiri" w:hAnsi="Amiri" w:eastAsia="Amiri" w:cs="Amiri"/>
          <w:color w:val="111111"/>
          <w:sz w:val="28"/>
          <w:sz w:val="28"/>
          <w:szCs w:val="28"/>
          <w:rtl w:val="true"/>
          <w:lang w:bidi="ar-SA"/>
        </w:rPr>
        <w:t xml:space="preserve">الذي عليه جماعة الفقهاء </w:t>
      </w:r>
      <w:r>
        <w:rPr>
          <w:rStyle w:val="FootnoteAnchor"/>
          <w:rtl w:val="true"/>
        </w:rPr>
        <w:footnoteReference w:id="3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الشارح في هامش روضه </w:t>
      </w:r>
      <w:r>
        <w:rPr>
          <w:rStyle w:val="FootnoteAnchor"/>
          <w:rtl w:val="true"/>
        </w:rPr>
        <w:footnoteReference w:id="3518"/>
      </w:r>
      <w:r>
        <w:rPr>
          <w:rFonts w:ascii="Amiri" w:hAnsi="Amiri" w:eastAsia="Amiri" w:cs="Amiri"/>
          <w:color w:val="111111"/>
          <w:sz w:val="28"/>
          <w:sz w:val="28"/>
          <w:szCs w:val="28"/>
          <w:rtl w:val="true"/>
          <w:lang w:bidi="ar-SA"/>
        </w:rPr>
        <w:t>بأنّ المرجع هو حكمهم بعدم الاستمرار في العشرة بل يكفي المسمّى في جملتها و إن انقطع، فكذلك الأقلّ؛ لتساويهما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بأنّ اللازم من ذلك عدم اشتراط وجوده في كلّ يوم من الثلاثة و لو لحظة؛ لصدق العشرة مع خلوّ ما بعد الثلاثة من الدّم، و هو باطل اتّفاقاً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بخروج ذلك بالنّص الخاص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نزيده بيانا ما روي عن أبي عبد الله علیه السلام في كلام من جملته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يكون الحيض أقلّ من ثلاثة أيّام، فإذا رأت الدّم في أيّام حيضها تركت الصلاة</w:t>
      </w:r>
      <w:r>
        <w:rPr>
          <w:rFonts w:eastAsia="IRNazanin" w:cs="IRNazanin"/>
          <w:color w:val="111111"/>
          <w:sz w:val="28"/>
          <w:szCs w:val="28"/>
          <w:rtl w:val="true"/>
          <w:lang w:bidi="fa-IR"/>
        </w:rPr>
        <w:t xml:space="preserve">» </w:t>
      </w:r>
      <w:r>
        <w:rPr>
          <w:rStyle w:val="FootnoteAnchor"/>
          <w:rtl w:val="true"/>
        </w:rPr>
        <w:footnoteReference w:id="3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فاعتبر في ترك الصلاة المسبّب عن تحقّق الحيض وجود الدّم في أيّام الحيض، و هو أعمّ من الاتّصال المدّعى؛ لصدق وجوده في أيّامه وجوده في كلّ يوم لحظة،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بعضهم </w:t>
      </w:r>
      <w:r>
        <w:rPr>
          <w:rStyle w:val="FootnoteAnchor"/>
          <w:rtl w:val="true"/>
        </w:rPr>
        <w:footnoteReference w:id="3520"/>
      </w:r>
      <w:r>
        <w:rPr>
          <w:rFonts w:ascii="Amiri" w:hAnsi="Amiri" w:eastAsia="Amiri" w:cs="Amiri"/>
          <w:color w:val="111111"/>
          <w:sz w:val="28"/>
          <w:sz w:val="28"/>
          <w:szCs w:val="28"/>
          <w:rtl w:val="true"/>
          <w:lang w:bidi="ar-SA"/>
        </w:rPr>
        <w:t xml:space="preserve">اعتبار الرؤية في أوّل الأوّل و آخر الآخر و في أيّ جزء من الوسط، و أنكرَ جماعة </w:t>
      </w:r>
      <w:r>
        <w:rPr>
          <w:rStyle w:val="FootnoteAnchor"/>
          <w:rtl w:val="true"/>
        </w:rPr>
        <w:footnoteReference w:id="3521"/>
      </w:r>
      <w:r>
        <w:rPr>
          <w:rFonts w:ascii="Amiri" w:hAnsi="Amiri" w:eastAsia="Amiri" w:cs="Amiri"/>
          <w:color w:val="111111"/>
          <w:sz w:val="28"/>
          <w:sz w:val="28"/>
          <w:szCs w:val="28"/>
          <w:rtl w:val="true"/>
          <w:lang w:bidi="ar-SA"/>
        </w:rPr>
        <w:t>دخول اللّيالي في الأيّام</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واهٍ، بل المعتمد ما عليه الجلّ </w:t>
      </w:r>
      <w:r>
        <w:rPr>
          <w:rStyle w:val="FootnoteAnchor"/>
          <w:rtl w:val="true"/>
        </w:rPr>
        <w:footnoteReference w:id="3522"/>
      </w:r>
      <w:r>
        <w:rPr>
          <w:rFonts w:ascii="Amiri" w:hAnsi="Amiri" w:eastAsia="Amiri" w:cs="Amiri"/>
          <w:color w:val="111111"/>
          <w:sz w:val="28"/>
          <w:sz w:val="28"/>
          <w:szCs w:val="28"/>
          <w:rtl w:val="true"/>
          <w:lang w:bidi="ar-SA"/>
        </w:rPr>
        <w:t>و ما نطقت به زُبرهم من أن وجود الدّم في كلّ من الثلاثة ساعة لا يكفي في تحقّقها</w:t>
      </w:r>
      <w:r>
        <w:rPr>
          <w:rFonts w:eastAsia="Amiri" w:cs="Amiri" w:ascii="Amiri" w:hAnsi="Amiri"/>
          <w:color w:val="111111"/>
          <w:sz w:val="28"/>
          <w:szCs w:val="28"/>
          <w:rtl w:val="true"/>
          <w:lang w:bidi="ar-SA"/>
        </w:rPr>
        <w:t xml:space="preserve">. </w:t>
      </w:r>
      <w:bookmarkStart w:id="301" w:name="pg9146_86486"/>
    </w:p>
    <w:p>
      <w:pPr>
        <w:pStyle w:val="BookText"/>
        <w:rPr/>
      </w:pPr>
      <w:bookmarkEnd w:id="301"/>
      <w:r>
        <w:rPr>
          <w:rFonts w:ascii="Amiri" w:hAnsi="Amiri" w:eastAsia="Amiri" w:cs="Amiri"/>
          <w:color w:val="111111"/>
          <w:sz w:val="28"/>
          <w:sz w:val="28"/>
          <w:szCs w:val="28"/>
          <w:rtl w:val="true"/>
          <w:lang w:bidi="ar-SA"/>
        </w:rPr>
        <w:t xml:space="preserve">و ما في النّهاية </w:t>
      </w:r>
      <w:r>
        <w:rPr>
          <w:rStyle w:val="FootnoteAnchor"/>
          <w:rtl w:val="true"/>
        </w:rPr>
        <w:footnoteReference w:id="3523"/>
      </w:r>
      <w:r>
        <w:rPr>
          <w:rFonts w:ascii="IRNazanin" w:hAnsi="IRNazanin" w:eastAsia="IRNazanin"/>
          <w:color w:val="111111"/>
          <w:sz w:val="28"/>
          <w:sz w:val="28"/>
          <w:szCs w:val="28"/>
          <w:rtl w:val="true"/>
          <w:lang w:bidi="fa-IR"/>
        </w:rPr>
        <w:t xml:space="preserve">و المنتهى </w:t>
      </w:r>
      <w:r>
        <w:rPr>
          <w:rStyle w:val="FootnoteAnchor"/>
          <w:rtl w:val="true"/>
        </w:rPr>
        <w:footnoteReference w:id="3524"/>
      </w:r>
      <w:r>
        <w:rPr>
          <w:rFonts w:ascii="Amiri" w:hAnsi="Amiri" w:eastAsia="Amiri" w:cs="Amiri"/>
          <w:color w:val="111111"/>
          <w:sz w:val="28"/>
          <w:sz w:val="28"/>
          <w:szCs w:val="28"/>
          <w:rtl w:val="true"/>
          <w:lang w:bidi="ar-SA"/>
        </w:rPr>
        <w:t xml:space="preserve">و التذكرة </w:t>
      </w:r>
      <w:r>
        <w:rPr>
          <w:rStyle w:val="FootnoteAnchor"/>
          <w:rtl w:val="true"/>
        </w:rPr>
        <w:footnoteReference w:id="3525"/>
      </w:r>
      <w:r>
        <w:rPr>
          <w:rFonts w:ascii="Amiri" w:hAnsi="Amiri" w:eastAsia="Amiri" w:cs="Amiri"/>
          <w:color w:val="111111"/>
          <w:sz w:val="28"/>
          <w:sz w:val="28"/>
          <w:szCs w:val="28"/>
          <w:rtl w:val="true"/>
          <w:lang w:bidi="ar-SA"/>
        </w:rPr>
        <w:t>من أنّ الفترات المعتادة بين دفعات الحيض لا ينافي التوالي إجماعاً، لا ينافي ما ذكرنا؛ لأنّ المراد بالتوالي استمرار التقاطر من الرّحم عُرفاً و لو لم يخرج في الخارج، فالمراد بالتلوّث هو ما كان بعد الصّبر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شبهة في عدم دخول ليلة اليوم الأوّل، و دخول اللّيلتين؛ لتحقّق الاستمرار و لعدم دخولها في أيّام الإقامة و الاعتكاف إلَّا إذا رأت الدّم في أثناء النّهار اعتبر ثلاث ليال و تمام اليوم النّاقص، و عليه ينزّل إجماع التذكرة </w:t>
      </w:r>
      <w:r>
        <w:rPr>
          <w:rStyle w:val="FootnoteAnchor"/>
          <w:rtl w:val="true"/>
        </w:rPr>
        <w:footnoteReference w:id="3526"/>
      </w:r>
      <w:r>
        <w:rPr>
          <w:rFonts w:ascii="IRNazanin" w:hAnsi="IRNazanin" w:eastAsia="IRNazanin"/>
          <w:color w:val="111111"/>
          <w:sz w:val="28"/>
          <w:sz w:val="28"/>
          <w:szCs w:val="28"/>
          <w:rtl w:val="true"/>
          <w:lang w:bidi="fa-IR"/>
        </w:rPr>
        <w:t xml:space="preserve">و المنتهى </w:t>
      </w:r>
      <w:r>
        <w:rPr>
          <w:rStyle w:val="FootnoteAnchor"/>
          <w:rtl w:val="true"/>
        </w:rPr>
        <w:footnoteReference w:id="3527"/>
      </w:r>
      <w:r>
        <w:rPr>
          <w:rFonts w:ascii="Amiri" w:hAnsi="Amiri" w:eastAsia="Amiri" w:cs="Amiri"/>
          <w:color w:val="111111"/>
          <w:sz w:val="28"/>
          <w:sz w:val="28"/>
          <w:szCs w:val="28"/>
          <w:rtl w:val="true"/>
          <w:lang w:bidi="ar-SA"/>
        </w:rPr>
        <w:t>في دخول اللّيالي في الأيّام، فلا إشكال حينئذٍ في أنّ أقلّ الحيض ذلك بشرطه</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3322730_2870459653"/>
      <w:bookmarkStart w:id="303" w:name="_Toc103"/>
      <w:bookmarkEnd w:id="302"/>
      <w:r>
        <w:rPr>
          <w:rtl w:val="true"/>
        </w:rPr>
        <w:t>[</w:t>
      </w:r>
      <w:r>
        <w:rPr>
          <w:rtl w:val="true"/>
        </w:rPr>
        <w:t>أكثر الحيض</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متوالية كذلك و إن تخلّل النقاء بعد الثلاثة، لكنّه ما استمرّ للعشرة فإنّه محكوم عليه شرعاً بالحيضيّة و ملحق بالثلاثة، و الإجماع </w:t>
      </w:r>
      <w:r>
        <w:rPr>
          <w:rStyle w:val="FootnoteAnchor"/>
          <w:rtl w:val="true"/>
        </w:rPr>
        <w:footnoteReference w:id="3528"/>
      </w:r>
      <w:r>
        <w:rPr>
          <w:rFonts w:ascii="Amiri" w:hAnsi="Amiri" w:eastAsia="Amiri" w:cs="Amiri"/>
          <w:color w:val="111111"/>
          <w:sz w:val="28"/>
          <w:sz w:val="28"/>
          <w:szCs w:val="28"/>
          <w:rtl w:val="true"/>
          <w:lang w:bidi="ar-SA"/>
        </w:rPr>
        <w:t xml:space="preserve">كالأخبار </w:t>
      </w:r>
      <w:r>
        <w:rPr>
          <w:rStyle w:val="FootnoteAnchor"/>
          <w:rtl w:val="true"/>
        </w:rPr>
        <w:footnoteReference w:id="3529"/>
      </w:r>
      <w:r>
        <w:rPr>
          <w:rFonts w:ascii="Amiri" w:hAnsi="Amiri" w:eastAsia="Amiri" w:cs="Amiri"/>
          <w:color w:val="111111"/>
          <w:sz w:val="28"/>
          <w:sz w:val="28"/>
          <w:szCs w:val="28"/>
          <w:rtl w:val="true"/>
          <w:lang w:bidi="ar-SA"/>
        </w:rPr>
        <w:t xml:space="preserve">مستفيضة على التحديد بالعشرة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 عنها ليس بحيض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الرواية الواردة بالثمانية غير معمول بها</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حديث شاذ أجمعت الصحابة على ترك العمل به أو محمول على غير الظاهر منه لو صحّ </w:t>
      </w:r>
      <w:r>
        <w:rPr>
          <w:rStyle w:val="FootnoteAnchor"/>
          <w:rtl w:val="true"/>
        </w:rPr>
        <w:footnoteReference w:id="3530"/>
      </w:r>
      <w:r>
        <w:rPr>
          <w:rFonts w:eastAsia="Times New Roman" w:cs="Times New Roman" w:ascii="Times New Roman" w:hAnsi="Times New Roman"/>
          <w:color w:val="111111"/>
          <w:sz w:val="28"/>
          <w:szCs w:val="28"/>
          <w:rtl w:val="true"/>
          <w:lang w:val="en-US" w:bidi="en-US"/>
        </w:rPr>
        <w:t xml:space="preserve">. </w:t>
      </w:r>
      <w:bookmarkStart w:id="304" w:name="pg9146_86487"/>
    </w:p>
    <w:p>
      <w:pPr>
        <w:pStyle w:val="BookText"/>
        <w:rPr/>
      </w:pPr>
      <w:bookmarkEnd w:id="304"/>
      <w:r>
        <w:rPr>
          <w:rFonts w:ascii="Amiri" w:hAnsi="Amiri" w:eastAsia="Amiri" w:cs="Amiri"/>
          <w:color w:val="111111"/>
          <w:sz w:val="28"/>
          <w:sz w:val="28"/>
          <w:szCs w:val="28"/>
          <w:rtl w:val="true"/>
          <w:lang w:bidi="ar-SA"/>
        </w:rPr>
        <w:t xml:space="preserve">نعم، يظهر من الحدائق </w:t>
      </w:r>
      <w:r>
        <w:rPr>
          <w:rStyle w:val="FootnoteAnchor"/>
          <w:rtl w:val="true"/>
        </w:rPr>
        <w:footnoteReference w:id="3531"/>
      </w:r>
      <w:r>
        <w:rPr>
          <w:rFonts w:ascii="Amiri" w:hAnsi="Amiri" w:eastAsia="Amiri" w:cs="Amiri"/>
          <w:color w:val="111111"/>
          <w:sz w:val="28"/>
          <w:sz w:val="28"/>
          <w:szCs w:val="28"/>
          <w:rtl w:val="true"/>
          <w:lang w:bidi="ar-SA"/>
        </w:rPr>
        <w:t>عدم اعتبار التوالي فيها مطلقاً، و مستنده إطلاق ما حدّد الحيض و الطَّهر من الأخبار و عدم المانع من تخلّل الطَّهر بين أجزاء الحيضة الواحدة فهو أقلّ من عشرة لو وقع بينها بأنْ رَأت خمسة ثمّ طهرت مثلها ثمّ رأتها عدّ المرئي أولاً و آخراً حيضة واحدة و المتخلّل طهراً و إن نقص عن العشر، فإنّ أقلّ الطّهر الذي لا ينقص في الأخبار هو ما كان بين الحيضتين لا مطلق حال الطّهارة للمرأة ركوناً لبعض الأخبار التي لا تنهض بتنوير دعواه من حيث ضعف السّند، أو الدّلالة، أو تنافي الصّدر و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فالمعتمد ما عليه الجمهور </w:t>
      </w:r>
      <w:r>
        <w:rPr>
          <w:rStyle w:val="FootnoteAnchor"/>
          <w:rtl w:val="true"/>
        </w:rPr>
        <w:footnoteReference w:id="3532"/>
      </w:r>
      <w:r>
        <w:rPr>
          <w:rFonts w:ascii="Amiri" w:hAnsi="Amiri" w:eastAsia="Amiri" w:cs="Amiri"/>
          <w:color w:val="111111"/>
          <w:sz w:val="28"/>
          <w:sz w:val="28"/>
          <w:szCs w:val="28"/>
          <w:rtl w:val="true"/>
          <w:lang w:bidi="ar-SA"/>
        </w:rPr>
        <w:t>من أنّ المراد من الأيّام ما يعمّ أيّام الدّم و أيّام النّقاء المتخلّلة بين الثلاثة و العشرة</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3322732_2870459653"/>
      <w:bookmarkStart w:id="306" w:name="_Toc104"/>
      <w:bookmarkEnd w:id="305"/>
      <w:r>
        <w:rPr>
          <w:rtl w:val="true"/>
        </w:rPr>
        <w:t>[</w:t>
      </w:r>
      <w:r>
        <w:rPr>
          <w:rtl w:val="true"/>
        </w:rPr>
        <w:t>صفات الحيض</w:t>
      </w:r>
      <w:r>
        <w:rPr>
          <w:rtl w:val="true"/>
        </w:rPr>
        <w:t>]</w:t>
      </w:r>
      <w:bookmarkEnd w:id="306"/>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الأخبار، و اقتصر في المبسوط </w:t>
      </w:r>
      <w:r>
        <w:rPr>
          <w:rStyle w:val="FootnoteAnchor"/>
          <w:rtl w:val="true"/>
        </w:rPr>
        <w:footnoteReference w:id="3533"/>
      </w:r>
      <w:r>
        <w:rPr>
          <w:rFonts w:ascii="IRNazanin" w:hAnsi="IRNazanin" w:eastAsia="IRNazanin"/>
          <w:color w:val="111111"/>
          <w:sz w:val="28"/>
          <w:sz w:val="28"/>
          <w:szCs w:val="28"/>
          <w:rtl w:val="true"/>
          <w:lang w:bidi="fa-IR"/>
        </w:rPr>
        <w:t xml:space="preserve">و الشرائع </w:t>
      </w:r>
      <w:r>
        <w:rPr>
          <w:rStyle w:val="FootnoteAnchor"/>
          <w:rtl w:val="true"/>
        </w:rPr>
        <w:footnoteReference w:id="3534"/>
      </w:r>
      <w:r>
        <w:rPr>
          <w:rFonts w:ascii="IRNazanin" w:hAnsi="IRNazanin" w:eastAsia="IRNazanin"/>
          <w:color w:val="111111"/>
          <w:sz w:val="28"/>
          <w:sz w:val="28"/>
          <w:szCs w:val="28"/>
          <w:rtl w:val="true"/>
          <w:lang w:bidi="fa-IR"/>
        </w:rPr>
        <w:t xml:space="preserve">و بعض زبر الفاضل </w:t>
      </w:r>
      <w:r>
        <w:rPr>
          <w:rStyle w:val="FootnoteAnchor"/>
          <w:rtl w:val="true"/>
        </w:rPr>
        <w:footnoteReference w:id="3535"/>
      </w:r>
      <w:r>
        <w:rPr>
          <w:rFonts w:ascii="Amiri" w:hAnsi="Amiri" w:eastAsia="Amiri" w:cs="Amiri"/>
          <w:color w:val="111111"/>
          <w:sz w:val="28"/>
          <w:sz w:val="28"/>
          <w:szCs w:val="28"/>
          <w:rtl w:val="true"/>
          <w:lang w:bidi="ar-SA"/>
        </w:rPr>
        <w:t xml:space="preserve">على الأوّل، و الفقيه </w:t>
      </w:r>
      <w:r>
        <w:rPr>
          <w:rStyle w:val="FootnoteAnchor"/>
          <w:rtl w:val="true"/>
        </w:rPr>
        <w:footnoteReference w:id="3536"/>
      </w:r>
      <w:r>
        <w:rPr>
          <w:rFonts w:ascii="Amiri" w:hAnsi="Amiri" w:eastAsia="Amiri" w:cs="Amiri"/>
          <w:color w:val="111111"/>
          <w:sz w:val="28"/>
          <w:sz w:val="28"/>
          <w:szCs w:val="28"/>
          <w:rtl w:val="true"/>
          <w:lang w:bidi="ar-SA"/>
        </w:rPr>
        <w:t xml:space="preserve">على الثاني، و عسى أن يكون السّواد ما يقابل الصّفرة و الأحمر مطلقه حتّى المائل إلى السّواد في كلامهم، و 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بحرقة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قوّة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حسنة ابن البختري </w:t>
      </w:r>
      <w:r>
        <w:rPr>
          <w:rStyle w:val="FootnoteAnchor"/>
          <w:rtl w:val="true"/>
        </w:rPr>
        <w:footnoteReference w:id="3537"/>
      </w:r>
      <w:r>
        <w:rPr>
          <w:rFonts w:ascii="Amiri" w:hAnsi="Amiri" w:eastAsia="Amiri" w:cs="Amiri"/>
          <w:color w:val="111111"/>
          <w:sz w:val="28"/>
          <w:sz w:val="28"/>
          <w:szCs w:val="28"/>
          <w:rtl w:val="true"/>
          <w:lang w:bidi="ar-SA"/>
        </w:rPr>
        <w:t xml:space="preserve">و صحيحة معاوية بن عمّار </w:t>
      </w:r>
      <w:r>
        <w:rPr>
          <w:rStyle w:val="FootnoteAnchor"/>
          <w:rtl w:val="true"/>
        </w:rPr>
        <w:footnoteReference w:id="3538"/>
      </w:r>
      <w:r>
        <w:rPr>
          <w:rFonts w:ascii="Amiri" w:hAnsi="Amiri" w:eastAsia="Amiri" w:cs="Amiri"/>
          <w:color w:val="111111"/>
          <w:sz w:val="28"/>
          <w:sz w:val="28"/>
          <w:szCs w:val="28"/>
          <w:rtl w:val="true"/>
          <w:lang w:bidi="ar-SA"/>
        </w:rPr>
        <w:t xml:space="preserve">و موثّقة إسحاق بن جرير </w:t>
      </w:r>
      <w:r>
        <w:rPr>
          <w:rStyle w:val="FootnoteAnchor"/>
          <w:rtl w:val="true"/>
        </w:rPr>
        <w:footnoteReference w:id="3539"/>
      </w:r>
      <w:r>
        <w:rPr>
          <w:rFonts w:ascii="Amiri" w:hAnsi="Amiri" w:eastAsia="Amiri" w:cs="Amiri"/>
          <w:color w:val="111111"/>
          <w:sz w:val="28"/>
          <w:sz w:val="28"/>
          <w:szCs w:val="28"/>
          <w:rtl w:val="true"/>
          <w:lang w:bidi="ar-SA"/>
        </w:rPr>
        <w:t xml:space="preserve">و غيرها </w:t>
      </w:r>
      <w:r>
        <w:rPr>
          <w:rStyle w:val="FootnoteAnchor"/>
          <w:rtl w:val="true"/>
        </w:rPr>
        <w:footnoteReference w:id="3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ليست هذه الصّفات معرّفات شرعيّة للحيض بحيث يدور مدارها وجوداً أو عدماً إلَّا ما خرج بدليله؛ لعدم مساعدة القاطع عليه، و لتخلّفه في كثير من الموارد، بل تلك عَلامات لا تتخلّف عن 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المصنّف هنا تبعاً للمشهور </w:t>
      </w:r>
      <w:r>
        <w:rPr>
          <w:rStyle w:val="FootnoteAnchor"/>
          <w:rtl w:val="true"/>
        </w:rPr>
        <w:footnoteReference w:id="3541"/>
      </w:r>
      <w:r>
        <w:rPr>
          <w:rFonts w:ascii="Amiri" w:hAnsi="Amiri" w:eastAsia="Amiri" w:cs="Amiri"/>
          <w:color w:val="111111"/>
          <w:sz w:val="28"/>
          <w:sz w:val="28"/>
          <w:szCs w:val="28"/>
          <w:rtl w:val="true"/>
          <w:lang w:bidi="ar-SA"/>
        </w:rPr>
        <w:t xml:space="preserve">إذ قد يحكم بالاستحاضة مع وجود هذه الصّفات و بالحيضيّة و إن فقدت في ما تراه في أيّام العادة مع فقده الصفات فلا تطّرد، فقول الشارح حينئذٍ 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بالغالب؛ ليندرج فيه ما أمكن كونه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حتّى ما لم يكن بصفاته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يحكم به و إن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خفاء؛ لعدم معلوميّة الإمكان بدون الصّفات بعد كونها ميزاناً للحيض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يقتضيه سَوْق الأخبار الظاهرة في إعطاء الميزان الفارق بين الحيض و غيره، و كما يشهد له قوله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دم الاستحاضة اعتبر بالسواد و الحمرة و الغلظ و الحرارة و 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بالنّبوي و برواية ابن جرير،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بالثلاثة و العشرة اللذين هما أقلّ الحيض و أكثره باتّفاق </w:t>
      </w:r>
      <w:r>
        <w:rPr>
          <w:rStyle w:val="FootnoteAnchor"/>
          <w:rtl w:val="true"/>
        </w:rPr>
        <w:footnoteReference w:id="35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ظاهره عدم الحكم بقاعدة الإمكان في فاقد الصّفات المزبورة، فيلزم قصرها على غير الفاقد، أو الفاقد المنصوص، أو المجمع عليه، و لأجله حكم بعض </w:t>
      </w:r>
      <w:r>
        <w:rPr>
          <w:rStyle w:val="FootnoteAnchor"/>
          <w:rtl w:val="true"/>
        </w:rPr>
        <w:footnoteReference w:id="3543"/>
      </w:r>
      <w:r>
        <w:rPr>
          <w:rFonts w:ascii="Amiri" w:hAnsi="Amiri" w:eastAsia="Amiri" w:cs="Amiri"/>
          <w:color w:val="111111"/>
          <w:sz w:val="28"/>
          <w:sz w:val="28"/>
          <w:szCs w:val="28"/>
          <w:rtl w:val="true"/>
          <w:lang w:bidi="ar-SA"/>
        </w:rPr>
        <w:t>من تأخّر بكون هذه معرّفات شرعيّة للحيض، لكن الحكم بذلك مضافاً إلى أنّه خلاف المشهور أنّ تلك الأخبار لا يظهر منها التنصيص على المدّعى، بل هي لبيان لزوم الحكم بالحيضيّة إذا اشتبهت بالاستحاضة لا نفيها حيث تنتفي، و إلَّا لما تخلّفت في كثير من الموارد</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عبارة ذكراه لبيان كون هذه الصِّفات معرّفات في الجملة عند الاشتباه لا مطلقاً، و يعضده ظهور ذلك منه هنا، فإنّه أطلق الحكم بالحيضيّة؛ لقاعدة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و لم يمتنع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الدم</w:t>
      </w:r>
      <w:r>
        <w:rPr>
          <w:rFonts w:eastAsia="Amiri" w:cs="Amiri" w:ascii="Amiri" w:hAnsi="Amiri"/>
          <w:color w:val="111111"/>
          <w:sz w:val="28"/>
          <w:szCs w:val="28"/>
          <w:rtl w:val="true"/>
          <w:lang w:bidi="ar-SA"/>
        </w:rPr>
        <w:t xml:space="preserve">] </w:t>
      </w:r>
      <w:r>
        <w:rPr>
          <w:rStyle w:val="FootnoteAnchor"/>
          <w:rtl w:val="true"/>
        </w:rPr>
        <w:footnoteReference w:id="3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بحسب حال </w:t>
      </w:r>
      <w:bookmarkStart w:id="307" w:name="pg9146_86489"/>
    </w:p>
    <w:p>
      <w:pPr>
        <w:pStyle w:val="BookText"/>
        <w:rPr/>
      </w:pPr>
      <w:bookmarkEnd w:id="307"/>
      <w:r>
        <w:rPr>
          <w:rFonts w:ascii="Amiri" w:hAnsi="Amiri" w:eastAsia="Amiri" w:cs="Amiri"/>
          <w:color w:val="111111"/>
          <w:sz w:val="28"/>
          <w:sz w:val="28"/>
          <w:szCs w:val="28"/>
          <w:rtl w:val="true"/>
          <w:lang w:bidi="ar-SA"/>
        </w:rPr>
        <w:t>المرأة بأن تكون بالغة غير 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مشتبهة الحال بأحدهما</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3322734_2870459653"/>
      <w:bookmarkStart w:id="309" w:name="_Toc105"/>
      <w:bookmarkEnd w:id="308"/>
      <w:r>
        <w:rPr>
          <w:rtl w:val="true"/>
        </w:rPr>
        <w:t>[</w:t>
      </w:r>
      <w:r>
        <w:rPr>
          <w:rtl w:val="true"/>
        </w:rPr>
        <w:t>اعتبارات الحيض</w:t>
      </w:r>
      <w:r>
        <w:rPr>
          <w:rtl w:val="true"/>
        </w:rPr>
        <w:t>]</w:t>
      </w:r>
      <w:bookmarkEnd w:id="309"/>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 بأن لا ينقص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عن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دوامه كتوالي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كالقويّ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بعد اعتباره لا يكون الضّعيف حيضاً،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كالجانب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الأيسر أو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Style w:val="FootnoteAnchor"/>
          <w:rtl w:val="true"/>
        </w:rPr>
        <w:footnoteReference w:id="3545"/>
      </w:r>
      <w:r>
        <w:rPr>
          <w:rFonts w:ascii="IRNazanin" w:hAnsi="IRNazanin" w:eastAsia="IRNazanin"/>
          <w:color w:val="111111"/>
          <w:sz w:val="28"/>
          <w:sz w:val="28"/>
          <w:szCs w:val="28"/>
          <w:rtl w:val="true"/>
          <w:lang w:bidi="fa-IR"/>
        </w:rPr>
        <w:t>اعتبرناه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للصدّوق </w:t>
      </w:r>
      <w:r>
        <w:rPr>
          <w:rStyle w:val="FootnoteAnchor"/>
          <w:rtl w:val="true"/>
        </w:rPr>
        <w:footnoteReference w:id="3546"/>
      </w:r>
      <w:r>
        <w:rPr>
          <w:rFonts w:ascii="Amiri" w:hAnsi="Amiri" w:eastAsia="Amiri" w:cs="Amiri"/>
          <w:color w:val="111111"/>
          <w:sz w:val="28"/>
          <w:sz w:val="28"/>
          <w:szCs w:val="28"/>
          <w:rtl w:val="true"/>
          <w:lang w:bidi="ar-SA"/>
        </w:rPr>
        <w:t xml:space="preserve">، و الشيخ </w:t>
      </w:r>
      <w:r>
        <w:rPr>
          <w:rStyle w:val="FootnoteAnchor"/>
          <w:rtl w:val="true"/>
        </w:rPr>
        <w:footnoteReference w:id="3547"/>
      </w:r>
      <w:r>
        <w:rPr>
          <w:rFonts w:ascii="Amiri" w:hAnsi="Amiri" w:eastAsia="Amiri" w:cs="Amiri"/>
          <w:color w:val="111111"/>
          <w:sz w:val="28"/>
          <w:sz w:val="28"/>
          <w:szCs w:val="28"/>
          <w:rtl w:val="true"/>
          <w:lang w:bidi="ar-SA"/>
        </w:rPr>
        <w:t xml:space="preserve">، و ابنَي حمزة </w:t>
      </w:r>
      <w:r>
        <w:rPr>
          <w:rStyle w:val="FootnoteAnchor"/>
          <w:rtl w:val="true"/>
        </w:rPr>
        <w:footnoteReference w:id="3548"/>
      </w:r>
      <w:r>
        <w:rPr>
          <w:rFonts w:ascii="Amiri" w:hAnsi="Amiri" w:eastAsia="Amiri" w:cs="Amiri"/>
          <w:color w:val="111111"/>
          <w:sz w:val="28"/>
          <w:sz w:val="28"/>
          <w:szCs w:val="28"/>
          <w:rtl w:val="true"/>
          <w:lang w:bidi="ar-SA"/>
        </w:rPr>
        <w:t xml:space="preserve">و إدريس </w:t>
      </w:r>
      <w:r>
        <w:rPr>
          <w:rStyle w:val="FootnoteAnchor"/>
          <w:rtl w:val="true"/>
        </w:rPr>
        <w:footnoteReference w:id="3549"/>
      </w:r>
      <w:r>
        <w:rPr>
          <w:rFonts w:ascii="IRNazanin" w:hAnsi="IRNazanin" w:eastAsia="IRNazanin"/>
          <w:color w:val="111111"/>
          <w:sz w:val="28"/>
          <w:sz w:val="28"/>
          <w:szCs w:val="28"/>
          <w:rtl w:val="true"/>
          <w:lang w:bidi="fa-IR"/>
        </w:rPr>
        <w:t xml:space="preserve">، و الفاضل </w:t>
      </w:r>
      <w:r>
        <w:rPr>
          <w:rStyle w:val="FootnoteAnchor"/>
          <w:rtl w:val="true"/>
        </w:rPr>
        <w:footnoteReference w:id="3550"/>
      </w:r>
      <w:r>
        <w:rPr>
          <w:rFonts w:ascii="IRNazanin" w:hAnsi="IRNazanin" w:eastAsia="IRNazanin"/>
          <w:color w:val="111111"/>
          <w:sz w:val="28"/>
          <w:sz w:val="28"/>
          <w:szCs w:val="28"/>
          <w:rtl w:val="true"/>
          <w:lang w:bidi="fa-IR"/>
        </w:rPr>
        <w:t xml:space="preserve">، و ابنه </w:t>
      </w:r>
      <w:r>
        <w:rPr>
          <w:rStyle w:val="FootnoteAnchor"/>
          <w:rtl w:val="true"/>
        </w:rPr>
        <w:footnoteReference w:id="3551"/>
      </w:r>
      <w:r>
        <w:rPr>
          <w:rFonts w:ascii="Amiri" w:hAnsi="Amiri" w:eastAsia="Amiri" w:cs="Amiri"/>
          <w:color w:val="111111"/>
          <w:sz w:val="28"/>
          <w:sz w:val="28"/>
          <w:szCs w:val="28"/>
          <w:rtl w:val="true"/>
          <w:lang w:bidi="ar-SA"/>
        </w:rPr>
        <w:t xml:space="preserve">، و المصنّف في البيان </w:t>
      </w:r>
      <w:r>
        <w:rPr>
          <w:rStyle w:val="FootnoteAnchor"/>
          <w:rtl w:val="true"/>
        </w:rPr>
        <w:footnoteReference w:id="3552"/>
      </w:r>
      <w:r>
        <w:rPr>
          <w:rFonts w:ascii="Amiri" w:hAnsi="Amiri" w:eastAsia="Amiri" w:cs="Amiri"/>
          <w:color w:val="111111"/>
          <w:sz w:val="28"/>
          <w:sz w:val="28"/>
          <w:szCs w:val="28"/>
          <w:rtl w:val="true"/>
          <w:lang w:bidi="ar-SA"/>
        </w:rPr>
        <w:t xml:space="preserve">، و حواشي القواعد </w:t>
      </w:r>
      <w:r>
        <w:rPr>
          <w:rStyle w:val="FootnoteAnchor"/>
          <w:rtl w:val="true"/>
        </w:rPr>
        <w:footnoteReference w:id="3553"/>
      </w:r>
      <w:r>
        <w:rPr>
          <w:rFonts w:ascii="Amiri" w:hAnsi="Amiri" w:eastAsia="Amiri" w:cs="Amiri"/>
          <w:color w:val="111111"/>
          <w:sz w:val="28"/>
          <w:sz w:val="28"/>
          <w:szCs w:val="28"/>
          <w:rtl w:val="true"/>
          <w:lang w:bidi="ar-SA"/>
        </w:rPr>
        <w:t xml:space="preserve">في الأوّل، و ابن الجنيد </w:t>
      </w:r>
      <w:r>
        <w:rPr>
          <w:rStyle w:val="FootnoteAnchor"/>
          <w:rtl w:val="true"/>
        </w:rPr>
        <w:footnoteReference w:id="3554"/>
      </w:r>
      <w:r>
        <w:rPr>
          <w:rFonts w:ascii="IRNazanin" w:hAnsi="IRNazanin" w:eastAsia="IRNazanin"/>
          <w:color w:val="111111"/>
          <w:sz w:val="28"/>
          <w:sz w:val="28"/>
          <w:szCs w:val="28"/>
          <w:rtl w:val="true"/>
          <w:lang w:bidi="fa-IR"/>
        </w:rPr>
        <w:t xml:space="preserve">و الدروس </w:t>
      </w:r>
      <w:r>
        <w:rPr>
          <w:rStyle w:val="FootnoteAnchor"/>
          <w:rtl w:val="true"/>
        </w:rPr>
        <w:footnoteReference w:id="3555"/>
      </w:r>
      <w:r>
        <w:rPr>
          <w:rFonts w:ascii="Amiri" w:hAnsi="Amiri" w:eastAsia="Amiri" w:cs="Amiri"/>
          <w:color w:val="111111"/>
          <w:sz w:val="28"/>
          <w:sz w:val="28"/>
          <w:szCs w:val="28"/>
          <w:rtl w:val="true"/>
          <w:lang w:bidi="ar-SA"/>
        </w:rPr>
        <w:t xml:space="preserve">و الذكرى </w:t>
      </w:r>
      <w:r>
        <w:rPr>
          <w:rStyle w:val="FootnoteAnchor"/>
          <w:rtl w:val="true"/>
        </w:rPr>
        <w:footnoteReference w:id="3556"/>
      </w:r>
      <w:r>
        <w:rPr>
          <w:rFonts w:ascii="Amiri" w:hAnsi="Amiri" w:eastAsia="Amiri" w:cs="Amiri"/>
          <w:color w:val="111111"/>
          <w:sz w:val="28"/>
          <w:sz w:val="28"/>
          <w:szCs w:val="28"/>
          <w:rtl w:val="true"/>
          <w:lang w:bidi="ar-SA"/>
        </w:rPr>
        <w:t xml:space="preserve">و جدّنا الأكبر </w:t>
      </w:r>
      <w:r>
        <w:rPr>
          <w:rStyle w:val="FootnoteAnchor"/>
          <w:rtl w:val="true"/>
        </w:rPr>
        <w:footnoteReference w:id="3557"/>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الاختلاف لاختلاف متن الرّواية التي هي مستند الحكم، و لأجله توقّف بعض </w:t>
      </w:r>
      <w:r>
        <w:rPr>
          <w:rStyle w:val="FootnoteAnchor"/>
          <w:rtl w:val="true"/>
        </w:rPr>
        <w:footnoteReference w:id="3558"/>
      </w:r>
      <w:r>
        <w:rPr>
          <w:rFonts w:ascii="Amiri" w:hAnsi="Amiri" w:eastAsia="Amiri" w:cs="Amiri"/>
          <w:color w:val="111111"/>
          <w:sz w:val="28"/>
          <w:sz w:val="28"/>
          <w:szCs w:val="28"/>
          <w:rtl w:val="true"/>
          <w:lang w:bidi="ar-SA"/>
        </w:rPr>
        <w:t>من تأخّر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أنّ الأيسر أشهر </w:t>
      </w:r>
      <w:r>
        <w:rPr>
          <w:rStyle w:val="FootnoteAnchor"/>
          <w:rtl w:val="true"/>
        </w:rPr>
        <w:footnoteReference w:id="3559"/>
      </w:r>
      <w:r>
        <w:rPr>
          <w:rFonts w:ascii="Amiri" w:hAnsi="Amiri" w:eastAsia="Amiri" w:cs="Amiri"/>
          <w:color w:val="111111"/>
          <w:sz w:val="28"/>
          <w:sz w:val="28"/>
          <w:szCs w:val="28"/>
          <w:rtl w:val="true"/>
          <w:lang w:bidi="ar-SA"/>
        </w:rPr>
        <w:t xml:space="preserve">، و هو و إن لم يفد الظَّن بأنّ الرواية كذلك؛ إذ ليس المقام مقام الانجبار، و لا من قبيل تعارض الأخبار، لكن الشهرة تكشف عن صدور رواية ظنّيّة على طبقها، فالعمل حينئذٍ بخبر التهذيب </w:t>
      </w:r>
      <w:r>
        <w:rPr>
          <w:rStyle w:val="FootnoteAnchor"/>
          <w:rtl w:val="true"/>
        </w:rPr>
        <w:footnoteReference w:id="3560"/>
      </w:r>
      <w:r>
        <w:rPr>
          <w:rFonts w:ascii="Amiri" w:hAnsi="Amiri" w:eastAsia="Amiri" w:cs="Amiri"/>
          <w:color w:val="111111"/>
          <w:sz w:val="28"/>
          <w:sz w:val="28"/>
          <w:szCs w:val="28"/>
          <w:rtl w:val="true"/>
          <w:lang w:bidi="ar-SA"/>
        </w:rPr>
        <w:t>لانجباره بها بين أهل الرواية و الفتوى، مع تخصيصه بما إذا اشتبه بالقرحة لا مطلقاً؛ لأنه نصّ الخبر و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فلو خرج الدّم من الأيمن جامعاً للشرائط غيره مع عدم القرحة لا مانع من الحكم بكونه حيضاً </w:t>
      </w:r>
      <w:r>
        <w:rPr>
          <w:rStyle w:val="FootnoteAnchor"/>
          <w:rtl w:val="true"/>
        </w:rPr>
        <w:footnoteReference w:id="3561"/>
      </w:r>
      <w:r>
        <w:rPr>
          <w:rFonts w:ascii="Amiri" w:hAnsi="Amiri" w:eastAsia="Amiri" w:cs="Amiri"/>
          <w:color w:val="111111"/>
          <w:sz w:val="28"/>
          <w:sz w:val="28"/>
          <w:szCs w:val="28"/>
          <w:rtl w:val="true"/>
          <w:lang w:bidi="ar-SA"/>
        </w:rPr>
        <w:t xml:space="preserve">، خلافاً لمن جعله عَلامَة مطلقاً </w:t>
      </w:r>
      <w:r>
        <w:rPr>
          <w:rStyle w:val="FootnoteAnchor"/>
          <w:rtl w:val="true"/>
        </w:rPr>
        <w:footnoteReference w:id="3562"/>
      </w:r>
      <w:r>
        <w:rPr>
          <w:rFonts w:ascii="IRNazanin" w:hAnsi="IRNazanin" w:eastAsia="IRNazanin"/>
          <w:color w:val="111111"/>
          <w:sz w:val="28"/>
          <w:sz w:val="28"/>
          <w:szCs w:val="28"/>
          <w:rtl w:val="true"/>
          <w:lang w:bidi="fa-IR"/>
        </w:rPr>
        <w:t xml:space="preserve">، و لمن ألغى اعتباره مطلقاً </w:t>
      </w:r>
      <w:r>
        <w:rPr>
          <w:rStyle w:val="FootnoteAnchor"/>
          <w:rtl w:val="true"/>
        </w:rPr>
        <w:footnoteReference w:id="3563"/>
      </w:r>
      <w:r>
        <w:rPr>
          <w:rFonts w:ascii="Amiri" w:hAnsi="Amiri" w:eastAsia="Amiri" w:cs="Amiri"/>
          <w:color w:val="111111"/>
          <w:sz w:val="28"/>
          <w:sz w:val="28"/>
          <w:szCs w:val="28"/>
          <w:rtl w:val="true"/>
          <w:lang w:bidi="ar-SA"/>
        </w:rPr>
        <w:t xml:space="preserve">، فإنّ الاقتصار على ما في الخبر بجميع قيوده بعد اشتهار العمل به المصحّح لسنده ممّا ينفيها؛ إذ لا ريب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564"/>
      </w:r>
      <w:r>
        <w:rPr>
          <w:rFonts w:ascii="IRNazanin" w:hAnsi="IRNazanin" w:eastAsia="IRNazanin"/>
          <w:color w:val="111111"/>
          <w:sz w:val="28"/>
          <w:sz w:val="28"/>
          <w:szCs w:val="28"/>
          <w:rtl w:val="true"/>
          <w:lang w:bidi="fa-IR"/>
        </w:rPr>
        <w:t>الحكم بصدور إحدى العبارتين من الإمام علیه السلام، فيفزع حينئذٍ إلى الترجيح لا الطّرح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المتيقّن الأخذ بمنطوق الخبر و عدم التعدّي عنه، فهو مخصّص لأدلّة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يحقّق الحيض شرعاً؛ لتخلّل أقلّ الطّهر، و الموافقة لأيّام العادة، و عدم المجامعة للحمل مطلقاً، أو المستبين منه على القولين، فإنّه متى أمكن كون الدّم حيضاً بأن جمع الشرائط و خلا من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بصفة الحيض إجماعاً مستفيضاً حتّى عادت قاعدة الإمكان في كلامهم من المسلّمات التي يستدلّ بها لا عليها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كان الإمكان هنا ليس مجرّد الاحتمال في مقابل العلم؛ لعدم وفاء شيء من الأدلّة فيه، و عدم الامتناع ليس عدمه من جميع الجهات، و لكون الحيضيّة حينئذٍ واجبة لا ممكنة، بل یراد به عدم الامتناع من جهة الموانع المقرّرة شرعا، فإذا خلا من تلك الموانع الشرعيّة حكم </w:t>
      </w:r>
    </w:p>
    <w:p>
      <w:pPr>
        <w:pStyle w:val="BookText"/>
        <w:rPr/>
      </w:pPr>
      <w:r>
        <w:rPr>
          <w:rFonts w:ascii="Amiri" w:hAnsi="Amiri" w:eastAsia="Amiri" w:cs="Amiri"/>
          <w:color w:val="111111"/>
          <w:sz w:val="28"/>
          <w:sz w:val="28"/>
          <w:szCs w:val="28"/>
          <w:rtl w:val="true"/>
          <w:lang w:bidi="ar-SA"/>
        </w:rPr>
        <w:t>بالحيضيّة و إن فقد بعض الخصوصيّات التي لا يعلم بها إلَّا العالم بالأرحام فلا تنقض كلّيّة الحكم بيَوْمَي الاستظهار بعد العادة، و لا بأوّل ما تراه المرأة قبل الثلاثة؛ لإمكان جعلهما حيضاً قبل عبور العشرة و الثلاثة، مع عدم جريان القاعدة؛ إذ المعتبر لم يعتبر الإمكان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يعتبر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يؤول إلى الإمكان النفس الأمري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بكون الدّم حيضاً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ذلك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كأيّام الاستظهار؛ فإنّ الدّم فيها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حيضاً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عدم عبور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العبور من الموانع الشرعيّة للحكم بالحيضيّة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قد اعتبرنا بالإمكان عدم المانع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القول في أوّل 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ليس بحيض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انقطاعه قبل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تجري فيه القاعدة؛ لعدم استقرار الإمكان إلَّا بعد الثلاثة لذات العادة و غيرها، فبانَ بهذا التقييد مراد المصنّف من الإمكان مطلقاً هنا</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قلمه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المجلّد الثاني في أحكام الحيض</w:t>
      </w:r>
      <w:r>
        <w:rPr>
          <w:rFonts w:eastAsia="Amiri" w:cs="Amiri" w:ascii="Amiri" w:hAnsi="Amiri"/>
          <w:color w:val="111111"/>
          <w:sz w:val="28"/>
          <w:szCs w:val="28"/>
          <w:rtl w:val="true"/>
          <w:lang w:bidi="ar-SA"/>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9146_86493"/>
      <w:bookmarkStart w:id="311" w:name="pg9146_86493"/>
      <w:bookmarkEnd w:id="311"/>
    </w:p>
    <w:p>
      <w:pPr>
        <w:pStyle w:val="Heading2"/>
        <w:numPr>
          <w:ilvl w:val="1"/>
          <w:numId w:val="1"/>
        </w:numPr>
        <w:rPr/>
      </w:pPr>
      <w:bookmarkStart w:id="312" w:name="pg9146_86493"/>
      <w:bookmarkStart w:id="313" w:name="__RefHeading___Toc3322736_2870459653"/>
      <w:bookmarkStart w:id="314" w:name="_Toc106"/>
      <w:bookmarkEnd w:id="312"/>
      <w:bookmarkEnd w:id="313"/>
      <w:r>
        <w:rPr>
          <w:rtl w:val="true"/>
        </w:rPr>
        <w:t>مصادر الكتاب</w:t>
      </w:r>
      <w:bookmarkEnd w:id="314"/>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الفقه المنسوب للإمام الرضا</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للإمام الرضا علیه السلام المشهد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شوال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الآبي، المحقق زين الدين أبي علي الحسن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 في شرح المختصر النافع</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علي بن الحسين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الشرائع، تحقيق 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كريم مسير و الشيخ شاكر المحمدي، منشورات مجلة دراسات علمية، سنة الطبع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البراج، الفقيه الأقدم القاضي عبد العزيز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p>
    <w:p>
      <w:pPr>
        <w:pStyle w:val="BookText"/>
        <w:rPr/>
      </w:pPr>
      <w:r>
        <w:rPr>
          <w:rFonts w:ascii="Amiri" w:hAnsi="Amiri" w:eastAsia="Amiri" w:cs="Amiri"/>
          <w:color w:val="111111"/>
          <w:sz w:val="28"/>
          <w:sz w:val="28"/>
          <w:szCs w:val="28"/>
          <w:rtl w:val="true"/>
          <w:lang w:bidi="ar-SA"/>
        </w:rPr>
        <w:t>مؤسسة النشر الإسلامي التابعة لجماعة المدرسين، قم المشرّفة،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الفقه</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و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البهادري، مؤسسة سيد الشهداء،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جعفر السبحاني،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w:t>
      </w:r>
    </w:p>
    <w:p>
      <w:pPr>
        <w:pStyle w:val="BookText"/>
        <w:rPr/>
      </w:pPr>
      <w:r>
        <w:rPr>
          <w:rFonts w:ascii="Amiri" w:hAnsi="Amiri" w:eastAsia="Amiri" w:cs="Amiri"/>
          <w:color w:val="111111"/>
          <w:sz w:val="28"/>
          <w:sz w:val="28"/>
          <w:szCs w:val="28"/>
          <w:rtl w:val="true"/>
          <w:lang w:bidi="ar-SA"/>
        </w:rPr>
        <w:t>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الأردبيلي، الفقيه المحقق المولى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 في شرح إرشاد الأذهان</w:t>
      </w:r>
    </w:p>
    <w:p>
      <w:pPr>
        <w:pStyle w:val="BookText"/>
        <w:rPr/>
      </w:pPr>
      <w:r>
        <w:rPr>
          <w:rFonts w:ascii="IRNazanin" w:hAnsi="IRNazanin" w:eastAsia="IRNazanin"/>
          <w:color w:val="111111"/>
          <w:sz w:val="28"/>
          <w:sz w:val="28"/>
          <w:szCs w:val="28"/>
          <w:rtl w:val="true"/>
          <w:lang w:bidi="fa-IR"/>
        </w:rPr>
        <w:t>صححه و نمقه و علّق عليه و 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مجتبى العراقي و الحاج شيخ علي پناه الاشتهاردي و الحاج آقا حسين اليزدي الأصفهاني، 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الأنصاري، العلّامة مرتضى بن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البحراني، العالم البارع الفقيه المحدّث الشيخ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w:t>
      </w:r>
    </w:p>
    <w:p>
      <w:pPr>
        <w:pStyle w:val="BookText"/>
        <w:rPr/>
      </w:pPr>
      <w:r>
        <w:rPr>
          <w:rFonts w:ascii="Amiri" w:hAnsi="Amiri" w:eastAsia="Amiri" w:cs="Amiri"/>
          <w:color w:val="111111"/>
          <w:sz w:val="28"/>
          <w:sz w:val="28"/>
          <w:szCs w:val="28"/>
          <w:rtl w:val="true"/>
          <w:lang w:bidi="ar-SA"/>
        </w:rPr>
        <w:t>حقوق الطبع محفوظة للناشر، قام بنشره الشيخ علي الآخوندي، مؤسسة النشر الإسلامي التابعة لجماعة المدرسين، بقم المشرّفة،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العلوم، السيد محمد مهدي الطباطبائي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الطباطبائي،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ميثم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الشيخ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بنشره و تصحيحه و 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البهائي، بهاء الدين محمد بن الحسين بن عبد الصمد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كتاب من لا يحضره الفقيه</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باهتمام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المرعشي النجفي، قم، مكتبة آية العظمى المرعشي النجفي، الخزانة العالمية للمخطوطات الإسلامية،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الشيخ البهائي، الوجيزة، انتشارات بصيرتي، قم، خیابان ارم، چاپ مهر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البهبهاني، محمد باقر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مدارك الأحكام</w:t>
      </w:r>
    </w:p>
    <w:p>
      <w:pPr>
        <w:pStyle w:val="BookText"/>
        <w:rPr/>
      </w:pPr>
      <w:r>
        <w:rPr>
          <w:rFonts w:ascii="IRNazanin" w:hAnsi="IRNazanin" w:eastAsia="IRNazanin"/>
          <w:color w:val="111111"/>
          <w:sz w:val="28"/>
          <w:sz w:val="28"/>
          <w:szCs w:val="28"/>
          <w:rtl w:val="true"/>
          <w:lang w:bidi="fa-IR"/>
        </w:rPr>
        <w:t xml:space="preserve">تحقيق مؤسسة آل البيت علیهم السلام لإحياء التراث، مشهد مؤسسة آل البيت علیهم السلام لإحياء التراث، مشهد،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 في شرح مفاتيح الشّرائع</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محرّم الحرام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الجزائري،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الأسرار في شرح الاستبصار</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آل محمد علیهم السلام،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طيّب الجزائري،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عام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قم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الكتاب، قم، شارع 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الحميري، الشيخ أبو العباس عبد الله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p>
    <w:p>
      <w:pPr>
        <w:pStyle w:val="BookText"/>
        <w:rPr/>
      </w:pPr>
      <w:r>
        <w:rPr>
          <w:rFonts w:ascii="IRNazanin" w:hAnsi="IRNazanin" w:eastAsia="IRNazanin"/>
          <w:color w:val="111111"/>
          <w:sz w:val="28"/>
          <w:sz w:val="28"/>
          <w:szCs w:val="28"/>
          <w:rtl w:val="true"/>
          <w:lang w:bidi="fa-IR"/>
        </w:rPr>
        <w:t>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الحلبي، الفقيه الأقدم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أستادي،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التأسيسية لمكتبة الإمام أمير المؤمنين العامة أصفهان،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الحلبي، الفقيه البارع السيد حمزة بن علي 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إلى علمي الأصول و الفروع</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العلّامة جعفر السبحاني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 للتحقيق و التأليف،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الحلبي، الفقيه الجليل أبو الحسن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السبق إلى معرفة الحق</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أحمد بن محمد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العشر</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العظمى المرعشي النجفي العامة قم المقدسة،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سيد الشهداء علیه السلام،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المقتصر من شرح المختصر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 إيران مشهد، طبع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مطبعة سيد الشهداء علیه السلام، قم،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الشيخ مجتبى العراقي،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الفقيه أبي جعفر محمد بن منصور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الفقيه البارع يحيى بن سعيد الحلي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للشرائع</w:t>
      </w:r>
    </w:p>
    <w:p>
      <w:pPr>
        <w:pStyle w:val="BookText"/>
        <w:rPr/>
      </w:pPr>
      <w:r>
        <w:rPr>
          <w:rFonts w:ascii="Amiri" w:hAnsi="Amiri" w:eastAsia="Amiri" w:cs="Amiri"/>
          <w:color w:val="111111"/>
          <w:sz w:val="28"/>
          <w:sz w:val="28"/>
          <w:szCs w:val="28"/>
          <w:rtl w:val="true"/>
          <w:lang w:bidi="ar-SA"/>
        </w:rPr>
        <w:t>تحقيق و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العلمية،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الشيخ جعفر السبحاني،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العلمية،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فخر المحققين محمد بن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 في شرح إشكالات القواعد</w:t>
      </w:r>
    </w:p>
    <w:p>
      <w:pPr>
        <w:pStyle w:val="BookText"/>
        <w:rPr/>
      </w:pPr>
      <w:r>
        <w:rPr>
          <w:rFonts w:ascii="IRNazanin" w:hAnsi="IRNazanin" w:eastAsia="IRNazanin"/>
          <w:color w:val="111111"/>
          <w:sz w:val="28"/>
          <w:sz w:val="28"/>
          <w:szCs w:val="28"/>
          <w:rtl w:val="true"/>
          <w:lang w:bidi="fa-IR"/>
        </w:rPr>
        <w:t>نمقه و علّق عليه و 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الموسوي الكرماني و الشيخ علي پناه الاشتهاردي و الشيخ عبد الرحيم البروجردي، الطبعة الأولى،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العلمية،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 العلّامة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المهنائية</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الخيام،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إلى أحكام الإيمان</w:t>
      </w:r>
    </w:p>
    <w:p>
      <w:pPr>
        <w:pStyle w:val="BookText"/>
        <w:rPr/>
      </w:pP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فارس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المشرّفة،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المتعلمين في أحكام الدين</w:t>
      </w:r>
    </w:p>
    <w:p>
      <w:pPr>
        <w:pStyle w:val="BookText"/>
        <w:rPr/>
      </w:pP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الأعلمي،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الحسيني، الشيخ هادي اليوسفي،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فقیه، تهران خیابان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w:t>
      </w:r>
    </w:p>
    <w:p>
      <w:pPr>
        <w:pStyle w:val="BookText"/>
        <w:rPr/>
      </w:pP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جعفر السبحاني، تحقيق الشيخ إبراهيم البهادري،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آل البيت علیهم السلام لإحياء التراث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المرام في معرفة الأحكام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القبيسي، مركز الأبحاث و الدراسات الإسلامية، قسم إحياء التراث الإسلامي، مركز انتشارات دفتر تبليغات إسلامي حوزة علمية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معرفة الحلال و الحرام</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 الأولى،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w:t>
      </w:r>
    </w:p>
    <w:p>
      <w:pPr>
        <w:pStyle w:val="BookText"/>
        <w:rPr/>
      </w:pPr>
      <w:r>
        <w:rPr>
          <w:rFonts w:ascii="Amiri" w:hAnsi="Amiri" w:eastAsia="Amiri" w:cs="Amiri"/>
          <w:color w:val="111111"/>
          <w:sz w:val="28"/>
          <w:sz w:val="28"/>
          <w:szCs w:val="28"/>
          <w:rtl w:val="true"/>
          <w:lang w:bidi="ar-SA"/>
        </w:rPr>
        <w:t>النشر الإسلامي التابعة لجماعة المدرسين،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 إيران، مشهد،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 النشر في الآستانة الرضوية المقدسة،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محمود البستاني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الإحكام في معرفة الأحكام</w:t>
      </w:r>
    </w:p>
    <w:p>
      <w:pPr>
        <w:pStyle w:val="BookText"/>
        <w:rPr/>
      </w:pPr>
      <w:r>
        <w:rPr>
          <w:rFonts w:ascii="IRNazanin" w:hAnsi="IRNazanin" w:eastAsia="IRNazanin"/>
          <w:color w:val="111111"/>
          <w:sz w:val="28"/>
          <w:sz w:val="28"/>
          <w:szCs w:val="28"/>
          <w:rtl w:val="true"/>
          <w:lang w:bidi="fa-IR"/>
        </w:rPr>
        <w:t xml:space="preserve">الناشر مؤسسة إسماعيليان، قم، الطبعة الثانية، تاريخ النشر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الطباعة و التجليد مؤسسة إسماعيليان، مؤسسة آل البيت علیهم السلام لإحياء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 المحقق، أبو القاسم نجم الدين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التسع</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الأستادي،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بقم،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 في فقه الإمامية</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في مؤسسة البعثة، 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w:t>
      </w:r>
    </w:p>
    <w:p>
      <w:pPr>
        <w:pStyle w:val="BookText"/>
        <w:rPr/>
      </w:pPr>
      <w:r>
        <w:rPr>
          <w:rFonts w:ascii="Amiri" w:hAnsi="Amiri" w:eastAsia="Amiri" w:cs="Amiri"/>
          <w:color w:val="111111"/>
          <w:sz w:val="28"/>
          <w:sz w:val="28"/>
          <w:szCs w:val="28"/>
          <w:rtl w:val="true"/>
          <w:lang w:bidi="ar-SA"/>
        </w:rPr>
        <w:t>حققه و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الأفاضل،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أمير المؤمنين،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 الحرام، مع تعليقات السيد صادق الشيرازي</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تهران، ناصر خسرو، حاج نائب، الطبعة الثانية،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بموافقة مؤسسة الوفاء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و النكت</w:t>
      </w:r>
    </w:p>
    <w:p>
      <w:pPr>
        <w:pStyle w:val="BookText"/>
        <w:rPr/>
      </w:pPr>
      <w:r>
        <w:rPr>
          <w:rFonts w:ascii="Amiri" w:hAnsi="Amiri" w:eastAsia="Amiri" w:cs="Amiri"/>
          <w:color w:val="111111"/>
          <w:sz w:val="28"/>
          <w:sz w:val="28"/>
          <w:szCs w:val="28"/>
          <w:rtl w:val="true"/>
          <w:lang w:bidi="ar-SA"/>
        </w:rPr>
        <w:t>تحقيق مؤسسة النشر الإسلامي، التابعة لجماعة المدرسين، قم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الخوانساري، المحقق حسين بن جمال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الشموس في شرح الدروس</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الديلمي، الشيخ أبو يعلى حمزة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العلوية</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الحسيني الأميني،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المعاونية الثقافية للمجمع العالمي لأهل البيت علیهم السلام، و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 و النفلية</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الفاضل القائيني النجفي،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الطبعة و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مكتب الإعلام الإسلامي،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ترتيب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بهروز، 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إيران، 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في أحكام الشريعة</w:t>
      </w:r>
    </w:p>
    <w:p>
      <w:pPr>
        <w:pStyle w:val="BookText"/>
        <w:rPr/>
      </w:pPr>
      <w:r>
        <w:rPr>
          <w:rFonts w:ascii="IRNazanin" w:hAnsi="IRNazanin" w:eastAsia="IRNazanin"/>
          <w:color w:val="111111"/>
          <w:sz w:val="28"/>
          <w:sz w:val="28"/>
          <w:szCs w:val="28"/>
          <w:rtl w:val="true"/>
          <w:lang w:bidi="fa-IR"/>
        </w:rPr>
        <w:t xml:space="preserve">تحقيق مؤسسة آل البيت علیهم السلام لإحياء التراث،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المراد في شرح نكت الإرشاد</w:t>
      </w:r>
    </w:p>
    <w:p>
      <w:pPr>
        <w:pStyle w:val="BookText"/>
        <w:rPr/>
      </w:pPr>
      <w:r>
        <w:rPr>
          <w:rFonts w:ascii="Amiri" w:hAnsi="Amiri" w:eastAsia="Amiri" w:cs="Amiri"/>
          <w:color w:val="111111"/>
          <w:sz w:val="28"/>
          <w:sz w:val="28"/>
          <w:szCs w:val="28"/>
          <w:rtl w:val="true"/>
          <w:lang w:bidi="ar-SA"/>
        </w:rPr>
        <w:t xml:space="preserve">مركز الأبحاث و الدّراسات الإسلامية،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الثاني،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التصحيحات و الأشكال محفوظة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 الدراسات الإسلامية، قسم إحياء التراث الإسلامي مركز انتشارات دفتر تبليغات إسلامي الحوزة العلمية،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 الدراسات الإسلامية، قسم إحياء التراث الإسلامي، قم، بوستان کتاب قم انتشارات دفتر تبليغات إسلامي الحوزة العلمية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القواعد</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المطلبي، مركز الأبحاث و الدراسات الإسلامية، قسم إحياء التراث الإسلامي،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إسلامي الحوزة العلمية، قم، مركز انتشارات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pStyle w:val="BookText"/>
        <w:rPr/>
      </w:pPr>
      <w:r>
        <w:rPr>
          <w:rFonts w:ascii="IRNazanin" w:hAnsi="IRNazanin" w:eastAsia="IRNazanin"/>
          <w:color w:val="111111"/>
          <w:sz w:val="28"/>
          <w:sz w:val="28"/>
          <w:szCs w:val="28"/>
          <w:rtl w:val="true"/>
          <w:lang w:bidi="fa-IR"/>
        </w:rPr>
        <w:t>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گرافيك بهمن،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السبزواري، العلّامة المحقق ملا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 في شرح الإرشاد</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مرتضى الواعظي الأراكي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النشر الإسلامي التابعة لجماعة المدرسين، قم المشرّفة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التحقيق التابعة لمؤسسة الإمام الهادي علیه السلام،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 علیه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شارع بهار، زقاق آية الله النجفي،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p>
    <w:p>
      <w:pPr>
        <w:pStyle w:val="BookText"/>
        <w:rPr/>
      </w:pPr>
      <w:r>
        <w:rPr>
          <w:rFonts w:ascii="IRNazanin" w:hAnsi="IRNazanin" w:eastAsia="IRNazanin"/>
          <w:color w:val="111111"/>
          <w:sz w:val="28"/>
          <w:sz w:val="28"/>
          <w:szCs w:val="28"/>
          <w:rtl w:val="true"/>
          <w:lang w:bidi="fa-IR"/>
        </w:rPr>
        <w:t>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 علیه السلام،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رجب المرجب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قم المقدسة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p>
    <w:p>
      <w:pPr>
        <w:pStyle w:val="BookText"/>
        <w:rPr/>
      </w:pPr>
      <w:r>
        <w:rPr>
          <w:rFonts w:ascii="Amiri" w:hAnsi="Amiri" w:eastAsia="Amiri" w:cs="Amiri"/>
          <w:color w:val="111111"/>
          <w:sz w:val="28"/>
          <w:sz w:val="28"/>
          <w:szCs w:val="28"/>
          <w:rtl w:val="true"/>
          <w:lang w:bidi="ar-SA"/>
        </w:rPr>
        <w:t xml:space="preserve">منشورات المكتبة الحيدرية و مطبعتها في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p>
    <w:p>
      <w:pPr>
        <w:pStyle w:val="BookText"/>
        <w:rPr/>
      </w:pPr>
      <w:r>
        <w:rPr>
          <w:rFonts w:ascii="Amiri" w:hAnsi="Amiri" w:eastAsia="Amiri" w:cs="Amiri"/>
          <w:color w:val="111111"/>
          <w:sz w:val="28"/>
          <w:sz w:val="28"/>
          <w:szCs w:val="28"/>
          <w:rtl w:val="true"/>
          <w:lang w:bidi="ar-SA"/>
        </w:rPr>
        <w:t>صححه و قدم له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منشورات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منشورات جماعة المدرسين في الحوزة العلمية في قم المقدسة،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مؤسسة البعثة، 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طهران، شارع 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الصفار، أبو جعفر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الكبرى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مطبعة الأحمدي، طهران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الصيمري، الفقيه المحقق الشيخ المفلح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شرح شرائع الإسلام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الكوثراني العاملي، دار الهادي للطباعة و النشر و التوزيع،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الالتباس عن موجز أبي العباس</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ستاره،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الطبرسي، أمين الإسلام 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المؤتلف من المختلف بين بين أئمة السلف</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الأساتذة، 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إيران، مشهد، ص ب </w:t>
      </w:r>
      <w:r>
        <w:rPr>
          <w:rFonts w:eastAsia="IRNazanin" w:cs="IRNazanin"/>
          <w:color w:val="111111"/>
          <w:sz w:val="28"/>
          <w:szCs w:val="28"/>
          <w:lang w:bidi="fa-IR"/>
        </w:rPr>
        <w:t>92735366</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علیه السلام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الطباطبائي، الفقيه المدقق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في بيان أحكام الشرع بالدلائل</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شيخ الطائفة أبو جعفر محمد بن الحسن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المشرّفة، جمادى الآخرة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w:t>
      </w:r>
    </w:p>
    <w:p>
      <w:pPr>
        <w:pStyle w:val="BookText"/>
        <w:rPr/>
      </w:pPr>
      <w:r>
        <w:rPr>
          <w:rFonts w:ascii="Amiri" w:hAnsi="Amiri" w:eastAsia="Amiri" w:cs="Amiri"/>
          <w:color w:val="111111"/>
          <w:sz w:val="28"/>
          <w:sz w:val="28"/>
          <w:szCs w:val="28"/>
          <w:rtl w:val="true"/>
          <w:lang w:bidi="ar-SA"/>
        </w:rPr>
        <w:t>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عنيت بنشره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 بازار سلطاني،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الآخوندي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 بازار سلطاني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بيروت لبنان،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أبو جعفر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إلى نيل الفضيلة</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 قم،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العاملي، السيد محمد بن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في شرح شرائع الإسلام</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 السلام لإحياء التراث، مشهد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محرم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المرام في شرح مختصر شرائع الإسلام</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مجتبى العراقي، الشیخ علی پناه الاشتهاردي، آقا حسين اليزدي، 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الإسلامي، التابعة لجماعة المدرسين، قم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العاملي، 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حققه و علّق عليه الشيخ محمد باقر الخالصي، مؤسسة النشر الإسلامي التابعة لجماعة </w:t>
      </w:r>
    </w:p>
    <w:p>
      <w:pPr>
        <w:pStyle w:val="BookText"/>
        <w:rPr/>
      </w:pPr>
      <w:r>
        <w:rPr>
          <w:rFonts w:ascii="Amiri" w:hAnsi="Amiri" w:eastAsia="Amiri" w:cs="Amiri"/>
          <w:color w:val="111111"/>
          <w:sz w:val="28"/>
          <w:sz w:val="28"/>
          <w:szCs w:val="28"/>
          <w:rtl w:val="true"/>
          <w:lang w:bidi="ar-SA"/>
        </w:rPr>
        <w:t>المدرّسين، 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علي بن جعفر و مستدركاتها</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قم المشرّفة،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للإمام</w:t>
      </w:r>
    </w:p>
    <w:p>
      <w:pPr>
        <w:pStyle w:val="BookText"/>
        <w:rPr/>
      </w:pPr>
      <w:r>
        <w:rPr>
          <w:rFonts w:ascii="IRNazanin" w:hAnsi="IRNazanin" w:eastAsia="IRNazanin"/>
          <w:color w:val="111111"/>
          <w:sz w:val="28"/>
          <w:sz w:val="28"/>
          <w:szCs w:val="28"/>
          <w:rtl w:val="true"/>
          <w:lang w:bidi="fa-IR"/>
        </w:rPr>
        <w:t>الرضا علیه السلام، مشهد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ذو القعدة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الفاضل الهندي، بهاء الدين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عن قواعد الأحكام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الفقيه المحقق الميرزا أبو القاسم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الأيام في مسائل الحلال و الحرام</w:t>
      </w:r>
    </w:p>
    <w:p>
      <w:pPr>
        <w:pStyle w:val="BookText"/>
        <w:rPr/>
      </w:pPr>
      <w:r>
        <w:rPr>
          <w:rFonts w:ascii="Amiri" w:hAnsi="Amiri" w:eastAsia="Amiri" w:cs="Amiri"/>
          <w:color w:val="111111"/>
          <w:sz w:val="28"/>
          <w:sz w:val="28"/>
          <w:szCs w:val="28"/>
          <w:rtl w:val="true"/>
          <w:lang w:bidi="ar-SA"/>
        </w:rPr>
        <w:t>تحقيق مكتب الإعلام الإسلامي، فرع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الكاشاني، المحدّث و الحكيم العارف الكامل المولى محمد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الامام أمير المؤمنين علي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عني بالتحقيق و التصحيح و التعليق عليه و المقابلة مع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تاريخ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قم، </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الغطاء، العلّامة الشيخ جعفر بن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عن مبهمات الشريعة الغراء</w:t>
      </w:r>
    </w:p>
    <w:p>
      <w:pPr>
        <w:pStyle w:val="BookText"/>
        <w:rPr/>
      </w:pPr>
      <w:r>
        <w:rPr>
          <w:rFonts w:ascii="Amiri" w:hAnsi="Amiri" w:eastAsia="Amiri" w:cs="Amiri"/>
          <w:color w:val="111111"/>
          <w:sz w:val="28"/>
          <w:sz w:val="28"/>
          <w:szCs w:val="28"/>
          <w:rtl w:val="true"/>
          <w:lang w:bidi="ar-SA"/>
        </w:rPr>
        <w:t xml:space="preserve">تحقيق مكتب الإعلام الإسلامي، فرع خراسان، قسم إحياء التراث، مركز انتشارات دفتر تبليغات إسلامي الحوزة العلمية قم،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الغطاء، الشيخ حسن بن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كاشف الغطاء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الكاظمي، العلّامة الفاضل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أواسط القرن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آيات الأحكام</w:t>
      </w:r>
    </w:p>
    <w:p>
      <w:pPr>
        <w:pStyle w:val="BookText"/>
        <w:rPr/>
      </w:pPr>
      <w:r>
        <w:rPr>
          <w:rFonts w:ascii="Amiri" w:hAnsi="Amiri" w:eastAsia="Amiri" w:cs="Amiri"/>
          <w:color w:val="111111"/>
          <w:sz w:val="28"/>
          <w:sz w:val="28"/>
          <w:szCs w:val="28"/>
          <w:rtl w:val="true"/>
          <w:lang w:bidi="ar-SA"/>
        </w:rPr>
        <w:t>علّق عليه و أخرج أحاديثه، المحقق البارع سماحة الحجة الشيخ محمد باقر شريف، أشرف على تصحيحه السيد محمد تقي الكشفي، عنيت بنشره المكتبة المرتضوية لإحياء الآثار الجعفرية، سوق بين الحرمين الشيخ عبد الكريم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الكركي، المحقق الشيخ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المحقق الكركي المجموعة الأولى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 قم،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 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ربيع الأول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المهدية، قم</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ثقة الإسلام أبو جعفر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الكافي</w:t>
      </w:r>
    </w:p>
    <w:p>
      <w:pPr>
        <w:pStyle w:val="BookText"/>
        <w:rPr/>
      </w:pPr>
      <w:r>
        <w:rPr>
          <w:rFonts w:ascii="Amiri" w:hAnsi="Amiri" w:eastAsia="Amiri" w:cs="Amiri"/>
          <w:color w:val="111111"/>
          <w:sz w:val="28"/>
          <w:sz w:val="28"/>
          <w:szCs w:val="28"/>
          <w:rtl w:val="true"/>
          <w:lang w:bidi="ar-SA"/>
        </w:rPr>
        <w:t>مع تعليقات نافعة مأخوذة من عدة شروح، صححه و علّق عليه علي أكبر الغفاري، نهض بمشروعه، الشيخ محمد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مرتضى آخوندي، تهران بازار سلطاني، الطبعة الثالثة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المحقق، العلّامة الشيخ محمد بن الحسن 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الاعتبار في شرح الاستبصار</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وحيد عصره المولى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 يحضر الفقيه</w:t>
      </w:r>
    </w:p>
    <w:p>
      <w:pPr>
        <w:pStyle w:val="BookText"/>
        <w:rPr/>
      </w:pPr>
      <w:r>
        <w:rPr>
          <w:rFonts w:ascii="IRNazanin" w:hAnsi="IRNazanin" w:eastAsia="IRNazanin"/>
          <w:color w:val="111111"/>
          <w:sz w:val="28"/>
          <w:sz w:val="28"/>
          <w:szCs w:val="28"/>
          <w:rtl w:val="true"/>
          <w:lang w:bidi="fa-IR"/>
        </w:rPr>
        <w:t>نمقه و علّق عليه و 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 الشيخ علي پناه الإشتهاردي، الناشر بنياد فرهنك اسلامي حاج محمد حسین کوشانپور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العلّامة الحجة الشيخ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 في فهم تهذيب الاخبار</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باهتمام السيّد محمود المرعشي، أعاد النظر فيه و أشرف على طبعه السيّد أحمد الحسيني،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قم،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المرتضى،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شوال المكرم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الناصريات</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و الدراسات العلمية،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الثقافة و العلاقات الإسلامية، مديرية الترجمة و النشر،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الهدى،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العِلْمِ و َالْعَمَلِ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الطبعة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الآداب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 قم،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قم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المغربي، الشيخ أبو حنيفة النعمان بن محمد بن منصور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دار المعارف، مصر،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p>
    <w:p>
      <w:p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التاريخ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المقداد، جمال الدين أبو عبد الله المقداد بن عبد الله بن محمد بن الحسين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لمختصر الشرائع</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الكوهكمري،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مطبعة الخيام،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النجفي، شيخ الفقهاء و إمام المحققين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w:t>
      </w:r>
    </w:p>
    <w:p>
      <w:pPr>
        <w:pStyle w:val="BookText"/>
        <w:rPr/>
      </w:pPr>
      <w:r>
        <w:rPr>
          <w:rFonts w:ascii="IRNazanin" w:hAnsi="IRNazanin" w:eastAsia="IRNazanin"/>
          <w:color w:val="111111"/>
          <w:sz w:val="28"/>
          <w:sz w:val="28"/>
          <w:szCs w:val="28"/>
          <w:rtl w:val="true"/>
          <w:lang w:bidi="fa-IR"/>
        </w:rPr>
        <w:t>حققه و علّق عليه الشيخ عباس القوچانی، 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الکتب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النراقي، الفاضل المحقق المولى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الأيام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 الدراسات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مكتب الإعلام الإسلامي،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في أحكام الشريعة</w:t>
      </w:r>
    </w:p>
    <w:p>
      <w:pPr>
        <w:pStyle w:val="BookText"/>
        <w:rPr/>
      </w:pPr>
      <w:r>
        <w:rPr>
          <w:rFonts w:ascii="IRNazanin" w:hAnsi="IRNazanin" w:eastAsia="IRNazanin"/>
          <w:color w:val="111111"/>
          <w:sz w:val="28"/>
          <w:sz w:val="28"/>
          <w:szCs w:val="28"/>
          <w:rtl w:val="true"/>
          <w:lang w:bidi="fa-IR"/>
        </w:rPr>
        <w:t xml:space="preserve">تحقيق مؤسسة آل البيت علیهم السلام الإحياء التراث، مشهد المقدسة، مؤسسة آل البيت علیهم السلام لإحياء التراث،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النراقي، المولى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الشيعة في أحكام الشريعة</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العلّامة المجدّد الوحيد البهبهاني،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المولى مهدي النراقي،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w:t>
      </w:r>
      <w:r>
        <w:rPr>
          <w:rFonts w:eastAsia="IRNazanin" w:cs="IRNazanin"/>
          <w:color w:val="111111"/>
          <w:sz w:val="28"/>
          <w:szCs w:val="28"/>
          <w:rtl w:val="true"/>
          <w:lang w:bidi="fa-IR"/>
        </w:rPr>
        <w:t xml:space="preserve">. </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مقدمة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تطهير الماء المتغير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اللمعة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اللمعة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الكر بالوزن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الكر بالمساحة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تطهير البئر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البعير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الثور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المُسكِر المائع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النزح</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 الرّطبة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التراوح و 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الماء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الماء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القول في الأسآر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الأسآر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التباعد بين البئر و البالوعة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التباعد بين البئر و البالوعة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مكروه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لا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دم النَّبي صلّی الله علیه و آله و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منيّ ما لا نفس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الدم المسفوح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المستثنيات من أصل نجاسة مطلق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ذي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 بالميتة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جسد النبي و الأئمة و البتول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طهارة الإنفحة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تولد من الكلب و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أولاد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النّواصب و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المجسّمة و المجبّرة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عصير الزبيب و التمر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إزالة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المعفو عنه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الدم المعفو عنه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استثناء الدماء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 دم نجس العين بالدماء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غسل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ثبوت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الغسالة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الاستنجاء</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القدمين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استحباب السواك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مكروهات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بعض أفعال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مكروهات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مباحات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ردّ السّلام على المتخلي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في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الغسل</w:t>
      </w:r>
      <w:r>
        <w:rPr>
          <w:rFonts w:eastAsia="IRNazanin" w:cs="IRNazanin"/>
          <w:color w:val="111111"/>
          <w:sz w:val="28"/>
          <w:szCs w:val="28"/>
          <w:rtl w:val="true"/>
          <w:lang w:bidi="fa-IR"/>
        </w:rPr>
        <w:t>]...</w:t>
      </w:r>
      <w:r>
        <w:rPr>
          <w:rFonts w:eastAsia="IRNazanin" w:cs="IRNazanin"/>
          <w:color w:val="111111"/>
          <w:sz w:val="28"/>
          <w:szCs w:val="28"/>
          <w:lang w:bidi="fa-IR"/>
        </w:rPr>
        <w:t>586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موجبات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 على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يکره للجنب أمور</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اعتبارات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إصدارات مركز تراث سامراء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محمد باقر الاصطهاباناتي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العبر في استدراك البحار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للميرزا حسين النوري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الذريعة إلى تصانيف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آقا بزرك الطهراني قدّس سرّه،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من إفادات المجدّد الشيرازي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مسلم الرضائي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أحكام الجبائر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السيد محمد الساروي،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الخلل الواقع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لبحث السيد المجدّد الشيرازي قدّس سرّه، بقلم</w:t>
      </w:r>
    </w:p>
    <w:p>
      <w:pPr>
        <w:pStyle w:val="BookText"/>
        <w:rPr/>
      </w:pPr>
      <w:r>
        <w:rPr>
          <w:rFonts w:ascii="Amiri" w:hAnsi="Amiri" w:eastAsia="Amiri" w:cs="Amiri"/>
          <w:color w:val="111111"/>
          <w:sz w:val="28"/>
          <w:sz w:val="28"/>
          <w:szCs w:val="28"/>
          <w:rtl w:val="true"/>
          <w:lang w:bidi="ar-SA"/>
        </w:rPr>
        <w:t>الشيخ آقا رضا الهمداني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مآثر الكبراء في تاريخ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ذبيح الله المحلاتي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رجالية و 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آقا بزرك الطهراني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 و الخواطر في بعض ما تركه الأوئل للأواخر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تاليف الميرزا محمد بن عبد الوهاب الهمداني، الملقب بإمام الحرمين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الهادي علیه السلام عمر حافل بالجهاد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علي الكوراني، أعده و خرج مصادره مركز تراث 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في الأرشيف الوثائقي العثماني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لأول مرة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في السالنامات العثمانية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مجلة سومر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قوافي الولاء من الكاظمية إلى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للأستاذ عبد الكريم الدباغ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أئمة سامراء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معرض فاجعة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أئمة سامراء علیهم السلام من الطرق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للشباب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p>
    <w:p>
      <w:pPr>
        <w:pStyle w:val="BookText"/>
        <w:rPr/>
      </w:pPr>
      <w:r>
        <w:rPr>
          <w:rFonts w:ascii="Amiri" w:hAnsi="Amiri" w:eastAsia="Amiri" w:cs="Amiri"/>
          <w:color w:val="111111"/>
          <w:sz w:val="28"/>
          <w:sz w:val="28"/>
          <w:szCs w:val="28"/>
          <w:rtl w:val="true"/>
          <w:lang w:bidi="ar-SA"/>
        </w:rPr>
        <w:t>إعداد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للمقاتلين في ساحات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 من حياة أئمة سامراء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لأول مرة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تعريفي بمركز تراث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الزائر لمرقد الإمامين العسكريين علیهما السلام في مدينة سامرّاء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مركز تراث</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عصمة الحجج، تأليف السيد علي الحسيني الميبدي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من كتاب الطهارة، تأليف آية الله السيد إبراهيم الدامغاني قدّس سرّه، تقريراً لبحث آية الله المجدّد السيد محمد حسن الشيرازي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في تحقيق دليل الإنسداد، من إفادات السيّد المجدّد الشيرازي، بقلم المحقق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العسكرية المقدسة في الأرشيف الوثائقي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المنصوري، تدقيق و مراجعة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الذريعة إلى تصانيف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آقا بزرك الطهراني قدّس سرّه،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منقحة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البيع، تأليف آية الله السيّد إبراهيم الدامغاني قدّس سرّه، تقريراً لبحث آية الله المجدّد السيّد محمد</w:t>
      </w:r>
    </w:p>
    <w:p>
      <w:pPr>
        <w:pStyle w:val="BookText"/>
        <w:rPr/>
      </w:pPr>
      <w:r>
        <w:rPr>
          <w:rFonts w:ascii="Amiri" w:hAnsi="Amiri" w:eastAsia="Amiri" w:cs="Amiri"/>
          <w:color w:val="111111"/>
          <w:sz w:val="28"/>
          <w:sz w:val="28"/>
          <w:szCs w:val="28"/>
          <w:rtl w:val="true"/>
          <w:lang w:bidi="ar-SA"/>
        </w:rPr>
        <w:t>حسن الشيرازي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في مجلة 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اللمعتين، تأليف آية الله الشيخ عباس بن حسن آل كاشف الغطاء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التي ستصدر قريباً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ببلوغرافيا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في حوزة سامراء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وقائع المؤتمر العلمي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علیه السلام عبق النبوة و عماد السلم المجتمعي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من كتاب الزكاة، من إفادات آية الله العظمى السيد المجدّد الشيرازي قدّس سرّه، تقرير الشيخ أسد الله الزنجاني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الحسنية، تأليف السيد حسن صدر الدين الكاظمي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العسكريان علیهما السلام في الشعر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الإمامين العسكريين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مكتبات سامراء الرائدة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المجدّد السيد محمد 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تقي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المهدي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حسن كبة</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منبر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قيد التحقيق و التأليف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 تأليف السيد هاشم بحر العلوم قدّس سرّه، تقريراً لبحث آية الله المجدّد السيد محمد حسن</w:t>
      </w:r>
    </w:p>
    <w:p>
      <w:pPr>
        <w:pStyle w:val="BookText"/>
        <w:rPr/>
      </w:pPr>
      <w:r>
        <w:rPr>
          <w:rFonts w:ascii="Amiri" w:hAnsi="Amiri" w:eastAsia="Amiri" w:cs="Amiri"/>
          <w:color w:val="111111"/>
          <w:sz w:val="28"/>
          <w:sz w:val="28"/>
          <w:szCs w:val="28"/>
          <w:rtl w:val="true"/>
          <w:lang w:bidi="ar-SA"/>
        </w:rPr>
        <w:t>الشيرازي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الرجال على كتاب منتهى المقال، تأليف آية الله السيد صدر الدين الصدر قدّس سرّه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تتلمذوا في سامرّاء</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الأوردوباديّ،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صدر الدين،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رسائل من إفادات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البيرجنديّ، فاكهة الذاكرين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المرعشيّ، المسلسلات في الإجازات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الخوئي، مرآة الشرق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رضا الهمدانيّ، هدية النملة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 الأولى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الخاقاني،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الاصطهباناتي، رسالة حدوث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الشريعة إلى استدراك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فهرستگان نسخه هاي خطي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يذكر أحدٌ أنه هاجر إلى سامراء حتى ممن دأبه الاهتمام بذلك كالشيخ آقا بزرك الطهراني في هدية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ما ذكره الشيخ عليّ آل كاشف الغطاء في الحصون المنيعة كما نقل ذلك عنه السيد محمد صادق بحر العلوم في الدرر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الدامغاني، مباحث من كتاب الطهارة، مقدمة المركز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بعض المصادر أن ولادته كانت سنة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موسوعة الأوردبادي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الشيخ عباس بن علي آل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آل كاشف الغطاء، العبقات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آل كاشف الغطاء العبقات العنبرية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آل كاشف الغطاء، العبقات العنبرية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ينظر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فقد ذكر أنه وصل إلى كتاب الصلاة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مقدمة مدارك الأحكام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الفقاهة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حرز الدين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محسن 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آل محبوبة، ماضي النجف و 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 الطهراني،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الخاقاني، 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الأميني، معجم رجال الفكر و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آل محبوبة، ماضي النجف و 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الطهراني،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الأميني، معجم رجال الفكر و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الدين،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الطهراني،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مرآة الشرق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العبارات جميعاً موجودة على الصفحة الأولى من المخطوط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مفتوحة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الفيروزآبادي،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الطريحي،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المدني، الطراز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الاشتراك، أو الحقيقة و المجاز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المدني، الطراز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لسان العرب إلى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المقام ما أفاده السيد علي خان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فقد تجد فيها أفاده الشهيد شارح اللمعة وجهاً في ذلك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القزويني، تعليقة على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غسل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حكاه عن والد الصدوق في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و التيمم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مِنَ السَّمَاءِ مَاءً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لي الأرض مسجداً و 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و الوضوء و التيمم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لم يعرف للمحقّق كتاب أو رسالة باسم الناصريات، أو الناصريّة، و ما ذكره الشارح هنا موجود في المسائل المصريّة، المطبوع ضمن مجموعة رسائل طبعت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 للمحقق الحلي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و ليس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الحسن ابن شيخ الطائفة محمد بن الحسن الطوسي، الملقّب بالمفيد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المرشد إلى سبيل التعبّد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كتاب مفقود لم يصل إلينا، و هو شرح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الطهارة عن النجس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شرط في صحة أداء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فعبارة عن إزالة النجاسة عن البدن و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الأول،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تقريرات آية الله المجدّد الشيرازي للروزدري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الطوسي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جعفر بن محمد، عن أبيه عن سعد بن عبد الله، عن أحمد بن محمد، عن علي بن مطر، عن بعض أصحابنا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الرضا علیه السلام عن الرجل لا يصيب الماء و لا التراب أيتيمم بالطين؟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صعيد طيب و ماء طهور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القواعد و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البعض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التستري،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 نصّ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بن الفضيل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الحياض يبال فيها؟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إذا غلب لون الماء لون البول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مطعون عليه ضعيف جداً، و ما يختص بروايته و لا يشاركه فيه غيره لا يعمل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الثخونة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قول الرسول صلّی الله علیه وآله المتفق على روايته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الماء طهوراً لا ينجسه شيء إلا ما غيّر لونه أو طعمه أو ريحه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يحيى، 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السرخسي،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الرافعي، 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الحلي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الشهيد الثاني، حاشية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حاشية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كما حكاه عنهما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ينجس إلا أن تُغيّر النجاسة أحدَ أوصافه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نريد باستيلاء النجاسة عليه استيلاء ريحها على ريح الماء، أو طعمها على طعمه، أو لونها على لونه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أعلم أنه لما كانت هذه الكيفيّات الثّلاث إنّما تحصل غالباً بالممازجة للنّجاسة، لا جرم كانت مؤثّرة في زوال الوصف السّابق من حصول الطّهارة، أمّا غيرها من الكيفيّات فلا اعتبار به؛ لأنّه قد يحصل و إن لم يقع امتزاج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بتغيّره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المتنجس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تلك النسبة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المجاهد،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البيان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المعتبر في التغيّر المحسوس لا المقدّر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ينجس الا بتغيّر لونه أو طعمه أو ريحه بالنجاسة، تغيّراً محقّقاً لا مقدّراً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البهائي،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عميد الدّين الأعرج،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الموجز الحاوي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الشيخ الشارح في الورود الجعفريّة في حاشية الرياض الطباطبائية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الخبر 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طاهر لا ينجسه شيء إلا ما غيّر لونه، أو طعمه، أو 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الأوصاف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و الطعم و الرائحة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التستري،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 و إن لم يُنجّس به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التستري،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الموجز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على التغيير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 بعلاج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العروضه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موسى ابن الشيخ الأكبر الشيخ جعفر صاحب كشف الغطاء،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بغية الطالب في معرفة المفروض و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شرح مزجي كبير في مجلدين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إلى آخر صلاة الجماعة، و له على الشرح تعليقات أيضاً، ألّفه سنة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أمير المؤمنين علیه السلام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و نسخة أخرى تأريخ كتابتها سنة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الأردبيلي في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حسين آل عصفور في سداد العباد و رشاد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عن العلّامة و جماعة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قائله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الأصفهاني، تبصرة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الخوانساري، التعليقات على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حاشية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 الحكمة المتعالية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صاحب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إلى الإمام الصادق علیه السلام و لم أقف على لفظه في كتب الحديث، و قد نسبه صاحب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عنه علیه 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بمنزلة الماء 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السيوري،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في خمسمائة آية من آيات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مجلدين، للمولى كمال الدين الحسن بن المولى شمس الدین محمد بن الحسن الاسترآبادي النجفي،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النصيرية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في الخزانة الرضوية، و نسخة في مدرسة فاضلخان بالمشهد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في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الشهيد الأول في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الدسوقي، الحاشية على 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الميرزا الطهراني،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حاشية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المجد،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البهائي،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الاسم منه، و ما سُدَّ به النهر، و المسناة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سكور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المولى النراقي، معتمد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القمي، غنائم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التستري،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حاشية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حاشية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الحاشية على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بغية الطالب في معرفة المفروض و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موسى ابن الشيخ الأكبر الشيخ جعفر صاحب كشف الغطاء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الفاصل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التفصيل في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مِنَ السَّمَاءِ مَاءً طَهُورًا﴾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المحقق الحلي،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القمي،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بكار بن أبي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يضع الكوز الذي يغرف به من الحب في مكان قذر ثم يدخله الحب؟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 من الماء ثلاثة أكف ثم يدلك الكوز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الصيمري،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الشهيد الثاني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السيد العاملي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يلقى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بالإطلاق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الزبيدي،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الأفصح</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 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الدرهم ثمان و أربعون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الطوسي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تفصيل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للمحقق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القائل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السيوري،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البهائى،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 تلخيص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في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الطبرسي في المؤتلف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ابن زهرة في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ترجمة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أنوار الفقاهة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المجلسي،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هذا البعض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القائل من أساتذة المؤلف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البهبهاني،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دفعها بمخالفة الأصحاب لها في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عن المحدّث الاسترآبادي من كتابه الفوائد المدنية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بياض بمقدار كلمة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بياض بمقدار كلمة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التستري،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كتاب، الأنوار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حاشية المخطوطة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ب من عبارة التذكرة، و من إشارة بدل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الاردبيلي،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المجلسي،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ماء البئر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معارضه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حاشية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تقريرات آية الله المجدّد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المجاهد،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المجلسي في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الطوسي، 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حاشية الدسوقي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عاشور، التحرير و 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عباس حسن، 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البهبهاني،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ناقضاً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كموثقتي الساباطي و سماعة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 معه إناءان وقع في أحدهما قذر لا يدري أيهما هو، و ليس يقدر على ماء غير 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يهريقهما جميعاً و يتيمم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و في 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المفسر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المجلسي،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محمد بن مسلم عن أبي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البئر يقع فيها الميتة؟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لها ريح نزح منها عشرون دلوا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عبد الرحمن بن عمرو بن يحمد الأوزاعي، إمام أهل الشام، سمع من الزهري و عطاء، و روى عنه الثوري، و أخذ عنه عبد الله بن المبارك و جماعة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ولادته ببعلبك سنة ثمان و ثمانين للهجرة، و قيل سنة ثلاث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منشؤه بالبقاع، و توفي سنة سبع و خمسين و مئة يوم الأحد لليلتين بقيتا من صفر، و قيل في شهر ربيع الأول بمدينة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خلكان،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عكرمة بن عبد الله، مولى عبد الله بن عباس؛ أصله من البربر من أهل المغرب، كان لحصين ابن الحر العنبري، فوهبه لابن عباس، حين ولي البصرة لعلي بن أبي طالب علیه السلام و اجتهد ابن عباس في تعليمه القرآن و السنن و سماه بأسماء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عبد الله بن عباس و عبد الله بن عمر و عبد الله ابن عمرو بن العاص و أبي هريرة و أبي سعيد الخدري و عائشة؛ و هو أحد فقهاء مكة و تابعيها، و كان ينتقل من بلد إلى بلد؛ روي أن ابن عباس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فأفت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تعلم أحداً أعلم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تكلّم الناس فيه؛ لأنه كان يرى رأي الخوارج</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مالك بن أنس بن أبي عامر بن عمرو بن الحارث الأصبحي المدني، أخذ القراءة عرضاً عن نافع بن أبي نعيم، و سمع الزهري و نافعاً مولى ابن عمر، و روى عنه الأوزاعي و يحيى بن سعيد، و أخذ العلم عن ربيعة الرأي ثم أفتى معه عند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ولادته في سنة خمس و تسعين للهجرة، و حمل به 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في شهر ربيع الأول سنة تسع و سبعين و مئة، فعاش أربعاً و 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كأبي حنيفة و أحمد بن حنبل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مقدار الكر بالأشبار؛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 مقدار الكر بالأرطال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المحقق النراقي،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الشيخ محمد العاملي،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نجاستها بالملاقاة مالم تتغير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القائل في الآثار المطبوعة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محمد بن مسلم عن أبي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البئر يقع فيها الميتة؟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لها ريح نزح منها عشرون دلوا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النسبة المذكورة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السيوري،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الشيخ حسن،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عمدتها الأخبار الناهية عن نقض اليقين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خزائن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الأحكام في شرح شرائع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يزال مخطوطاً، للسيد محمد إبراهيم بن محمد باقر الموسوي القزويني المتوفى بالحائر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ليلة الخميس السابع عشر من شوال، و كانت ولادته في ذي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أرّخه كذلك على ظهر مجلد المكاسب المحرمة إلى آخر الرهن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موسوعة مؤلفي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فيعرى الاشتراط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فيعرى القيد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عبارته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بعض من عاصرناه من السادة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حسن ابن السيد جعفر المعاصر لشيخنا الشهيد الثاني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ظاهر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النجسة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الحميري،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الكاهلي المتقدمة آنفاً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سداد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فالحقّ مطهريته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سهولة الشريعة و تسامح الشرع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التستري،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المطبوع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فصل الثاء؛ الطريحي،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المقداد السيوري،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عصير العنب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عمرو بن شمر الجعفي عربي، 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جداً، زيد أحاديث في كتب جابر الجعفي ينسب بعضها إليه، و الأمر ملبس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فالأوجه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الهجريّة نسبة إلى هجر، و هي قرية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خمساً،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الناسخ</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الشهيد الأول،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الآثار المطبوعة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عند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الحلى، النهاية و 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هنا،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الناسخ</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المستندة الى موته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عثمان بن عيسى العامري الكلابي، و الصحيح أنه مولى بني رؤاس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شيخ الواقفة، و وجهها، و أحد الوكلاء المستبدين بمال موسى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كردويه من المجاهيل جداً، يروي عن الإمام الكاظم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أعرف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للبعض</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الحلى،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لجهالة بعض رواته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المقداد السيوري،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المقداد السيوري،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الآبي، 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القزويني، ينابيع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الإفادة الجمالية أو العبادات المكروهة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رسالة للعلّامة المجدد المولى محمد باقر الوحيد البهبهاني قدّس سرّه، ما تزال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مقدمة 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الكافر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النهاية في غريب الحديث و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ذرق</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العذرة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 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الحلى،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القاف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فهنا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الزيلعي، تخريج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كالليمون و ماء الزعفران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الكاساني، بدائع الصنايع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البهائي، الحاشية على 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التستري،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المجاهد،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المياه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المحقق الشيخ محمد العاملي،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الناسخ</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المجاهد،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الشهيد الثاني،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حاشية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كُنتُم مَّرۡضَیٰٓ أَوۡ عَلَیٰ سَفَرٍ أَوۡ جَآءَ أَحَدٌ مِّنكُم مِّنَ ٱلۡغَآئِطِ أَوۡ لَٰمَسۡتُمُ ٱلنِّسَآءَ فَلَمۡ تَجِدُواْ مَآءً فَتَيَمَّمُواْ صَعِيدًا طَيِّبًا فَٱمۡسَحُواْ بِوُجُوهِكُمۡ وَ 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العلّامة الحلي، الرسالة السعدية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الشيخ محمد العاملي،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نعمة الله الجزائري،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البيهقي،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فقه القرآن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الاطباق أيضاً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الطبرسي، المؤتلف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العلّامة الحلي، منتهى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كالمرآة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بالنجس</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العلّامة الحلي، منتهى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المحقق التستري،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شرح الدرة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أجوبة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أبواب الأسآر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البيان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إدريس مرسلاً في أول السرائر و نقل متفق على روايته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المحقق الشيخ محمد العاملي،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العلوي العاملي، مناهج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 و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دريد، 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في الهمز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الأثير،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كماء الورد و الزيت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الكافر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الطبرسي، المؤتلف من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كتاب الطهارة، باب سؤر ما يؤكل لحمه، و ما لا يؤكل لحمه من سائر الحيوان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البهبهاني،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الحاشية على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أكل لحمه يتوضأ من سؤره و يشرب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المحقق الحلي،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المغتذي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كبول و خرء ما لا يؤكل لحمه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الصيمري،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المجلسي،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الأول، غاية المرام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المقداد السيوري 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تشرب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الزيادة في التهذيب الذي حضرني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 فهد،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تبعيته للحيوان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الكراهية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التأكد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 سعيد،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المحقق الحلی،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للإسلام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صورتين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فى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سبقت الإشارة إليه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المحقق الحلي، المقيد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الفخرية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 الجزائري،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الناصريات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المحقق السبزواري،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حكم ذرق الدجاج و الخشاف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المجاهد،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قتل الخطاف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نسخة منه في مكتبة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الأردبيلي، في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السيد العاملي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الكاشاني،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 البحراني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كموثقة عبد الرحمن في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الطبراني،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البول و الغائط و الدم و المني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الحلي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العلّامة الحلي في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الحلي،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البول و الغائط و المني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الكاشاني، تسهيل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أَجِدُ في مَا أُوحِيَ إِلَيَّ مُحَرَّمًا عَلَى طَاعِم يَطْعَمُهُ إِلَّا أَن يَكُونَ مَيْتَةً أَوْ دَما مَسْفُوحًا أَوْ لَحْمَ خِنْزِيرِ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المحقق الاردبيلي،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لبحراني،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الصيمري،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الكاظمي، مسالك الأفهام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كفخر المحققين في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الروضة البهية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الصيمري،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المحقق الحلى،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العلّامة الحلي، تذكرة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المقيد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أَجِدُ فِي مَا أُوحِيَ إِلَيَّ مُحَرَّمًا عَلَى طَاعِم يَطْعَمُهُ إِلَّا أَنْ يَكُونَ مَيْتَةً أَوْ دَمًا مَسْفُوحًا أَوْ لحم 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يابسين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الرسالة السعدية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المحقق الشيخ محمد العاملي،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العلوي العاملي، مناهج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الحلى،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القمي،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الطبرسي،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 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الصغير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الميم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ابن سعيد،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السيوري،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هداية الأمة إلى أحكام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أحكام الخلل في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التبريزي، درر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كالطوسي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كالظفر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الأردبيلي في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زرارة عن الإمام الصادق علیه السلام أنه قال في آنية المجوس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اضطررتم إليها فاغسلوها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عاشور، التحرير و 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كالعدس و الحمص</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الصيمري، تلخيص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الشهيد الأول،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بداية المجتهد و نهاية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رسائل الشهيد الثاني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تقاعسه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34945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الأردبيلي 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النراقى،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محمد بن الحسن بن الشهيد الثاني،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تفصيل الحادثة في العقبات العنبرية في الطبقات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 الذخائر لأبي حيان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نثر الدر للآبی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ربيع الأبرار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يصرح باسم المرتضى</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المشبهة أنفسهم؛ و هم الذين يتخيّلون أن الله تعالى جسم على شكلٍ ما من الأشكال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العقيدة الطحاوية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نفوا الفعل حقيقة عن العبد و نسبوه إلى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الملل و 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مستقل بأفعاله؛ و ليس الله تعالى صنيع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خلق محمداً صلّی الله علیه و آله و فوّض إليه خلق الدنيا و ما فيها؛ فهو الخلّاق لما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ابن حمزة،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العماني 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الجعفي 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فَاجْتَنِبُوا الرِّجْسَ مِنَ 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شرح المفاتيح</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أجوبة المسائل المقدادية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الأولى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في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السيوري،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الشربيني، الإقناع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ابن عابدين، تكملة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السيوري، 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الشرح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الشرح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كالاستطراق فيها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كالطوق و السوار</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كانشاد الضالة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الأول،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المجلسي،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إِنَّمَا الْمُشْرِكُونَ نَجَسٌ فَلَا يَقْرَبُوا الْمَسْجِدَ الْحَرَامَ بَعْدَ عَامِهِمْ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النراقى،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فتاح السرابي التبريزي المولود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بعد أداء الحج في البحر و دفن بأزمير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أدرك الشيخ الأنصاري ثلاث سنين، و بعده قرأ على السيدين الشيرازي و الكوهكمري، نسب الحاشية إليه تلميذه الشيخ إسماعيل التبريزي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الإسماعيلية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ترجمه الأوردوبادي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القمي غنائم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العبارة معكوسة؛ فالتعليل في المضمرة، و القيد إنّما في الموثقة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أنسب للسياق</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يمسحه و يمسح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و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رسائل آل طوق القطيفي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الشرح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كان لا تجوز الصلاة فيه وحده فلا بأس أن يكون عليه الشيء، مثل القلنسوة و التكة و الجورب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قلنسوتي وقعت في بول فأخذتها فوضعتها على رأسي ثم صليت،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غاية المراد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الشهيد الأول،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انفردت</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 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حريز عن زرارة عن أبي جعفر في رجل جهر في ما لا ينبغي الاجهار فيه أو أخفى في ما لا ينبغي الاخفاء فيه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فعل متعمداً فقد نقض صلاته و عليه الإعادة، و إنْ فعل ذلك ناسياً أو ساهياً أو لا يدري فلا شيء عليه و قد تمت صلاته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بلغَ مقدار الدرهم، و هو المضروب من درهم و ثلث فصاعداً وجب إزالته، و إن كان أقل من ذلك لم يجب ذلك فيه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 الجزائري،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عورتيه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المحقق الحلي،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النفاس و دمُ الاستحاضة</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كالفقاع و العصير إذا غلى</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الأول،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سبقت الإشارة إليه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و ما بعدها من المصدر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 و نحوها لغسل الثياب و سوى ذلك</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و الخنزير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انسب للسياق</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الثاني، 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الشيخ محمد العاملي،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المتأخرين في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ينفصل</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فيها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البلل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 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أوجبها</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الشهيد الثاني،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فتنقص</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سبقت الإشارة إليه</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المحقق الشيخ محمد العاملي،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ابن فهد،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الآبي، 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التفصيل 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مِنَ السَّمَاءِ مَاءً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الدامغاني، مباحث من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12709</w:t>
      </w:r>
      <w:r>
        <w:rPr>
          <w:rFonts w:ascii="IRNazanin" w:hAnsi="IRNazanin" w:eastAsia="IRNazanin"/>
          <w:b w:val="false"/>
          <w:b w:val="false"/>
          <w:bCs w:val="false"/>
          <w:i w:val="false"/>
          <w:i w:val="false"/>
          <w:iCs w:val="false"/>
          <w:color w:val="333333"/>
          <w:sz w:val="20"/>
          <w:sz w:val="20"/>
          <w:szCs w:val="20"/>
          <w:rtl w:val="true"/>
        </w:rPr>
        <w:t>؛ صحیح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 نصُّ عبارته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النبي صلّی الله علیه و آله لا يأمر بطهارة المسجد بما يزيده تنجيساً</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ينظر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خفاف</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هلال العبرتائي و قد نسب إلى الغلو و النصب ينظر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الفهرس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الصيمري، تلخيص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تصب</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المجد،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العلّامة في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جوابات المسائل المقدادية، عن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التفصيل في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عوالي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الحلى،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الحاشية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الحاء</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واحدة مروية بسند واحد ينتهي إلى حريز، و قد رواها عن زرارة و حديد بن حكيم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للشيخ الطوسي رداً لرواية عمار بالمذكور ههنا، و إنما وجدنا هذا الرد قد ذكره العلّامة الحلي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رواية عمّار و إن دلّت على التّعميم، إلَّا أنّها لضعف سندها لم يعوّل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بيّن أنّ الشيخ الطوسي معتمد على هذه الرواية،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 الشيخ لما ذكره بإجماع الفرقة، و رواية عمار بن موسى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في الموضع قذراً من البول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حسن، معالم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المتلاصق</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العلّامة في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كالسبزواري في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كالكركي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التثليث</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المجلسي،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القول نسبه إلى جماعة 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الحاء و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حولا</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الميرزا موسى التبريزي، أوثق المسائل في شرح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32158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كالملح</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نسبه إلى أستاذه في كشف الغطاء</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العاملي،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هداية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المرتضى،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تطهر</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جماعة في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بزوال</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الشارح في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الميرزا القمي،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البعض البهبهاني في 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ٱلَّذِينَ ءَامَنُوٓاۡ إِذَا قُمۡتُمۡ إِلَی ٱلصَّلَوٰةِ فَٱغۡسِلُواْ وُجُوهَكُمۡ وَ أَيۡدِيَكُمۡ إِلَی ٱلۡمَرَافِقِ وَ ٱمۡسَحُواْ بِرُءُوسِكُمۡ وَ أَرۡجُلَكُمۡ إِلَی ٱلۡكَعۡبَيۡنِ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بابويه في الرسالة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وضؤك من النوم و نسيت فأدخلت</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الشهيد الأول،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ٱللَّهَ وَ أَطِيعُواْ ٱلرَّسُولَ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أَمِرُوا إِلَّا لِيَعْبُدُوا الله مُخْلِصِينَ لَه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الطبرسي، جامع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الراوندي،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الرسائل الفخرية في معرفة النية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الاشتهاردي،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من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النراقي، معتمد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الكركي، 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الأنصاري عن البعض 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العلّامة الحلي، منتهى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العدة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صدر المتألهين، الحكمة المتعالية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التعليقات على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الزهري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جاورها</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المستورة</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الشيخ الأنصاري، 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ابن حمزة،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قُمْتُمْ إِلَى الصَّلاٰةِ فَاغْسِلُوا وُجُوهَكُمْ وَ أَيْدِيَكُمْ إِلَى الْمَرٰافِقِ وَ امْسَحُوا بِرُؤُسِكُمْ وَ أَرْجُلَكُمْ إِلَى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الحلي،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الكاشاني،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الكيدري،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تقرير بحث المجدّد الشيرازي للروزدري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البحراني في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ابن عباد،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البراج في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سبقت الإشارة إليه</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المقصود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أفضل</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الطوسي،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الثعالبي، فقه اللغة و سرّ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النويري، 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سبقت الإشارة إليه</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البهائي،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ابن سعيد،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السيوري، 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الشرح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34692</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ابن طاووس،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الإربلي،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الإربلي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الإربلي،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الوضوء</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اطلاقه</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مع تفاوت؛ و عنه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قُمْتُمْ إِلَى الصَّلَاةِ فَاغْسِلُوا وُجُوهَكُمْ وَ أَيْدِيَكُمْ إِلَى الْمَرَافِقِ وَ امْسَحُوا بِرُؤوسِكُمْ وَ أَرْجُلَكُمْ إِلَى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الواو</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السيوري، 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الصيمري،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قائله</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الرافعي في 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إلى أحمد بن حنبل</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وضوء لمن لم يسم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الاقناع للشربيني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الكيدري،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لدفع</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اللمعة الدشقية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الطوسي،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كيفية الوضوء</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ثنية</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المحقق السبزواري،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المبحث غير موجود في اللمعتين</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التمندل</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حاشية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هداية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المجد،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انتقاضها</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الالتباس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سبقت الإشارة إليه</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 في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المحقق الكركي في رسائله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الكيدري،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المؤتلف من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عليه في مصادرنا قبل المعتبر</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مالك،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21879</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إلى أن ينقى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ابن سعيد،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السيد المرتضى،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الصدوق في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التقنع</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ابن أبي المجد،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باليمين</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المطلع على ألفاظ المقنع للبعلي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حاشية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الشارح في الروضة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كالتكلّم لحاجة يخاف فوتها لو أخره إلى أن 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بالنصب على أنَّه حال من المسلم أو استثناء، و بالجرّ صفة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و الدفق</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العلّامة في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الطوسى،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الخاء المعجمة</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السكران</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المغمى عليه</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العلّامة الحلي،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بالمضمون</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جُنُباً إِلاّٰ عٰابِرِي سَبِيلٍ حَتَّىٰ تَغْتَسِلُوا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الصدوق،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تفسير السمر 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إِنَّهُۥ لَقُرۡءَانٌ كَرِيمٌ فِی كِتَٰبٍ مَّكۡنُونٍ لَّا يَمَسُّهُۥٓ إِلَّا ٱلۡمُطَهَّرُونَ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البيهقي،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القمي، جامع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 الجزائري، 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التفصيل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المحقق الشيخ محمد العاملي، 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بَعُدَ الفاصل</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الحاشية الأولى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المحقق الكركي، 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الصدوق،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الحاشية الأولى على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الخوانساري،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المجد،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المولى النراقي، معتمد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المولى النراقي، معتمد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الألفية و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الشهيد الثاني، 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 في معرفة صيغ النيات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الأول في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المحقق الكركي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ابن أبي المجد،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الحلى،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البعض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واية أحمد بن محمد بن عيسى، عن عبد الله بن مسكان، فإنّ في التهذيب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عثمان بن عيسى، عن عبد الله بن مسكان؛ فالسند حينئذٍ ليس بصحيح؛ لاحتمال السقوط هنا سهواً، بل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سليمان بن خالد،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أجنب فاغتسل قبل أن يبول فخرج منه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 الغسل،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فالمرأة يخرج منها بعد الغسل؟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تعيد،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الفرق بينهما؟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يخرج من المرأة إنّما هو ماء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المحقق 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حسن، أنوار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ابن فهد في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الفاضل المقداد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جواهر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نقله عن الشهيد في رسائله مع اختلاف غير يسير</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في صفحة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فهاهنا فصول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في صفحة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الثاني في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الملاحظ أنه لم يذكر الفصل الثالث و الذي هو في التيمم</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سبقت الإشارة إليه</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المطرزي،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نهاية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الجمل و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الخاجوئي في 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الخاجوئي، 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سعيد،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النراقی، معتمد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المحقق النراقی،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رسالة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11920</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فهد في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الكركي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دون تحديد النسبة في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زين الدين العاملي، مخطوط، كما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السيد العاملي،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الطوسي،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الشهيد الأول،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الأعظم 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المحقق الأردبيلي،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image" Target="media/image2.jpeg"/><Relationship Id="rId683" Type="http://schemas.openxmlformats.org/officeDocument/2006/relationships/image" Target="media/image2.jpeg"/><Relationship Id="rId684" Type="http://schemas.openxmlformats.org/officeDocument/2006/relationships/footer" Target="footer677.xml"/><Relationship Id="rId685" Type="http://schemas.openxmlformats.org/officeDocument/2006/relationships/footnotes" Target="footnotes.xml"/><Relationship Id="rId686" Type="http://schemas.openxmlformats.org/officeDocument/2006/relationships/numbering" Target="numbering.xml"/><Relationship Id="rId687" Type="http://schemas.openxmlformats.org/officeDocument/2006/relationships/fontTable" Target="fontTable.xml"/><Relationship Id="rId688" Type="http://schemas.openxmlformats.org/officeDocument/2006/relationships/settings" Target="settings.xml"/><Relationship Id="rId6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175339</Words>
  <Characters>744264</Characters>
  <CharactersWithSpaces>915770</CharactersWithSpaces>
  <Paragraphs>8013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2026-08-20T10:01:11Z</dcterms:created>
  <dc:creator>ghaemiyeh.com</dc:creator>
  <dc:description/>
  <dc:language>en-US</dc:language>
  <cp:lastModifiedBy/>
  <dcterms:modified xsi:type="dcterms:W3CDTF">2026-08-20T13:31:45Z</dcterms:modified>
  <cp:revision>1</cp:revision>
  <dc:subject/>
  <dc:title>شرح اللمعتین</dc:title>
</cp:coreProperties>
</file>

<file path=docProps/custom.xml><?xml version="1.0" encoding="utf-8"?>
<Properties xmlns="http://schemas.openxmlformats.org/officeDocument/2006/custom-properties" xmlns:vt="http://schemas.openxmlformats.org/officeDocument/2006/docPropsVTypes"/>
</file>